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66" w:lineRule="exact"/>
        <w:rPr>
          <w:sz w:val="24"/>
          <w:szCs w:val="24"/>
          <w:color w:val="auto"/>
        </w:rPr>
      </w:pPr>
    </w:p>
    <w:p>
      <w:pPr>
        <w:jc w:val="center"/>
        <w:ind w:right="-1100"/>
        <w:spacing w:after="0"/>
        <w:rPr>
          <w:sz w:val="20"/>
          <w:szCs w:val="20"/>
          <w:color w:val="auto"/>
        </w:rPr>
      </w:pPr>
      <w:r>
        <w:rPr>
          <w:rFonts w:ascii="Arial" w:cs="Arial" w:eastAsia="Arial" w:hAnsi="Arial"/>
          <w:sz w:val="32"/>
          <w:szCs w:val="32"/>
          <w:b w:val="1"/>
          <w:bCs w:val="1"/>
          <w:color w:val="auto"/>
        </w:rPr>
        <w:t>UNITED STATES</w:t>
      </w:r>
    </w:p>
    <w:p>
      <w:pPr>
        <w:spacing w:after="0" w:line="20" w:lineRule="exact"/>
        <w:rPr>
          <w:sz w:val="24"/>
          <w:szCs w:val="24"/>
          <w:color w:val="auto"/>
        </w:rPr>
      </w:pPr>
    </w:p>
    <w:p>
      <w:pPr>
        <w:jc w:val="center"/>
        <w:ind w:right="-1100"/>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100"/>
        <w:spacing w:after="0"/>
        <w:rPr>
          <w:sz w:val="20"/>
          <w:szCs w:val="20"/>
          <w:color w:val="auto"/>
        </w:rPr>
      </w:pPr>
      <w:r>
        <w:rPr>
          <w:rFonts w:ascii="Arial" w:cs="Arial" w:eastAsia="Arial" w:hAnsi="Arial"/>
          <w:sz w:val="21"/>
          <w:szCs w:val="21"/>
          <w:b w:val="1"/>
          <w:bCs w:val="1"/>
          <w:color w:val="auto"/>
        </w:rPr>
        <w:t>Washington, D.C. 20549</w:t>
      </w:r>
    </w:p>
    <w:p>
      <w:pPr>
        <w:spacing w:after="0" w:line="150" w:lineRule="exact"/>
        <w:rPr>
          <w:sz w:val="24"/>
          <w:szCs w:val="24"/>
          <w:color w:val="auto"/>
        </w:rPr>
      </w:pPr>
    </w:p>
    <w:p>
      <w:pPr>
        <w:ind w:left="3240"/>
        <w:spacing w:after="0"/>
        <w:rPr>
          <w:sz w:val="20"/>
          <w:szCs w:val="20"/>
          <w:color w:val="auto"/>
        </w:rPr>
      </w:pPr>
      <w:r>
        <w:rPr>
          <w:rFonts w:ascii="Arial" w:cs="Arial" w:eastAsia="Arial" w:hAnsi="Arial"/>
          <w:sz w:val="32"/>
          <w:szCs w:val="32"/>
          <w:b w:val="1"/>
          <w:bCs w:val="1"/>
          <w:color w:val="auto"/>
        </w:rPr>
        <w:t>SCHEDULE 14A INFORMATION</w:t>
      </w:r>
    </w:p>
    <w:p>
      <w:pPr>
        <w:spacing w:after="0" w:line="152" w:lineRule="exact"/>
        <w:rPr>
          <w:sz w:val="24"/>
          <w:szCs w:val="24"/>
          <w:color w:val="auto"/>
        </w:rPr>
      </w:pPr>
    </w:p>
    <w:p>
      <w:pPr>
        <w:ind w:left="3140"/>
        <w:spacing w:after="0"/>
        <w:rPr>
          <w:sz w:val="20"/>
          <w:szCs w:val="20"/>
          <w:color w:val="auto"/>
        </w:rPr>
      </w:pPr>
      <w:r>
        <w:rPr>
          <w:rFonts w:ascii="Arial" w:cs="Arial" w:eastAsia="Arial" w:hAnsi="Arial"/>
          <w:sz w:val="21"/>
          <w:szCs w:val="21"/>
          <w:b w:val="1"/>
          <w:bCs w:val="1"/>
          <w:color w:val="auto"/>
        </w:rPr>
        <w:t>Proxy Statement Pursuant to Section 14(a) of the</w:t>
      </w:r>
    </w:p>
    <w:p>
      <w:pPr>
        <w:spacing w:after="0" w:line="33" w:lineRule="exact"/>
        <w:rPr>
          <w:sz w:val="24"/>
          <w:szCs w:val="24"/>
          <w:color w:val="auto"/>
        </w:rPr>
      </w:pPr>
    </w:p>
    <w:p>
      <w:pPr>
        <w:ind w:left="3980"/>
        <w:spacing w:after="0"/>
        <w:rPr>
          <w:sz w:val="20"/>
          <w:szCs w:val="20"/>
          <w:color w:val="auto"/>
        </w:rPr>
      </w:pPr>
      <w:r>
        <w:rPr>
          <w:rFonts w:ascii="Arial" w:cs="Arial" w:eastAsia="Arial" w:hAnsi="Arial"/>
          <w:sz w:val="21"/>
          <w:szCs w:val="21"/>
          <w:b w:val="1"/>
          <w:bCs w:val="1"/>
          <w:color w:val="auto"/>
        </w:rPr>
        <w:t>Securities Exchange Act of 1934</w:t>
      </w:r>
    </w:p>
    <w:p>
      <w:pPr>
        <w:ind w:left="4700"/>
        <w:spacing w:after="0"/>
        <w:rPr>
          <w:sz w:val="20"/>
          <w:szCs w:val="20"/>
          <w:color w:val="auto"/>
        </w:rPr>
      </w:pPr>
      <w:r>
        <w:rPr>
          <w:rFonts w:ascii="Arial" w:cs="Arial" w:eastAsia="Arial" w:hAnsi="Arial"/>
          <w:sz w:val="21"/>
          <w:szCs w:val="21"/>
          <w:b w:val="1"/>
          <w:bCs w:val="1"/>
          <w:color w:val="auto"/>
        </w:rPr>
        <w:t>(Amendment No. )</w:t>
      </w:r>
    </w:p>
    <w:p>
      <w:pPr>
        <w:spacing w:after="0" w:line="106"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Filed by the Registrant </w:t>
      </w:r>
      <w:r>
        <w:rPr>
          <w:rFonts w:ascii="MS PGothic" w:cs="MS PGothic" w:eastAsia="MS PGothic" w:hAnsi="MS PGothic"/>
          <w:sz w:val="18"/>
          <w:szCs w:val="18"/>
          <w:color w:val="auto"/>
        </w:rPr>
        <w:t>☒</w:t>
      </w:r>
    </w:p>
    <w:p>
      <w:pPr>
        <w:spacing w:after="0" w:line="167"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Filed by a party other than the Registrant </w:t>
      </w:r>
      <w:r>
        <w:rPr>
          <w:rFonts w:ascii="MS PGothic" w:cs="MS PGothic" w:eastAsia="MS PGothic" w:hAnsi="MS PGothic"/>
          <w:sz w:val="18"/>
          <w:szCs w:val="18"/>
          <w:color w:val="auto"/>
        </w:rPr>
        <w:t>☐</w:t>
      </w:r>
    </w:p>
    <w:p>
      <w:pPr>
        <w:spacing w:after="0" w:line="195"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w:t>
      </w:r>
    </w:p>
    <w:p>
      <w:pPr>
        <w:spacing w:after="0" w:line="47" w:lineRule="exact"/>
        <w:rPr>
          <w:sz w:val="24"/>
          <w:szCs w:val="24"/>
          <w:color w:val="auto"/>
        </w:rPr>
      </w:pPr>
    </w:p>
    <w:p>
      <w:pPr>
        <w:ind w:left="460" w:hanging="436"/>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Preliminary Proxy Statement</w:t>
      </w:r>
    </w:p>
    <w:p>
      <w:pPr>
        <w:spacing w:after="0" w:line="164" w:lineRule="exact"/>
        <w:rPr>
          <w:rFonts w:ascii="MS PGothic" w:cs="MS PGothic" w:eastAsia="MS PGothic" w:hAnsi="MS PGothic"/>
          <w:sz w:val="18"/>
          <w:szCs w:val="18"/>
          <w:color w:val="auto"/>
        </w:rPr>
      </w:pPr>
    </w:p>
    <w:p>
      <w:pPr>
        <w:ind w:left="460" w:hanging="436"/>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Confidential, for Use of the Commission Only (as permitted by Rule 14a-6(e)(2))</w:t>
      </w:r>
    </w:p>
    <w:p>
      <w:pPr>
        <w:spacing w:after="0" w:line="169" w:lineRule="exact"/>
        <w:rPr>
          <w:sz w:val="24"/>
          <w:szCs w:val="24"/>
          <w:color w:val="auto"/>
        </w:rPr>
      </w:pPr>
    </w:p>
    <w:p>
      <w:pPr>
        <w:ind w:left="460" w:hanging="436"/>
        <w:spacing w:after="0"/>
        <w:tabs>
          <w:tab w:leader="none" w:pos="46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Definitive Proxy Statement</w:t>
      </w:r>
    </w:p>
    <w:p>
      <w:pPr>
        <w:spacing w:after="0" w:line="153" w:lineRule="exact"/>
        <w:rPr>
          <w:sz w:val="24"/>
          <w:szCs w:val="24"/>
          <w:color w:val="auto"/>
        </w:rPr>
      </w:pPr>
    </w:p>
    <w:p>
      <w:pPr>
        <w:ind w:left="460" w:hanging="436"/>
        <w:spacing w:after="0"/>
        <w:tabs>
          <w:tab w:leader="none" w:pos="46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Definitive Additional Materials</w:t>
      </w:r>
    </w:p>
    <w:p>
      <w:pPr>
        <w:spacing w:after="0" w:line="166" w:lineRule="exact"/>
        <w:rPr>
          <w:rFonts w:ascii="MS PGothic" w:cs="MS PGothic" w:eastAsia="MS PGothic" w:hAnsi="MS PGothic"/>
          <w:sz w:val="18"/>
          <w:szCs w:val="18"/>
          <w:color w:val="auto"/>
        </w:rPr>
      </w:pPr>
    </w:p>
    <w:p>
      <w:pPr>
        <w:ind w:left="460" w:hanging="436"/>
        <w:spacing w:after="0"/>
        <w:tabs>
          <w:tab w:leader="none" w:pos="46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Soliciting Material under §240.14a-12</w:t>
      </w:r>
    </w:p>
    <w:p>
      <w:pPr>
        <w:spacing w:after="0" w:line="247" w:lineRule="exact"/>
        <w:rPr>
          <w:sz w:val="24"/>
          <w:szCs w:val="24"/>
          <w:color w:val="auto"/>
        </w:rPr>
      </w:pPr>
    </w:p>
    <w:p>
      <w:pPr>
        <w:ind w:left="3700"/>
        <w:spacing w:after="0"/>
        <w:rPr>
          <w:sz w:val="20"/>
          <w:szCs w:val="20"/>
          <w:color w:val="auto"/>
        </w:rPr>
      </w:pPr>
      <w:r>
        <w:rPr>
          <w:rFonts w:ascii="Arial" w:cs="Arial" w:eastAsia="Arial" w:hAnsi="Arial"/>
          <w:sz w:val="43"/>
          <w:szCs w:val="43"/>
          <w:b w:val="1"/>
          <w:bCs w:val="1"/>
          <w:color w:val="auto"/>
        </w:rPr>
        <w:t>The Toro Company</w:t>
      </w:r>
    </w:p>
    <w:p>
      <w:pPr>
        <w:spacing w:after="0" w:line="28" w:lineRule="exact"/>
        <w:rPr>
          <w:sz w:val="24"/>
          <w:szCs w:val="24"/>
          <w:color w:val="auto"/>
        </w:rPr>
      </w:pPr>
    </w:p>
    <w:p>
      <w:pPr>
        <w:jc w:val="center"/>
        <w:ind w:right="-1100"/>
        <w:spacing w:after="0"/>
        <w:rPr>
          <w:sz w:val="20"/>
          <w:szCs w:val="20"/>
          <w:color w:val="auto"/>
        </w:rPr>
      </w:pPr>
      <w:r>
        <w:rPr>
          <w:rFonts w:ascii="Arial" w:cs="Arial" w:eastAsia="Arial" w:hAnsi="Arial"/>
          <w:sz w:val="18"/>
          <w:szCs w:val="18"/>
          <w:b w:val="1"/>
          <w:bCs w:val="1"/>
          <w:color w:val="auto"/>
        </w:rPr>
        <w:t>(Name of Registrant as Specified in its Charter)</w:t>
      </w:r>
    </w:p>
    <w:p>
      <w:pPr>
        <w:ind w:left="2600"/>
        <w:spacing w:after="0"/>
        <w:rPr>
          <w:sz w:val="20"/>
          <w:szCs w:val="20"/>
          <w:color w:val="auto"/>
        </w:rPr>
      </w:pPr>
      <w:r>
        <w:rPr>
          <w:rFonts w:ascii="Arial" w:cs="Arial" w:eastAsia="Arial" w:hAnsi="Arial"/>
          <w:sz w:val="18"/>
          <w:szCs w:val="18"/>
          <w:b w:val="1"/>
          <w:bCs w:val="1"/>
          <w:color w:val="auto"/>
        </w:rPr>
        <w:t>(Name of Person(s) Filing Proxy Statement, if other than the Registrant)</w:t>
      </w:r>
    </w:p>
    <w:p>
      <w:pPr>
        <w:spacing w:after="0"/>
        <w:rPr>
          <w:sz w:val="20"/>
          <w:szCs w:val="20"/>
          <w:color w:val="auto"/>
        </w:rPr>
      </w:pPr>
      <w:r>
        <w:rPr>
          <w:rFonts w:ascii="Arial" w:cs="Arial" w:eastAsia="Arial" w:hAnsi="Arial"/>
          <w:sz w:val="18"/>
          <w:szCs w:val="18"/>
          <w:color w:val="auto"/>
        </w:rPr>
        <w:t>Payment of Filing Fee (Check all boxes that apply):</w:t>
      </w:r>
    </w:p>
    <w:p>
      <w:pPr>
        <w:spacing w:after="0" w:line="31" w:lineRule="exact"/>
        <w:rPr>
          <w:sz w:val="24"/>
          <w:szCs w:val="24"/>
          <w:color w:val="auto"/>
        </w:rPr>
      </w:pPr>
    </w:p>
    <w:p>
      <w:pPr>
        <w:ind w:left="580" w:hanging="556"/>
        <w:spacing w:after="0"/>
        <w:tabs>
          <w:tab w:leader="none" w:pos="580" w:val="left"/>
        </w:tabs>
        <w:numPr>
          <w:ilvl w:val="0"/>
          <w:numId w:val="4"/>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52" w:lineRule="exact"/>
        <w:rPr>
          <w:sz w:val="24"/>
          <w:szCs w:val="24"/>
          <w:color w:val="auto"/>
        </w:rPr>
      </w:pPr>
    </w:p>
    <w:p>
      <w:pPr>
        <w:ind w:left="580" w:hanging="556"/>
        <w:spacing w:after="0"/>
        <w:tabs>
          <w:tab w:leader="none" w:pos="580" w:val="left"/>
        </w:tabs>
        <w:numPr>
          <w:ilvl w:val="0"/>
          <w:numId w:val="5"/>
        </w:numPr>
        <w:rPr>
          <w:rFonts w:ascii="MS PGothic" w:cs="MS PGothic" w:eastAsia="MS PGothic" w:hAnsi="MS PGothic"/>
          <w:sz w:val="18"/>
          <w:szCs w:val="18"/>
          <w:color w:val="auto"/>
        </w:rPr>
      </w:pPr>
      <w:r>
        <w:rPr>
          <w:rFonts w:ascii="Arial" w:cs="Arial" w:eastAsia="Arial" w:hAnsi="Arial"/>
          <w:sz w:val="18"/>
          <w:szCs w:val="18"/>
          <w:color w:val="auto"/>
        </w:rPr>
        <w:t>Fee paid previously with preliminary materials</w:t>
      </w:r>
    </w:p>
    <w:p>
      <w:pPr>
        <w:spacing w:after="0" w:line="46" w:lineRule="exact"/>
        <w:rPr>
          <w:rFonts w:ascii="MS PGothic" w:cs="MS PGothic" w:eastAsia="MS PGothic" w:hAnsi="MS PGothic"/>
          <w:sz w:val="18"/>
          <w:szCs w:val="18"/>
          <w:color w:val="auto"/>
        </w:rPr>
      </w:pPr>
    </w:p>
    <w:p>
      <w:pPr>
        <w:ind w:left="580" w:hanging="556"/>
        <w:spacing w:after="0"/>
        <w:tabs>
          <w:tab w:leader="none" w:pos="580" w:val="left"/>
        </w:tabs>
        <w:numPr>
          <w:ilvl w:val="0"/>
          <w:numId w:val="5"/>
        </w:numPr>
        <w:rPr>
          <w:rFonts w:ascii="MS PGothic" w:cs="MS PGothic" w:eastAsia="MS PGothic" w:hAnsi="MS PGothic"/>
          <w:sz w:val="18"/>
          <w:szCs w:val="18"/>
          <w:color w:val="auto"/>
        </w:rPr>
      </w:pPr>
      <w:r>
        <w:rPr>
          <w:rFonts w:ascii="Arial" w:cs="Arial" w:eastAsia="Arial" w:hAnsi="Arial"/>
          <w:sz w:val="18"/>
          <w:szCs w:val="18"/>
          <w:color w:val="auto"/>
        </w:rPr>
        <w:t>Fee computed on table in exhibit required by Item 25(b) per Exchange Act Rules 14a-6(i)(1)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-7620</wp:posOffset>
            </wp:positionH>
            <wp:positionV relativeFrom="paragraph">
              <wp:posOffset>1032510</wp:posOffset>
            </wp:positionV>
            <wp:extent cx="7159625"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0139"/>
          </w:cols>
          <w:pgMar w:left="320" w:top="1440" w:right="1440" w:bottom="1440" w:gutter="0" w:footer="0" w:header="0"/>
        </w:sectPr>
      </w:pPr>
    </w:p>
    <w:bookmarkStart w:id="1" w:name="page2"/>
    <w:bookmarkEnd w:id="1"/>
    <w:p>
      <w:pPr>
        <w:spacing w:after="0"/>
        <w:rPr>
          <w:sz w:val="20"/>
          <w:szCs w:val="20"/>
          <w:color w:val="auto"/>
        </w:rPr>
      </w:pPr>
      <w:r>
        <w:rPr>
          <w:rFonts w:ascii="Arial" w:cs="Arial" w:eastAsia="Arial" w:hAnsi="Arial"/>
          <w:sz w:val="70"/>
          <w:szCs w:val="70"/>
          <w:b w:val="1"/>
          <w:bCs w:val="1"/>
          <w:color w:val="C00000"/>
        </w:rPr>
        <w:t>The Toro Company</w:t>
      </w:r>
    </w:p>
    <w:p>
      <w:pPr>
        <w:spacing w:after="0" w:line="68" w:lineRule="exact"/>
        <w:rPr>
          <w:sz w:val="20"/>
          <w:szCs w:val="20"/>
          <w:color w:val="auto"/>
        </w:rPr>
      </w:pPr>
    </w:p>
    <w:p>
      <w:pPr>
        <w:ind w:right="4919"/>
        <w:spacing w:after="0" w:line="254" w:lineRule="auto"/>
        <w:rPr>
          <w:sz w:val="20"/>
          <w:szCs w:val="20"/>
          <w:color w:val="auto"/>
        </w:rPr>
      </w:pPr>
      <w:r>
        <w:rPr>
          <w:rFonts w:ascii="Arial" w:cs="Arial" w:eastAsia="Arial" w:hAnsi="Arial"/>
          <w:sz w:val="46"/>
          <w:szCs w:val="46"/>
          <w:color w:val="auto"/>
        </w:rPr>
        <w:t>NOTICE OF 2025 ANNUAL MEETING AND</w:t>
      </w:r>
    </w:p>
    <w:p>
      <w:pPr>
        <w:spacing w:after="0" w:line="3" w:lineRule="exact"/>
        <w:rPr>
          <w:sz w:val="20"/>
          <w:szCs w:val="20"/>
          <w:color w:val="auto"/>
        </w:rPr>
      </w:pPr>
    </w:p>
    <w:p>
      <w:pPr>
        <w:spacing w:after="0"/>
        <w:rPr>
          <w:sz w:val="20"/>
          <w:szCs w:val="20"/>
          <w:color w:val="auto"/>
        </w:rPr>
      </w:pPr>
      <w:r>
        <w:rPr>
          <w:rFonts w:ascii="Arial" w:cs="Arial" w:eastAsia="Arial" w:hAnsi="Arial"/>
          <w:sz w:val="64"/>
          <w:szCs w:val="64"/>
          <w:color w:val="auto"/>
        </w:rPr>
        <w:t>PROXY STATEMENT</w:t>
      </w:r>
    </w:p>
    <w:p>
      <w:pPr>
        <w:spacing w:after="0" w:line="333" w:lineRule="exact"/>
        <w:rPr>
          <w:sz w:val="20"/>
          <w:szCs w:val="20"/>
          <w:color w:val="auto"/>
        </w:rPr>
      </w:pPr>
    </w:p>
    <w:p>
      <w:pPr>
        <w:spacing w:after="0"/>
        <w:rPr>
          <w:sz w:val="20"/>
          <w:szCs w:val="20"/>
          <w:color w:val="auto"/>
        </w:rPr>
      </w:pPr>
      <w:r>
        <w:rPr>
          <w:rFonts w:ascii="Arial" w:cs="Arial" w:eastAsia="Arial" w:hAnsi="Arial"/>
          <w:sz w:val="43"/>
          <w:szCs w:val="43"/>
          <w:color w:val="auto"/>
        </w:rPr>
        <w:t>FOR MARCH 18,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3122295</wp:posOffset>
            </wp:positionV>
            <wp:extent cx="7159625"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9625" cy="42545"/>
                    </a:xfrm>
                    <a:prstGeom prst="rect">
                      <a:avLst/>
                    </a:prstGeom>
                    <a:noFill/>
                  </pic:spPr>
                </pic:pic>
              </a:graphicData>
            </a:graphic>
          </wp:anchor>
        </w:drawing>
        <w:drawing>
          <wp:anchor simplePos="0" relativeHeight="251657728" behindDoc="1" locked="0" layoutInCell="0" allowOverlap="1">
            <wp:simplePos x="0" y="0"/>
            <wp:positionH relativeFrom="column">
              <wp:posOffset>360045</wp:posOffset>
            </wp:positionH>
            <wp:positionV relativeFrom="paragraph">
              <wp:posOffset>1432560</wp:posOffset>
            </wp:positionV>
            <wp:extent cx="6422390" cy="8134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422390" cy="813435"/>
                    </a:xfrm>
                    <a:prstGeom prst="rect">
                      <a:avLst/>
                    </a:prstGeom>
                    <a:noFill/>
                  </pic:spPr>
                </pic:pic>
              </a:graphicData>
            </a:graphic>
          </wp:anchor>
        </w:drawing>
      </w:r>
    </w:p>
    <w:p>
      <w:pPr>
        <w:sectPr>
          <w:pgSz w:w="11900" w:h="16838" w:orient="portrait"/>
          <w:cols w:equalWidth="0" w:num="1">
            <w:col w:w="10139"/>
          </w:cols>
          <w:pgMar w:left="320" w:top="1063" w:right="1440" w:bottom="1440" w:gutter="0" w:footer="0" w:header="0"/>
        </w:sectPr>
      </w:pPr>
    </w:p>
    <w:bookmarkStart w:id="2" w:name="page3"/>
    <w:bookmarkEnd w:id="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715645</wp:posOffset>
            </wp:positionV>
            <wp:extent cx="4066540" cy="10591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clrChange>
                        <a:clrFrom>
                          <a:srgbClr val="FFFFFF"/>
                        </a:clrFrom>
                        <a:clrTo>
                          <a:srgbClr val="FFFFFF">
                            <a:alpha val="0"/>
                          </a:srgbClr>
                        </a:clrTo>
                      </a:clrChange>
                      <a:extLst>
                        <a:ext uri="{28A0092B-C50C-407E-A947-70E740481C1C}"/>
                      </a:extLst>
                    </a:blip>
                    <a:srcRect/>
                    <a:stretch>
                      <a:fillRect/>
                    </a:stretch>
                  </pic:blipFill>
                  <pic:spPr bwMode="auto">
                    <a:xfrm>
                      <a:off x="0" y="0"/>
                      <a:ext cx="4066540" cy="10591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left="20"/>
        <w:spacing w:after="0"/>
        <w:rPr>
          <w:sz w:val="20"/>
          <w:szCs w:val="20"/>
          <w:color w:val="auto"/>
        </w:rPr>
      </w:pPr>
      <w:r>
        <w:rPr>
          <w:rFonts w:ascii="Arial" w:cs="Arial" w:eastAsia="Arial" w:hAnsi="Arial"/>
          <w:sz w:val="20"/>
          <w:szCs w:val="20"/>
          <w:b w:val="1"/>
          <w:bCs w:val="1"/>
          <w:color w:val="C00000"/>
        </w:rPr>
        <w:t>Worldwide Headquarters</w:t>
      </w:r>
    </w:p>
    <w:p>
      <w:pPr>
        <w:spacing w:after="0" w:line="57" w:lineRule="exact"/>
        <w:rPr>
          <w:sz w:val="20"/>
          <w:szCs w:val="20"/>
          <w:color w:val="auto"/>
        </w:rPr>
      </w:pPr>
    </w:p>
    <w:p>
      <w:pPr>
        <w:ind w:left="20"/>
        <w:spacing w:after="0"/>
        <w:rPr>
          <w:sz w:val="20"/>
          <w:szCs w:val="20"/>
          <w:color w:val="auto"/>
        </w:rPr>
      </w:pPr>
      <w:r>
        <w:rPr>
          <w:rFonts w:ascii="Arial" w:cs="Arial" w:eastAsia="Arial" w:hAnsi="Arial"/>
          <w:sz w:val="18"/>
          <w:szCs w:val="18"/>
          <w:color w:val="auto"/>
        </w:rPr>
        <w:t>8111 Lyndale Avenue South</w:t>
      </w:r>
    </w:p>
    <w:p>
      <w:pPr>
        <w:spacing w:after="0" w:line="47" w:lineRule="exact"/>
        <w:rPr>
          <w:sz w:val="20"/>
          <w:szCs w:val="20"/>
          <w:color w:val="auto"/>
        </w:rPr>
      </w:pPr>
    </w:p>
    <w:p>
      <w:pPr>
        <w:ind w:left="20"/>
        <w:spacing w:after="0"/>
        <w:rPr>
          <w:sz w:val="20"/>
          <w:szCs w:val="20"/>
          <w:color w:val="auto"/>
        </w:rPr>
      </w:pPr>
      <w:r>
        <w:rPr>
          <w:rFonts w:ascii="Arial" w:cs="Arial" w:eastAsia="Arial" w:hAnsi="Arial"/>
          <w:sz w:val="18"/>
          <w:szCs w:val="18"/>
          <w:color w:val="auto"/>
        </w:rPr>
        <w:t>Bloomington, MN 55420-1196</w:t>
      </w:r>
    </w:p>
    <w:p>
      <w:pPr>
        <w:spacing w:after="0" w:line="47" w:lineRule="exact"/>
        <w:rPr>
          <w:sz w:val="20"/>
          <w:szCs w:val="20"/>
          <w:color w:val="auto"/>
        </w:rPr>
      </w:pPr>
    </w:p>
    <w:p>
      <w:pPr>
        <w:ind w:left="20"/>
        <w:spacing w:after="0"/>
        <w:rPr>
          <w:sz w:val="20"/>
          <w:szCs w:val="20"/>
          <w:color w:val="auto"/>
        </w:rPr>
      </w:pPr>
      <w:r>
        <w:rPr>
          <w:rFonts w:ascii="Arial" w:cs="Arial" w:eastAsia="Arial" w:hAnsi="Arial"/>
          <w:sz w:val="18"/>
          <w:szCs w:val="18"/>
          <w:color w:val="auto"/>
        </w:rPr>
        <w:t>952-888-8801</w:t>
      </w:r>
    </w:p>
    <w:p>
      <w:pPr>
        <w:spacing w:after="0" w:line="313" w:lineRule="exact"/>
        <w:rPr>
          <w:sz w:val="20"/>
          <w:szCs w:val="20"/>
          <w:color w:val="auto"/>
        </w:rPr>
      </w:pPr>
    </w:p>
    <w:p>
      <w:pPr>
        <w:spacing w:after="0"/>
        <w:rPr>
          <w:sz w:val="20"/>
          <w:szCs w:val="20"/>
          <w:color w:val="auto"/>
        </w:rPr>
      </w:pPr>
      <w:r>
        <w:rPr>
          <w:rFonts w:ascii="Arial" w:cs="Arial" w:eastAsia="Arial" w:hAnsi="Arial"/>
          <w:sz w:val="18"/>
          <w:szCs w:val="18"/>
          <w:color w:val="auto"/>
        </w:rPr>
        <w:t>February 4, 2025</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auto"/>
        </w:rPr>
        <w:t>Dear Fellow Shareholders:</w:t>
      </w:r>
    </w:p>
    <w:p>
      <w:pPr>
        <w:spacing w:after="0" w:line="207" w:lineRule="exact"/>
        <w:rPr>
          <w:sz w:val="20"/>
          <w:szCs w:val="20"/>
          <w:color w:val="auto"/>
        </w:rPr>
      </w:pPr>
    </w:p>
    <w:p>
      <w:pPr>
        <w:jc w:val="both"/>
        <w:ind w:firstLine="320"/>
        <w:spacing w:after="0" w:line="262" w:lineRule="auto"/>
        <w:rPr>
          <w:sz w:val="20"/>
          <w:szCs w:val="20"/>
          <w:color w:val="auto"/>
        </w:rPr>
      </w:pPr>
      <w:r>
        <w:rPr>
          <w:rFonts w:ascii="Arial" w:cs="Arial" w:eastAsia="Arial" w:hAnsi="Arial"/>
          <w:sz w:val="18"/>
          <w:szCs w:val="18"/>
          <w:color w:val="auto"/>
        </w:rPr>
        <w:t>On behalf of The Toro Company Board of Directors and executive leadership team, we are pleased to invite you to join us for The Toro Company 2025 Annual Meeting of Shareholders to be held virtually on Tuesday, March 18, 2025 at 2:00 p.m., Central Daylight Time.</w:t>
      </w:r>
    </w:p>
    <w:p>
      <w:pPr>
        <w:spacing w:after="0" w:line="175" w:lineRule="exact"/>
        <w:rPr>
          <w:sz w:val="20"/>
          <w:szCs w:val="20"/>
          <w:color w:val="auto"/>
        </w:rPr>
      </w:pPr>
    </w:p>
    <w:p>
      <w:pPr>
        <w:jc w:val="both"/>
        <w:ind w:firstLine="320"/>
        <w:spacing w:after="0" w:line="247" w:lineRule="auto"/>
        <w:rPr>
          <w:sz w:val="20"/>
          <w:szCs w:val="20"/>
          <w:color w:val="auto"/>
        </w:rPr>
      </w:pPr>
      <w:r>
        <w:rPr>
          <w:rFonts w:ascii="Arial" w:cs="Arial" w:eastAsia="Arial" w:hAnsi="Arial"/>
          <w:sz w:val="18"/>
          <w:szCs w:val="18"/>
          <w:color w:val="auto"/>
        </w:rPr>
        <w:t>We have designed the virtual annual meeting to ensure that shareholders are afforded the same opportunity to participate as they would have at an in-person meeting, including the right to vote and ask questions through the virtual meeting platform. Details about the annual meeting, nominees for election to the Board of Directors and other matters to be acted on at the annual meeting are presented in the notice and proxy statement that follow. Information regarding attending the virtual annual meeting can be found on page 1 of the proxy statement.</w:t>
      </w:r>
    </w:p>
    <w:p>
      <w:pPr>
        <w:spacing w:after="0" w:line="175" w:lineRule="exact"/>
        <w:rPr>
          <w:sz w:val="20"/>
          <w:szCs w:val="20"/>
          <w:color w:val="auto"/>
        </w:rPr>
      </w:pPr>
    </w:p>
    <w:p>
      <w:pPr>
        <w:jc w:val="both"/>
        <w:ind w:firstLine="320"/>
        <w:spacing w:after="0" w:line="254" w:lineRule="auto"/>
        <w:rPr>
          <w:sz w:val="20"/>
          <w:szCs w:val="20"/>
          <w:color w:val="auto"/>
        </w:rPr>
      </w:pPr>
      <w:r>
        <w:rPr>
          <w:rFonts w:ascii="Arial" w:cs="Arial" w:eastAsia="Arial" w:hAnsi="Arial"/>
          <w:sz w:val="18"/>
          <w:szCs w:val="18"/>
          <w:color w:val="auto"/>
        </w:rPr>
        <w:t>It is important that your shares be represented at the annual meeting, regardless of the number of shares you hold. Accordingly, please exercise your right to vote by following the instructions for voting contained in the Notice Regarding the Availability of Proxy Materials or the paper or electronic copy of our proxy materials you received for the meeting.</w:t>
      </w:r>
    </w:p>
    <w:p>
      <w:pPr>
        <w:spacing w:after="0" w:line="170"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Thank you for your continued support of our Company.</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Sincerely,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150495</wp:posOffset>
            </wp:positionV>
            <wp:extent cx="1219835" cy="4152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19835" cy="4152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BF2115"/>
        </w:rPr>
        <w:t>Richard M. Olson</w:t>
      </w:r>
    </w:p>
    <w:p>
      <w:pPr>
        <w:spacing w:after="0" w:line="11" w:lineRule="exact"/>
        <w:rPr>
          <w:sz w:val="20"/>
          <w:szCs w:val="20"/>
          <w:color w:val="auto"/>
        </w:rPr>
      </w:pPr>
    </w:p>
    <w:p>
      <w:pPr>
        <w:spacing w:after="0"/>
        <w:rPr>
          <w:sz w:val="20"/>
          <w:szCs w:val="20"/>
          <w:color w:val="auto"/>
        </w:rPr>
      </w:pPr>
      <w:r>
        <w:rPr>
          <w:rFonts w:ascii="Arial" w:cs="Arial" w:eastAsia="Arial" w:hAnsi="Arial"/>
          <w:sz w:val="18"/>
          <w:szCs w:val="18"/>
          <w:color w:val="auto"/>
        </w:rPr>
        <w:t>Chairman of the Board, President and CEO</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C00000"/>
        </w:rPr>
        <w:t>You can help us make a difference by eliminating paper proxy mailings. With your consent, we will provide all</w:t>
      </w:r>
    </w:p>
    <w:p>
      <w:pPr>
        <w:spacing w:after="0" w:line="24" w:lineRule="exact"/>
        <w:rPr>
          <w:sz w:val="20"/>
          <w:szCs w:val="20"/>
          <w:color w:val="auto"/>
        </w:rPr>
      </w:pPr>
    </w:p>
    <w:p>
      <w:pPr>
        <w:jc w:val="center"/>
        <w:ind w:left="340" w:right="780"/>
        <w:spacing w:after="0" w:line="243" w:lineRule="auto"/>
        <w:rPr>
          <w:sz w:val="20"/>
          <w:szCs w:val="20"/>
          <w:color w:val="auto"/>
        </w:rPr>
      </w:pPr>
      <w:r>
        <w:rPr>
          <w:rFonts w:ascii="Arial" w:cs="Arial" w:eastAsia="Arial" w:hAnsi="Arial"/>
          <w:sz w:val="18"/>
          <w:szCs w:val="18"/>
          <w:b w:val="1"/>
          <w:bCs w:val="1"/>
          <w:color w:val="C00000"/>
        </w:rPr>
        <w:t>future proxy materials electronically. Instructions for consenting to electronic delivery can be found on your proxy card or at www.proxyvote.com. Your consent to receive shareholder materials electronically will remain in effect until canceled.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79375</wp:posOffset>
            </wp:positionV>
            <wp:extent cx="715962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 w:name="page4"/>
    <w:bookmarkEnd w:id="3"/>
    <w:p>
      <w:pPr>
        <w:jc w:val="center"/>
        <w:spacing w:after="0"/>
        <w:rPr>
          <w:sz w:val="20"/>
          <w:szCs w:val="20"/>
          <w:color w:val="auto"/>
        </w:rPr>
      </w:pPr>
      <w:r>
        <w:rPr>
          <w:rFonts w:ascii="Arial" w:cs="Arial" w:eastAsia="Arial" w:hAnsi="Arial"/>
          <w:sz w:val="17"/>
          <w:szCs w:val="17"/>
          <w:color w:val="auto"/>
        </w:rPr>
        <w:t>[THIS PAGE INTENTIONALLY LEFT BLANK]</w:t>
      </w:r>
    </w:p>
    <w:p>
      <w:pPr>
        <w:sectPr>
          <w:pgSz w:w="11900" w:h="16838" w:orient="portrait"/>
          <w:cols w:equalWidth="0" w:num="1">
            <w:col w:w="9019"/>
          </w:cols>
          <w:pgMar w:left="1440" w:top="111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-718820</wp:posOffset>
            </wp:positionH>
            <wp:positionV relativeFrom="paragraph">
              <wp:posOffset>71120</wp:posOffset>
            </wp:positionV>
            <wp:extent cx="7159625"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9019"/>
          </w:cols>
          <w:pgMar w:left="1440" w:top="1110" w:right="1440" w:bottom="1440" w:gutter="0" w:footer="0" w:header="0"/>
          <w:type w:val="continuous"/>
        </w:sectPr>
      </w:pPr>
    </w:p>
    <w:bookmarkStart w:id="4" w:name="page5"/>
    <w:bookmarkEnd w:id="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715645</wp:posOffset>
            </wp:positionV>
            <wp:extent cx="4066540" cy="105918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clrChange>
                        <a:clrFrom>
                          <a:srgbClr val="FFFFFF"/>
                        </a:clrFrom>
                        <a:clrTo>
                          <a:srgbClr val="FFFFFF">
                            <a:alpha val="0"/>
                          </a:srgbClr>
                        </a:clrTo>
                      </a:clrChange>
                      <a:extLst>
                        <a:ext uri="{28A0092B-C50C-407E-A947-70E740481C1C}"/>
                      </a:extLst>
                    </a:blip>
                    <a:srcRect/>
                    <a:stretch>
                      <a:fillRect/>
                    </a:stretch>
                  </pic:blipFill>
                  <pic:spPr bwMode="auto">
                    <a:xfrm>
                      <a:off x="0" y="0"/>
                      <a:ext cx="4066540" cy="10591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20"/>
          <w:szCs w:val="20"/>
          <w:b w:val="1"/>
          <w:bCs w:val="1"/>
          <w:color w:val="BF2115"/>
        </w:rPr>
        <w:t>NOTICE OF 2025 ANNUAL MEETING OF SHAREHOLDERS</w:t>
      </w:r>
    </w:p>
    <w:p>
      <w:pPr>
        <w:spacing w:after="0" w:line="295" w:lineRule="exact"/>
        <w:rPr>
          <w:sz w:val="20"/>
          <w:szCs w:val="20"/>
          <w:color w:val="auto"/>
        </w:rPr>
      </w:pPr>
    </w:p>
    <w:p>
      <w:pPr>
        <w:ind w:left="20"/>
        <w:spacing w:after="0"/>
        <w:tabs>
          <w:tab w:leader="none" w:pos="1600" w:val="left"/>
        </w:tabs>
        <w:rPr>
          <w:sz w:val="20"/>
          <w:szCs w:val="20"/>
          <w:color w:val="auto"/>
        </w:rPr>
      </w:pPr>
      <w:r>
        <w:rPr>
          <w:rFonts w:ascii="Arial" w:cs="Arial" w:eastAsia="Arial" w:hAnsi="Arial"/>
          <w:sz w:val="18"/>
          <w:szCs w:val="18"/>
          <w:b w:val="1"/>
          <w:bCs w:val="1"/>
          <w:color w:val="auto"/>
        </w:rPr>
        <w:t>Date:</w:t>
      </w:r>
      <w:r>
        <w:rPr>
          <w:sz w:val="20"/>
          <w:szCs w:val="20"/>
          <w:color w:val="auto"/>
        </w:rPr>
        <w:tab/>
      </w:r>
      <w:r>
        <w:rPr>
          <w:rFonts w:ascii="Arial" w:cs="Arial" w:eastAsia="Arial" w:hAnsi="Arial"/>
          <w:sz w:val="18"/>
          <w:szCs w:val="18"/>
          <w:b w:val="1"/>
          <w:bCs w:val="1"/>
          <w:color w:val="C00000"/>
        </w:rPr>
        <w:t>Tuesday, March 18, 2025</w:t>
      </w:r>
    </w:p>
    <w:p>
      <w:pPr>
        <w:spacing w:after="0" w:line="47" w:lineRule="exact"/>
        <w:rPr>
          <w:sz w:val="20"/>
          <w:szCs w:val="20"/>
          <w:color w:val="auto"/>
        </w:rPr>
      </w:pPr>
    </w:p>
    <w:p>
      <w:pPr>
        <w:ind w:left="20"/>
        <w:spacing w:after="0"/>
        <w:tabs>
          <w:tab w:leader="none" w:pos="1600" w:val="left"/>
        </w:tabs>
        <w:rPr>
          <w:sz w:val="20"/>
          <w:szCs w:val="20"/>
          <w:color w:val="auto"/>
        </w:rPr>
      </w:pPr>
      <w:r>
        <w:rPr>
          <w:rFonts w:ascii="Arial" w:cs="Arial" w:eastAsia="Arial" w:hAnsi="Arial"/>
          <w:sz w:val="18"/>
          <w:szCs w:val="18"/>
          <w:b w:val="1"/>
          <w:bCs w:val="1"/>
          <w:color w:val="auto"/>
        </w:rPr>
        <w:t>Time:</w:t>
      </w:r>
      <w:r>
        <w:rPr>
          <w:sz w:val="20"/>
          <w:szCs w:val="20"/>
          <w:color w:val="auto"/>
        </w:rPr>
        <w:tab/>
      </w:r>
      <w:r>
        <w:rPr>
          <w:rFonts w:ascii="Arial" w:cs="Arial" w:eastAsia="Arial" w:hAnsi="Arial"/>
          <w:sz w:val="18"/>
          <w:szCs w:val="18"/>
          <w:b w:val="1"/>
          <w:bCs w:val="1"/>
          <w:color w:val="C00000"/>
        </w:rPr>
        <w:t>2:00 p.m., Central Daylight Time</w:t>
      </w:r>
    </w:p>
    <w:p>
      <w:pPr>
        <w:ind w:left="20"/>
        <w:spacing w:after="0" w:line="199" w:lineRule="auto"/>
        <w:tabs>
          <w:tab w:leader="none" w:pos="1600" w:val="left"/>
        </w:tabs>
        <w:rPr>
          <w:sz w:val="20"/>
          <w:szCs w:val="20"/>
          <w:color w:val="auto"/>
        </w:rPr>
      </w:pPr>
      <w:r>
        <w:rPr>
          <w:rFonts w:ascii="Arial" w:cs="Arial" w:eastAsia="Arial" w:hAnsi="Arial"/>
          <w:sz w:val="18"/>
          <w:szCs w:val="18"/>
          <w:b w:val="1"/>
          <w:bCs w:val="1"/>
          <w:color w:val="auto"/>
        </w:rPr>
        <w:t>Location:</w:t>
      </w:r>
      <w:r>
        <w:rPr>
          <w:sz w:val="20"/>
          <w:szCs w:val="20"/>
          <w:color w:val="auto"/>
        </w:rPr>
        <w:tab/>
      </w:r>
      <w:r>
        <w:rPr>
          <w:rFonts w:ascii="Arial" w:cs="Arial" w:eastAsia="Arial" w:hAnsi="Arial"/>
          <w:sz w:val="36"/>
          <w:szCs w:val="36"/>
          <w:b w:val="1"/>
          <w:bCs w:val="1"/>
          <w:color w:val="C00000"/>
          <w:vertAlign w:val="subscript"/>
        </w:rPr>
        <w:t>Virtual</w:t>
      </w:r>
    </w:p>
    <w:p>
      <w:pPr>
        <w:spacing w:after="0" w:line="12" w:lineRule="exact"/>
        <w:rPr>
          <w:sz w:val="20"/>
          <w:szCs w:val="20"/>
          <w:color w:val="auto"/>
        </w:rPr>
      </w:pPr>
    </w:p>
    <w:p>
      <w:pPr>
        <w:ind w:left="1620"/>
        <w:spacing w:after="0"/>
        <w:rPr>
          <w:sz w:val="20"/>
          <w:szCs w:val="20"/>
          <w:color w:val="auto"/>
        </w:rPr>
      </w:pPr>
      <w:r>
        <w:rPr>
          <w:rFonts w:ascii="Arial" w:cs="Arial" w:eastAsia="Arial" w:hAnsi="Arial"/>
          <w:sz w:val="18"/>
          <w:szCs w:val="18"/>
          <w:color w:val="C00000"/>
        </w:rPr>
        <w:t>www.virtualshareholdermeeting.com/TTC2025</w:t>
      </w:r>
    </w:p>
    <w:p>
      <w:pPr>
        <w:spacing w:after="0" w:line="380" w:lineRule="exact"/>
        <w:rPr>
          <w:sz w:val="20"/>
          <w:szCs w:val="20"/>
          <w:color w:val="auto"/>
        </w:rPr>
      </w:pPr>
    </w:p>
    <w:p>
      <w:pPr>
        <w:ind w:left="20"/>
        <w:spacing w:after="0"/>
        <w:tabs>
          <w:tab w:leader="none" w:pos="1600" w:val="left"/>
        </w:tabs>
        <w:rPr>
          <w:sz w:val="20"/>
          <w:szCs w:val="20"/>
          <w:color w:val="auto"/>
        </w:rPr>
      </w:pPr>
      <w:r>
        <w:rPr>
          <w:rFonts w:ascii="Arial" w:cs="Arial" w:eastAsia="Arial" w:hAnsi="Arial"/>
          <w:sz w:val="36"/>
          <w:szCs w:val="36"/>
          <w:b w:val="1"/>
          <w:bCs w:val="1"/>
          <w:color w:val="auto"/>
          <w:vertAlign w:val="superscript"/>
        </w:rPr>
        <w:t>Agenda:</w:t>
      </w:r>
      <w:r>
        <w:rPr>
          <w:sz w:val="20"/>
          <w:szCs w:val="20"/>
          <w:color w:val="auto"/>
        </w:rPr>
        <w:tab/>
      </w:r>
      <w:r>
        <w:rPr>
          <w:rFonts w:ascii="Arial" w:cs="Arial" w:eastAsia="Arial" w:hAnsi="Arial"/>
          <w:sz w:val="18"/>
          <w:szCs w:val="18"/>
          <w:color w:val="C00000"/>
        </w:rPr>
        <w:t xml:space="preserve">1. </w:t>
      </w:r>
      <w:r>
        <w:rPr>
          <w:rFonts w:ascii="Arial" w:cs="Arial" w:eastAsia="Arial" w:hAnsi="Arial"/>
          <w:sz w:val="18"/>
          <w:szCs w:val="18"/>
          <w:color w:val="000000"/>
        </w:rPr>
        <w:t>To elect as directors the four nominees named in the proxy statement: Jeffrey L. Harmening, Joyce A. Mullen, and</w:t>
      </w:r>
    </w:p>
    <w:p>
      <w:pPr>
        <w:spacing w:after="0" w:line="55" w:lineRule="exact"/>
        <w:rPr>
          <w:sz w:val="20"/>
          <w:szCs w:val="20"/>
          <w:color w:val="auto"/>
        </w:rPr>
      </w:pPr>
    </w:p>
    <w:p>
      <w:pPr>
        <w:ind w:left="1940" w:right="260"/>
        <w:spacing w:after="0" w:line="253" w:lineRule="auto"/>
        <w:rPr>
          <w:sz w:val="20"/>
          <w:szCs w:val="20"/>
          <w:color w:val="auto"/>
        </w:rPr>
      </w:pPr>
      <w:r>
        <w:rPr>
          <w:rFonts w:ascii="Arial" w:cs="Arial" w:eastAsia="Arial" w:hAnsi="Arial"/>
          <w:sz w:val="17"/>
          <w:szCs w:val="17"/>
          <w:color w:val="auto"/>
        </w:rPr>
        <w:t>James C. O'Rourke for a term of three years ending at the 2028 Annual Meeting of Shareholders; and to rebalance the classes of directors to achieve a more equal distribution of directors among classes, Richard M. Olson, for a</w:t>
      </w:r>
    </w:p>
    <w:p>
      <w:pPr>
        <w:spacing w:after="0" w:line="2" w:lineRule="exact"/>
        <w:rPr>
          <w:sz w:val="20"/>
          <w:szCs w:val="20"/>
          <w:color w:val="auto"/>
        </w:rPr>
      </w:pPr>
    </w:p>
    <w:p>
      <w:pPr>
        <w:ind w:left="1940"/>
        <w:spacing w:after="0"/>
        <w:rPr>
          <w:sz w:val="20"/>
          <w:szCs w:val="20"/>
          <w:color w:val="auto"/>
        </w:rPr>
      </w:pPr>
      <w:r>
        <w:rPr>
          <w:rFonts w:ascii="Arial" w:cs="Arial" w:eastAsia="Arial" w:hAnsi="Arial"/>
          <w:sz w:val="18"/>
          <w:szCs w:val="18"/>
          <w:color w:val="auto"/>
        </w:rPr>
        <w:t>term of two years ending at the 2027 Annual Meeting of Shareholders;</w:t>
      </w:r>
    </w:p>
    <w:p>
      <w:pPr>
        <w:spacing w:after="0" w:line="111" w:lineRule="exact"/>
        <w:rPr>
          <w:sz w:val="20"/>
          <w:szCs w:val="20"/>
          <w:color w:val="auto"/>
        </w:rPr>
      </w:pPr>
    </w:p>
    <w:p>
      <w:pPr>
        <w:ind w:left="1620"/>
        <w:spacing w:after="0"/>
        <w:rPr>
          <w:sz w:val="20"/>
          <w:szCs w:val="20"/>
          <w:color w:val="auto"/>
        </w:rPr>
      </w:pPr>
      <w:r>
        <w:rPr>
          <w:rFonts w:ascii="Arial" w:cs="Arial" w:eastAsia="Arial" w:hAnsi="Arial"/>
          <w:sz w:val="18"/>
          <w:szCs w:val="18"/>
          <w:color w:val="C00000"/>
        </w:rPr>
        <w:t xml:space="preserve">2. </w:t>
      </w:r>
      <w:r>
        <w:rPr>
          <w:rFonts w:ascii="Arial" w:cs="Arial" w:eastAsia="Arial" w:hAnsi="Arial"/>
          <w:sz w:val="18"/>
          <w:szCs w:val="18"/>
          <w:color w:val="000000"/>
        </w:rPr>
        <w:t>To ratify the selection of KPMG LLP as our independent registered public accounting firm for our fiscal year ending</w:t>
      </w:r>
    </w:p>
    <w:p>
      <w:pPr>
        <w:spacing w:after="0" w:line="9" w:lineRule="exact"/>
        <w:rPr>
          <w:sz w:val="20"/>
          <w:szCs w:val="20"/>
          <w:color w:val="auto"/>
        </w:rPr>
      </w:pPr>
    </w:p>
    <w:p>
      <w:pPr>
        <w:ind w:left="1940"/>
        <w:spacing w:after="0"/>
        <w:rPr>
          <w:sz w:val="20"/>
          <w:szCs w:val="20"/>
          <w:color w:val="auto"/>
        </w:rPr>
      </w:pPr>
      <w:r>
        <w:rPr>
          <w:rFonts w:ascii="Arial" w:cs="Arial" w:eastAsia="Arial" w:hAnsi="Arial"/>
          <w:sz w:val="18"/>
          <w:szCs w:val="18"/>
          <w:color w:val="auto"/>
        </w:rPr>
        <w:t>October 31, 2025;</w:t>
      </w:r>
    </w:p>
    <w:p>
      <w:pPr>
        <w:spacing w:after="0" w:line="111" w:lineRule="exact"/>
        <w:rPr>
          <w:sz w:val="20"/>
          <w:szCs w:val="20"/>
          <w:color w:val="auto"/>
        </w:rPr>
      </w:pPr>
    </w:p>
    <w:p>
      <w:pPr>
        <w:ind w:left="1620"/>
        <w:spacing w:after="0"/>
        <w:rPr>
          <w:sz w:val="20"/>
          <w:szCs w:val="20"/>
          <w:color w:val="auto"/>
        </w:rPr>
      </w:pPr>
      <w:r>
        <w:rPr>
          <w:rFonts w:ascii="Arial" w:cs="Arial" w:eastAsia="Arial" w:hAnsi="Arial"/>
          <w:sz w:val="18"/>
          <w:szCs w:val="18"/>
          <w:color w:val="C00000"/>
        </w:rPr>
        <w:t xml:space="preserve">3. </w:t>
      </w:r>
      <w:r>
        <w:rPr>
          <w:rFonts w:ascii="Arial" w:cs="Arial" w:eastAsia="Arial" w:hAnsi="Arial"/>
          <w:sz w:val="18"/>
          <w:szCs w:val="18"/>
          <w:color w:val="000000"/>
        </w:rPr>
        <w:t>To approve, on an advisory basis, our executive compensation; and</w:t>
      </w:r>
    </w:p>
    <w:p>
      <w:pPr>
        <w:spacing w:after="0" w:line="127" w:lineRule="exact"/>
        <w:rPr>
          <w:sz w:val="20"/>
          <w:szCs w:val="20"/>
          <w:color w:val="auto"/>
        </w:rPr>
      </w:pPr>
    </w:p>
    <w:p>
      <w:pPr>
        <w:ind w:left="1620"/>
        <w:spacing w:after="0"/>
        <w:rPr>
          <w:sz w:val="20"/>
          <w:szCs w:val="20"/>
          <w:color w:val="auto"/>
        </w:rPr>
      </w:pPr>
      <w:r>
        <w:rPr>
          <w:rFonts w:ascii="Arial" w:cs="Arial" w:eastAsia="Arial" w:hAnsi="Arial"/>
          <w:sz w:val="18"/>
          <w:szCs w:val="18"/>
          <w:color w:val="C00000"/>
        </w:rPr>
        <w:t xml:space="preserve">4. </w:t>
      </w:r>
      <w:r>
        <w:rPr>
          <w:rFonts w:ascii="Arial" w:cs="Arial" w:eastAsia="Arial" w:hAnsi="Arial"/>
          <w:sz w:val="18"/>
          <w:szCs w:val="18"/>
          <w:color w:val="000000"/>
        </w:rPr>
        <w:t>To transact any other business properly brought before the annual meeting or any adjournment or postponement of</w:t>
      </w:r>
    </w:p>
    <w:p>
      <w:pPr>
        <w:spacing w:after="0" w:line="9" w:lineRule="exact"/>
        <w:rPr>
          <w:sz w:val="20"/>
          <w:szCs w:val="20"/>
          <w:color w:val="auto"/>
        </w:rPr>
      </w:pPr>
    </w:p>
    <w:p>
      <w:pPr>
        <w:ind w:left="1940"/>
        <w:spacing w:after="0"/>
        <w:rPr>
          <w:sz w:val="20"/>
          <w:szCs w:val="20"/>
          <w:color w:val="auto"/>
        </w:rPr>
      </w:pPr>
      <w:r>
        <w:rPr>
          <w:rFonts w:ascii="Arial" w:cs="Arial" w:eastAsia="Arial" w:hAnsi="Arial"/>
          <w:sz w:val="18"/>
          <w:szCs w:val="18"/>
          <w:color w:val="auto"/>
        </w:rPr>
        <w:t>the annual meeting.</w:t>
      </w:r>
    </w:p>
    <w:p>
      <w:pPr>
        <w:spacing w:after="0" w:line="217" w:lineRule="exact"/>
        <w:rPr>
          <w:sz w:val="20"/>
          <w:szCs w:val="20"/>
          <w:color w:val="auto"/>
        </w:rPr>
      </w:pPr>
    </w:p>
    <w:p>
      <w:pPr>
        <w:jc w:val="both"/>
        <w:ind w:firstLine="320"/>
        <w:spacing w:after="0" w:line="266" w:lineRule="auto"/>
        <w:rPr>
          <w:sz w:val="20"/>
          <w:szCs w:val="20"/>
          <w:color w:val="auto"/>
        </w:rPr>
      </w:pPr>
      <w:r>
        <w:rPr>
          <w:rFonts w:ascii="Arial" w:cs="Arial" w:eastAsia="Arial" w:hAnsi="Arial"/>
          <w:sz w:val="17"/>
          <w:szCs w:val="17"/>
          <w:color w:val="auto"/>
        </w:rPr>
        <w:t>We currently are not aware of any other business to be brought before the annual meeting. Shareholders of record at the close of business on January 21, 2025, the record date, will be entitled to vote at the annual meeting or at any adjournment or postponement of the annual meeting. A shareholder list will be made available at our principal executive offices during ordinary business hours beginning March 7, 2025, for examination by any shareholder registered on our stock ledger as of the record date for any purpose germane to the annual meeting.</w:t>
      </w:r>
    </w:p>
    <w:p>
      <w:pPr>
        <w:spacing w:after="0" w:line="54" w:lineRule="exact"/>
        <w:rPr>
          <w:sz w:val="20"/>
          <w:szCs w:val="20"/>
          <w:color w:val="auto"/>
        </w:rPr>
      </w:pPr>
    </w:p>
    <w:p>
      <w:pPr>
        <w:jc w:val="both"/>
        <w:ind w:firstLine="320"/>
        <w:spacing w:after="0" w:line="266" w:lineRule="auto"/>
        <w:rPr>
          <w:sz w:val="20"/>
          <w:szCs w:val="20"/>
          <w:color w:val="auto"/>
        </w:rPr>
      </w:pPr>
      <w:r>
        <w:rPr>
          <w:rFonts w:ascii="Arial" w:cs="Arial" w:eastAsia="Arial" w:hAnsi="Arial"/>
          <w:sz w:val="17"/>
          <w:szCs w:val="17"/>
          <w:color w:val="auto"/>
        </w:rPr>
        <w:t>Your vote is important. A majority of the outstanding shares of our common stock must be present either by attending the virtual meeting or by proxy to constitute a quorum for the conduct of business. Please promptly vote your shares by following the instructions for voting contained in the Notice Regarding the Availability of Proxy Materials or, if you received a paper or electronic version of our proxy materials, by completing, signing, dating and returning your proxy card or by Internet, telephone or mobile device voting as described on your proxy card.</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color w:val="auto"/>
        </w:rPr>
        <w:t>February 4, 2025</w:t>
      </w:r>
    </w:p>
    <w:p>
      <w:pPr>
        <w:spacing w:after="0" w:line="153" w:lineRule="exact"/>
        <w:rPr>
          <w:sz w:val="20"/>
          <w:szCs w:val="20"/>
          <w:color w:val="auto"/>
        </w:rPr>
      </w:pPr>
    </w:p>
    <w:p>
      <w:pPr>
        <w:ind w:left="20"/>
        <w:spacing w:after="0"/>
        <w:rPr>
          <w:sz w:val="20"/>
          <w:szCs w:val="20"/>
          <w:color w:val="auto"/>
        </w:rPr>
      </w:pPr>
      <w:r>
        <w:rPr>
          <w:rFonts w:ascii="Arial" w:cs="Arial" w:eastAsia="Arial" w:hAnsi="Arial"/>
          <w:sz w:val="18"/>
          <w:szCs w:val="18"/>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23495</wp:posOffset>
            </wp:positionV>
            <wp:extent cx="1457325" cy="4660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457325" cy="4660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C00000"/>
        </w:rPr>
        <w:t>Joanna M. Totsky</w:t>
      </w:r>
    </w:p>
    <w:p>
      <w:pPr>
        <w:spacing w:after="0" w:line="11" w:lineRule="exact"/>
        <w:rPr>
          <w:sz w:val="20"/>
          <w:szCs w:val="20"/>
          <w:color w:val="auto"/>
        </w:rPr>
      </w:pPr>
    </w:p>
    <w:p>
      <w:pPr>
        <w:spacing w:after="0"/>
        <w:rPr>
          <w:sz w:val="20"/>
          <w:szCs w:val="20"/>
          <w:color w:val="auto"/>
        </w:rPr>
      </w:pPr>
      <w:r>
        <w:rPr>
          <w:rFonts w:ascii="Arial" w:cs="Arial" w:eastAsia="Arial" w:hAnsi="Arial"/>
          <w:sz w:val="18"/>
          <w:szCs w:val="18"/>
          <w:color w:val="auto"/>
        </w:rPr>
        <w:t>Vice President, General Counsel</w:t>
      </w:r>
    </w:p>
    <w:p>
      <w:pPr>
        <w:spacing w:after="0" w:line="6" w:lineRule="exact"/>
        <w:rPr>
          <w:sz w:val="20"/>
          <w:szCs w:val="20"/>
          <w:color w:val="auto"/>
        </w:rPr>
      </w:pPr>
    </w:p>
    <w:p>
      <w:pPr>
        <w:spacing w:after="0"/>
        <w:rPr>
          <w:sz w:val="20"/>
          <w:szCs w:val="20"/>
          <w:color w:val="auto"/>
        </w:rPr>
      </w:pPr>
      <w:r>
        <w:rPr>
          <w:rFonts w:ascii="Arial" w:cs="Arial" w:eastAsia="Arial" w:hAnsi="Arial"/>
          <w:sz w:val="18"/>
          <w:szCs w:val="18"/>
          <w:color w:val="auto"/>
        </w:rPr>
        <w:t>and Corporate Secretary</w:t>
      </w: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right="-19"/>
        <w:spacing w:after="0"/>
        <w:rPr>
          <w:sz w:val="20"/>
          <w:szCs w:val="20"/>
          <w:color w:val="auto"/>
        </w:rPr>
      </w:pPr>
      <w:r>
        <w:rPr>
          <w:rFonts w:ascii="Arial" w:cs="Arial" w:eastAsia="Arial" w:hAnsi="Arial"/>
          <w:sz w:val="21"/>
          <w:szCs w:val="21"/>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79375</wp:posOffset>
            </wp:positionV>
            <wp:extent cx="715962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5" w:name="page6"/>
    <w:bookmarkEnd w:id="5"/>
    <w:p>
      <w:pPr>
        <w:jc w:val="center"/>
        <w:ind w:right="-219"/>
        <w:spacing w:after="0"/>
        <w:rPr>
          <w:sz w:val="20"/>
          <w:szCs w:val="20"/>
          <w:color w:val="auto"/>
        </w:rPr>
      </w:pPr>
      <w:r>
        <w:rPr>
          <w:rFonts w:ascii="Arial" w:cs="Arial" w:eastAsia="Arial" w:hAnsi="Arial"/>
          <w:sz w:val="20"/>
          <w:szCs w:val="20"/>
          <w:b w:val="1"/>
          <w:bCs w:val="1"/>
          <w:color w:val="auto"/>
        </w:rPr>
        <w:t>TABLE OF CONTENTS</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10300" w:type="dxa"/>
            <w:vAlign w:val="bottom"/>
          </w:tcPr>
          <w:p>
            <w:pPr>
              <w:spacing w:after="0"/>
              <w:rPr>
                <w:sz w:val="20"/>
                <w:szCs w:val="20"/>
                <w:color w:val="auto"/>
              </w:rPr>
            </w:pPr>
            <w:r>
              <w:rPr>
                <w:rFonts w:ascii="Arial" w:cs="Arial" w:eastAsia="Arial" w:hAnsi="Arial"/>
                <w:sz w:val="18"/>
                <w:szCs w:val="18"/>
                <w:color w:val="BF2115"/>
              </w:rPr>
              <w:t>LETTER TO SHAREHOLDERS</w:t>
            </w:r>
          </w:p>
        </w:tc>
        <w:tc>
          <w:tcPr>
            <w:tcW w:w="680" w:type="dxa"/>
            <w:vAlign w:val="bottom"/>
          </w:tcPr>
          <w:p>
            <w:pPr>
              <w:jc w:val="right"/>
              <w:spacing w:after="0"/>
              <w:rPr>
                <w:sz w:val="20"/>
                <w:szCs w:val="20"/>
                <w:color w:val="auto"/>
              </w:rPr>
            </w:pPr>
            <w:r>
              <w:rPr>
                <w:rFonts w:ascii="Arial" w:cs="Arial" w:eastAsia="Arial" w:hAnsi="Arial"/>
                <w:sz w:val="18"/>
                <w:szCs w:val="18"/>
                <w:color w:val="auto"/>
              </w:rPr>
              <w:t>i</w:t>
            </w:r>
          </w:p>
        </w:tc>
        <w:tc>
          <w:tcPr>
            <w:tcW w:w="0" w:type="dxa"/>
            <w:vAlign w:val="bottom"/>
          </w:tcPr>
          <w:p>
            <w:pPr>
              <w:spacing w:after="0"/>
              <w:rPr>
                <w:sz w:val="1"/>
                <w:szCs w:val="1"/>
                <w:color w:val="auto"/>
              </w:rPr>
            </w:pPr>
          </w:p>
        </w:tc>
      </w:tr>
      <w:tr>
        <w:trPr>
          <w:trHeight w:val="254"/>
        </w:trPr>
        <w:tc>
          <w:tcPr>
            <w:tcW w:w="10300" w:type="dxa"/>
            <w:vAlign w:val="bottom"/>
          </w:tcPr>
          <w:p>
            <w:pPr>
              <w:spacing w:after="0"/>
              <w:rPr>
                <w:sz w:val="20"/>
                <w:szCs w:val="20"/>
                <w:color w:val="auto"/>
              </w:rPr>
            </w:pPr>
            <w:r>
              <w:rPr>
                <w:rFonts w:ascii="Arial" w:cs="Arial" w:eastAsia="Arial" w:hAnsi="Arial"/>
                <w:sz w:val="18"/>
                <w:szCs w:val="18"/>
                <w:color w:val="BF2115"/>
              </w:rPr>
              <w:t>NOTICE OF 2025 ANNUAL MEETING OF SHAREHOLDERS</w:t>
            </w:r>
          </w:p>
        </w:tc>
        <w:tc>
          <w:tcPr>
            <w:tcW w:w="680" w:type="dxa"/>
            <w:vAlign w:val="bottom"/>
          </w:tcPr>
          <w:p>
            <w:pPr>
              <w:jc w:val="right"/>
              <w:spacing w:after="0"/>
              <w:rPr>
                <w:sz w:val="20"/>
                <w:szCs w:val="20"/>
                <w:color w:val="auto"/>
              </w:rPr>
            </w:pPr>
            <w:r>
              <w:rPr>
                <w:rFonts w:ascii="Arial" w:cs="Arial" w:eastAsia="Arial" w:hAnsi="Arial"/>
                <w:sz w:val="18"/>
                <w:szCs w:val="18"/>
                <w:color w:val="auto"/>
              </w:rPr>
              <w:t>iii</w:t>
            </w:r>
          </w:p>
        </w:tc>
        <w:tc>
          <w:tcPr>
            <w:tcW w:w="0" w:type="dxa"/>
            <w:vAlign w:val="bottom"/>
          </w:tcPr>
          <w:p>
            <w:pPr>
              <w:spacing w:after="0"/>
              <w:rPr>
                <w:sz w:val="1"/>
                <w:szCs w:val="1"/>
                <w:color w:val="auto"/>
              </w:rPr>
            </w:pPr>
          </w:p>
        </w:tc>
      </w:tr>
      <w:tr>
        <w:trPr>
          <w:trHeight w:val="254"/>
        </w:trPr>
        <w:tc>
          <w:tcPr>
            <w:tcW w:w="10300" w:type="dxa"/>
            <w:vAlign w:val="bottom"/>
          </w:tcPr>
          <w:p>
            <w:pPr>
              <w:spacing w:after="0"/>
              <w:rPr>
                <w:sz w:val="20"/>
                <w:szCs w:val="20"/>
                <w:color w:val="auto"/>
              </w:rPr>
            </w:pPr>
            <w:r>
              <w:rPr>
                <w:rFonts w:ascii="Arial" w:cs="Arial" w:eastAsia="Arial" w:hAnsi="Arial"/>
                <w:sz w:val="18"/>
                <w:szCs w:val="18"/>
                <w:color w:val="BF2115"/>
              </w:rPr>
              <w:t>THE TORO COMPANY HIGHLIGHTS AND PROXY STATEMENT EXECUTIVE SUMMARY</w:t>
            </w:r>
          </w:p>
        </w:tc>
        <w:tc>
          <w:tcPr>
            <w:tcW w:w="680" w:type="dxa"/>
            <w:vAlign w:val="bottom"/>
          </w:tcPr>
          <w:p>
            <w:pPr>
              <w:jc w:val="right"/>
              <w:spacing w:after="0"/>
              <w:rPr>
                <w:sz w:val="20"/>
                <w:szCs w:val="20"/>
                <w:color w:val="auto"/>
              </w:rPr>
            </w:pPr>
            <w:r>
              <w:rPr>
                <w:rFonts w:ascii="Arial" w:cs="Arial" w:eastAsia="Arial" w:hAnsi="Arial"/>
                <w:sz w:val="18"/>
                <w:szCs w:val="18"/>
                <w:color w:val="auto"/>
              </w:rPr>
              <w:t>vii</w:t>
            </w:r>
          </w:p>
        </w:tc>
        <w:tc>
          <w:tcPr>
            <w:tcW w:w="0" w:type="dxa"/>
            <w:vAlign w:val="bottom"/>
          </w:tcPr>
          <w:p>
            <w:pPr>
              <w:spacing w:after="0"/>
              <w:rPr>
                <w:sz w:val="1"/>
                <w:szCs w:val="1"/>
                <w:color w:val="auto"/>
              </w:rPr>
            </w:pPr>
          </w:p>
        </w:tc>
      </w:tr>
      <w:tr>
        <w:trPr>
          <w:trHeight w:val="254"/>
        </w:trPr>
        <w:tc>
          <w:tcPr>
            <w:tcW w:w="10300" w:type="dxa"/>
            <w:vAlign w:val="bottom"/>
          </w:tcPr>
          <w:p>
            <w:pPr>
              <w:ind w:left="320"/>
              <w:spacing w:after="0"/>
              <w:rPr>
                <w:sz w:val="20"/>
                <w:szCs w:val="20"/>
                <w:color w:val="auto"/>
              </w:rPr>
            </w:pPr>
            <w:r>
              <w:rPr>
                <w:rFonts w:ascii="Arial" w:cs="Arial" w:eastAsia="Arial" w:hAnsi="Arial"/>
                <w:sz w:val="18"/>
                <w:szCs w:val="18"/>
                <w:color w:val="auto"/>
              </w:rPr>
              <w:t>Business Overview</w:t>
            </w:r>
          </w:p>
        </w:tc>
        <w:tc>
          <w:tcPr>
            <w:tcW w:w="680" w:type="dxa"/>
            <w:vAlign w:val="bottom"/>
          </w:tcPr>
          <w:p>
            <w:pPr>
              <w:jc w:val="right"/>
              <w:spacing w:after="0"/>
              <w:rPr>
                <w:sz w:val="20"/>
                <w:szCs w:val="20"/>
                <w:color w:val="auto"/>
              </w:rPr>
            </w:pPr>
            <w:r>
              <w:rPr>
                <w:rFonts w:ascii="Arial" w:cs="Arial" w:eastAsia="Arial" w:hAnsi="Arial"/>
                <w:sz w:val="18"/>
                <w:szCs w:val="18"/>
                <w:color w:val="auto"/>
              </w:rPr>
              <w:t>vii</w:t>
            </w:r>
          </w:p>
        </w:tc>
        <w:tc>
          <w:tcPr>
            <w:tcW w:w="0" w:type="dxa"/>
            <w:vAlign w:val="bottom"/>
          </w:tcPr>
          <w:p>
            <w:pPr>
              <w:spacing w:after="0"/>
              <w:rPr>
                <w:sz w:val="1"/>
                <w:szCs w:val="1"/>
                <w:color w:val="auto"/>
              </w:rPr>
            </w:pPr>
          </w:p>
        </w:tc>
      </w:tr>
      <w:tr>
        <w:trPr>
          <w:trHeight w:val="254"/>
        </w:trPr>
        <w:tc>
          <w:tcPr>
            <w:tcW w:w="10300" w:type="dxa"/>
            <w:vAlign w:val="bottom"/>
          </w:tcPr>
          <w:p>
            <w:pPr>
              <w:ind w:left="320"/>
              <w:spacing w:after="0"/>
              <w:rPr>
                <w:sz w:val="20"/>
                <w:szCs w:val="20"/>
                <w:color w:val="auto"/>
              </w:rPr>
            </w:pPr>
            <w:r>
              <w:rPr>
                <w:rFonts w:ascii="Arial" w:cs="Arial" w:eastAsia="Arial" w:hAnsi="Arial"/>
                <w:sz w:val="18"/>
                <w:szCs w:val="18"/>
                <w:color w:val="auto"/>
              </w:rPr>
              <w:t>Highlights of Our Financial, Operational and Strategic Achievements for Fiscal 2024</w:t>
            </w:r>
          </w:p>
        </w:tc>
        <w:tc>
          <w:tcPr>
            <w:tcW w:w="680" w:type="dxa"/>
            <w:vAlign w:val="bottom"/>
          </w:tcPr>
          <w:p>
            <w:pPr>
              <w:jc w:val="right"/>
              <w:spacing w:after="0"/>
              <w:rPr>
                <w:sz w:val="20"/>
                <w:szCs w:val="20"/>
                <w:color w:val="auto"/>
              </w:rPr>
            </w:pPr>
            <w:r>
              <w:rPr>
                <w:rFonts w:ascii="Arial" w:cs="Arial" w:eastAsia="Arial" w:hAnsi="Arial"/>
                <w:sz w:val="18"/>
                <w:szCs w:val="18"/>
                <w:color w:val="auto"/>
              </w:rPr>
              <w:t>vii</w:t>
            </w:r>
          </w:p>
        </w:tc>
        <w:tc>
          <w:tcPr>
            <w:tcW w:w="0" w:type="dxa"/>
            <w:vAlign w:val="bottom"/>
          </w:tcPr>
          <w:p>
            <w:pPr>
              <w:spacing w:after="0"/>
              <w:rPr>
                <w:sz w:val="1"/>
                <w:szCs w:val="1"/>
                <w:color w:val="auto"/>
              </w:rPr>
            </w:pPr>
          </w:p>
        </w:tc>
      </w:tr>
      <w:tr>
        <w:trPr>
          <w:trHeight w:val="254"/>
        </w:trPr>
        <w:tc>
          <w:tcPr>
            <w:tcW w:w="10300" w:type="dxa"/>
            <w:vAlign w:val="bottom"/>
          </w:tcPr>
          <w:p>
            <w:pPr>
              <w:ind w:left="320"/>
              <w:spacing w:after="0"/>
              <w:rPr>
                <w:sz w:val="20"/>
                <w:szCs w:val="20"/>
                <w:color w:val="auto"/>
              </w:rPr>
            </w:pPr>
            <w:r>
              <w:rPr>
                <w:rFonts w:ascii="Arial" w:cs="Arial" w:eastAsia="Arial" w:hAnsi="Arial"/>
                <w:sz w:val="18"/>
                <w:szCs w:val="18"/>
                <w:color w:val="auto"/>
              </w:rPr>
              <w:t>The Toro Company's Commitment to Sustainability</w:t>
            </w:r>
          </w:p>
        </w:tc>
        <w:tc>
          <w:tcPr>
            <w:tcW w:w="680" w:type="dxa"/>
            <w:vAlign w:val="bottom"/>
          </w:tcPr>
          <w:p>
            <w:pPr>
              <w:jc w:val="right"/>
              <w:spacing w:after="0"/>
              <w:rPr>
                <w:sz w:val="20"/>
                <w:szCs w:val="20"/>
                <w:color w:val="auto"/>
              </w:rPr>
            </w:pPr>
            <w:r>
              <w:rPr>
                <w:rFonts w:ascii="Arial" w:cs="Arial" w:eastAsia="Arial" w:hAnsi="Arial"/>
                <w:sz w:val="18"/>
                <w:szCs w:val="18"/>
                <w:color w:val="auto"/>
              </w:rPr>
              <w:t>viii</w:t>
            </w:r>
          </w:p>
        </w:tc>
        <w:tc>
          <w:tcPr>
            <w:tcW w:w="0" w:type="dxa"/>
            <w:vAlign w:val="bottom"/>
          </w:tcPr>
          <w:p>
            <w:pPr>
              <w:spacing w:after="0"/>
              <w:rPr>
                <w:sz w:val="1"/>
                <w:szCs w:val="1"/>
                <w:color w:val="auto"/>
              </w:rPr>
            </w:pPr>
          </w:p>
        </w:tc>
      </w:tr>
      <w:tr>
        <w:trPr>
          <w:trHeight w:val="254"/>
        </w:trPr>
        <w:tc>
          <w:tcPr>
            <w:tcW w:w="10300" w:type="dxa"/>
            <w:vAlign w:val="bottom"/>
          </w:tcPr>
          <w:p>
            <w:pPr>
              <w:ind w:left="320"/>
              <w:spacing w:after="0"/>
              <w:rPr>
                <w:sz w:val="20"/>
                <w:szCs w:val="20"/>
                <w:color w:val="auto"/>
              </w:rPr>
            </w:pPr>
            <w:r>
              <w:rPr>
                <w:rFonts w:ascii="Arial" w:cs="Arial" w:eastAsia="Arial" w:hAnsi="Arial"/>
                <w:sz w:val="18"/>
                <w:szCs w:val="18"/>
                <w:color w:val="auto"/>
              </w:rPr>
              <w:t>2025 Annual Meeting of Shareholders</w:t>
            </w:r>
          </w:p>
        </w:tc>
        <w:tc>
          <w:tcPr>
            <w:tcW w:w="680" w:type="dxa"/>
            <w:vAlign w:val="bottom"/>
          </w:tcPr>
          <w:p>
            <w:pPr>
              <w:jc w:val="right"/>
              <w:spacing w:after="0"/>
              <w:rPr>
                <w:sz w:val="20"/>
                <w:szCs w:val="20"/>
                <w:color w:val="auto"/>
              </w:rPr>
            </w:pPr>
            <w:r>
              <w:rPr>
                <w:rFonts w:ascii="Arial" w:cs="Arial" w:eastAsia="Arial" w:hAnsi="Arial"/>
                <w:sz w:val="18"/>
                <w:szCs w:val="18"/>
                <w:color w:val="auto"/>
              </w:rPr>
              <w:t>viii</w:t>
            </w:r>
          </w:p>
        </w:tc>
        <w:tc>
          <w:tcPr>
            <w:tcW w:w="0" w:type="dxa"/>
            <w:vAlign w:val="bottom"/>
          </w:tcPr>
          <w:p>
            <w:pPr>
              <w:spacing w:after="0"/>
              <w:rPr>
                <w:sz w:val="1"/>
                <w:szCs w:val="1"/>
                <w:color w:val="auto"/>
              </w:rPr>
            </w:pPr>
          </w:p>
        </w:tc>
      </w:tr>
      <w:tr>
        <w:trPr>
          <w:trHeight w:val="254"/>
        </w:trPr>
        <w:tc>
          <w:tcPr>
            <w:tcW w:w="10300" w:type="dxa"/>
            <w:vAlign w:val="bottom"/>
          </w:tcPr>
          <w:p>
            <w:pPr>
              <w:ind w:left="320"/>
              <w:spacing w:after="0"/>
              <w:rPr>
                <w:sz w:val="20"/>
                <w:szCs w:val="20"/>
                <w:color w:val="auto"/>
              </w:rPr>
            </w:pPr>
            <w:r>
              <w:rPr>
                <w:rFonts w:ascii="Arial" w:cs="Arial" w:eastAsia="Arial" w:hAnsi="Arial"/>
                <w:sz w:val="18"/>
                <w:szCs w:val="18"/>
                <w:color w:val="auto"/>
              </w:rPr>
              <w:t>Meeting Agenda, Voting Matters and Recommendations</w:t>
            </w:r>
          </w:p>
        </w:tc>
        <w:tc>
          <w:tcPr>
            <w:tcW w:w="680" w:type="dxa"/>
            <w:vAlign w:val="bottom"/>
          </w:tcPr>
          <w:p>
            <w:pPr>
              <w:jc w:val="right"/>
              <w:spacing w:after="0"/>
              <w:rPr>
                <w:sz w:val="20"/>
                <w:szCs w:val="20"/>
                <w:color w:val="auto"/>
              </w:rPr>
            </w:pPr>
            <w:r>
              <w:rPr>
                <w:rFonts w:ascii="Arial" w:cs="Arial" w:eastAsia="Arial" w:hAnsi="Arial"/>
                <w:sz w:val="18"/>
                <w:szCs w:val="18"/>
                <w:color w:val="auto"/>
              </w:rPr>
              <w:t>viii</w:t>
            </w:r>
          </w:p>
        </w:tc>
        <w:tc>
          <w:tcPr>
            <w:tcW w:w="0" w:type="dxa"/>
            <w:vAlign w:val="bottom"/>
          </w:tcPr>
          <w:p>
            <w:pPr>
              <w:spacing w:after="0"/>
              <w:rPr>
                <w:sz w:val="1"/>
                <w:szCs w:val="1"/>
                <w:color w:val="auto"/>
              </w:rPr>
            </w:pPr>
          </w:p>
        </w:tc>
      </w:tr>
      <w:tr>
        <w:trPr>
          <w:trHeight w:val="254"/>
        </w:trPr>
        <w:tc>
          <w:tcPr>
            <w:tcW w:w="10300" w:type="dxa"/>
            <w:vAlign w:val="bottom"/>
          </w:tcPr>
          <w:p>
            <w:pPr>
              <w:ind w:left="320"/>
              <w:spacing w:after="0"/>
              <w:rPr>
                <w:sz w:val="20"/>
                <w:szCs w:val="20"/>
                <w:color w:val="auto"/>
              </w:rPr>
            </w:pPr>
            <w:r>
              <w:rPr>
                <w:rFonts w:ascii="Arial" w:cs="Arial" w:eastAsia="Arial" w:hAnsi="Arial"/>
                <w:sz w:val="18"/>
                <w:szCs w:val="18"/>
                <w:color w:val="auto"/>
              </w:rPr>
              <w:t>How to Cast Your Vote</w:t>
            </w:r>
          </w:p>
        </w:tc>
        <w:tc>
          <w:tcPr>
            <w:tcW w:w="680" w:type="dxa"/>
            <w:vAlign w:val="bottom"/>
          </w:tcPr>
          <w:p>
            <w:pPr>
              <w:jc w:val="right"/>
              <w:spacing w:after="0"/>
              <w:rPr>
                <w:sz w:val="20"/>
                <w:szCs w:val="20"/>
                <w:color w:val="auto"/>
              </w:rPr>
            </w:pPr>
            <w:r>
              <w:rPr>
                <w:rFonts w:ascii="Arial" w:cs="Arial" w:eastAsia="Arial" w:hAnsi="Arial"/>
                <w:sz w:val="18"/>
                <w:szCs w:val="18"/>
                <w:color w:val="auto"/>
              </w:rPr>
              <w:t>ix</w:t>
            </w:r>
          </w:p>
        </w:tc>
        <w:tc>
          <w:tcPr>
            <w:tcW w:w="0" w:type="dxa"/>
            <w:vAlign w:val="bottom"/>
          </w:tcPr>
          <w:p>
            <w:pPr>
              <w:spacing w:after="0"/>
              <w:rPr>
                <w:sz w:val="1"/>
                <w:szCs w:val="1"/>
                <w:color w:val="auto"/>
              </w:rPr>
            </w:pPr>
          </w:p>
        </w:tc>
      </w:tr>
      <w:tr>
        <w:trPr>
          <w:trHeight w:val="240"/>
        </w:trPr>
        <w:tc>
          <w:tcPr>
            <w:tcW w:w="10300" w:type="dxa"/>
            <w:vAlign w:val="bottom"/>
          </w:tcPr>
          <w:p>
            <w:pPr>
              <w:ind w:left="320"/>
              <w:spacing w:after="0"/>
              <w:rPr>
                <w:sz w:val="20"/>
                <w:szCs w:val="20"/>
                <w:color w:val="auto"/>
              </w:rPr>
            </w:pPr>
            <w:r>
              <w:rPr>
                <w:rFonts w:ascii="Arial" w:cs="Arial" w:eastAsia="Arial" w:hAnsi="Arial"/>
                <w:sz w:val="18"/>
                <w:szCs w:val="18"/>
                <w:color w:val="auto"/>
              </w:rPr>
              <w:t>Corporate Governance Highlights</w:t>
            </w:r>
          </w:p>
        </w:tc>
        <w:tc>
          <w:tcPr>
            <w:tcW w:w="680" w:type="dxa"/>
            <w:vAlign w:val="bottom"/>
          </w:tcPr>
          <w:p>
            <w:pPr>
              <w:jc w:val="right"/>
              <w:spacing w:after="0"/>
              <w:rPr>
                <w:sz w:val="20"/>
                <w:szCs w:val="20"/>
                <w:color w:val="auto"/>
              </w:rPr>
            </w:pPr>
            <w:r>
              <w:rPr>
                <w:rFonts w:ascii="Arial" w:cs="Arial" w:eastAsia="Arial" w:hAnsi="Arial"/>
                <w:sz w:val="18"/>
                <w:szCs w:val="18"/>
                <w:color w:val="auto"/>
              </w:rPr>
              <w:t>ix</w:t>
            </w:r>
          </w:p>
        </w:tc>
        <w:tc>
          <w:tcPr>
            <w:tcW w:w="0" w:type="dxa"/>
            <w:vAlign w:val="bottom"/>
          </w:tcPr>
          <w:p>
            <w:pPr>
              <w:spacing w:after="0"/>
              <w:rPr>
                <w:sz w:val="1"/>
                <w:szCs w:val="1"/>
                <w:color w:val="auto"/>
              </w:rPr>
            </w:pPr>
          </w:p>
        </w:tc>
      </w:tr>
      <w:tr>
        <w:trPr>
          <w:trHeight w:val="267"/>
        </w:trPr>
        <w:tc>
          <w:tcPr>
            <w:tcW w:w="10300" w:type="dxa"/>
            <w:vAlign w:val="bottom"/>
          </w:tcPr>
          <w:p>
            <w:pPr>
              <w:ind w:left="320"/>
              <w:spacing w:after="0"/>
              <w:rPr>
                <w:sz w:val="20"/>
                <w:szCs w:val="20"/>
                <w:color w:val="auto"/>
              </w:rPr>
            </w:pPr>
            <w:r>
              <w:rPr>
                <w:rFonts w:ascii="Arial" w:cs="Arial" w:eastAsia="Arial" w:hAnsi="Arial"/>
                <w:sz w:val="18"/>
                <w:szCs w:val="18"/>
                <w:color w:val="auto"/>
              </w:rPr>
              <w:t>Information About our Board of Directors</w:t>
            </w:r>
          </w:p>
        </w:tc>
        <w:tc>
          <w:tcPr>
            <w:tcW w:w="680" w:type="dxa"/>
            <w:vAlign w:val="bottom"/>
          </w:tcPr>
          <w:p>
            <w:pPr>
              <w:jc w:val="right"/>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254"/>
        </w:trPr>
        <w:tc>
          <w:tcPr>
            <w:tcW w:w="10300" w:type="dxa"/>
            <w:vAlign w:val="bottom"/>
          </w:tcPr>
          <w:p>
            <w:pPr>
              <w:ind w:left="320"/>
              <w:spacing w:after="0"/>
              <w:rPr>
                <w:sz w:val="20"/>
                <w:szCs w:val="20"/>
                <w:color w:val="auto"/>
              </w:rPr>
            </w:pPr>
            <w:r>
              <w:rPr>
                <w:rFonts w:ascii="Arial" w:cs="Arial" w:eastAsia="Arial" w:hAnsi="Arial"/>
                <w:sz w:val="18"/>
                <w:szCs w:val="18"/>
                <w:color w:val="auto"/>
              </w:rPr>
              <w:t>Executive Compensation</w:t>
            </w:r>
          </w:p>
        </w:tc>
        <w:tc>
          <w:tcPr>
            <w:tcW w:w="680" w:type="dxa"/>
            <w:vAlign w:val="bottom"/>
          </w:tcPr>
          <w:p>
            <w:pPr>
              <w:jc w:val="right"/>
              <w:spacing w:after="0"/>
              <w:rPr>
                <w:sz w:val="20"/>
                <w:szCs w:val="20"/>
                <w:color w:val="auto"/>
              </w:rPr>
            </w:pPr>
            <w:r>
              <w:rPr>
                <w:rFonts w:ascii="Arial" w:cs="Arial" w:eastAsia="Arial" w:hAnsi="Arial"/>
                <w:sz w:val="18"/>
                <w:szCs w:val="18"/>
                <w:color w:val="auto"/>
              </w:rPr>
              <w:t>xi</w:t>
            </w:r>
          </w:p>
        </w:tc>
        <w:tc>
          <w:tcPr>
            <w:tcW w:w="0" w:type="dxa"/>
            <w:vAlign w:val="bottom"/>
          </w:tcPr>
          <w:p>
            <w:pPr>
              <w:spacing w:after="0"/>
              <w:rPr>
                <w:sz w:val="1"/>
                <w:szCs w:val="1"/>
                <w:color w:val="auto"/>
              </w:rPr>
            </w:pPr>
          </w:p>
        </w:tc>
      </w:tr>
      <w:tr>
        <w:trPr>
          <w:trHeight w:val="254"/>
        </w:trPr>
        <w:tc>
          <w:tcPr>
            <w:tcW w:w="10300" w:type="dxa"/>
            <w:vAlign w:val="bottom"/>
          </w:tcPr>
          <w:p>
            <w:pPr>
              <w:ind w:left="320"/>
              <w:spacing w:after="0"/>
              <w:rPr>
                <w:sz w:val="20"/>
                <w:szCs w:val="20"/>
                <w:color w:val="auto"/>
              </w:rPr>
            </w:pPr>
            <w:r>
              <w:rPr>
                <w:rFonts w:ascii="Arial" w:cs="Arial" w:eastAsia="Arial" w:hAnsi="Arial"/>
                <w:sz w:val="18"/>
                <w:szCs w:val="18"/>
                <w:color w:val="auto"/>
              </w:rPr>
              <w:t>Fiscal 2024 Executive Compensation Summary</w:t>
            </w:r>
          </w:p>
        </w:tc>
        <w:tc>
          <w:tcPr>
            <w:tcW w:w="680" w:type="dxa"/>
            <w:vAlign w:val="bottom"/>
          </w:tcPr>
          <w:p>
            <w:pPr>
              <w:jc w:val="right"/>
              <w:spacing w:after="0"/>
              <w:rPr>
                <w:sz w:val="20"/>
                <w:szCs w:val="20"/>
                <w:color w:val="auto"/>
              </w:rPr>
            </w:pPr>
            <w:r>
              <w:rPr>
                <w:rFonts w:ascii="Arial" w:cs="Arial" w:eastAsia="Arial" w:hAnsi="Arial"/>
                <w:sz w:val="18"/>
                <w:szCs w:val="18"/>
                <w:color w:val="auto"/>
              </w:rPr>
              <w:t>xi</w:t>
            </w:r>
          </w:p>
        </w:tc>
        <w:tc>
          <w:tcPr>
            <w:tcW w:w="0" w:type="dxa"/>
            <w:vAlign w:val="bottom"/>
          </w:tcPr>
          <w:p>
            <w:pPr>
              <w:spacing w:after="0"/>
              <w:rPr>
                <w:sz w:val="1"/>
                <w:szCs w:val="1"/>
                <w:color w:val="auto"/>
              </w:rPr>
            </w:pPr>
          </w:p>
        </w:tc>
      </w:tr>
      <w:tr>
        <w:trPr>
          <w:trHeight w:val="254"/>
        </w:trPr>
        <w:tc>
          <w:tcPr>
            <w:tcW w:w="10300" w:type="dxa"/>
            <w:vAlign w:val="bottom"/>
          </w:tcPr>
          <w:p>
            <w:pPr>
              <w:spacing w:after="0"/>
              <w:rPr>
                <w:sz w:val="20"/>
                <w:szCs w:val="20"/>
                <w:color w:val="auto"/>
              </w:rPr>
            </w:pPr>
            <w:r>
              <w:rPr>
                <w:rFonts w:ascii="Arial" w:cs="Arial" w:eastAsia="Arial" w:hAnsi="Arial"/>
                <w:sz w:val="18"/>
                <w:szCs w:val="18"/>
                <w:color w:val="BF2115"/>
              </w:rPr>
              <w:t>PROXY STATEMENT</w:t>
            </w:r>
          </w:p>
        </w:tc>
        <w:tc>
          <w:tcPr>
            <w:tcW w:w="68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47"/>
        </w:trPr>
        <w:tc>
          <w:tcPr>
            <w:tcW w:w="10300" w:type="dxa"/>
            <w:vAlign w:val="bottom"/>
          </w:tcPr>
          <w:p>
            <w:pPr>
              <w:spacing w:after="0"/>
              <w:rPr>
                <w:sz w:val="20"/>
                <w:szCs w:val="20"/>
                <w:color w:val="auto"/>
              </w:rPr>
            </w:pPr>
            <w:r>
              <w:rPr>
                <w:rFonts w:ascii="Arial" w:cs="Arial" w:eastAsia="Arial" w:hAnsi="Arial"/>
                <w:sz w:val="18"/>
                <w:szCs w:val="18"/>
                <w:color w:val="BF2115"/>
              </w:rPr>
              <w:t>GENERAL INFORMATION ABOUT THE 2025 ANNUAL MEETING AND VOTING</w:t>
            </w:r>
          </w:p>
        </w:tc>
        <w:tc>
          <w:tcPr>
            <w:tcW w:w="68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177"/>
        </w:trPr>
        <w:tc>
          <w:tcPr>
            <w:tcW w:w="10300" w:type="dxa"/>
            <w:vAlign w:val="bottom"/>
          </w:tcPr>
          <w:p>
            <w:pPr>
              <w:ind w:left="320"/>
              <w:spacing w:after="0" w:line="177" w:lineRule="exact"/>
              <w:rPr>
                <w:sz w:val="20"/>
                <w:szCs w:val="20"/>
                <w:color w:val="auto"/>
              </w:rPr>
            </w:pPr>
            <w:r>
              <w:rPr>
                <w:rFonts w:ascii="Arial" w:cs="Arial" w:eastAsia="Arial" w:hAnsi="Arial"/>
                <w:sz w:val="18"/>
                <w:szCs w:val="18"/>
                <w:color w:val="auto"/>
              </w:rPr>
              <w:t>Important Notice Regarding the Availability of Proxy Materials for the Shareholder Meeting to Be Held on Tuesday, March</w:t>
            </w:r>
          </w:p>
        </w:tc>
        <w:tc>
          <w:tcPr>
            <w:tcW w:w="680" w:type="dxa"/>
            <w:vAlign w:val="bottom"/>
            <w:vMerge w:val="restart"/>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33"/>
        </w:trPr>
        <w:tc>
          <w:tcPr>
            <w:tcW w:w="10300" w:type="dxa"/>
            <w:vAlign w:val="bottom"/>
          </w:tcPr>
          <w:p>
            <w:pPr>
              <w:ind w:left="480"/>
              <w:spacing w:after="0"/>
              <w:rPr>
                <w:sz w:val="20"/>
                <w:szCs w:val="20"/>
                <w:color w:val="auto"/>
              </w:rPr>
            </w:pPr>
            <w:r>
              <w:rPr>
                <w:rFonts w:ascii="Arial" w:cs="Arial" w:eastAsia="Arial" w:hAnsi="Arial"/>
                <w:sz w:val="18"/>
                <w:szCs w:val="18"/>
                <w:color w:val="auto"/>
              </w:rPr>
              <w:t>18, 2025</w:t>
            </w:r>
          </w:p>
        </w:tc>
        <w:tc>
          <w:tcPr>
            <w:tcW w:w="68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63"/>
        </w:trPr>
        <w:tc>
          <w:tcPr>
            <w:tcW w:w="10300" w:type="dxa"/>
            <w:vAlign w:val="bottom"/>
          </w:tcPr>
          <w:p>
            <w:pPr>
              <w:ind w:left="320"/>
              <w:spacing w:after="0"/>
              <w:rPr>
                <w:sz w:val="20"/>
                <w:szCs w:val="20"/>
                <w:color w:val="auto"/>
              </w:rPr>
            </w:pPr>
            <w:r>
              <w:rPr>
                <w:rFonts w:ascii="Arial" w:cs="Arial" w:eastAsia="Arial" w:hAnsi="Arial"/>
                <w:sz w:val="18"/>
                <w:szCs w:val="18"/>
                <w:color w:val="auto"/>
              </w:rPr>
              <w:t>When and Where Will the Annual Meeting Be Held?</w:t>
            </w:r>
          </w:p>
        </w:tc>
        <w:tc>
          <w:tcPr>
            <w:tcW w:w="68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54"/>
        </w:trPr>
        <w:tc>
          <w:tcPr>
            <w:tcW w:w="10300" w:type="dxa"/>
            <w:vAlign w:val="bottom"/>
          </w:tcPr>
          <w:p>
            <w:pPr>
              <w:ind w:left="320"/>
              <w:spacing w:after="0"/>
              <w:rPr>
                <w:sz w:val="20"/>
                <w:szCs w:val="20"/>
                <w:color w:val="auto"/>
              </w:rPr>
            </w:pPr>
            <w:r>
              <w:rPr>
                <w:rFonts w:ascii="Arial" w:cs="Arial" w:eastAsia="Arial" w:hAnsi="Arial"/>
                <w:sz w:val="18"/>
                <w:szCs w:val="18"/>
                <w:color w:val="auto"/>
              </w:rPr>
              <w:t>Why is the Annual Meeting Being Held Virtually?</w:t>
            </w:r>
          </w:p>
        </w:tc>
        <w:tc>
          <w:tcPr>
            <w:tcW w:w="68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54"/>
        </w:trPr>
        <w:tc>
          <w:tcPr>
            <w:tcW w:w="10300" w:type="dxa"/>
            <w:vAlign w:val="bottom"/>
          </w:tcPr>
          <w:p>
            <w:pPr>
              <w:ind w:left="320"/>
              <w:spacing w:after="0"/>
              <w:rPr>
                <w:sz w:val="20"/>
                <w:szCs w:val="20"/>
                <w:color w:val="auto"/>
              </w:rPr>
            </w:pPr>
            <w:r>
              <w:rPr>
                <w:rFonts w:ascii="Arial" w:cs="Arial" w:eastAsia="Arial" w:hAnsi="Arial"/>
                <w:sz w:val="18"/>
                <w:szCs w:val="18"/>
                <w:color w:val="auto"/>
              </w:rPr>
              <w:t>How Can I Attend the Virtual Annual Meeting?</w:t>
            </w:r>
          </w:p>
        </w:tc>
        <w:tc>
          <w:tcPr>
            <w:tcW w:w="68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54"/>
        </w:trPr>
        <w:tc>
          <w:tcPr>
            <w:tcW w:w="10300" w:type="dxa"/>
            <w:vAlign w:val="bottom"/>
          </w:tcPr>
          <w:p>
            <w:pPr>
              <w:ind w:left="320"/>
              <w:spacing w:after="0"/>
              <w:rPr>
                <w:sz w:val="20"/>
                <w:szCs w:val="20"/>
                <w:color w:val="auto"/>
              </w:rPr>
            </w:pPr>
            <w:r>
              <w:rPr>
                <w:rFonts w:ascii="Arial" w:cs="Arial" w:eastAsia="Arial" w:hAnsi="Arial"/>
                <w:sz w:val="18"/>
                <w:szCs w:val="18"/>
                <w:color w:val="auto"/>
              </w:rPr>
              <w:t>What Are the Purposes of the Annual Meeting?</w:t>
            </w:r>
          </w:p>
        </w:tc>
        <w:tc>
          <w:tcPr>
            <w:tcW w:w="68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54"/>
        </w:trPr>
        <w:tc>
          <w:tcPr>
            <w:tcW w:w="10300" w:type="dxa"/>
            <w:vAlign w:val="bottom"/>
          </w:tcPr>
          <w:p>
            <w:pPr>
              <w:ind w:left="320"/>
              <w:spacing w:after="0"/>
              <w:rPr>
                <w:sz w:val="20"/>
                <w:szCs w:val="20"/>
                <w:color w:val="auto"/>
              </w:rPr>
            </w:pPr>
            <w:r>
              <w:rPr>
                <w:rFonts w:ascii="Arial" w:cs="Arial" w:eastAsia="Arial" w:hAnsi="Arial"/>
                <w:sz w:val="18"/>
                <w:szCs w:val="18"/>
                <w:color w:val="auto"/>
              </w:rPr>
              <w:t>Are There Any Matters To Be Voted On at the Annual Meeting that Are Not Included in this Proxy Statement?</w:t>
            </w:r>
          </w:p>
        </w:tc>
        <w:tc>
          <w:tcPr>
            <w:tcW w:w="680" w:type="dxa"/>
            <w:vAlign w:val="bottom"/>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54"/>
        </w:trPr>
        <w:tc>
          <w:tcPr>
            <w:tcW w:w="10300" w:type="dxa"/>
            <w:vAlign w:val="bottom"/>
          </w:tcPr>
          <w:p>
            <w:pPr>
              <w:ind w:left="320"/>
              <w:spacing w:after="0"/>
              <w:rPr>
                <w:sz w:val="20"/>
                <w:szCs w:val="20"/>
                <w:color w:val="auto"/>
              </w:rPr>
            </w:pPr>
            <w:r>
              <w:rPr>
                <w:rFonts w:ascii="Arial" w:cs="Arial" w:eastAsia="Arial" w:hAnsi="Arial"/>
                <w:sz w:val="18"/>
                <w:szCs w:val="18"/>
                <w:color w:val="auto"/>
              </w:rPr>
              <w:t>Who Is Entitled to Vote and How Many Shares Must Be Present to Hold the Annual Meeting?</w:t>
            </w:r>
          </w:p>
        </w:tc>
        <w:tc>
          <w:tcPr>
            <w:tcW w:w="680" w:type="dxa"/>
            <w:vAlign w:val="bottom"/>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54"/>
        </w:trPr>
        <w:tc>
          <w:tcPr>
            <w:tcW w:w="10300" w:type="dxa"/>
            <w:vAlign w:val="bottom"/>
          </w:tcPr>
          <w:p>
            <w:pPr>
              <w:ind w:left="320"/>
              <w:spacing w:after="0"/>
              <w:rPr>
                <w:sz w:val="20"/>
                <w:szCs w:val="20"/>
                <w:color w:val="auto"/>
              </w:rPr>
            </w:pPr>
            <w:r>
              <w:rPr>
                <w:rFonts w:ascii="Arial" w:cs="Arial" w:eastAsia="Arial" w:hAnsi="Arial"/>
                <w:sz w:val="18"/>
                <w:szCs w:val="18"/>
                <w:color w:val="auto"/>
              </w:rPr>
              <w:t>How Do I Vote My Shares?</w:t>
            </w:r>
          </w:p>
        </w:tc>
        <w:tc>
          <w:tcPr>
            <w:tcW w:w="680" w:type="dxa"/>
            <w:vAlign w:val="bottom"/>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54"/>
        </w:trPr>
        <w:tc>
          <w:tcPr>
            <w:tcW w:w="10300" w:type="dxa"/>
            <w:vAlign w:val="bottom"/>
          </w:tcPr>
          <w:p>
            <w:pPr>
              <w:ind w:left="320"/>
              <w:spacing w:after="0"/>
              <w:rPr>
                <w:sz w:val="20"/>
                <w:szCs w:val="20"/>
                <w:color w:val="auto"/>
              </w:rPr>
            </w:pPr>
            <w:r>
              <w:rPr>
                <w:rFonts w:ascii="Arial" w:cs="Arial" w:eastAsia="Arial" w:hAnsi="Arial"/>
                <w:sz w:val="18"/>
                <w:szCs w:val="18"/>
                <w:color w:val="auto"/>
              </w:rPr>
              <w:t>How Does the Board Recommend that I Vote and What Vote is Required for Each Proposal?</w:t>
            </w:r>
          </w:p>
        </w:tc>
        <w:tc>
          <w:tcPr>
            <w:tcW w:w="68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54"/>
        </w:trPr>
        <w:tc>
          <w:tcPr>
            <w:tcW w:w="10300" w:type="dxa"/>
            <w:vAlign w:val="bottom"/>
          </w:tcPr>
          <w:p>
            <w:pPr>
              <w:ind w:left="320"/>
              <w:spacing w:after="0"/>
              <w:rPr>
                <w:sz w:val="20"/>
                <w:szCs w:val="20"/>
                <w:color w:val="auto"/>
              </w:rPr>
            </w:pPr>
            <w:r>
              <w:rPr>
                <w:rFonts w:ascii="Arial" w:cs="Arial" w:eastAsia="Arial" w:hAnsi="Arial"/>
                <w:sz w:val="18"/>
                <w:szCs w:val="18"/>
                <w:color w:val="auto"/>
              </w:rPr>
              <w:t>How Will My Shares Be Voted?</w:t>
            </w:r>
          </w:p>
        </w:tc>
        <w:tc>
          <w:tcPr>
            <w:tcW w:w="68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54"/>
        </w:trPr>
        <w:tc>
          <w:tcPr>
            <w:tcW w:w="10300" w:type="dxa"/>
            <w:vAlign w:val="bottom"/>
          </w:tcPr>
          <w:p>
            <w:pPr>
              <w:ind w:left="320"/>
              <w:spacing w:after="0"/>
              <w:rPr>
                <w:sz w:val="20"/>
                <w:szCs w:val="20"/>
                <w:color w:val="auto"/>
              </w:rPr>
            </w:pPr>
            <w:r>
              <w:rPr>
                <w:rFonts w:ascii="Arial" w:cs="Arial" w:eastAsia="Arial" w:hAnsi="Arial"/>
                <w:sz w:val="18"/>
                <w:szCs w:val="18"/>
                <w:color w:val="auto"/>
              </w:rPr>
              <w:t>What Does It Mean If I Receive More Than One Notice or Set of Proxy Materials?</w:t>
            </w:r>
          </w:p>
        </w:tc>
        <w:tc>
          <w:tcPr>
            <w:tcW w:w="680" w:type="dxa"/>
            <w:vAlign w:val="bottom"/>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54"/>
        </w:trPr>
        <w:tc>
          <w:tcPr>
            <w:tcW w:w="10300" w:type="dxa"/>
            <w:vAlign w:val="bottom"/>
          </w:tcPr>
          <w:p>
            <w:pPr>
              <w:ind w:left="320"/>
              <w:spacing w:after="0"/>
              <w:rPr>
                <w:sz w:val="20"/>
                <w:szCs w:val="20"/>
                <w:color w:val="auto"/>
              </w:rPr>
            </w:pPr>
            <w:r>
              <w:rPr>
                <w:rFonts w:ascii="Arial" w:cs="Arial" w:eastAsia="Arial" w:hAnsi="Arial"/>
                <w:sz w:val="18"/>
                <w:szCs w:val="18"/>
                <w:color w:val="auto"/>
              </w:rPr>
              <w:t>How Can I Revoke or Change My Vote?</w:t>
            </w:r>
          </w:p>
        </w:tc>
        <w:tc>
          <w:tcPr>
            <w:tcW w:w="680" w:type="dxa"/>
            <w:vAlign w:val="bottom"/>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54"/>
        </w:trPr>
        <w:tc>
          <w:tcPr>
            <w:tcW w:w="10300" w:type="dxa"/>
            <w:vAlign w:val="bottom"/>
          </w:tcPr>
          <w:p>
            <w:pPr>
              <w:ind w:left="320"/>
              <w:spacing w:after="0"/>
              <w:rPr>
                <w:sz w:val="20"/>
                <w:szCs w:val="20"/>
                <w:color w:val="auto"/>
              </w:rPr>
            </w:pPr>
            <w:r>
              <w:rPr>
                <w:rFonts w:ascii="Arial" w:cs="Arial" w:eastAsia="Arial" w:hAnsi="Arial"/>
                <w:sz w:val="18"/>
                <w:szCs w:val="18"/>
                <w:color w:val="auto"/>
              </w:rPr>
              <w:t>Who Will Count the Votes?</w:t>
            </w:r>
          </w:p>
        </w:tc>
        <w:tc>
          <w:tcPr>
            <w:tcW w:w="680" w:type="dxa"/>
            <w:vAlign w:val="bottom"/>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54"/>
        </w:trPr>
        <w:tc>
          <w:tcPr>
            <w:tcW w:w="10300" w:type="dxa"/>
            <w:vAlign w:val="bottom"/>
          </w:tcPr>
          <w:p>
            <w:pPr>
              <w:ind w:left="320"/>
              <w:spacing w:after="0"/>
              <w:rPr>
                <w:sz w:val="20"/>
                <w:szCs w:val="20"/>
                <w:color w:val="auto"/>
              </w:rPr>
            </w:pPr>
            <w:r>
              <w:rPr>
                <w:rFonts w:ascii="Arial" w:cs="Arial" w:eastAsia="Arial" w:hAnsi="Arial"/>
                <w:sz w:val="18"/>
                <w:szCs w:val="18"/>
                <w:color w:val="auto"/>
              </w:rPr>
              <w:t>How Will Business Be Conducted at the Annual Meeting?</w:t>
            </w:r>
          </w:p>
        </w:tc>
        <w:tc>
          <w:tcPr>
            <w:tcW w:w="680" w:type="dxa"/>
            <w:vAlign w:val="bottom"/>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54"/>
        </w:trPr>
        <w:tc>
          <w:tcPr>
            <w:tcW w:w="10300" w:type="dxa"/>
            <w:vAlign w:val="bottom"/>
          </w:tcPr>
          <w:p>
            <w:pPr>
              <w:ind w:left="320"/>
              <w:spacing w:after="0"/>
              <w:rPr>
                <w:sz w:val="20"/>
                <w:szCs w:val="20"/>
                <w:color w:val="auto"/>
              </w:rPr>
            </w:pPr>
            <w:r>
              <w:rPr>
                <w:rFonts w:ascii="Arial" w:cs="Arial" w:eastAsia="Arial" w:hAnsi="Arial"/>
                <w:sz w:val="18"/>
                <w:szCs w:val="18"/>
                <w:color w:val="auto"/>
              </w:rPr>
              <w:t>How Can I Ask Questions In Advance of and During the Annual Meeting?</w:t>
            </w:r>
          </w:p>
        </w:tc>
        <w:tc>
          <w:tcPr>
            <w:tcW w:w="680" w:type="dxa"/>
            <w:vAlign w:val="bottom"/>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320"/>
        </w:trPr>
        <w:tc>
          <w:tcPr>
            <w:tcW w:w="10300" w:type="dxa"/>
            <w:vAlign w:val="bottom"/>
          </w:tcPr>
          <w:p>
            <w:pPr>
              <w:spacing w:after="0"/>
              <w:rPr>
                <w:sz w:val="20"/>
                <w:szCs w:val="20"/>
                <w:color w:val="auto"/>
              </w:rPr>
            </w:pPr>
            <w:r>
              <w:rPr>
                <w:rFonts w:ascii="Arial" w:cs="Arial" w:eastAsia="Arial" w:hAnsi="Arial"/>
                <w:sz w:val="18"/>
                <w:szCs w:val="18"/>
                <w:color w:val="BF2115"/>
              </w:rPr>
              <w:t>PROPOSAL ONE—ELECTION OF DIRECTORS</w:t>
            </w:r>
          </w:p>
        </w:tc>
        <w:tc>
          <w:tcPr>
            <w:tcW w:w="68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307"/>
        </w:trPr>
        <w:tc>
          <w:tcPr>
            <w:tcW w:w="10300" w:type="dxa"/>
            <w:vAlign w:val="bottom"/>
          </w:tcPr>
          <w:p>
            <w:pPr>
              <w:ind w:left="300"/>
              <w:spacing w:after="0"/>
              <w:rPr>
                <w:sz w:val="20"/>
                <w:szCs w:val="20"/>
                <w:color w:val="auto"/>
              </w:rPr>
            </w:pPr>
            <w:r>
              <w:rPr>
                <w:rFonts w:ascii="Arial" w:cs="Arial" w:eastAsia="Arial" w:hAnsi="Arial"/>
                <w:sz w:val="18"/>
                <w:szCs w:val="18"/>
                <w:color w:val="auto"/>
              </w:rPr>
              <w:t>Current Board Size and Structure</w:t>
            </w:r>
          </w:p>
        </w:tc>
        <w:tc>
          <w:tcPr>
            <w:tcW w:w="68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67"/>
        </w:trPr>
        <w:tc>
          <w:tcPr>
            <w:tcW w:w="10300" w:type="dxa"/>
            <w:vAlign w:val="bottom"/>
          </w:tcPr>
          <w:p>
            <w:pPr>
              <w:ind w:left="320"/>
              <w:spacing w:after="0"/>
              <w:rPr>
                <w:sz w:val="20"/>
                <w:szCs w:val="20"/>
                <w:color w:val="auto"/>
              </w:rPr>
            </w:pPr>
            <w:r>
              <w:rPr>
                <w:rFonts w:ascii="Arial" w:cs="Arial" w:eastAsia="Arial" w:hAnsi="Arial"/>
                <w:sz w:val="18"/>
                <w:szCs w:val="18"/>
                <w:color w:val="auto"/>
              </w:rPr>
              <w:t>Nominees for Director</w:t>
            </w:r>
          </w:p>
        </w:tc>
        <w:tc>
          <w:tcPr>
            <w:tcW w:w="68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54"/>
        </w:trPr>
        <w:tc>
          <w:tcPr>
            <w:tcW w:w="10300" w:type="dxa"/>
            <w:vAlign w:val="bottom"/>
          </w:tcPr>
          <w:p>
            <w:pPr>
              <w:ind w:left="320"/>
              <w:spacing w:after="0"/>
              <w:rPr>
                <w:sz w:val="20"/>
                <w:szCs w:val="20"/>
                <w:color w:val="auto"/>
              </w:rPr>
            </w:pPr>
            <w:r>
              <w:rPr>
                <w:rFonts w:ascii="Arial" w:cs="Arial" w:eastAsia="Arial" w:hAnsi="Arial"/>
                <w:sz w:val="18"/>
                <w:szCs w:val="18"/>
                <w:color w:val="auto"/>
              </w:rPr>
              <w:t>Board Size and Structure After Annual Meeting</w:t>
            </w:r>
          </w:p>
        </w:tc>
        <w:tc>
          <w:tcPr>
            <w:tcW w:w="68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54"/>
        </w:trPr>
        <w:tc>
          <w:tcPr>
            <w:tcW w:w="10300" w:type="dxa"/>
            <w:vAlign w:val="bottom"/>
          </w:tcPr>
          <w:p>
            <w:pPr>
              <w:ind w:left="320"/>
              <w:spacing w:after="0"/>
              <w:rPr>
                <w:sz w:val="20"/>
                <w:szCs w:val="20"/>
                <w:color w:val="auto"/>
              </w:rPr>
            </w:pPr>
            <w:r>
              <w:rPr>
                <w:rFonts w:ascii="Arial" w:cs="Arial" w:eastAsia="Arial" w:hAnsi="Arial"/>
                <w:sz w:val="18"/>
                <w:szCs w:val="18"/>
                <w:color w:val="auto"/>
              </w:rPr>
              <w:t>Board Recommendation</w:t>
            </w:r>
          </w:p>
        </w:tc>
        <w:tc>
          <w:tcPr>
            <w:tcW w:w="680" w:type="dxa"/>
            <w:vAlign w:val="bottom"/>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94"/>
        </w:trPr>
        <w:tc>
          <w:tcPr>
            <w:tcW w:w="10300" w:type="dxa"/>
            <w:vAlign w:val="bottom"/>
          </w:tcPr>
          <w:p>
            <w:pPr>
              <w:ind w:left="300"/>
              <w:spacing w:after="0"/>
              <w:rPr>
                <w:sz w:val="20"/>
                <w:szCs w:val="20"/>
                <w:color w:val="auto"/>
              </w:rPr>
            </w:pPr>
            <w:r>
              <w:rPr>
                <w:rFonts w:ascii="Arial" w:cs="Arial" w:eastAsia="Arial" w:hAnsi="Arial"/>
                <w:sz w:val="18"/>
                <w:szCs w:val="18"/>
                <w:color w:val="auto"/>
              </w:rPr>
              <w:t>Information About Director Nominees and Continuing Directors</w:t>
            </w:r>
          </w:p>
        </w:tc>
        <w:tc>
          <w:tcPr>
            <w:tcW w:w="680" w:type="dxa"/>
            <w:vAlign w:val="bottom"/>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307"/>
        </w:trPr>
        <w:tc>
          <w:tcPr>
            <w:tcW w:w="10300" w:type="dxa"/>
            <w:vAlign w:val="bottom"/>
          </w:tcPr>
          <w:p>
            <w:pPr>
              <w:spacing w:after="0"/>
              <w:rPr>
                <w:sz w:val="20"/>
                <w:szCs w:val="20"/>
                <w:color w:val="auto"/>
              </w:rPr>
            </w:pPr>
            <w:r>
              <w:rPr>
                <w:rFonts w:ascii="Arial" w:cs="Arial" w:eastAsia="Arial" w:hAnsi="Arial"/>
                <w:sz w:val="18"/>
                <w:szCs w:val="18"/>
                <w:color w:val="BF2115"/>
              </w:rPr>
              <w:t>DIRECTOR COMPENSATION</w:t>
            </w:r>
          </w:p>
        </w:tc>
        <w:tc>
          <w:tcPr>
            <w:tcW w:w="680" w:type="dxa"/>
            <w:vAlign w:val="bottom"/>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307"/>
        </w:trPr>
        <w:tc>
          <w:tcPr>
            <w:tcW w:w="10300" w:type="dxa"/>
            <w:vAlign w:val="bottom"/>
          </w:tcPr>
          <w:p>
            <w:pPr>
              <w:ind w:left="300"/>
              <w:spacing w:after="0"/>
              <w:rPr>
                <w:sz w:val="20"/>
                <w:szCs w:val="20"/>
                <w:color w:val="auto"/>
              </w:rPr>
            </w:pPr>
            <w:r>
              <w:rPr>
                <w:rFonts w:ascii="Arial" w:cs="Arial" w:eastAsia="Arial" w:hAnsi="Arial"/>
                <w:sz w:val="18"/>
                <w:szCs w:val="18"/>
                <w:color w:val="auto"/>
              </w:rPr>
              <w:t>Director Compensation Program for Fiscal 2024</w:t>
            </w:r>
          </w:p>
        </w:tc>
        <w:tc>
          <w:tcPr>
            <w:tcW w:w="680" w:type="dxa"/>
            <w:vAlign w:val="bottom"/>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307"/>
        </w:trPr>
        <w:tc>
          <w:tcPr>
            <w:tcW w:w="10300" w:type="dxa"/>
            <w:vAlign w:val="bottom"/>
          </w:tcPr>
          <w:p>
            <w:pPr>
              <w:ind w:left="300"/>
              <w:spacing w:after="0"/>
              <w:rPr>
                <w:sz w:val="20"/>
                <w:szCs w:val="20"/>
                <w:color w:val="auto"/>
              </w:rPr>
            </w:pPr>
            <w:r>
              <w:rPr>
                <w:rFonts w:ascii="Arial" w:cs="Arial" w:eastAsia="Arial" w:hAnsi="Arial"/>
                <w:sz w:val="18"/>
                <w:szCs w:val="18"/>
                <w:color w:val="auto"/>
              </w:rPr>
              <w:t>Director Compensation for Fiscal 2024</w:t>
            </w:r>
          </w:p>
        </w:tc>
        <w:tc>
          <w:tcPr>
            <w:tcW w:w="680" w:type="dxa"/>
            <w:vAlign w:val="bottom"/>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334"/>
        </w:trPr>
        <w:tc>
          <w:tcPr>
            <w:tcW w:w="10300" w:type="dxa"/>
            <w:vAlign w:val="bottom"/>
          </w:tcPr>
          <w:p>
            <w:pPr>
              <w:spacing w:after="0"/>
              <w:rPr>
                <w:sz w:val="20"/>
                <w:szCs w:val="20"/>
                <w:color w:val="auto"/>
              </w:rPr>
            </w:pPr>
            <w:r>
              <w:rPr>
                <w:rFonts w:ascii="Arial" w:cs="Arial" w:eastAsia="Arial" w:hAnsi="Arial"/>
                <w:sz w:val="18"/>
                <w:szCs w:val="18"/>
                <w:color w:val="BF2115"/>
              </w:rPr>
              <w:t>CORPORATE GOVERNANCE</w:t>
            </w:r>
          </w:p>
        </w:tc>
        <w:tc>
          <w:tcPr>
            <w:tcW w:w="680" w:type="dxa"/>
            <w:vAlign w:val="bottom"/>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307"/>
        </w:trPr>
        <w:tc>
          <w:tcPr>
            <w:tcW w:w="10300" w:type="dxa"/>
            <w:vAlign w:val="bottom"/>
          </w:tcPr>
          <w:p>
            <w:pPr>
              <w:ind w:left="300"/>
              <w:spacing w:after="0"/>
              <w:rPr>
                <w:sz w:val="20"/>
                <w:szCs w:val="20"/>
                <w:color w:val="auto"/>
              </w:rPr>
            </w:pPr>
            <w:r>
              <w:rPr>
                <w:rFonts w:ascii="Arial" w:cs="Arial" w:eastAsia="Arial" w:hAnsi="Arial"/>
                <w:sz w:val="18"/>
                <w:szCs w:val="18"/>
                <w:color w:val="auto"/>
              </w:rPr>
              <w:t>Corporate Governance Guidelines</w:t>
            </w:r>
          </w:p>
        </w:tc>
        <w:tc>
          <w:tcPr>
            <w:tcW w:w="680" w:type="dxa"/>
            <w:vAlign w:val="bottom"/>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54"/>
        </w:trPr>
        <w:tc>
          <w:tcPr>
            <w:tcW w:w="10300" w:type="dxa"/>
            <w:vAlign w:val="bottom"/>
          </w:tcPr>
          <w:p>
            <w:pPr>
              <w:ind w:left="300"/>
              <w:spacing w:after="0"/>
              <w:rPr>
                <w:sz w:val="20"/>
                <w:szCs w:val="20"/>
                <w:color w:val="auto"/>
              </w:rPr>
            </w:pPr>
            <w:r>
              <w:rPr>
                <w:rFonts w:ascii="Arial" w:cs="Arial" w:eastAsia="Arial" w:hAnsi="Arial"/>
                <w:sz w:val="18"/>
                <w:szCs w:val="18"/>
                <w:color w:val="auto"/>
              </w:rPr>
              <w:t>Board Leadership Structure</w:t>
            </w:r>
          </w:p>
        </w:tc>
        <w:tc>
          <w:tcPr>
            <w:tcW w:w="680" w:type="dxa"/>
            <w:vAlign w:val="bottom"/>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0980"/>
          </w:cols>
          <w:pgMar w:left="340" w:top="1103" w:right="5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ind w:right="-219"/>
        <w:spacing w:after="0"/>
        <w:rPr>
          <w:sz w:val="20"/>
          <w:szCs w:val="20"/>
          <w:color w:val="auto"/>
        </w:rPr>
      </w:pPr>
      <w:r>
        <w:rPr>
          <w:rFonts w:ascii="Arial" w:cs="Arial" w:eastAsia="Arial" w:hAnsi="Arial"/>
          <w:sz w:val="21"/>
          <w:szCs w:val="21"/>
          <w:color w:val="auto"/>
        </w:rPr>
        <w: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-20320</wp:posOffset>
            </wp:positionH>
            <wp:positionV relativeFrom="paragraph">
              <wp:posOffset>79375</wp:posOffset>
            </wp:positionV>
            <wp:extent cx="715962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0980"/>
          </w:cols>
          <w:pgMar w:left="340" w:top="1103" w:right="579" w:bottom="1440" w:gutter="0" w:footer="0" w:header="0"/>
          <w:type w:val="continuous"/>
        </w:sectPr>
      </w:pPr>
    </w:p>
    <w:bookmarkStart w:id="6" w:name="page7"/>
    <w:bookmarkEnd w:id="6"/>
    <w:tbl>
      <w:tblPr>
        <w:tblLayout w:type="fixed"/>
        <w:tblInd w:w="0" w:type="dxa"/>
        <w:tblCellMar>
          <w:top w:w="0" w:type="dxa"/>
          <w:left w:w="0" w:type="dxa"/>
          <w:bottom w:w="0" w:type="dxa"/>
          <w:right w:w="0" w:type="dxa"/>
        </w:tblCellMar>
      </w:tblPr>
      <w:tr>
        <w:trPr>
          <w:trHeight w:val="233"/>
        </w:trPr>
        <w:tc>
          <w:tcPr>
            <w:tcW w:w="10100" w:type="dxa"/>
            <w:vAlign w:val="bottom"/>
          </w:tcPr>
          <w:p>
            <w:pPr>
              <w:ind w:left="300"/>
              <w:spacing w:after="0"/>
              <w:rPr>
                <w:sz w:val="20"/>
                <w:szCs w:val="20"/>
                <w:color w:val="auto"/>
              </w:rPr>
            </w:pPr>
            <w:r>
              <w:rPr>
                <w:rFonts w:ascii="Arial" w:cs="Arial" w:eastAsia="Arial" w:hAnsi="Arial"/>
                <w:sz w:val="18"/>
                <w:szCs w:val="18"/>
                <w:color w:val="auto"/>
              </w:rPr>
              <w:t>Director Independence</w:t>
            </w:r>
          </w:p>
        </w:tc>
        <w:tc>
          <w:tcPr>
            <w:tcW w:w="88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307"/>
        </w:trPr>
        <w:tc>
          <w:tcPr>
            <w:tcW w:w="10100" w:type="dxa"/>
            <w:vAlign w:val="bottom"/>
          </w:tcPr>
          <w:p>
            <w:pPr>
              <w:ind w:left="300"/>
              <w:spacing w:after="0"/>
              <w:rPr>
                <w:sz w:val="20"/>
                <w:szCs w:val="20"/>
                <w:color w:val="auto"/>
              </w:rPr>
            </w:pPr>
            <w:r>
              <w:rPr>
                <w:rFonts w:ascii="Arial" w:cs="Arial" w:eastAsia="Arial" w:hAnsi="Arial"/>
                <w:sz w:val="18"/>
                <w:szCs w:val="18"/>
                <w:color w:val="auto"/>
              </w:rPr>
              <w:t>Director Attendance; Executive Sessions</w:t>
            </w:r>
          </w:p>
        </w:tc>
        <w:tc>
          <w:tcPr>
            <w:tcW w:w="88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307"/>
        </w:trPr>
        <w:tc>
          <w:tcPr>
            <w:tcW w:w="10100" w:type="dxa"/>
            <w:vAlign w:val="bottom"/>
          </w:tcPr>
          <w:p>
            <w:pPr>
              <w:ind w:left="300"/>
              <w:spacing w:after="0"/>
              <w:rPr>
                <w:sz w:val="20"/>
                <w:szCs w:val="20"/>
                <w:color w:val="auto"/>
              </w:rPr>
            </w:pPr>
            <w:r>
              <w:rPr>
                <w:rFonts w:ascii="Arial" w:cs="Arial" w:eastAsia="Arial" w:hAnsi="Arial"/>
                <w:sz w:val="18"/>
                <w:szCs w:val="18"/>
                <w:color w:val="auto"/>
              </w:rPr>
              <w:t>Board Committees</w:t>
            </w:r>
          </w:p>
        </w:tc>
        <w:tc>
          <w:tcPr>
            <w:tcW w:w="88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307"/>
        </w:trPr>
        <w:tc>
          <w:tcPr>
            <w:tcW w:w="10100" w:type="dxa"/>
            <w:vAlign w:val="bottom"/>
          </w:tcPr>
          <w:p>
            <w:pPr>
              <w:ind w:left="300"/>
              <w:spacing w:after="0"/>
              <w:rPr>
                <w:sz w:val="20"/>
                <w:szCs w:val="20"/>
                <w:color w:val="auto"/>
              </w:rPr>
            </w:pPr>
            <w:r>
              <w:rPr>
                <w:rFonts w:ascii="Arial" w:cs="Arial" w:eastAsia="Arial" w:hAnsi="Arial"/>
                <w:sz w:val="18"/>
                <w:szCs w:val="18"/>
                <w:color w:val="auto"/>
              </w:rPr>
              <w:t>Board's Role in Risk Oversight</w:t>
            </w:r>
          </w:p>
        </w:tc>
        <w:tc>
          <w:tcPr>
            <w:tcW w:w="88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307"/>
        </w:trPr>
        <w:tc>
          <w:tcPr>
            <w:tcW w:w="10100" w:type="dxa"/>
            <w:vAlign w:val="bottom"/>
          </w:tcPr>
          <w:p>
            <w:pPr>
              <w:ind w:left="300"/>
              <w:spacing w:after="0"/>
              <w:rPr>
                <w:sz w:val="20"/>
                <w:szCs w:val="20"/>
                <w:color w:val="auto"/>
              </w:rPr>
            </w:pPr>
            <w:r>
              <w:rPr>
                <w:rFonts w:ascii="Arial" w:cs="Arial" w:eastAsia="Arial" w:hAnsi="Arial"/>
                <w:sz w:val="18"/>
                <w:szCs w:val="18"/>
                <w:color w:val="auto"/>
              </w:rPr>
              <w:t>Executive Compensation Process</w:t>
            </w:r>
          </w:p>
        </w:tc>
        <w:tc>
          <w:tcPr>
            <w:tcW w:w="88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307"/>
        </w:trPr>
        <w:tc>
          <w:tcPr>
            <w:tcW w:w="10100" w:type="dxa"/>
            <w:vAlign w:val="bottom"/>
          </w:tcPr>
          <w:p>
            <w:pPr>
              <w:ind w:left="300"/>
              <w:spacing w:after="0"/>
              <w:rPr>
                <w:sz w:val="20"/>
                <w:szCs w:val="20"/>
                <w:color w:val="auto"/>
              </w:rPr>
            </w:pPr>
            <w:r>
              <w:rPr>
                <w:rFonts w:ascii="Arial" w:cs="Arial" w:eastAsia="Arial" w:hAnsi="Arial"/>
                <w:sz w:val="18"/>
                <w:szCs w:val="18"/>
                <w:color w:val="auto"/>
              </w:rPr>
              <w:t>Director Nomination and Refreshment Process</w:t>
            </w:r>
          </w:p>
        </w:tc>
        <w:tc>
          <w:tcPr>
            <w:tcW w:w="88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307"/>
        </w:trPr>
        <w:tc>
          <w:tcPr>
            <w:tcW w:w="10100" w:type="dxa"/>
            <w:vAlign w:val="bottom"/>
          </w:tcPr>
          <w:p>
            <w:pPr>
              <w:ind w:left="300"/>
              <w:spacing w:after="0"/>
              <w:rPr>
                <w:sz w:val="20"/>
                <w:szCs w:val="20"/>
                <w:color w:val="auto"/>
              </w:rPr>
            </w:pPr>
            <w:r>
              <w:rPr>
                <w:rFonts w:ascii="Arial" w:cs="Arial" w:eastAsia="Arial" w:hAnsi="Arial"/>
                <w:sz w:val="18"/>
                <w:szCs w:val="18"/>
                <w:color w:val="auto"/>
              </w:rPr>
              <w:t>Related Person Transactions and Policies and Procedures Regarding Related Person Transactions</w:t>
            </w:r>
          </w:p>
        </w:tc>
        <w:tc>
          <w:tcPr>
            <w:tcW w:w="88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307"/>
        </w:trPr>
        <w:tc>
          <w:tcPr>
            <w:tcW w:w="10100" w:type="dxa"/>
            <w:vAlign w:val="bottom"/>
          </w:tcPr>
          <w:p>
            <w:pPr>
              <w:ind w:left="300"/>
              <w:spacing w:after="0"/>
              <w:rPr>
                <w:sz w:val="20"/>
                <w:szCs w:val="20"/>
                <w:color w:val="auto"/>
              </w:rPr>
            </w:pPr>
            <w:r>
              <w:rPr>
                <w:rFonts w:ascii="Arial" w:cs="Arial" w:eastAsia="Arial" w:hAnsi="Arial"/>
                <w:sz w:val="18"/>
                <w:szCs w:val="18"/>
                <w:color w:val="auto"/>
              </w:rPr>
              <w:t>Board of Directors Business Ethics Policy Statement</w:t>
            </w:r>
          </w:p>
        </w:tc>
        <w:tc>
          <w:tcPr>
            <w:tcW w:w="88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307"/>
        </w:trPr>
        <w:tc>
          <w:tcPr>
            <w:tcW w:w="10100" w:type="dxa"/>
            <w:vAlign w:val="bottom"/>
          </w:tcPr>
          <w:p>
            <w:pPr>
              <w:ind w:left="300"/>
              <w:spacing w:after="0"/>
              <w:rPr>
                <w:sz w:val="20"/>
                <w:szCs w:val="20"/>
                <w:color w:val="auto"/>
              </w:rPr>
            </w:pPr>
            <w:r>
              <w:rPr>
                <w:rFonts w:ascii="Arial" w:cs="Arial" w:eastAsia="Arial" w:hAnsi="Arial"/>
                <w:sz w:val="18"/>
                <w:szCs w:val="18"/>
                <w:color w:val="auto"/>
              </w:rPr>
              <w:t>Code of Conduct and Code of Ethics for our CEO and Senior Financial Personnel</w:t>
            </w:r>
          </w:p>
        </w:tc>
        <w:tc>
          <w:tcPr>
            <w:tcW w:w="88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307"/>
        </w:trPr>
        <w:tc>
          <w:tcPr>
            <w:tcW w:w="10100" w:type="dxa"/>
            <w:vAlign w:val="bottom"/>
          </w:tcPr>
          <w:p>
            <w:pPr>
              <w:ind w:left="300"/>
              <w:spacing w:after="0"/>
              <w:rPr>
                <w:sz w:val="20"/>
                <w:szCs w:val="20"/>
                <w:color w:val="auto"/>
              </w:rPr>
            </w:pPr>
            <w:r>
              <w:rPr>
                <w:rFonts w:ascii="Arial" w:cs="Arial" w:eastAsia="Arial" w:hAnsi="Arial"/>
                <w:sz w:val="18"/>
                <w:szCs w:val="18"/>
                <w:color w:val="auto"/>
              </w:rPr>
              <w:t>Communications with Directors</w:t>
            </w:r>
          </w:p>
        </w:tc>
        <w:tc>
          <w:tcPr>
            <w:tcW w:w="88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307"/>
        </w:trPr>
        <w:tc>
          <w:tcPr>
            <w:tcW w:w="10100" w:type="dxa"/>
            <w:vAlign w:val="bottom"/>
          </w:tcPr>
          <w:p>
            <w:pPr>
              <w:ind w:left="300"/>
              <w:spacing w:after="0"/>
              <w:rPr>
                <w:sz w:val="20"/>
                <w:szCs w:val="20"/>
                <w:color w:val="auto"/>
              </w:rPr>
            </w:pPr>
            <w:r>
              <w:rPr>
                <w:rFonts w:ascii="Arial" w:cs="Arial" w:eastAsia="Arial" w:hAnsi="Arial"/>
                <w:sz w:val="18"/>
                <w:szCs w:val="18"/>
                <w:color w:val="auto"/>
              </w:rPr>
              <w:t>Complaint Procedures</w:t>
            </w:r>
          </w:p>
        </w:tc>
        <w:tc>
          <w:tcPr>
            <w:tcW w:w="88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254"/>
        </w:trPr>
        <w:tc>
          <w:tcPr>
            <w:tcW w:w="10100" w:type="dxa"/>
            <w:vAlign w:val="bottom"/>
          </w:tcPr>
          <w:p>
            <w:pPr>
              <w:ind w:left="300"/>
              <w:spacing w:after="0"/>
              <w:rPr>
                <w:sz w:val="20"/>
                <w:szCs w:val="20"/>
                <w:color w:val="auto"/>
              </w:rPr>
            </w:pPr>
            <w:r>
              <w:rPr>
                <w:rFonts w:ascii="Arial" w:cs="Arial" w:eastAsia="Arial" w:hAnsi="Arial"/>
                <w:sz w:val="18"/>
                <w:szCs w:val="18"/>
                <w:color w:val="auto"/>
              </w:rPr>
              <w:t>Insider Trading Policy</w:t>
            </w:r>
          </w:p>
        </w:tc>
        <w:tc>
          <w:tcPr>
            <w:tcW w:w="88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334"/>
        </w:trPr>
        <w:tc>
          <w:tcPr>
            <w:tcW w:w="10100" w:type="dxa"/>
            <w:vAlign w:val="bottom"/>
          </w:tcPr>
          <w:p>
            <w:pPr>
              <w:spacing w:after="0"/>
              <w:rPr>
                <w:sz w:val="20"/>
                <w:szCs w:val="20"/>
                <w:color w:val="auto"/>
              </w:rPr>
            </w:pPr>
            <w:r>
              <w:rPr>
                <w:rFonts w:ascii="Arial" w:cs="Arial" w:eastAsia="Arial" w:hAnsi="Arial"/>
                <w:sz w:val="18"/>
                <w:szCs w:val="18"/>
                <w:color w:val="BF2115"/>
              </w:rPr>
              <w:t>PROPOSAL TWO—RATIFICATION OF SELECTION OF INDEPENDENT REGISTERED PUBLIC ACCOUNTING FIRM</w:t>
            </w:r>
          </w:p>
        </w:tc>
        <w:tc>
          <w:tcPr>
            <w:tcW w:w="88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307"/>
        </w:trPr>
        <w:tc>
          <w:tcPr>
            <w:tcW w:w="10100" w:type="dxa"/>
            <w:vAlign w:val="bottom"/>
          </w:tcPr>
          <w:p>
            <w:pPr>
              <w:ind w:left="300"/>
              <w:spacing w:after="0"/>
              <w:rPr>
                <w:sz w:val="20"/>
                <w:szCs w:val="20"/>
                <w:color w:val="auto"/>
              </w:rPr>
            </w:pPr>
            <w:r>
              <w:rPr>
                <w:rFonts w:ascii="Arial" w:cs="Arial" w:eastAsia="Arial" w:hAnsi="Arial"/>
                <w:sz w:val="18"/>
                <w:szCs w:val="18"/>
                <w:color w:val="auto"/>
              </w:rPr>
              <w:t>Selection of Independent Registered Public Accounting Firm</w:t>
            </w:r>
          </w:p>
        </w:tc>
        <w:tc>
          <w:tcPr>
            <w:tcW w:w="88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307"/>
        </w:trPr>
        <w:tc>
          <w:tcPr>
            <w:tcW w:w="10100" w:type="dxa"/>
            <w:vAlign w:val="bottom"/>
          </w:tcPr>
          <w:p>
            <w:pPr>
              <w:ind w:left="300"/>
              <w:spacing w:after="0"/>
              <w:rPr>
                <w:sz w:val="20"/>
                <w:szCs w:val="20"/>
                <w:color w:val="auto"/>
              </w:rPr>
            </w:pPr>
            <w:r>
              <w:rPr>
                <w:rFonts w:ascii="Arial" w:cs="Arial" w:eastAsia="Arial" w:hAnsi="Arial"/>
                <w:sz w:val="18"/>
                <w:szCs w:val="18"/>
                <w:color w:val="auto"/>
              </w:rPr>
              <w:t>Audit, Audit-Related, Tax and Other Fees</w:t>
            </w:r>
          </w:p>
        </w:tc>
        <w:tc>
          <w:tcPr>
            <w:tcW w:w="88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307"/>
        </w:trPr>
        <w:tc>
          <w:tcPr>
            <w:tcW w:w="10100" w:type="dxa"/>
            <w:vAlign w:val="bottom"/>
          </w:tcPr>
          <w:p>
            <w:pPr>
              <w:ind w:left="300"/>
              <w:spacing w:after="0"/>
              <w:rPr>
                <w:sz w:val="20"/>
                <w:szCs w:val="20"/>
                <w:color w:val="auto"/>
              </w:rPr>
            </w:pPr>
            <w:r>
              <w:rPr>
                <w:rFonts w:ascii="Arial" w:cs="Arial" w:eastAsia="Arial" w:hAnsi="Arial"/>
                <w:sz w:val="18"/>
                <w:szCs w:val="18"/>
                <w:color w:val="auto"/>
              </w:rPr>
              <w:t>Pre-Approval Policies and Procedures</w:t>
            </w:r>
          </w:p>
        </w:tc>
        <w:tc>
          <w:tcPr>
            <w:tcW w:w="88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307"/>
        </w:trPr>
        <w:tc>
          <w:tcPr>
            <w:tcW w:w="10100" w:type="dxa"/>
            <w:vAlign w:val="bottom"/>
          </w:tcPr>
          <w:p>
            <w:pPr>
              <w:ind w:left="300"/>
              <w:spacing w:after="0"/>
              <w:rPr>
                <w:sz w:val="20"/>
                <w:szCs w:val="20"/>
                <w:color w:val="auto"/>
              </w:rPr>
            </w:pPr>
            <w:r>
              <w:rPr>
                <w:rFonts w:ascii="Arial" w:cs="Arial" w:eastAsia="Arial" w:hAnsi="Arial"/>
                <w:sz w:val="18"/>
                <w:szCs w:val="18"/>
                <w:color w:val="auto"/>
              </w:rPr>
              <w:t>Board Recommendation</w:t>
            </w:r>
          </w:p>
        </w:tc>
        <w:tc>
          <w:tcPr>
            <w:tcW w:w="88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307"/>
        </w:trPr>
        <w:tc>
          <w:tcPr>
            <w:tcW w:w="10100" w:type="dxa"/>
            <w:vAlign w:val="bottom"/>
          </w:tcPr>
          <w:p>
            <w:pPr>
              <w:ind w:left="300"/>
              <w:spacing w:after="0"/>
              <w:rPr>
                <w:sz w:val="20"/>
                <w:szCs w:val="20"/>
                <w:color w:val="auto"/>
              </w:rPr>
            </w:pPr>
            <w:r>
              <w:rPr>
                <w:rFonts w:ascii="Arial" w:cs="Arial" w:eastAsia="Arial" w:hAnsi="Arial"/>
                <w:sz w:val="18"/>
                <w:szCs w:val="18"/>
                <w:color w:val="auto"/>
              </w:rPr>
              <w:t>Audit Committee Report</w:t>
            </w:r>
          </w:p>
        </w:tc>
        <w:tc>
          <w:tcPr>
            <w:tcW w:w="88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334"/>
        </w:trPr>
        <w:tc>
          <w:tcPr>
            <w:tcW w:w="10100" w:type="dxa"/>
            <w:vAlign w:val="bottom"/>
          </w:tcPr>
          <w:p>
            <w:pPr>
              <w:spacing w:after="0"/>
              <w:rPr>
                <w:sz w:val="20"/>
                <w:szCs w:val="20"/>
                <w:color w:val="auto"/>
              </w:rPr>
            </w:pPr>
            <w:r>
              <w:rPr>
                <w:rFonts w:ascii="Arial" w:cs="Arial" w:eastAsia="Arial" w:hAnsi="Arial"/>
                <w:sz w:val="18"/>
                <w:szCs w:val="18"/>
                <w:color w:val="BF2115"/>
              </w:rPr>
              <w:t>PROPOSAL THREE—ADVISORY APPROVAL OF OUR EXECUTIVE COMPENSATION</w:t>
            </w:r>
          </w:p>
        </w:tc>
        <w:tc>
          <w:tcPr>
            <w:tcW w:w="88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307"/>
        </w:trPr>
        <w:tc>
          <w:tcPr>
            <w:tcW w:w="10100" w:type="dxa"/>
            <w:vAlign w:val="bottom"/>
          </w:tcPr>
          <w:p>
            <w:pPr>
              <w:ind w:left="300"/>
              <w:spacing w:after="0"/>
              <w:rPr>
                <w:sz w:val="20"/>
                <w:szCs w:val="20"/>
                <w:color w:val="auto"/>
              </w:rPr>
            </w:pPr>
            <w:r>
              <w:rPr>
                <w:rFonts w:ascii="Arial" w:cs="Arial" w:eastAsia="Arial" w:hAnsi="Arial"/>
                <w:sz w:val="18"/>
                <w:szCs w:val="18"/>
                <w:color w:val="auto"/>
              </w:rPr>
              <w:t>Background</w:t>
            </w:r>
          </w:p>
        </w:tc>
        <w:tc>
          <w:tcPr>
            <w:tcW w:w="88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307"/>
        </w:trPr>
        <w:tc>
          <w:tcPr>
            <w:tcW w:w="10100" w:type="dxa"/>
            <w:vAlign w:val="bottom"/>
          </w:tcPr>
          <w:p>
            <w:pPr>
              <w:ind w:left="300"/>
              <w:spacing w:after="0"/>
              <w:rPr>
                <w:sz w:val="20"/>
                <w:szCs w:val="20"/>
                <w:color w:val="auto"/>
              </w:rPr>
            </w:pPr>
            <w:r>
              <w:rPr>
                <w:rFonts w:ascii="Arial" w:cs="Arial" w:eastAsia="Arial" w:hAnsi="Arial"/>
                <w:sz w:val="18"/>
                <w:szCs w:val="18"/>
                <w:color w:val="auto"/>
              </w:rPr>
              <w:t>Our Pay Philosophy</w:t>
            </w:r>
          </w:p>
        </w:tc>
        <w:tc>
          <w:tcPr>
            <w:tcW w:w="88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307"/>
        </w:trPr>
        <w:tc>
          <w:tcPr>
            <w:tcW w:w="10100" w:type="dxa"/>
            <w:vAlign w:val="bottom"/>
          </w:tcPr>
          <w:p>
            <w:pPr>
              <w:ind w:left="300"/>
              <w:spacing w:after="0"/>
              <w:rPr>
                <w:sz w:val="20"/>
                <w:szCs w:val="20"/>
                <w:color w:val="auto"/>
              </w:rPr>
            </w:pPr>
            <w:r>
              <w:rPr>
                <w:rFonts w:ascii="Arial" w:cs="Arial" w:eastAsia="Arial" w:hAnsi="Arial"/>
                <w:sz w:val="18"/>
                <w:szCs w:val="18"/>
                <w:color w:val="auto"/>
              </w:rPr>
              <w:t>Best Practices</w:t>
            </w:r>
          </w:p>
        </w:tc>
        <w:tc>
          <w:tcPr>
            <w:tcW w:w="88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307"/>
        </w:trPr>
        <w:tc>
          <w:tcPr>
            <w:tcW w:w="10100" w:type="dxa"/>
            <w:vAlign w:val="bottom"/>
          </w:tcPr>
          <w:p>
            <w:pPr>
              <w:ind w:left="300"/>
              <w:spacing w:after="0"/>
              <w:rPr>
                <w:sz w:val="20"/>
                <w:szCs w:val="20"/>
                <w:color w:val="auto"/>
              </w:rPr>
            </w:pPr>
            <w:r>
              <w:rPr>
                <w:rFonts w:ascii="Arial" w:cs="Arial" w:eastAsia="Arial" w:hAnsi="Arial"/>
                <w:sz w:val="18"/>
                <w:szCs w:val="18"/>
                <w:color w:val="auto"/>
              </w:rPr>
              <w:t>Proposed Resolution</w:t>
            </w:r>
          </w:p>
        </w:tc>
        <w:tc>
          <w:tcPr>
            <w:tcW w:w="88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307"/>
        </w:trPr>
        <w:tc>
          <w:tcPr>
            <w:tcW w:w="10100" w:type="dxa"/>
            <w:vAlign w:val="bottom"/>
          </w:tcPr>
          <w:p>
            <w:pPr>
              <w:ind w:left="300"/>
              <w:spacing w:after="0"/>
              <w:rPr>
                <w:sz w:val="20"/>
                <w:szCs w:val="20"/>
                <w:color w:val="auto"/>
              </w:rPr>
            </w:pPr>
            <w:r>
              <w:rPr>
                <w:rFonts w:ascii="Arial" w:cs="Arial" w:eastAsia="Arial" w:hAnsi="Arial"/>
                <w:sz w:val="18"/>
                <w:szCs w:val="18"/>
                <w:color w:val="auto"/>
              </w:rPr>
              <w:t>Next Say-on-Pay Vote</w:t>
            </w:r>
          </w:p>
        </w:tc>
        <w:tc>
          <w:tcPr>
            <w:tcW w:w="88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307"/>
        </w:trPr>
        <w:tc>
          <w:tcPr>
            <w:tcW w:w="10100" w:type="dxa"/>
            <w:vAlign w:val="bottom"/>
          </w:tcPr>
          <w:p>
            <w:pPr>
              <w:ind w:left="300"/>
              <w:spacing w:after="0"/>
              <w:rPr>
                <w:sz w:val="20"/>
                <w:szCs w:val="20"/>
                <w:color w:val="auto"/>
              </w:rPr>
            </w:pPr>
            <w:r>
              <w:rPr>
                <w:rFonts w:ascii="Arial" w:cs="Arial" w:eastAsia="Arial" w:hAnsi="Arial"/>
                <w:sz w:val="18"/>
                <w:szCs w:val="18"/>
                <w:color w:val="auto"/>
              </w:rPr>
              <w:t>Board Recommendation</w:t>
            </w:r>
          </w:p>
        </w:tc>
        <w:tc>
          <w:tcPr>
            <w:tcW w:w="88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334"/>
        </w:trPr>
        <w:tc>
          <w:tcPr>
            <w:tcW w:w="10100" w:type="dxa"/>
            <w:vAlign w:val="bottom"/>
          </w:tcPr>
          <w:p>
            <w:pPr>
              <w:spacing w:after="0"/>
              <w:rPr>
                <w:sz w:val="20"/>
                <w:szCs w:val="20"/>
                <w:color w:val="auto"/>
              </w:rPr>
            </w:pPr>
            <w:r>
              <w:rPr>
                <w:rFonts w:ascii="Arial" w:cs="Arial" w:eastAsia="Arial" w:hAnsi="Arial"/>
                <w:sz w:val="18"/>
                <w:szCs w:val="18"/>
                <w:color w:val="BF2115"/>
              </w:rPr>
              <w:t>COMPENSATION DISCUSSION AND ANALYSIS</w:t>
            </w:r>
          </w:p>
        </w:tc>
        <w:tc>
          <w:tcPr>
            <w:tcW w:w="88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307"/>
        </w:trPr>
        <w:tc>
          <w:tcPr>
            <w:tcW w:w="10100" w:type="dxa"/>
            <w:vAlign w:val="bottom"/>
          </w:tcPr>
          <w:p>
            <w:pPr>
              <w:ind w:left="300"/>
              <w:spacing w:after="0"/>
              <w:rPr>
                <w:sz w:val="20"/>
                <w:szCs w:val="20"/>
                <w:color w:val="auto"/>
              </w:rPr>
            </w:pPr>
            <w:r>
              <w:rPr>
                <w:rFonts w:ascii="Arial" w:cs="Arial" w:eastAsia="Arial" w:hAnsi="Arial"/>
                <w:sz w:val="18"/>
                <w:szCs w:val="18"/>
                <w:color w:val="auto"/>
              </w:rPr>
              <w:t>Executive Summary: Fiscal 2024 Compensation Actions and Outcomes</w:t>
            </w:r>
          </w:p>
        </w:tc>
        <w:tc>
          <w:tcPr>
            <w:tcW w:w="88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307"/>
        </w:trPr>
        <w:tc>
          <w:tcPr>
            <w:tcW w:w="10100" w:type="dxa"/>
            <w:vAlign w:val="bottom"/>
          </w:tcPr>
          <w:p>
            <w:pPr>
              <w:ind w:left="300"/>
              <w:spacing w:after="0"/>
              <w:rPr>
                <w:sz w:val="20"/>
                <w:szCs w:val="20"/>
                <w:color w:val="auto"/>
              </w:rPr>
            </w:pPr>
            <w:r>
              <w:rPr>
                <w:rFonts w:ascii="Arial" w:cs="Arial" w:eastAsia="Arial" w:hAnsi="Arial"/>
                <w:sz w:val="18"/>
                <w:szCs w:val="18"/>
                <w:color w:val="auto"/>
              </w:rPr>
              <w:t>Compensation Philosophy</w:t>
            </w:r>
          </w:p>
        </w:tc>
        <w:tc>
          <w:tcPr>
            <w:tcW w:w="88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307"/>
        </w:trPr>
        <w:tc>
          <w:tcPr>
            <w:tcW w:w="10100" w:type="dxa"/>
            <w:vAlign w:val="bottom"/>
          </w:tcPr>
          <w:p>
            <w:pPr>
              <w:ind w:left="300"/>
              <w:spacing w:after="0"/>
              <w:rPr>
                <w:sz w:val="20"/>
                <w:szCs w:val="20"/>
                <w:color w:val="auto"/>
              </w:rPr>
            </w:pPr>
            <w:r>
              <w:rPr>
                <w:rFonts w:ascii="Arial" w:cs="Arial" w:eastAsia="Arial" w:hAnsi="Arial"/>
                <w:sz w:val="18"/>
                <w:szCs w:val="18"/>
                <w:color w:val="auto"/>
              </w:rPr>
              <w:t>Compensation Highlights and Best Practices</w:t>
            </w:r>
          </w:p>
        </w:tc>
        <w:tc>
          <w:tcPr>
            <w:tcW w:w="88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307"/>
        </w:trPr>
        <w:tc>
          <w:tcPr>
            <w:tcW w:w="10100" w:type="dxa"/>
            <w:vAlign w:val="bottom"/>
          </w:tcPr>
          <w:p>
            <w:pPr>
              <w:ind w:left="300"/>
              <w:spacing w:after="0"/>
              <w:rPr>
                <w:sz w:val="20"/>
                <w:szCs w:val="20"/>
                <w:color w:val="auto"/>
              </w:rPr>
            </w:pPr>
            <w:r>
              <w:rPr>
                <w:rFonts w:ascii="Arial" w:cs="Arial" w:eastAsia="Arial" w:hAnsi="Arial"/>
                <w:sz w:val="18"/>
                <w:szCs w:val="18"/>
                <w:color w:val="auto"/>
              </w:rPr>
              <w:t>Pay for Performance and Pay Mix</w:t>
            </w:r>
          </w:p>
        </w:tc>
        <w:tc>
          <w:tcPr>
            <w:tcW w:w="88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307"/>
        </w:trPr>
        <w:tc>
          <w:tcPr>
            <w:tcW w:w="10100" w:type="dxa"/>
            <w:vAlign w:val="bottom"/>
          </w:tcPr>
          <w:p>
            <w:pPr>
              <w:ind w:left="300"/>
              <w:spacing w:after="0"/>
              <w:rPr>
                <w:sz w:val="20"/>
                <w:szCs w:val="20"/>
                <w:color w:val="auto"/>
              </w:rPr>
            </w:pPr>
            <w:r>
              <w:rPr>
                <w:rFonts w:ascii="Arial" w:cs="Arial" w:eastAsia="Arial" w:hAnsi="Arial"/>
                <w:sz w:val="18"/>
                <w:szCs w:val="18"/>
                <w:color w:val="auto"/>
              </w:rPr>
              <w:t>Elements of Our Executive Compensation Program</w:t>
            </w:r>
          </w:p>
        </w:tc>
        <w:tc>
          <w:tcPr>
            <w:tcW w:w="88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307"/>
        </w:trPr>
        <w:tc>
          <w:tcPr>
            <w:tcW w:w="10100" w:type="dxa"/>
            <w:vAlign w:val="bottom"/>
          </w:tcPr>
          <w:p>
            <w:pPr>
              <w:ind w:left="300"/>
              <w:spacing w:after="0"/>
              <w:rPr>
                <w:sz w:val="20"/>
                <w:szCs w:val="20"/>
                <w:color w:val="auto"/>
              </w:rPr>
            </w:pPr>
            <w:r>
              <w:rPr>
                <w:rFonts w:ascii="Arial" w:cs="Arial" w:eastAsia="Arial" w:hAnsi="Arial"/>
                <w:sz w:val="18"/>
                <w:szCs w:val="18"/>
                <w:color w:val="auto"/>
              </w:rPr>
              <w:t>Employment, Severance and Change in Control Arrangements</w:t>
            </w:r>
          </w:p>
        </w:tc>
        <w:tc>
          <w:tcPr>
            <w:tcW w:w="88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307"/>
        </w:trPr>
        <w:tc>
          <w:tcPr>
            <w:tcW w:w="10100" w:type="dxa"/>
            <w:vAlign w:val="bottom"/>
          </w:tcPr>
          <w:p>
            <w:pPr>
              <w:ind w:left="300"/>
              <w:spacing w:after="0"/>
              <w:rPr>
                <w:sz w:val="20"/>
                <w:szCs w:val="20"/>
                <w:color w:val="auto"/>
              </w:rPr>
            </w:pPr>
            <w:r>
              <w:rPr>
                <w:rFonts w:ascii="Arial" w:cs="Arial" w:eastAsia="Arial" w:hAnsi="Arial"/>
                <w:sz w:val="18"/>
                <w:szCs w:val="18"/>
                <w:color w:val="auto"/>
              </w:rPr>
              <w:t>Named Executive Officer Stock Ownership Guidelines</w:t>
            </w:r>
          </w:p>
        </w:tc>
        <w:tc>
          <w:tcPr>
            <w:tcW w:w="88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307"/>
        </w:trPr>
        <w:tc>
          <w:tcPr>
            <w:tcW w:w="10100" w:type="dxa"/>
            <w:vAlign w:val="bottom"/>
          </w:tcPr>
          <w:p>
            <w:pPr>
              <w:ind w:left="300"/>
              <w:spacing w:after="0"/>
              <w:rPr>
                <w:sz w:val="20"/>
                <w:szCs w:val="20"/>
                <w:color w:val="auto"/>
              </w:rPr>
            </w:pPr>
            <w:r>
              <w:rPr>
                <w:rFonts w:ascii="Arial" w:cs="Arial" w:eastAsia="Arial" w:hAnsi="Arial"/>
                <w:sz w:val="18"/>
                <w:szCs w:val="18"/>
                <w:color w:val="auto"/>
              </w:rPr>
              <w:t>Anti-Hedging and Anti-Pledging</w:t>
            </w:r>
          </w:p>
        </w:tc>
        <w:tc>
          <w:tcPr>
            <w:tcW w:w="88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307"/>
        </w:trPr>
        <w:tc>
          <w:tcPr>
            <w:tcW w:w="10100" w:type="dxa"/>
            <w:vAlign w:val="bottom"/>
          </w:tcPr>
          <w:p>
            <w:pPr>
              <w:ind w:left="300"/>
              <w:spacing w:after="0"/>
              <w:rPr>
                <w:sz w:val="20"/>
                <w:szCs w:val="20"/>
                <w:color w:val="auto"/>
              </w:rPr>
            </w:pPr>
            <w:r>
              <w:rPr>
                <w:rFonts w:ascii="Arial" w:cs="Arial" w:eastAsia="Arial" w:hAnsi="Arial"/>
                <w:sz w:val="18"/>
                <w:szCs w:val="18"/>
                <w:color w:val="auto"/>
              </w:rPr>
              <w:t>Tax Considerations</w:t>
            </w:r>
          </w:p>
        </w:tc>
        <w:tc>
          <w:tcPr>
            <w:tcW w:w="88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307"/>
        </w:trPr>
        <w:tc>
          <w:tcPr>
            <w:tcW w:w="10100" w:type="dxa"/>
            <w:vAlign w:val="bottom"/>
          </w:tcPr>
          <w:p>
            <w:pPr>
              <w:ind w:left="300"/>
              <w:spacing w:after="0"/>
              <w:rPr>
                <w:sz w:val="20"/>
                <w:szCs w:val="20"/>
                <w:color w:val="auto"/>
              </w:rPr>
            </w:pPr>
            <w:r>
              <w:rPr>
                <w:rFonts w:ascii="Arial" w:cs="Arial" w:eastAsia="Arial" w:hAnsi="Arial"/>
                <w:sz w:val="18"/>
                <w:szCs w:val="18"/>
                <w:color w:val="auto"/>
              </w:rPr>
              <w:t>Risk Assessment</w:t>
            </w:r>
          </w:p>
        </w:tc>
        <w:tc>
          <w:tcPr>
            <w:tcW w:w="88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307"/>
        </w:trPr>
        <w:tc>
          <w:tcPr>
            <w:tcW w:w="10100" w:type="dxa"/>
            <w:vAlign w:val="bottom"/>
          </w:tcPr>
          <w:p>
            <w:pPr>
              <w:ind w:left="300"/>
              <w:spacing w:after="0"/>
              <w:rPr>
                <w:sz w:val="20"/>
                <w:szCs w:val="20"/>
                <w:color w:val="auto"/>
              </w:rPr>
            </w:pPr>
            <w:r>
              <w:rPr>
                <w:rFonts w:ascii="Arial" w:cs="Arial" w:eastAsia="Arial" w:hAnsi="Arial"/>
                <w:sz w:val="18"/>
                <w:szCs w:val="18"/>
                <w:color w:val="auto"/>
              </w:rPr>
              <w:t>Clawback Policy and Provisions</w:t>
            </w:r>
          </w:p>
        </w:tc>
        <w:tc>
          <w:tcPr>
            <w:tcW w:w="88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307"/>
        </w:trPr>
        <w:tc>
          <w:tcPr>
            <w:tcW w:w="10100" w:type="dxa"/>
            <w:vAlign w:val="bottom"/>
          </w:tcPr>
          <w:p>
            <w:pPr>
              <w:ind w:left="300"/>
              <w:spacing w:after="0"/>
              <w:rPr>
                <w:sz w:val="20"/>
                <w:szCs w:val="20"/>
                <w:color w:val="auto"/>
              </w:rPr>
            </w:pPr>
            <w:r>
              <w:rPr>
                <w:rFonts w:ascii="Arial" w:cs="Arial" w:eastAsia="Arial" w:hAnsi="Arial"/>
                <w:sz w:val="18"/>
                <w:szCs w:val="18"/>
                <w:color w:val="auto"/>
              </w:rPr>
              <w:t>Competitive Considerations and Use of Market Data</w:t>
            </w:r>
          </w:p>
        </w:tc>
        <w:tc>
          <w:tcPr>
            <w:tcW w:w="88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307"/>
        </w:trPr>
        <w:tc>
          <w:tcPr>
            <w:tcW w:w="10100" w:type="dxa"/>
            <w:vAlign w:val="bottom"/>
          </w:tcPr>
          <w:p>
            <w:pPr>
              <w:ind w:left="300"/>
              <w:spacing w:after="0"/>
              <w:rPr>
                <w:sz w:val="20"/>
                <w:szCs w:val="20"/>
                <w:color w:val="auto"/>
              </w:rPr>
            </w:pPr>
            <w:r>
              <w:rPr>
                <w:rFonts w:ascii="Arial" w:cs="Arial" w:eastAsia="Arial" w:hAnsi="Arial"/>
                <w:sz w:val="18"/>
                <w:szCs w:val="18"/>
                <w:color w:val="auto"/>
              </w:rPr>
              <w:t>How We Make Compensation Decisions</w:t>
            </w:r>
          </w:p>
        </w:tc>
        <w:tc>
          <w:tcPr>
            <w:tcW w:w="880" w:type="dxa"/>
            <w:vAlign w:val="bottom"/>
          </w:tcPr>
          <w:p>
            <w:pPr>
              <w:jc w:val="right"/>
              <w:spacing w:after="0"/>
              <w:rPr>
                <w:sz w:val="20"/>
                <w:szCs w:val="20"/>
                <w:color w:val="auto"/>
              </w:rPr>
            </w:pPr>
            <w:r>
              <w:rPr>
                <w:rFonts w:ascii="Arial" w:cs="Arial" w:eastAsia="Arial" w:hAnsi="Arial"/>
                <w:sz w:val="18"/>
                <w:szCs w:val="18"/>
                <w:color w:val="auto"/>
              </w:rPr>
              <w:t>42</w:t>
            </w:r>
          </w:p>
        </w:tc>
      </w:tr>
      <w:tr>
        <w:trPr>
          <w:trHeight w:val="307"/>
        </w:trPr>
        <w:tc>
          <w:tcPr>
            <w:tcW w:w="10100" w:type="dxa"/>
            <w:vAlign w:val="bottom"/>
          </w:tcPr>
          <w:p>
            <w:pPr>
              <w:ind w:left="300"/>
              <w:spacing w:after="0"/>
              <w:rPr>
                <w:sz w:val="20"/>
                <w:szCs w:val="20"/>
                <w:color w:val="auto"/>
              </w:rPr>
            </w:pPr>
            <w:r>
              <w:rPr>
                <w:rFonts w:ascii="Arial" w:cs="Arial" w:eastAsia="Arial" w:hAnsi="Arial"/>
                <w:sz w:val="18"/>
                <w:szCs w:val="18"/>
                <w:color w:val="auto"/>
              </w:rPr>
              <w:t>Compensation and Human Resources Committee Report</w:t>
            </w:r>
          </w:p>
        </w:tc>
        <w:tc>
          <w:tcPr>
            <w:tcW w:w="880" w:type="dxa"/>
            <w:vAlign w:val="bottom"/>
          </w:tcPr>
          <w:p>
            <w:pPr>
              <w:jc w:val="right"/>
              <w:spacing w:after="0"/>
              <w:rPr>
                <w:sz w:val="20"/>
                <w:szCs w:val="20"/>
                <w:color w:val="auto"/>
              </w:rPr>
            </w:pPr>
            <w:r>
              <w:rPr>
                <w:rFonts w:ascii="Arial" w:cs="Arial" w:eastAsia="Arial" w:hAnsi="Arial"/>
                <w:sz w:val="18"/>
                <w:szCs w:val="18"/>
                <w:color w:val="auto"/>
              </w:rPr>
              <w:t>44</w:t>
            </w:r>
          </w:p>
        </w:tc>
      </w:tr>
      <w:tr>
        <w:trPr>
          <w:trHeight w:val="334"/>
        </w:trPr>
        <w:tc>
          <w:tcPr>
            <w:tcW w:w="10100" w:type="dxa"/>
            <w:vAlign w:val="bottom"/>
          </w:tcPr>
          <w:p>
            <w:pPr>
              <w:spacing w:after="0"/>
              <w:rPr>
                <w:sz w:val="20"/>
                <w:szCs w:val="20"/>
                <w:color w:val="auto"/>
              </w:rPr>
            </w:pPr>
            <w:r>
              <w:rPr>
                <w:rFonts w:ascii="Arial" w:cs="Arial" w:eastAsia="Arial" w:hAnsi="Arial"/>
                <w:sz w:val="18"/>
                <w:szCs w:val="18"/>
                <w:color w:val="C00000"/>
              </w:rPr>
              <w:t>EXECUTIVE COMPENSATION</w:t>
            </w:r>
          </w:p>
        </w:tc>
        <w:tc>
          <w:tcPr>
            <w:tcW w:w="880" w:type="dxa"/>
            <w:vAlign w:val="bottom"/>
          </w:tcPr>
          <w:p>
            <w:pPr>
              <w:jc w:val="right"/>
              <w:spacing w:after="0"/>
              <w:rPr>
                <w:sz w:val="20"/>
                <w:szCs w:val="20"/>
                <w:color w:val="auto"/>
              </w:rPr>
            </w:pPr>
            <w:r>
              <w:rPr>
                <w:rFonts w:ascii="Arial" w:cs="Arial" w:eastAsia="Arial" w:hAnsi="Arial"/>
                <w:sz w:val="18"/>
                <w:szCs w:val="18"/>
                <w:color w:val="auto"/>
              </w:rPr>
              <w:t>45</w:t>
            </w:r>
          </w:p>
        </w:tc>
      </w:tr>
      <w:tr>
        <w:trPr>
          <w:trHeight w:val="334"/>
        </w:trPr>
        <w:tc>
          <w:tcPr>
            <w:tcW w:w="10100" w:type="dxa"/>
            <w:vAlign w:val="bottom"/>
          </w:tcPr>
          <w:p>
            <w:pPr>
              <w:ind w:left="280"/>
              <w:spacing w:after="0"/>
              <w:rPr>
                <w:sz w:val="20"/>
                <w:szCs w:val="20"/>
                <w:color w:val="auto"/>
              </w:rPr>
            </w:pPr>
            <w:r>
              <w:rPr>
                <w:rFonts w:ascii="Arial" w:cs="Arial" w:eastAsia="Arial" w:hAnsi="Arial"/>
                <w:sz w:val="18"/>
                <w:szCs w:val="18"/>
                <w:color w:val="auto"/>
              </w:rPr>
              <w:t>Summary Compensation Table</w:t>
            </w:r>
          </w:p>
        </w:tc>
        <w:tc>
          <w:tcPr>
            <w:tcW w:w="880" w:type="dxa"/>
            <w:vAlign w:val="bottom"/>
          </w:tcPr>
          <w:p>
            <w:pPr>
              <w:jc w:val="right"/>
              <w:spacing w:after="0"/>
              <w:rPr>
                <w:sz w:val="20"/>
                <w:szCs w:val="20"/>
                <w:color w:val="auto"/>
              </w:rPr>
            </w:pPr>
            <w:r>
              <w:rPr>
                <w:rFonts w:ascii="Arial" w:cs="Arial" w:eastAsia="Arial" w:hAnsi="Arial"/>
                <w:sz w:val="18"/>
                <w:szCs w:val="18"/>
                <w:color w:val="auto"/>
              </w:rPr>
              <w:t>45</w:t>
            </w:r>
          </w:p>
        </w:tc>
      </w:tr>
      <w:tr>
        <w:trPr>
          <w:trHeight w:val="334"/>
        </w:trPr>
        <w:tc>
          <w:tcPr>
            <w:tcW w:w="10100" w:type="dxa"/>
            <w:vAlign w:val="bottom"/>
          </w:tcPr>
          <w:p>
            <w:pPr>
              <w:ind w:left="280"/>
              <w:spacing w:after="0"/>
              <w:rPr>
                <w:sz w:val="20"/>
                <w:szCs w:val="20"/>
                <w:color w:val="auto"/>
              </w:rPr>
            </w:pPr>
            <w:r>
              <w:rPr>
                <w:rFonts w:ascii="Arial" w:cs="Arial" w:eastAsia="Arial" w:hAnsi="Arial"/>
                <w:sz w:val="18"/>
                <w:szCs w:val="18"/>
                <w:color w:val="auto"/>
              </w:rPr>
              <w:t>All Other Compensation for Fiscal 2024</w:t>
            </w:r>
          </w:p>
        </w:tc>
        <w:tc>
          <w:tcPr>
            <w:tcW w:w="880" w:type="dxa"/>
            <w:vAlign w:val="bottom"/>
          </w:tcPr>
          <w:p>
            <w:pPr>
              <w:jc w:val="right"/>
              <w:spacing w:after="0"/>
              <w:rPr>
                <w:sz w:val="20"/>
                <w:szCs w:val="20"/>
                <w:color w:val="auto"/>
              </w:rPr>
            </w:pPr>
            <w:r>
              <w:rPr>
                <w:rFonts w:ascii="Arial" w:cs="Arial" w:eastAsia="Arial" w:hAnsi="Arial"/>
                <w:sz w:val="18"/>
                <w:szCs w:val="18"/>
                <w:color w:val="auto"/>
              </w:rPr>
              <w:t>46</w:t>
            </w:r>
          </w:p>
        </w:tc>
      </w:tr>
    </w:tbl>
    <w:p>
      <w:pPr>
        <w:spacing w:after="0" w:line="200" w:lineRule="exact"/>
        <w:rPr>
          <w:sz w:val="20"/>
          <w:szCs w:val="20"/>
          <w:color w:val="auto"/>
        </w:rPr>
      </w:pPr>
    </w:p>
    <w:p>
      <w:pPr>
        <w:sectPr>
          <w:pgSz w:w="11900" w:h="16838" w:orient="portrait"/>
          <w:cols w:equalWidth="0" w:num="1">
            <w:col w:w="10980"/>
          </w:cols>
          <w:pgMar w:left="340" w:top="1217" w:right="579" w:bottom="466"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ind w:right="-239"/>
        <w:spacing w:after="0"/>
        <w:rPr>
          <w:sz w:val="20"/>
          <w:szCs w:val="20"/>
          <w:color w:val="auto"/>
        </w:rPr>
      </w:pPr>
      <w:r>
        <w:rPr>
          <w:rFonts w:ascii="Arial" w:cs="Arial" w:eastAsia="Arial" w:hAnsi="Arial"/>
          <w:sz w:val="20"/>
          <w:szCs w:val="20"/>
          <w:color w:val="auto"/>
        </w:rPr>
        <w:t>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-20320</wp:posOffset>
            </wp:positionH>
            <wp:positionV relativeFrom="paragraph">
              <wp:posOffset>86995</wp:posOffset>
            </wp:positionV>
            <wp:extent cx="715962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0980"/>
          </w:cols>
          <w:pgMar w:left="340" w:top="1217" w:right="579" w:bottom="466" w:gutter="0" w:footer="0" w:header="0"/>
          <w:type w:val="continuous"/>
        </w:sectPr>
      </w:pPr>
    </w:p>
    <w:bookmarkStart w:id="7" w:name="page8"/>
    <w:bookmarkEnd w:id="7"/>
    <w:tbl>
      <w:tblPr>
        <w:tblLayout w:type="fixed"/>
        <w:tblInd w:w="20" w:type="dxa"/>
        <w:tblCellMar>
          <w:top w:w="0" w:type="dxa"/>
          <w:left w:w="0" w:type="dxa"/>
          <w:bottom w:w="0" w:type="dxa"/>
          <w:right w:w="0" w:type="dxa"/>
        </w:tblCellMar>
      </w:tblPr>
      <w:tr>
        <w:trPr>
          <w:trHeight w:val="246"/>
        </w:trPr>
        <w:tc>
          <w:tcPr>
            <w:tcW w:w="8880" w:type="dxa"/>
            <w:vAlign w:val="bottom"/>
          </w:tcPr>
          <w:p>
            <w:pPr>
              <w:ind w:left="280"/>
              <w:spacing w:after="0"/>
              <w:rPr>
                <w:sz w:val="20"/>
                <w:szCs w:val="20"/>
                <w:color w:val="auto"/>
              </w:rPr>
            </w:pPr>
            <w:r>
              <w:rPr>
                <w:rFonts w:ascii="Arial" w:cs="Arial" w:eastAsia="Arial" w:hAnsi="Arial"/>
                <w:sz w:val="18"/>
                <w:szCs w:val="18"/>
                <w:color w:val="auto"/>
              </w:rPr>
              <w:t>Grants of Plan-Based Awards for Fiscal 2024</w:t>
            </w:r>
          </w:p>
        </w:tc>
        <w:tc>
          <w:tcPr>
            <w:tcW w:w="2100" w:type="dxa"/>
            <w:vAlign w:val="bottom"/>
          </w:tcPr>
          <w:p>
            <w:pPr>
              <w:jc w:val="right"/>
              <w:spacing w:after="0"/>
              <w:rPr>
                <w:sz w:val="20"/>
                <w:szCs w:val="20"/>
                <w:color w:val="auto"/>
              </w:rPr>
            </w:pPr>
            <w:r>
              <w:rPr>
                <w:rFonts w:ascii="Arial" w:cs="Arial" w:eastAsia="Arial" w:hAnsi="Arial"/>
                <w:sz w:val="18"/>
                <w:szCs w:val="18"/>
                <w:color w:val="auto"/>
              </w:rPr>
              <w:t>47</w:t>
            </w:r>
          </w:p>
        </w:tc>
      </w:tr>
      <w:tr>
        <w:trPr>
          <w:trHeight w:val="254"/>
        </w:trPr>
        <w:tc>
          <w:tcPr>
            <w:tcW w:w="8880" w:type="dxa"/>
            <w:vAlign w:val="bottom"/>
          </w:tcPr>
          <w:p>
            <w:pPr>
              <w:ind w:left="280"/>
              <w:spacing w:after="0"/>
              <w:rPr>
                <w:sz w:val="20"/>
                <w:szCs w:val="20"/>
                <w:color w:val="auto"/>
              </w:rPr>
            </w:pPr>
            <w:r>
              <w:rPr>
                <w:rFonts w:ascii="Arial" w:cs="Arial" w:eastAsia="Arial" w:hAnsi="Arial"/>
                <w:sz w:val="18"/>
                <w:szCs w:val="18"/>
                <w:color w:val="auto"/>
              </w:rPr>
              <w:t>Outstanding Equity Awards at Fiscal Year-End for 2024</w:t>
            </w:r>
          </w:p>
        </w:tc>
        <w:tc>
          <w:tcPr>
            <w:tcW w:w="2100" w:type="dxa"/>
            <w:vAlign w:val="bottom"/>
          </w:tcPr>
          <w:p>
            <w:pPr>
              <w:jc w:val="right"/>
              <w:spacing w:after="0"/>
              <w:rPr>
                <w:sz w:val="20"/>
                <w:szCs w:val="20"/>
                <w:color w:val="auto"/>
              </w:rPr>
            </w:pPr>
            <w:r>
              <w:rPr>
                <w:rFonts w:ascii="Arial" w:cs="Arial" w:eastAsia="Arial" w:hAnsi="Arial"/>
                <w:sz w:val="18"/>
                <w:szCs w:val="18"/>
                <w:color w:val="auto"/>
              </w:rPr>
              <w:t>48</w:t>
            </w:r>
          </w:p>
        </w:tc>
      </w:tr>
      <w:tr>
        <w:trPr>
          <w:trHeight w:val="334"/>
        </w:trPr>
        <w:tc>
          <w:tcPr>
            <w:tcW w:w="8880" w:type="dxa"/>
            <w:vAlign w:val="bottom"/>
          </w:tcPr>
          <w:p>
            <w:pPr>
              <w:ind w:left="280"/>
              <w:spacing w:after="0"/>
              <w:rPr>
                <w:sz w:val="20"/>
                <w:szCs w:val="20"/>
                <w:color w:val="auto"/>
              </w:rPr>
            </w:pPr>
            <w:r>
              <w:rPr>
                <w:rFonts w:ascii="Arial" w:cs="Arial" w:eastAsia="Arial" w:hAnsi="Arial"/>
                <w:sz w:val="18"/>
                <w:szCs w:val="18"/>
                <w:color w:val="auto"/>
              </w:rPr>
              <w:t>Option Exercised and Stock Vested for Fiscal 2024</w:t>
            </w:r>
          </w:p>
        </w:tc>
        <w:tc>
          <w:tcPr>
            <w:tcW w:w="2100" w:type="dxa"/>
            <w:vAlign w:val="bottom"/>
          </w:tcPr>
          <w:p>
            <w:pPr>
              <w:jc w:val="right"/>
              <w:spacing w:after="0"/>
              <w:rPr>
                <w:sz w:val="20"/>
                <w:szCs w:val="20"/>
                <w:color w:val="auto"/>
              </w:rPr>
            </w:pPr>
            <w:r>
              <w:rPr>
                <w:rFonts w:ascii="Arial" w:cs="Arial" w:eastAsia="Arial" w:hAnsi="Arial"/>
                <w:sz w:val="18"/>
                <w:szCs w:val="18"/>
                <w:color w:val="auto"/>
              </w:rPr>
              <w:t>51</w:t>
            </w:r>
          </w:p>
        </w:tc>
      </w:tr>
      <w:tr>
        <w:trPr>
          <w:trHeight w:val="334"/>
        </w:trPr>
        <w:tc>
          <w:tcPr>
            <w:tcW w:w="8880" w:type="dxa"/>
            <w:vAlign w:val="bottom"/>
          </w:tcPr>
          <w:p>
            <w:pPr>
              <w:ind w:left="280"/>
              <w:spacing w:after="0"/>
              <w:rPr>
                <w:sz w:val="20"/>
                <w:szCs w:val="20"/>
                <w:color w:val="auto"/>
              </w:rPr>
            </w:pPr>
            <w:r>
              <w:rPr>
                <w:rFonts w:ascii="Arial" w:cs="Arial" w:eastAsia="Arial" w:hAnsi="Arial"/>
                <w:sz w:val="18"/>
                <w:szCs w:val="18"/>
                <w:color w:val="auto"/>
              </w:rPr>
              <w:t>Nonqualified Deferred Compensation for Fiscal 2024</w:t>
            </w:r>
          </w:p>
        </w:tc>
        <w:tc>
          <w:tcPr>
            <w:tcW w:w="2100" w:type="dxa"/>
            <w:vAlign w:val="bottom"/>
          </w:tcPr>
          <w:p>
            <w:pPr>
              <w:jc w:val="right"/>
              <w:spacing w:after="0"/>
              <w:rPr>
                <w:sz w:val="20"/>
                <w:szCs w:val="20"/>
                <w:color w:val="auto"/>
              </w:rPr>
            </w:pPr>
            <w:r>
              <w:rPr>
                <w:rFonts w:ascii="Arial" w:cs="Arial" w:eastAsia="Arial" w:hAnsi="Arial"/>
                <w:sz w:val="18"/>
                <w:szCs w:val="18"/>
                <w:color w:val="auto"/>
              </w:rPr>
              <w:t>52</w:t>
            </w:r>
          </w:p>
        </w:tc>
      </w:tr>
      <w:tr>
        <w:trPr>
          <w:trHeight w:val="254"/>
        </w:trPr>
        <w:tc>
          <w:tcPr>
            <w:tcW w:w="8880" w:type="dxa"/>
            <w:vAlign w:val="bottom"/>
          </w:tcPr>
          <w:p>
            <w:pPr>
              <w:ind w:left="280"/>
              <w:spacing w:after="0"/>
              <w:rPr>
                <w:sz w:val="20"/>
                <w:szCs w:val="20"/>
                <w:color w:val="auto"/>
              </w:rPr>
            </w:pPr>
            <w:r>
              <w:rPr>
                <w:rFonts w:ascii="Arial" w:cs="Arial" w:eastAsia="Arial" w:hAnsi="Arial"/>
                <w:sz w:val="18"/>
                <w:szCs w:val="18"/>
                <w:color w:val="auto"/>
              </w:rPr>
              <w:t>Pay Versus Performance (PvP)</w:t>
            </w:r>
          </w:p>
        </w:tc>
        <w:tc>
          <w:tcPr>
            <w:tcW w:w="2100" w:type="dxa"/>
            <w:vAlign w:val="bottom"/>
          </w:tcPr>
          <w:p>
            <w:pPr>
              <w:jc w:val="right"/>
              <w:spacing w:after="0"/>
              <w:rPr>
                <w:sz w:val="20"/>
                <w:szCs w:val="20"/>
                <w:color w:val="auto"/>
              </w:rPr>
            </w:pPr>
            <w:r>
              <w:rPr>
                <w:rFonts w:ascii="Arial" w:cs="Arial" w:eastAsia="Arial" w:hAnsi="Arial"/>
                <w:sz w:val="18"/>
                <w:szCs w:val="18"/>
                <w:color w:val="auto"/>
              </w:rPr>
              <w:t>56</w:t>
            </w:r>
          </w:p>
        </w:tc>
      </w:tr>
      <w:tr>
        <w:trPr>
          <w:trHeight w:val="334"/>
        </w:trPr>
        <w:tc>
          <w:tcPr>
            <w:tcW w:w="8880" w:type="dxa"/>
            <w:vAlign w:val="bottom"/>
          </w:tcPr>
          <w:p>
            <w:pPr>
              <w:ind w:left="280"/>
              <w:spacing w:after="0"/>
              <w:rPr>
                <w:sz w:val="20"/>
                <w:szCs w:val="20"/>
                <w:color w:val="auto"/>
              </w:rPr>
            </w:pPr>
            <w:r>
              <w:rPr>
                <w:rFonts w:ascii="Arial" w:cs="Arial" w:eastAsia="Arial" w:hAnsi="Arial"/>
                <w:sz w:val="18"/>
                <w:szCs w:val="18"/>
                <w:color w:val="auto"/>
              </w:rPr>
              <w:t>Potential Payments Upon Termination or Change in Control</w:t>
            </w:r>
          </w:p>
        </w:tc>
        <w:tc>
          <w:tcPr>
            <w:tcW w:w="2100" w:type="dxa"/>
            <w:vAlign w:val="bottom"/>
          </w:tcPr>
          <w:p>
            <w:pPr>
              <w:jc w:val="right"/>
              <w:spacing w:after="0"/>
              <w:rPr>
                <w:sz w:val="20"/>
                <w:szCs w:val="20"/>
                <w:color w:val="auto"/>
              </w:rPr>
            </w:pPr>
            <w:r>
              <w:rPr>
                <w:rFonts w:ascii="Arial" w:cs="Arial" w:eastAsia="Arial" w:hAnsi="Arial"/>
                <w:sz w:val="18"/>
                <w:szCs w:val="18"/>
                <w:color w:val="auto"/>
              </w:rPr>
              <w:t>60</w:t>
            </w:r>
          </w:p>
        </w:tc>
      </w:tr>
      <w:tr>
        <w:trPr>
          <w:trHeight w:val="334"/>
        </w:trPr>
        <w:tc>
          <w:tcPr>
            <w:tcW w:w="8880" w:type="dxa"/>
            <w:vAlign w:val="bottom"/>
          </w:tcPr>
          <w:p>
            <w:pPr>
              <w:ind w:left="280"/>
              <w:spacing w:after="0"/>
              <w:rPr>
                <w:sz w:val="20"/>
                <w:szCs w:val="20"/>
                <w:color w:val="auto"/>
              </w:rPr>
            </w:pPr>
            <w:r>
              <w:rPr>
                <w:rFonts w:ascii="Arial" w:cs="Arial" w:eastAsia="Arial" w:hAnsi="Arial"/>
                <w:sz w:val="18"/>
                <w:szCs w:val="18"/>
                <w:color w:val="auto"/>
              </w:rPr>
              <w:t>Pay Ratio Disclosure</w:t>
            </w:r>
          </w:p>
        </w:tc>
        <w:tc>
          <w:tcPr>
            <w:tcW w:w="2100" w:type="dxa"/>
            <w:vAlign w:val="bottom"/>
          </w:tcPr>
          <w:p>
            <w:pPr>
              <w:jc w:val="right"/>
              <w:spacing w:after="0"/>
              <w:rPr>
                <w:sz w:val="20"/>
                <w:szCs w:val="20"/>
                <w:color w:val="auto"/>
              </w:rPr>
            </w:pPr>
            <w:r>
              <w:rPr>
                <w:rFonts w:ascii="Arial" w:cs="Arial" w:eastAsia="Arial" w:hAnsi="Arial"/>
                <w:sz w:val="18"/>
                <w:szCs w:val="18"/>
                <w:color w:val="auto"/>
              </w:rPr>
              <w:t>65</w:t>
            </w:r>
          </w:p>
        </w:tc>
      </w:tr>
      <w:tr>
        <w:trPr>
          <w:trHeight w:val="334"/>
        </w:trPr>
        <w:tc>
          <w:tcPr>
            <w:tcW w:w="8880" w:type="dxa"/>
            <w:vAlign w:val="bottom"/>
          </w:tcPr>
          <w:p>
            <w:pPr>
              <w:ind w:left="280"/>
              <w:spacing w:after="0"/>
              <w:rPr>
                <w:sz w:val="20"/>
                <w:szCs w:val="20"/>
                <w:color w:val="auto"/>
              </w:rPr>
            </w:pPr>
            <w:r>
              <w:rPr>
                <w:rFonts w:ascii="Arial" w:cs="Arial" w:eastAsia="Arial" w:hAnsi="Arial"/>
                <w:sz w:val="18"/>
                <w:szCs w:val="18"/>
                <w:color w:val="auto"/>
              </w:rPr>
              <w:t>Compensation and Human Resources Committee Interlocks and Insider Participation</w:t>
            </w:r>
          </w:p>
        </w:tc>
        <w:tc>
          <w:tcPr>
            <w:tcW w:w="2100" w:type="dxa"/>
            <w:vAlign w:val="bottom"/>
          </w:tcPr>
          <w:p>
            <w:pPr>
              <w:jc w:val="right"/>
              <w:spacing w:after="0"/>
              <w:rPr>
                <w:sz w:val="20"/>
                <w:szCs w:val="20"/>
                <w:color w:val="auto"/>
              </w:rPr>
            </w:pPr>
            <w:r>
              <w:rPr>
                <w:rFonts w:ascii="Arial" w:cs="Arial" w:eastAsia="Arial" w:hAnsi="Arial"/>
                <w:sz w:val="18"/>
                <w:szCs w:val="18"/>
                <w:color w:val="auto"/>
              </w:rPr>
              <w:t>65</w:t>
            </w:r>
          </w:p>
        </w:tc>
      </w:tr>
      <w:tr>
        <w:trPr>
          <w:trHeight w:val="334"/>
        </w:trPr>
        <w:tc>
          <w:tcPr>
            <w:tcW w:w="8880" w:type="dxa"/>
            <w:vAlign w:val="bottom"/>
          </w:tcPr>
          <w:p>
            <w:pPr>
              <w:spacing w:after="0"/>
              <w:rPr>
                <w:sz w:val="20"/>
                <w:szCs w:val="20"/>
                <w:color w:val="auto"/>
              </w:rPr>
            </w:pPr>
            <w:r>
              <w:rPr>
                <w:rFonts w:ascii="Arial" w:cs="Arial" w:eastAsia="Arial" w:hAnsi="Arial"/>
                <w:sz w:val="18"/>
                <w:szCs w:val="18"/>
                <w:color w:val="C00000"/>
              </w:rPr>
              <w:t>STOCK OWNERSHIP</w:t>
            </w:r>
          </w:p>
        </w:tc>
        <w:tc>
          <w:tcPr>
            <w:tcW w:w="2100" w:type="dxa"/>
            <w:vAlign w:val="bottom"/>
          </w:tcPr>
          <w:p>
            <w:pPr>
              <w:jc w:val="right"/>
              <w:spacing w:after="0"/>
              <w:rPr>
                <w:sz w:val="20"/>
                <w:szCs w:val="20"/>
                <w:color w:val="auto"/>
              </w:rPr>
            </w:pPr>
            <w:r>
              <w:rPr>
                <w:rFonts w:ascii="Arial" w:cs="Arial" w:eastAsia="Arial" w:hAnsi="Arial"/>
                <w:sz w:val="18"/>
                <w:szCs w:val="18"/>
                <w:color w:val="auto"/>
              </w:rPr>
              <w:t>66</w:t>
            </w:r>
          </w:p>
        </w:tc>
      </w:tr>
      <w:tr>
        <w:trPr>
          <w:trHeight w:val="307"/>
        </w:trPr>
        <w:tc>
          <w:tcPr>
            <w:tcW w:w="8880" w:type="dxa"/>
            <w:vAlign w:val="bottom"/>
          </w:tcPr>
          <w:p>
            <w:pPr>
              <w:ind w:left="300"/>
              <w:spacing w:after="0"/>
              <w:rPr>
                <w:sz w:val="20"/>
                <w:szCs w:val="20"/>
                <w:color w:val="auto"/>
              </w:rPr>
            </w:pPr>
            <w:r>
              <w:rPr>
                <w:rFonts w:ascii="Arial" w:cs="Arial" w:eastAsia="Arial" w:hAnsi="Arial"/>
                <w:sz w:val="18"/>
                <w:szCs w:val="18"/>
                <w:color w:val="auto"/>
              </w:rPr>
              <w:t>Significant Beneficial Owners</w:t>
            </w:r>
          </w:p>
        </w:tc>
        <w:tc>
          <w:tcPr>
            <w:tcW w:w="2100" w:type="dxa"/>
            <w:vAlign w:val="bottom"/>
          </w:tcPr>
          <w:p>
            <w:pPr>
              <w:jc w:val="right"/>
              <w:spacing w:after="0"/>
              <w:rPr>
                <w:sz w:val="20"/>
                <w:szCs w:val="20"/>
                <w:color w:val="auto"/>
              </w:rPr>
            </w:pPr>
            <w:r>
              <w:rPr>
                <w:rFonts w:ascii="Arial" w:cs="Arial" w:eastAsia="Arial" w:hAnsi="Arial"/>
                <w:sz w:val="18"/>
                <w:szCs w:val="18"/>
                <w:color w:val="auto"/>
              </w:rPr>
              <w:t>66</w:t>
            </w:r>
          </w:p>
        </w:tc>
      </w:tr>
      <w:tr>
        <w:trPr>
          <w:trHeight w:val="307"/>
        </w:trPr>
        <w:tc>
          <w:tcPr>
            <w:tcW w:w="8880" w:type="dxa"/>
            <w:vAlign w:val="bottom"/>
          </w:tcPr>
          <w:p>
            <w:pPr>
              <w:ind w:left="300"/>
              <w:spacing w:after="0"/>
              <w:rPr>
                <w:sz w:val="20"/>
                <w:szCs w:val="20"/>
                <w:color w:val="auto"/>
              </w:rPr>
            </w:pPr>
            <w:r>
              <w:rPr>
                <w:rFonts w:ascii="Arial" w:cs="Arial" w:eastAsia="Arial" w:hAnsi="Arial"/>
                <w:sz w:val="18"/>
                <w:szCs w:val="18"/>
                <w:color w:val="auto"/>
              </w:rPr>
              <w:t>Directors and Executive Officers</w:t>
            </w:r>
          </w:p>
        </w:tc>
        <w:tc>
          <w:tcPr>
            <w:tcW w:w="2100" w:type="dxa"/>
            <w:vAlign w:val="bottom"/>
          </w:tcPr>
          <w:p>
            <w:pPr>
              <w:jc w:val="right"/>
              <w:spacing w:after="0"/>
              <w:rPr>
                <w:sz w:val="20"/>
                <w:szCs w:val="20"/>
                <w:color w:val="auto"/>
              </w:rPr>
            </w:pPr>
            <w:r>
              <w:rPr>
                <w:rFonts w:ascii="Arial" w:cs="Arial" w:eastAsia="Arial" w:hAnsi="Arial"/>
                <w:sz w:val="18"/>
                <w:szCs w:val="18"/>
                <w:color w:val="auto"/>
              </w:rPr>
              <w:t>67</w:t>
            </w:r>
          </w:p>
        </w:tc>
      </w:tr>
      <w:tr>
        <w:trPr>
          <w:trHeight w:val="307"/>
        </w:trPr>
        <w:tc>
          <w:tcPr>
            <w:tcW w:w="8880" w:type="dxa"/>
            <w:vAlign w:val="bottom"/>
          </w:tcPr>
          <w:p>
            <w:pPr>
              <w:ind w:left="300"/>
              <w:spacing w:after="0"/>
              <w:rPr>
                <w:sz w:val="20"/>
                <w:szCs w:val="20"/>
                <w:color w:val="auto"/>
              </w:rPr>
            </w:pPr>
            <w:r>
              <w:rPr>
                <w:rFonts w:ascii="Arial" w:cs="Arial" w:eastAsia="Arial" w:hAnsi="Arial"/>
                <w:sz w:val="18"/>
                <w:szCs w:val="18"/>
                <w:color w:val="auto"/>
              </w:rPr>
              <w:t>Stock Ownership Guidelines</w:t>
            </w:r>
          </w:p>
        </w:tc>
        <w:tc>
          <w:tcPr>
            <w:tcW w:w="2100" w:type="dxa"/>
            <w:vAlign w:val="bottom"/>
          </w:tcPr>
          <w:p>
            <w:pPr>
              <w:jc w:val="right"/>
              <w:spacing w:after="0"/>
              <w:rPr>
                <w:sz w:val="20"/>
                <w:szCs w:val="20"/>
                <w:color w:val="auto"/>
              </w:rPr>
            </w:pPr>
            <w:r>
              <w:rPr>
                <w:rFonts w:ascii="Arial" w:cs="Arial" w:eastAsia="Arial" w:hAnsi="Arial"/>
                <w:sz w:val="18"/>
                <w:szCs w:val="18"/>
                <w:color w:val="auto"/>
              </w:rPr>
              <w:t>68</w:t>
            </w:r>
          </w:p>
        </w:tc>
      </w:tr>
      <w:tr>
        <w:trPr>
          <w:trHeight w:val="307"/>
        </w:trPr>
        <w:tc>
          <w:tcPr>
            <w:tcW w:w="8880" w:type="dxa"/>
            <w:vAlign w:val="bottom"/>
          </w:tcPr>
          <w:p>
            <w:pPr>
              <w:ind w:left="300"/>
              <w:spacing w:after="0"/>
              <w:rPr>
                <w:sz w:val="20"/>
                <w:szCs w:val="20"/>
                <w:color w:val="auto"/>
              </w:rPr>
            </w:pPr>
            <w:r>
              <w:rPr>
                <w:rFonts w:ascii="Arial" w:cs="Arial" w:eastAsia="Arial" w:hAnsi="Arial"/>
                <w:sz w:val="18"/>
                <w:szCs w:val="18"/>
                <w:color w:val="auto"/>
              </w:rPr>
              <w:t>Anti-Hedging and Anti-Pledging Policies</w:t>
            </w:r>
          </w:p>
        </w:tc>
        <w:tc>
          <w:tcPr>
            <w:tcW w:w="2100" w:type="dxa"/>
            <w:vAlign w:val="bottom"/>
          </w:tcPr>
          <w:p>
            <w:pPr>
              <w:jc w:val="right"/>
              <w:spacing w:after="0"/>
              <w:rPr>
                <w:sz w:val="20"/>
                <w:szCs w:val="20"/>
                <w:color w:val="auto"/>
              </w:rPr>
            </w:pPr>
            <w:r>
              <w:rPr>
                <w:rFonts w:ascii="Arial" w:cs="Arial" w:eastAsia="Arial" w:hAnsi="Arial"/>
                <w:sz w:val="18"/>
                <w:szCs w:val="18"/>
                <w:color w:val="auto"/>
              </w:rPr>
              <w:t>68</w:t>
            </w:r>
          </w:p>
        </w:tc>
      </w:tr>
      <w:tr>
        <w:trPr>
          <w:trHeight w:val="307"/>
        </w:trPr>
        <w:tc>
          <w:tcPr>
            <w:tcW w:w="8880" w:type="dxa"/>
            <w:vAlign w:val="bottom"/>
          </w:tcPr>
          <w:p>
            <w:pPr>
              <w:ind w:left="300"/>
              <w:spacing w:after="0"/>
              <w:rPr>
                <w:sz w:val="20"/>
                <w:szCs w:val="20"/>
                <w:color w:val="auto"/>
              </w:rPr>
            </w:pPr>
            <w:r>
              <w:rPr>
                <w:rFonts w:ascii="Arial" w:cs="Arial" w:eastAsia="Arial" w:hAnsi="Arial"/>
                <w:sz w:val="18"/>
                <w:szCs w:val="18"/>
                <w:color w:val="auto"/>
              </w:rPr>
              <w:t>Delinquent Section 16(a) Reports</w:t>
            </w:r>
          </w:p>
        </w:tc>
        <w:tc>
          <w:tcPr>
            <w:tcW w:w="2100" w:type="dxa"/>
            <w:vAlign w:val="bottom"/>
          </w:tcPr>
          <w:p>
            <w:pPr>
              <w:jc w:val="right"/>
              <w:spacing w:after="0"/>
              <w:rPr>
                <w:sz w:val="20"/>
                <w:szCs w:val="20"/>
                <w:color w:val="auto"/>
              </w:rPr>
            </w:pPr>
            <w:r>
              <w:rPr>
                <w:rFonts w:ascii="Arial" w:cs="Arial" w:eastAsia="Arial" w:hAnsi="Arial"/>
                <w:sz w:val="18"/>
                <w:szCs w:val="18"/>
                <w:color w:val="auto"/>
              </w:rPr>
              <w:t>69</w:t>
            </w:r>
          </w:p>
        </w:tc>
      </w:tr>
      <w:tr>
        <w:trPr>
          <w:trHeight w:val="334"/>
        </w:trPr>
        <w:tc>
          <w:tcPr>
            <w:tcW w:w="8880" w:type="dxa"/>
            <w:vAlign w:val="bottom"/>
          </w:tcPr>
          <w:p>
            <w:pPr>
              <w:spacing w:after="0"/>
              <w:rPr>
                <w:sz w:val="20"/>
                <w:szCs w:val="20"/>
                <w:color w:val="auto"/>
              </w:rPr>
            </w:pPr>
            <w:r>
              <w:rPr>
                <w:rFonts w:ascii="Arial" w:cs="Arial" w:eastAsia="Arial" w:hAnsi="Arial"/>
                <w:sz w:val="18"/>
                <w:szCs w:val="18"/>
                <w:color w:val="C00000"/>
              </w:rPr>
              <w:t>EQUITY COMPENSATION PLAN INFORMATION</w:t>
            </w:r>
          </w:p>
        </w:tc>
        <w:tc>
          <w:tcPr>
            <w:tcW w:w="2100" w:type="dxa"/>
            <w:vAlign w:val="bottom"/>
          </w:tcPr>
          <w:p>
            <w:pPr>
              <w:jc w:val="right"/>
              <w:spacing w:after="0"/>
              <w:rPr>
                <w:sz w:val="20"/>
                <w:szCs w:val="20"/>
                <w:color w:val="auto"/>
              </w:rPr>
            </w:pPr>
            <w:r>
              <w:rPr>
                <w:rFonts w:ascii="Arial" w:cs="Arial" w:eastAsia="Arial" w:hAnsi="Arial"/>
                <w:sz w:val="18"/>
                <w:szCs w:val="18"/>
                <w:color w:val="auto"/>
              </w:rPr>
              <w:t>70</w:t>
            </w:r>
          </w:p>
        </w:tc>
      </w:tr>
      <w:tr>
        <w:trPr>
          <w:trHeight w:val="334"/>
        </w:trPr>
        <w:tc>
          <w:tcPr>
            <w:tcW w:w="8880" w:type="dxa"/>
            <w:vAlign w:val="bottom"/>
          </w:tcPr>
          <w:p>
            <w:pPr>
              <w:spacing w:after="0"/>
              <w:rPr>
                <w:sz w:val="20"/>
                <w:szCs w:val="20"/>
                <w:color w:val="auto"/>
              </w:rPr>
            </w:pPr>
            <w:r>
              <w:rPr>
                <w:rFonts w:ascii="Arial" w:cs="Arial" w:eastAsia="Arial" w:hAnsi="Arial"/>
                <w:sz w:val="18"/>
                <w:szCs w:val="18"/>
                <w:color w:val="C00000"/>
              </w:rPr>
              <w:t>OTHER INFORMATION</w:t>
            </w:r>
          </w:p>
        </w:tc>
        <w:tc>
          <w:tcPr>
            <w:tcW w:w="2100" w:type="dxa"/>
            <w:vAlign w:val="bottom"/>
          </w:tcPr>
          <w:p>
            <w:pPr>
              <w:jc w:val="right"/>
              <w:spacing w:after="0"/>
              <w:rPr>
                <w:sz w:val="20"/>
                <w:szCs w:val="20"/>
                <w:color w:val="auto"/>
              </w:rPr>
            </w:pPr>
            <w:r>
              <w:rPr>
                <w:rFonts w:ascii="Arial" w:cs="Arial" w:eastAsia="Arial" w:hAnsi="Arial"/>
                <w:sz w:val="18"/>
                <w:szCs w:val="18"/>
                <w:color w:val="auto"/>
              </w:rPr>
              <w:t>70</w:t>
            </w:r>
          </w:p>
        </w:tc>
      </w:tr>
      <w:tr>
        <w:trPr>
          <w:trHeight w:val="307"/>
        </w:trPr>
        <w:tc>
          <w:tcPr>
            <w:tcW w:w="8880" w:type="dxa"/>
            <w:vAlign w:val="bottom"/>
          </w:tcPr>
          <w:p>
            <w:pPr>
              <w:ind w:left="300"/>
              <w:spacing w:after="0"/>
              <w:rPr>
                <w:sz w:val="20"/>
                <w:szCs w:val="20"/>
                <w:color w:val="auto"/>
              </w:rPr>
            </w:pPr>
            <w:r>
              <w:rPr>
                <w:rFonts w:ascii="Arial" w:cs="Arial" w:eastAsia="Arial" w:hAnsi="Arial"/>
                <w:sz w:val="18"/>
                <w:szCs w:val="18"/>
                <w:color w:val="auto"/>
              </w:rPr>
              <w:t>Shareholder Proposals and Director Nominations for the 2026 Annual Meeting</w:t>
            </w:r>
          </w:p>
        </w:tc>
        <w:tc>
          <w:tcPr>
            <w:tcW w:w="2100" w:type="dxa"/>
            <w:vAlign w:val="bottom"/>
          </w:tcPr>
          <w:p>
            <w:pPr>
              <w:jc w:val="right"/>
              <w:spacing w:after="0"/>
              <w:rPr>
                <w:sz w:val="20"/>
                <w:szCs w:val="20"/>
                <w:color w:val="auto"/>
              </w:rPr>
            </w:pPr>
            <w:r>
              <w:rPr>
                <w:rFonts w:ascii="Arial" w:cs="Arial" w:eastAsia="Arial" w:hAnsi="Arial"/>
                <w:sz w:val="18"/>
                <w:szCs w:val="18"/>
                <w:color w:val="auto"/>
              </w:rPr>
              <w:t>70</w:t>
            </w:r>
          </w:p>
        </w:tc>
      </w:tr>
      <w:tr>
        <w:trPr>
          <w:trHeight w:val="307"/>
        </w:trPr>
        <w:tc>
          <w:tcPr>
            <w:tcW w:w="8880" w:type="dxa"/>
            <w:vAlign w:val="bottom"/>
          </w:tcPr>
          <w:p>
            <w:pPr>
              <w:ind w:left="300"/>
              <w:spacing w:after="0"/>
              <w:rPr>
                <w:sz w:val="20"/>
                <w:szCs w:val="20"/>
                <w:color w:val="auto"/>
              </w:rPr>
            </w:pPr>
            <w:r>
              <w:rPr>
                <w:rFonts w:ascii="Arial" w:cs="Arial" w:eastAsia="Arial" w:hAnsi="Arial"/>
                <w:sz w:val="18"/>
                <w:szCs w:val="18"/>
                <w:color w:val="auto"/>
              </w:rPr>
              <w:t>Householding of Annual Meeting Materials</w:t>
            </w:r>
          </w:p>
        </w:tc>
        <w:tc>
          <w:tcPr>
            <w:tcW w:w="2100" w:type="dxa"/>
            <w:vAlign w:val="bottom"/>
          </w:tcPr>
          <w:p>
            <w:pPr>
              <w:jc w:val="right"/>
              <w:spacing w:after="0"/>
              <w:rPr>
                <w:sz w:val="20"/>
                <w:szCs w:val="20"/>
                <w:color w:val="auto"/>
              </w:rPr>
            </w:pPr>
            <w:r>
              <w:rPr>
                <w:rFonts w:ascii="Arial" w:cs="Arial" w:eastAsia="Arial" w:hAnsi="Arial"/>
                <w:sz w:val="18"/>
                <w:szCs w:val="18"/>
                <w:color w:val="auto"/>
              </w:rPr>
              <w:t>71</w:t>
            </w:r>
          </w:p>
        </w:tc>
      </w:tr>
      <w:tr>
        <w:trPr>
          <w:trHeight w:val="307"/>
        </w:trPr>
        <w:tc>
          <w:tcPr>
            <w:tcW w:w="8880" w:type="dxa"/>
            <w:vAlign w:val="bottom"/>
          </w:tcPr>
          <w:p>
            <w:pPr>
              <w:ind w:left="300"/>
              <w:spacing w:after="0"/>
              <w:rPr>
                <w:sz w:val="20"/>
                <w:szCs w:val="20"/>
                <w:color w:val="auto"/>
              </w:rPr>
            </w:pPr>
            <w:r>
              <w:rPr>
                <w:rFonts w:ascii="Arial" w:cs="Arial" w:eastAsia="Arial" w:hAnsi="Arial"/>
                <w:sz w:val="18"/>
                <w:szCs w:val="18"/>
                <w:color w:val="auto"/>
              </w:rPr>
              <w:t>Annual Report</w:t>
            </w:r>
          </w:p>
        </w:tc>
        <w:tc>
          <w:tcPr>
            <w:tcW w:w="2100" w:type="dxa"/>
            <w:vAlign w:val="bottom"/>
          </w:tcPr>
          <w:p>
            <w:pPr>
              <w:jc w:val="right"/>
              <w:spacing w:after="0"/>
              <w:rPr>
                <w:sz w:val="20"/>
                <w:szCs w:val="20"/>
                <w:color w:val="auto"/>
              </w:rPr>
            </w:pPr>
            <w:r>
              <w:rPr>
                <w:rFonts w:ascii="Arial" w:cs="Arial" w:eastAsia="Arial" w:hAnsi="Arial"/>
                <w:sz w:val="18"/>
                <w:szCs w:val="18"/>
                <w:color w:val="auto"/>
              </w:rPr>
              <w:t>71</w:t>
            </w:r>
          </w:p>
        </w:tc>
      </w:tr>
      <w:tr>
        <w:trPr>
          <w:trHeight w:val="307"/>
        </w:trPr>
        <w:tc>
          <w:tcPr>
            <w:tcW w:w="8880" w:type="dxa"/>
            <w:vAlign w:val="bottom"/>
          </w:tcPr>
          <w:p>
            <w:pPr>
              <w:ind w:left="300"/>
              <w:spacing w:after="0"/>
              <w:rPr>
                <w:sz w:val="20"/>
                <w:szCs w:val="20"/>
                <w:color w:val="auto"/>
              </w:rPr>
            </w:pPr>
            <w:r>
              <w:rPr>
                <w:rFonts w:ascii="Arial" w:cs="Arial" w:eastAsia="Arial" w:hAnsi="Arial"/>
                <w:sz w:val="18"/>
                <w:szCs w:val="18"/>
                <w:color w:val="auto"/>
              </w:rPr>
              <w:t>Cost and Method of Solicitation</w:t>
            </w:r>
          </w:p>
        </w:tc>
        <w:tc>
          <w:tcPr>
            <w:tcW w:w="2100" w:type="dxa"/>
            <w:vAlign w:val="bottom"/>
          </w:tcPr>
          <w:p>
            <w:pPr>
              <w:jc w:val="right"/>
              <w:spacing w:after="0"/>
              <w:rPr>
                <w:sz w:val="20"/>
                <w:szCs w:val="20"/>
                <w:color w:val="auto"/>
              </w:rPr>
            </w:pPr>
            <w:r>
              <w:rPr>
                <w:rFonts w:ascii="Arial" w:cs="Arial" w:eastAsia="Arial" w:hAnsi="Arial"/>
                <w:sz w:val="18"/>
                <w:szCs w:val="18"/>
                <w:color w:val="auto"/>
              </w:rPr>
              <w:t>71</w:t>
            </w:r>
          </w:p>
        </w:tc>
      </w:tr>
    </w:tbl>
    <w:p>
      <w:pPr>
        <w:spacing w:after="0" w:line="200" w:lineRule="exact"/>
        <w:rPr>
          <w:sz w:val="20"/>
          <w:szCs w:val="20"/>
          <w:color w:val="auto"/>
        </w:rPr>
      </w:pPr>
    </w:p>
    <w:p>
      <w:pPr>
        <w:spacing w:after="0" w:line="341" w:lineRule="exact"/>
        <w:rPr>
          <w:sz w:val="20"/>
          <w:szCs w:val="20"/>
          <w:color w:val="auto"/>
        </w:rPr>
      </w:pPr>
    </w:p>
    <w:p>
      <w:pPr>
        <w:ind w:left="4780"/>
        <w:spacing w:after="0"/>
        <w:rPr>
          <w:sz w:val="20"/>
          <w:szCs w:val="20"/>
          <w:color w:val="auto"/>
        </w:rPr>
      </w:pPr>
      <w:r>
        <w:rPr>
          <w:rFonts w:ascii="Arial" w:cs="Arial" w:eastAsia="Arial" w:hAnsi="Arial"/>
          <w:sz w:val="18"/>
          <w:szCs w:val="18"/>
          <w:color w:val="auto"/>
        </w:rPr>
        <w:t>_____________________</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color w:val="auto"/>
        </w:rPr>
        <w:t>References in this proxy statement to:</w:t>
      </w:r>
    </w:p>
    <w:p>
      <w:pPr>
        <w:spacing w:after="0" w:line="47" w:lineRule="exact"/>
        <w:rPr>
          <w:sz w:val="20"/>
          <w:szCs w:val="20"/>
          <w:color w:val="auto"/>
        </w:rPr>
      </w:pPr>
    </w:p>
    <w:p>
      <w:pPr>
        <w:ind w:left="640" w:hanging="313"/>
        <w:spacing w:after="0"/>
        <w:tabs>
          <w:tab w:leader="none" w:pos="640" w:val="left"/>
        </w:tabs>
        <w:numPr>
          <w:ilvl w:val="0"/>
          <w:numId w:val="6"/>
        </w:numPr>
        <w:rPr>
          <w:rFonts w:ascii="Arial" w:cs="Arial" w:eastAsia="Arial" w:hAnsi="Arial"/>
          <w:sz w:val="18"/>
          <w:szCs w:val="18"/>
          <w:color w:val="auto"/>
        </w:rPr>
      </w:pPr>
      <w:r>
        <w:rPr>
          <w:rFonts w:ascii="Arial" w:cs="Arial" w:eastAsia="Arial" w:hAnsi="Arial"/>
          <w:sz w:val="18"/>
          <w:szCs w:val="18"/>
          <w:color w:val="auto"/>
        </w:rPr>
        <w:t>"TTC," "we," "us," "our," or the "Company" refer to The Toro Company;</w:t>
      </w:r>
    </w:p>
    <w:p>
      <w:pPr>
        <w:spacing w:after="0" w:line="33" w:lineRule="exact"/>
        <w:rPr>
          <w:rFonts w:ascii="Arial" w:cs="Arial" w:eastAsia="Arial" w:hAnsi="Arial"/>
          <w:sz w:val="18"/>
          <w:szCs w:val="18"/>
          <w:color w:val="auto"/>
        </w:rPr>
      </w:pPr>
    </w:p>
    <w:p>
      <w:pPr>
        <w:ind w:left="640" w:hanging="313"/>
        <w:spacing w:after="0"/>
        <w:tabs>
          <w:tab w:leader="none" w:pos="640" w:val="left"/>
        </w:tabs>
        <w:numPr>
          <w:ilvl w:val="0"/>
          <w:numId w:val="6"/>
        </w:numPr>
        <w:rPr>
          <w:rFonts w:ascii="Arial" w:cs="Arial" w:eastAsia="Arial" w:hAnsi="Arial"/>
          <w:sz w:val="18"/>
          <w:szCs w:val="18"/>
          <w:color w:val="auto"/>
        </w:rPr>
      </w:pPr>
      <w:r>
        <w:rPr>
          <w:rFonts w:ascii="Arial" w:cs="Arial" w:eastAsia="Arial" w:hAnsi="Arial"/>
          <w:sz w:val="18"/>
          <w:szCs w:val="18"/>
          <w:color w:val="auto"/>
        </w:rPr>
        <w:t>"Board" refer to the Board of Directors of TTC;</w:t>
      </w:r>
    </w:p>
    <w:p>
      <w:pPr>
        <w:spacing w:after="0" w:line="46" w:lineRule="exact"/>
        <w:rPr>
          <w:rFonts w:ascii="Arial" w:cs="Arial" w:eastAsia="Arial" w:hAnsi="Arial"/>
          <w:sz w:val="18"/>
          <w:szCs w:val="18"/>
          <w:color w:val="auto"/>
        </w:rPr>
      </w:pPr>
    </w:p>
    <w:p>
      <w:pPr>
        <w:ind w:left="640" w:hanging="313"/>
        <w:spacing w:after="0"/>
        <w:tabs>
          <w:tab w:leader="none" w:pos="640" w:val="left"/>
        </w:tabs>
        <w:numPr>
          <w:ilvl w:val="0"/>
          <w:numId w:val="6"/>
        </w:numPr>
        <w:rPr>
          <w:rFonts w:ascii="Arial" w:cs="Arial" w:eastAsia="Arial" w:hAnsi="Arial"/>
          <w:sz w:val="18"/>
          <w:szCs w:val="18"/>
          <w:color w:val="auto"/>
        </w:rPr>
      </w:pPr>
      <w:r>
        <w:rPr>
          <w:rFonts w:ascii="Arial" w:cs="Arial" w:eastAsia="Arial" w:hAnsi="Arial"/>
          <w:sz w:val="18"/>
          <w:szCs w:val="18"/>
          <w:color w:val="auto"/>
        </w:rPr>
        <w:t>"annual meeting" refer to our 2025 Annual Meeting of Shareholders; and</w:t>
      </w:r>
    </w:p>
    <w:p>
      <w:pPr>
        <w:spacing w:after="0" w:line="46" w:lineRule="exact"/>
        <w:rPr>
          <w:rFonts w:ascii="Arial" w:cs="Arial" w:eastAsia="Arial" w:hAnsi="Arial"/>
          <w:sz w:val="18"/>
          <w:szCs w:val="18"/>
          <w:color w:val="auto"/>
        </w:rPr>
      </w:pPr>
    </w:p>
    <w:p>
      <w:pPr>
        <w:ind w:left="640" w:hanging="313"/>
        <w:spacing w:after="0" w:line="246" w:lineRule="auto"/>
        <w:tabs>
          <w:tab w:leader="none" w:pos="635" w:val="left"/>
        </w:tabs>
        <w:numPr>
          <w:ilvl w:val="0"/>
          <w:numId w:val="6"/>
        </w:numPr>
        <w:rPr>
          <w:rFonts w:ascii="Arial" w:cs="Arial" w:eastAsia="Arial" w:hAnsi="Arial"/>
          <w:sz w:val="18"/>
          <w:szCs w:val="18"/>
          <w:color w:val="auto"/>
        </w:rPr>
      </w:pPr>
      <w:r>
        <w:rPr>
          <w:rFonts w:ascii="Arial" w:cs="Arial" w:eastAsia="Arial" w:hAnsi="Arial"/>
          <w:sz w:val="18"/>
          <w:szCs w:val="18"/>
          <w:color w:val="auto"/>
        </w:rPr>
        <w:t>2024 Annual Report refer to our Annual Report to Shareholders for fiscal 2024, which includes our Annual Report on Form 10-K for the fiscal year ended October 31, 2024, being made available together with this proxy statement.</w:t>
      </w:r>
    </w:p>
    <w:p>
      <w:pPr>
        <w:spacing w:after="0" w:line="69" w:lineRule="exact"/>
        <w:rPr>
          <w:sz w:val="20"/>
          <w:szCs w:val="20"/>
          <w:color w:val="auto"/>
        </w:rPr>
      </w:pPr>
    </w:p>
    <w:p>
      <w:pPr>
        <w:ind w:right="140" w:firstLine="320"/>
        <w:spacing w:after="0" w:line="262" w:lineRule="auto"/>
        <w:rPr>
          <w:sz w:val="20"/>
          <w:szCs w:val="20"/>
          <w:color w:val="auto"/>
        </w:rPr>
      </w:pPr>
      <w:r>
        <w:rPr>
          <w:rFonts w:ascii="Arial" w:cs="Arial" w:eastAsia="Arial" w:hAnsi="Arial"/>
          <w:sz w:val="18"/>
          <w:szCs w:val="18"/>
          <w:color w:val="auto"/>
        </w:rPr>
        <w:t>Information on our website and any other websites referenced herein is not incorporated by reference into, and does not constitute a part of, this proxy statement.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21"/>
          <w:szCs w:val="21"/>
          <w:color w:val="auto"/>
        </w:rPr>
        <w:t>vi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20"/>
          </w:cols>
          <w:pgMar w:left="320" w:top="1230" w:right="359" w:bottom="1440" w:gutter="0" w:footer="0" w:header="0"/>
        </w:sectPr>
      </w:pPr>
    </w:p>
    <w:bookmarkStart w:id="8" w:name="page9"/>
    <w:bookmarkEnd w:id="8"/>
    <w:p>
      <w:pPr>
        <w:jc w:val="center"/>
        <w:ind w:right="-19"/>
        <w:spacing w:after="0"/>
        <w:rPr>
          <w:sz w:val="20"/>
          <w:szCs w:val="20"/>
          <w:color w:val="auto"/>
        </w:rPr>
      </w:pPr>
      <w:r>
        <w:rPr>
          <w:rFonts w:ascii="Arial" w:cs="Arial" w:eastAsia="Arial" w:hAnsi="Arial"/>
          <w:sz w:val="20"/>
          <w:szCs w:val="20"/>
          <w:b w:val="1"/>
          <w:bCs w:val="1"/>
          <w:color w:val="FFFFFF"/>
        </w:rPr>
        <w:drawing>
          <wp:anchor simplePos="0" relativeHeight="251657728" behindDoc="1" locked="0" layoutInCell="0" allowOverlap="1">
            <wp:simplePos x="0" y="0"/>
            <wp:positionH relativeFrom="page">
              <wp:posOffset>274955</wp:posOffset>
            </wp:positionH>
            <wp:positionV relativeFrom="page">
              <wp:posOffset>732790</wp:posOffset>
            </wp:positionV>
            <wp:extent cx="6998335" cy="1778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998335" cy="177800"/>
                    </a:xfrm>
                    <a:prstGeom prst="rect">
                      <a:avLst/>
                    </a:prstGeom>
                    <a:noFill/>
                  </pic:spPr>
                </pic:pic>
              </a:graphicData>
            </a:graphic>
          </wp:anchor>
        </w:drawing>
        <w:t>THE TORO COMPANY HIGHLIGHTS AND PROXY STATEMENT EXECUTIVE SUMMARY</w:t>
      </w:r>
    </w:p>
    <w:p>
      <w:pPr>
        <w:spacing w:after="0" w:line="330" w:lineRule="exact"/>
        <w:rPr>
          <w:sz w:val="20"/>
          <w:szCs w:val="20"/>
          <w:color w:val="auto"/>
        </w:rPr>
      </w:pPr>
    </w:p>
    <w:p>
      <w:pPr>
        <w:spacing w:after="0"/>
        <w:rPr>
          <w:sz w:val="20"/>
          <w:szCs w:val="20"/>
          <w:color w:val="auto"/>
        </w:rPr>
      </w:pPr>
      <w:r>
        <w:rPr>
          <w:rFonts w:ascii="Arial" w:cs="Arial" w:eastAsia="Arial" w:hAnsi="Arial"/>
          <w:sz w:val="20"/>
          <w:szCs w:val="20"/>
          <w:b w:val="1"/>
          <w:bCs w:val="1"/>
          <w:color w:val="BF2115"/>
        </w:rPr>
        <w:t>Business Overview</w:t>
      </w:r>
    </w:p>
    <w:p>
      <w:pPr>
        <w:spacing w:after="0" w:line="110" w:lineRule="exact"/>
        <w:rPr>
          <w:sz w:val="20"/>
          <w:szCs w:val="20"/>
          <w:color w:val="auto"/>
        </w:rPr>
      </w:pPr>
    </w:p>
    <w:p>
      <w:pPr>
        <w:jc w:val="both"/>
        <w:ind w:firstLine="320"/>
        <w:spacing w:after="0" w:line="239" w:lineRule="auto"/>
        <w:rPr>
          <w:sz w:val="20"/>
          <w:szCs w:val="20"/>
          <w:color w:val="auto"/>
        </w:rPr>
      </w:pPr>
      <w:r>
        <w:rPr>
          <w:rFonts w:ascii="Arial" w:cs="Arial" w:eastAsia="Arial" w:hAnsi="Arial"/>
          <w:sz w:val="18"/>
          <w:szCs w:val="18"/>
          <w:color w:val="auto"/>
        </w:rPr>
        <w:t>The Toro Company, founded in 1914, is a leading worldwide provider of innovative solutions for the outdoor environment, including turf maintenance equipment and services; turf irrigation systems; landscaping equipment and lighting products; snow and ice management products; agricultural irrigation systems; rental, specialty and underground construction equipment; and residential yard and snow thrower products. With its worldwide headquarters in Bloomington, Minnesota, The Toro Company's global presence extends to more than 125 countries through a family of brands, including Toro, Ditch Witch, eXmark, Spartan, BOSS, Ventrac, American Augers, Trencor, Subsite, HammerHead, Radius, Perrot, Hayter, Unique Lighting Systems, Irritrol, and Lawn-Boy. Through constant innovation and caring relationships built on trust and integrity, The Toro Company and its family of brands have built a legacy of excellence by helping customers work on golf courses, sports fields, construction sites, public green spaces, residential and commercial properties and landscapes, governmental and municipal properties and agricultural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614045</wp:posOffset>
            </wp:positionH>
            <wp:positionV relativeFrom="paragraph">
              <wp:posOffset>78105</wp:posOffset>
            </wp:positionV>
            <wp:extent cx="6125845" cy="6267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125845" cy="626745"/>
                    </a:xfrm>
                    <a:prstGeom prst="rect">
                      <a:avLst/>
                    </a:prstGeom>
                    <a:noFill/>
                  </pic:spPr>
                </pic:pic>
              </a:graphicData>
            </a:graphic>
          </wp:anchor>
        </w:drawing>
      </w:r>
    </w:p>
    <w:p>
      <w:pPr>
        <w:sectPr>
          <w:pgSz w:w="11900" w:h="16838" w:orient="portrait"/>
          <w:cols w:equalWidth="0" w:num="1">
            <w:col w:w="11240"/>
          </w:cols>
          <w:pgMar w:left="320" w:top="1157" w:right="339" w:bottom="1440" w:gutter="0" w:footer="0" w:header="0"/>
        </w:sectPr>
      </w:pPr>
    </w:p>
    <w:p>
      <w:pPr>
        <w:spacing w:after="0" w:line="198" w:lineRule="exact"/>
        <w:rPr>
          <w:sz w:val="20"/>
          <w:szCs w:val="20"/>
          <w:color w:val="auto"/>
        </w:rPr>
      </w:pPr>
    </w:p>
    <w:p>
      <w:pPr>
        <w:jc w:val="center"/>
        <w:ind w:left="1180"/>
        <w:spacing w:after="0"/>
        <w:rPr>
          <w:sz w:val="20"/>
          <w:szCs w:val="20"/>
          <w:color w:val="auto"/>
        </w:rPr>
      </w:pPr>
      <w:r>
        <w:rPr>
          <w:rFonts w:ascii="Arial" w:cs="Arial" w:eastAsia="Arial" w:hAnsi="Arial"/>
          <w:sz w:val="18"/>
          <w:szCs w:val="18"/>
          <w:b w:val="1"/>
          <w:bCs w:val="1"/>
          <w:color w:val="BF2115"/>
        </w:rPr>
        <w:t>OUR PURPOSE</w:t>
      </w:r>
    </w:p>
    <w:p>
      <w:pPr>
        <w:spacing w:after="0" w:line="38" w:lineRule="exact"/>
        <w:rPr>
          <w:sz w:val="20"/>
          <w:szCs w:val="20"/>
          <w:color w:val="auto"/>
        </w:rPr>
      </w:pPr>
    </w:p>
    <w:p>
      <w:pPr>
        <w:jc w:val="center"/>
        <w:ind w:left="1180"/>
        <w:spacing w:after="0"/>
        <w:rPr>
          <w:sz w:val="20"/>
          <w:szCs w:val="20"/>
          <w:color w:val="auto"/>
        </w:rPr>
      </w:pPr>
      <w:r>
        <w:rPr>
          <w:rFonts w:ascii="Arial" w:cs="Arial" w:eastAsia="Arial" w:hAnsi="Arial"/>
          <w:sz w:val="17"/>
          <w:szCs w:val="17"/>
          <w:color w:val="auto"/>
        </w:rPr>
        <w:t>To help our customers enrich the</w:t>
      </w:r>
    </w:p>
    <w:p>
      <w:pPr>
        <w:spacing w:after="0" w:line="24" w:lineRule="exact"/>
        <w:rPr>
          <w:sz w:val="20"/>
          <w:szCs w:val="20"/>
          <w:color w:val="auto"/>
        </w:rPr>
      </w:pPr>
    </w:p>
    <w:p>
      <w:pPr>
        <w:ind w:left="1520"/>
        <w:spacing w:after="0"/>
        <w:rPr>
          <w:sz w:val="20"/>
          <w:szCs w:val="20"/>
          <w:color w:val="auto"/>
        </w:rPr>
      </w:pPr>
      <w:r>
        <w:rPr>
          <w:rFonts w:ascii="Arial" w:cs="Arial" w:eastAsia="Arial" w:hAnsi="Arial"/>
          <w:sz w:val="18"/>
          <w:szCs w:val="18"/>
          <w:color w:val="auto"/>
        </w:rPr>
        <w:t>beauty, productivity and</w:t>
      </w:r>
    </w:p>
    <w:p>
      <w:pPr>
        <w:ind w:left="1480"/>
        <w:spacing w:after="0"/>
        <w:rPr>
          <w:sz w:val="20"/>
          <w:szCs w:val="20"/>
          <w:color w:val="auto"/>
        </w:rPr>
      </w:pPr>
      <w:r>
        <w:rPr>
          <w:rFonts w:ascii="Arial" w:cs="Arial" w:eastAsia="Arial" w:hAnsi="Arial"/>
          <w:sz w:val="18"/>
          <w:szCs w:val="18"/>
          <w:color w:val="auto"/>
        </w:rPr>
        <w:t>sustainability of the land.</w:t>
      </w:r>
    </w:p>
    <w:p>
      <w:pPr>
        <w:spacing w:after="0" w:line="20" w:lineRule="exact"/>
        <w:rPr>
          <w:sz w:val="20"/>
          <w:szCs w:val="20"/>
          <w:color w:val="auto"/>
        </w:rPr>
      </w:pPr>
      <w:r>
        <w:rPr>
          <w:sz w:val="20"/>
          <w:szCs w:val="20"/>
          <w:color w:val="auto"/>
        </w:rPr>
        <w:br w:type="column"/>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BF2115"/>
        </w:rPr>
        <w:t>OUR VISION</w:t>
      </w:r>
    </w:p>
    <w:p>
      <w:pPr>
        <w:spacing w:after="0" w:line="18" w:lineRule="exact"/>
        <w:rPr>
          <w:sz w:val="20"/>
          <w:szCs w:val="20"/>
          <w:color w:val="auto"/>
        </w:rPr>
      </w:pPr>
    </w:p>
    <w:p>
      <w:pPr>
        <w:ind w:left="240"/>
        <w:spacing w:after="0"/>
        <w:rPr>
          <w:sz w:val="20"/>
          <w:szCs w:val="20"/>
          <w:color w:val="auto"/>
        </w:rPr>
      </w:pPr>
      <w:r>
        <w:rPr>
          <w:rFonts w:ascii="Arial" w:cs="Arial" w:eastAsia="Arial" w:hAnsi="Arial"/>
          <w:sz w:val="18"/>
          <w:szCs w:val="18"/>
          <w:color w:val="auto"/>
        </w:rPr>
        <w:t>To be the most trusted leader in</w:t>
      </w:r>
    </w:p>
    <w:p>
      <w:pPr>
        <w:spacing w:after="0" w:line="212" w:lineRule="auto"/>
        <w:rPr>
          <w:sz w:val="20"/>
          <w:szCs w:val="20"/>
          <w:color w:val="auto"/>
        </w:rPr>
      </w:pPr>
      <w:r>
        <w:rPr>
          <w:rFonts w:ascii="Arial" w:cs="Arial" w:eastAsia="Arial" w:hAnsi="Arial"/>
          <w:sz w:val="17"/>
          <w:szCs w:val="17"/>
          <w:color w:val="auto"/>
        </w:rPr>
        <w:t>solutions for the outdoor environment.</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Every day. Everywhere.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-2200275</wp:posOffset>
            </wp:positionH>
            <wp:positionV relativeFrom="paragraph">
              <wp:posOffset>208280</wp:posOffset>
            </wp:positionV>
            <wp:extent cx="6151245" cy="6356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151245" cy="63563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78" w:lineRule="exact"/>
        <w:rPr>
          <w:sz w:val="20"/>
          <w:szCs w:val="20"/>
          <w:color w:val="auto"/>
        </w:rPr>
      </w:pPr>
    </w:p>
    <w:p>
      <w:pPr>
        <w:jc w:val="center"/>
        <w:ind w:right="740"/>
        <w:spacing w:after="0"/>
        <w:rPr>
          <w:sz w:val="20"/>
          <w:szCs w:val="20"/>
          <w:color w:val="auto"/>
        </w:rPr>
      </w:pPr>
      <w:r>
        <w:rPr>
          <w:rFonts w:ascii="Arial" w:cs="Arial" w:eastAsia="Arial" w:hAnsi="Arial"/>
          <w:sz w:val="18"/>
          <w:szCs w:val="18"/>
          <w:b w:val="1"/>
          <w:bCs w:val="1"/>
          <w:color w:val="BF2115"/>
        </w:rPr>
        <w:t>OUR MISSION</w:t>
      </w:r>
    </w:p>
    <w:p>
      <w:pPr>
        <w:spacing w:after="0" w:line="38" w:lineRule="exact"/>
        <w:rPr>
          <w:sz w:val="20"/>
          <w:szCs w:val="20"/>
          <w:color w:val="auto"/>
        </w:rPr>
      </w:pPr>
    </w:p>
    <w:p>
      <w:pPr>
        <w:jc w:val="center"/>
        <w:ind w:right="740"/>
        <w:spacing w:after="0"/>
        <w:rPr>
          <w:sz w:val="20"/>
          <w:szCs w:val="20"/>
          <w:color w:val="auto"/>
        </w:rPr>
      </w:pPr>
      <w:r>
        <w:rPr>
          <w:rFonts w:ascii="Arial" w:cs="Arial" w:eastAsia="Arial" w:hAnsi="Arial"/>
          <w:sz w:val="17"/>
          <w:szCs w:val="17"/>
          <w:color w:val="auto"/>
        </w:rPr>
        <w:t>To deliver superior innovation and to</w:t>
      </w:r>
    </w:p>
    <w:p>
      <w:pPr>
        <w:spacing w:after="0" w:line="31" w:lineRule="exact"/>
        <w:rPr>
          <w:sz w:val="20"/>
          <w:szCs w:val="20"/>
          <w:color w:val="auto"/>
        </w:rPr>
      </w:pPr>
    </w:p>
    <w:p>
      <w:pPr>
        <w:jc w:val="center"/>
        <w:ind w:right="740"/>
        <w:spacing w:after="0"/>
        <w:rPr>
          <w:sz w:val="20"/>
          <w:szCs w:val="20"/>
          <w:color w:val="auto"/>
        </w:rPr>
      </w:pPr>
      <w:r>
        <w:rPr>
          <w:rFonts w:ascii="Arial" w:cs="Arial" w:eastAsia="Arial" w:hAnsi="Arial"/>
          <w:sz w:val="18"/>
          <w:szCs w:val="18"/>
          <w:color w:val="auto"/>
        </w:rPr>
        <w:t>deliver superior customer care.</w:t>
      </w:r>
    </w:p>
    <w:p>
      <w:pPr>
        <w:spacing w:after="0" w:line="400" w:lineRule="exact"/>
        <w:rPr>
          <w:sz w:val="20"/>
          <w:szCs w:val="20"/>
          <w:color w:val="auto"/>
        </w:rPr>
      </w:pPr>
    </w:p>
    <w:p>
      <w:pPr>
        <w:sectPr>
          <w:pgSz w:w="11900" w:h="16838" w:orient="portrait"/>
          <w:cols w:equalWidth="0" w:num="3">
            <w:col w:w="3760" w:space="500"/>
            <w:col w:w="2980" w:space="420"/>
            <w:col w:w="3580"/>
          </w:cols>
          <w:pgMar w:left="320" w:top="1157" w:right="339" w:bottom="1440" w:gutter="0" w:footer="0" w:header="0"/>
          <w:type w:val="continuous"/>
        </w:sectPr>
      </w:pPr>
    </w:p>
    <w:p>
      <w:pPr>
        <w:spacing w:after="0" w:line="13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BF2115"/>
        </w:rPr>
        <w:t>OUR GUIDING PRINCIPLES</w:t>
      </w:r>
    </w:p>
    <w:p>
      <w:pPr>
        <w:spacing w:after="0" w:line="3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Our success is founded on a long history of caring relationships based on trust and integrity. These relationships are the</w:t>
      </w:r>
    </w:p>
    <w:p>
      <w:pPr>
        <w:spacing w:after="0" w:line="6" w:lineRule="exact"/>
        <w:rPr>
          <w:sz w:val="20"/>
          <w:szCs w:val="20"/>
          <w:color w:val="auto"/>
        </w:rPr>
      </w:pPr>
    </w:p>
    <w:p>
      <w:pPr>
        <w:jc w:val="center"/>
        <w:ind w:left="340" w:right="1120"/>
        <w:spacing w:after="0" w:line="288" w:lineRule="auto"/>
        <w:rPr>
          <w:sz w:val="20"/>
          <w:szCs w:val="20"/>
          <w:color w:val="auto"/>
        </w:rPr>
      </w:pPr>
      <w:r>
        <w:rPr>
          <w:rFonts w:ascii="Arial" w:cs="Arial" w:eastAsia="Arial" w:hAnsi="Arial"/>
          <w:sz w:val="17"/>
          <w:szCs w:val="17"/>
          <w:color w:val="auto"/>
        </w:rPr>
        <w:t>foundation on which we build market leadership with the best in innovative products and solutions to make outdoor environments beautiful, productive, and sustainable. We are entrusted to strengthen this legacy of excellence.</w:t>
      </w: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b w:val="1"/>
          <w:bCs w:val="1"/>
          <w:color w:val="BF2115"/>
        </w:rPr>
        <w:t>Highlights of Our Financial, Operational and Strategic Achievements for Fiscal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97790</wp:posOffset>
            </wp:positionV>
            <wp:extent cx="7134225" cy="169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4225" cy="169545"/>
                    </a:xfrm>
                    <a:prstGeom prst="rect">
                      <a:avLst/>
                    </a:prstGeom>
                    <a:noFill/>
                  </pic:spPr>
                </pic:pic>
              </a:graphicData>
            </a:graphic>
          </wp:anchor>
        </w:drawing>
      </w:r>
    </w:p>
    <w:p>
      <w:pPr>
        <w:spacing w:after="0" w:line="155"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FFFFFF"/>
        </w:rPr>
        <w:t>Financial</w:t>
      </w:r>
    </w:p>
    <w:p>
      <w:pPr>
        <w:spacing w:after="0" w:line="38"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1340" w:type="dxa"/>
            <w:vAlign w:val="bottom"/>
            <w:tcBorders>
              <w:top w:val="single" w:sz="8" w:color="BFBFBF"/>
            </w:tcBorders>
          </w:tcPr>
          <w:p>
            <w:pPr>
              <w:ind w:left="20"/>
              <w:spacing w:after="0"/>
              <w:rPr>
                <w:sz w:val="20"/>
                <w:szCs w:val="20"/>
                <w:color w:val="auto"/>
              </w:rPr>
            </w:pPr>
            <w:r>
              <w:rPr>
                <w:rFonts w:ascii="Arial" w:cs="Arial" w:eastAsia="Arial" w:hAnsi="Arial"/>
                <w:sz w:val="16"/>
                <w:szCs w:val="16"/>
                <w:b w:val="1"/>
                <w:bCs w:val="1"/>
                <w:color w:val="C00000"/>
              </w:rPr>
              <w:t>$4.58 billion</w:t>
            </w:r>
          </w:p>
        </w:tc>
        <w:tc>
          <w:tcPr>
            <w:tcW w:w="9900" w:type="dxa"/>
            <w:vAlign w:val="bottom"/>
            <w:tcBorders>
              <w:top w:val="single" w:sz="8" w:color="BFBFBF"/>
            </w:tcBorders>
          </w:tcPr>
          <w:p>
            <w:pPr>
              <w:ind w:left="340"/>
              <w:spacing w:after="0"/>
              <w:rPr>
                <w:sz w:val="20"/>
                <w:szCs w:val="20"/>
                <w:color w:val="auto"/>
              </w:rPr>
            </w:pPr>
            <w:r>
              <w:rPr>
                <w:rFonts w:ascii="Arial" w:cs="Arial" w:eastAsia="Arial" w:hAnsi="Arial"/>
                <w:sz w:val="16"/>
                <w:szCs w:val="16"/>
                <w:b w:val="1"/>
                <w:bCs w:val="1"/>
                <w:i w:val="1"/>
                <w:iCs w:val="1"/>
                <w:color w:val="auto"/>
              </w:rPr>
              <w:t>Net Sales</w:t>
            </w:r>
          </w:p>
        </w:tc>
        <w:tc>
          <w:tcPr>
            <w:tcW w:w="0" w:type="dxa"/>
            <w:vAlign w:val="bottom"/>
          </w:tcPr>
          <w:p>
            <w:pPr>
              <w:spacing w:after="0"/>
              <w:rPr>
                <w:sz w:val="1"/>
                <w:szCs w:val="1"/>
                <w:color w:val="auto"/>
              </w:rPr>
            </w:pPr>
          </w:p>
        </w:tc>
      </w:tr>
      <w:tr>
        <w:trPr>
          <w:trHeight w:val="187"/>
        </w:trPr>
        <w:tc>
          <w:tcPr>
            <w:tcW w:w="1340" w:type="dxa"/>
            <w:vAlign w:val="bottom"/>
          </w:tcPr>
          <w:p>
            <w:pPr>
              <w:spacing w:after="0"/>
              <w:rPr>
                <w:sz w:val="16"/>
                <w:szCs w:val="16"/>
                <w:color w:val="auto"/>
              </w:rPr>
            </w:pPr>
          </w:p>
        </w:tc>
        <w:tc>
          <w:tcPr>
            <w:tcW w:w="9900" w:type="dxa"/>
            <w:vAlign w:val="bottom"/>
          </w:tcPr>
          <w:p>
            <w:pPr>
              <w:ind w:left="340"/>
              <w:spacing w:after="0"/>
              <w:rPr>
                <w:sz w:val="20"/>
                <w:szCs w:val="20"/>
                <w:color w:val="auto"/>
              </w:rPr>
            </w:pPr>
            <w:r>
              <w:rPr>
                <w:rFonts w:ascii="Arial" w:cs="Arial" w:eastAsia="Arial" w:hAnsi="Arial"/>
                <w:sz w:val="16"/>
                <w:szCs w:val="16"/>
                <w:color w:val="auto"/>
              </w:rPr>
              <w:t>Achieved $4.58 billion in total net sales, consisting of professional segment net sales of $3.56 billion, and residential segment net sales</w:t>
            </w:r>
          </w:p>
        </w:tc>
        <w:tc>
          <w:tcPr>
            <w:tcW w:w="0" w:type="dxa"/>
            <w:vAlign w:val="bottom"/>
          </w:tcPr>
          <w:p>
            <w:pPr>
              <w:spacing w:after="0"/>
              <w:rPr>
                <w:sz w:val="1"/>
                <w:szCs w:val="1"/>
                <w:color w:val="auto"/>
              </w:rPr>
            </w:pPr>
          </w:p>
        </w:tc>
      </w:tr>
      <w:tr>
        <w:trPr>
          <w:trHeight w:val="211"/>
        </w:trPr>
        <w:tc>
          <w:tcPr>
            <w:tcW w:w="1340" w:type="dxa"/>
            <w:vAlign w:val="bottom"/>
          </w:tcPr>
          <w:p>
            <w:pPr>
              <w:spacing w:after="0"/>
              <w:rPr>
                <w:sz w:val="18"/>
                <w:szCs w:val="18"/>
                <w:color w:val="auto"/>
              </w:rPr>
            </w:pPr>
          </w:p>
        </w:tc>
        <w:tc>
          <w:tcPr>
            <w:tcW w:w="9900" w:type="dxa"/>
            <w:vAlign w:val="bottom"/>
          </w:tcPr>
          <w:p>
            <w:pPr>
              <w:ind w:left="340"/>
              <w:spacing w:after="0"/>
              <w:rPr>
                <w:sz w:val="20"/>
                <w:szCs w:val="20"/>
                <w:color w:val="auto"/>
              </w:rPr>
            </w:pPr>
            <w:r>
              <w:rPr>
                <w:rFonts w:ascii="Arial" w:cs="Arial" w:eastAsia="Arial" w:hAnsi="Arial"/>
                <w:sz w:val="16"/>
                <w:szCs w:val="16"/>
                <w:color w:val="auto"/>
              </w:rPr>
              <w:t>of $998.3 million, up 16.9% from $854.2 million last year.</w:t>
            </w:r>
          </w:p>
        </w:tc>
        <w:tc>
          <w:tcPr>
            <w:tcW w:w="0" w:type="dxa"/>
            <w:vAlign w:val="bottom"/>
          </w:tcPr>
          <w:p>
            <w:pPr>
              <w:spacing w:after="0"/>
              <w:rPr>
                <w:sz w:val="1"/>
                <w:szCs w:val="1"/>
                <w:color w:val="auto"/>
              </w:rPr>
            </w:pPr>
          </w:p>
        </w:tc>
      </w:tr>
      <w:tr>
        <w:trPr>
          <w:trHeight w:val="83"/>
        </w:trPr>
        <w:tc>
          <w:tcPr>
            <w:tcW w:w="1340" w:type="dxa"/>
            <w:vAlign w:val="bottom"/>
            <w:tcBorders>
              <w:bottom w:val="single" w:sz="8" w:color="BFBFBF"/>
            </w:tcBorders>
          </w:tcPr>
          <w:p>
            <w:pPr>
              <w:spacing w:after="0"/>
              <w:rPr>
                <w:sz w:val="7"/>
                <w:szCs w:val="7"/>
                <w:color w:val="auto"/>
              </w:rPr>
            </w:pPr>
          </w:p>
        </w:tc>
        <w:tc>
          <w:tcPr>
            <w:tcW w:w="9900" w:type="dxa"/>
            <w:vAlign w:val="bottom"/>
            <w:tcBorders>
              <w:bottom w:val="single" w:sz="8" w:color="BFBFBF"/>
            </w:tcBorders>
          </w:tcPr>
          <w:p>
            <w:pPr>
              <w:spacing w:after="0"/>
              <w:rPr>
                <w:sz w:val="7"/>
                <w:szCs w:val="7"/>
                <w:color w:val="auto"/>
              </w:rPr>
            </w:pPr>
          </w:p>
        </w:tc>
        <w:tc>
          <w:tcPr>
            <w:tcW w:w="0" w:type="dxa"/>
            <w:vAlign w:val="bottom"/>
          </w:tcPr>
          <w:p>
            <w:pPr>
              <w:spacing w:after="0"/>
              <w:rPr>
                <w:sz w:val="1"/>
                <w:szCs w:val="1"/>
                <w:color w:val="auto"/>
              </w:rPr>
            </w:pPr>
          </w:p>
        </w:tc>
      </w:tr>
      <w:tr>
        <w:trPr>
          <w:trHeight w:val="240"/>
        </w:trPr>
        <w:tc>
          <w:tcPr>
            <w:tcW w:w="1340" w:type="dxa"/>
            <w:vAlign w:val="bottom"/>
            <w:shd w:val="clear" w:color="auto" w:fill="DBDBDB"/>
          </w:tcPr>
          <w:p>
            <w:pPr>
              <w:ind w:left="20"/>
              <w:spacing w:after="0"/>
              <w:rPr>
                <w:sz w:val="20"/>
                <w:szCs w:val="20"/>
                <w:color w:val="auto"/>
              </w:rPr>
            </w:pPr>
            <w:r>
              <w:rPr>
                <w:rFonts w:ascii="Arial" w:cs="Arial" w:eastAsia="Arial" w:hAnsi="Arial"/>
                <w:sz w:val="16"/>
                <w:szCs w:val="16"/>
                <w:b w:val="1"/>
                <w:bCs w:val="1"/>
                <w:color w:val="C00000"/>
              </w:rPr>
              <w:t>$4.17</w:t>
            </w:r>
          </w:p>
        </w:tc>
        <w:tc>
          <w:tcPr>
            <w:tcW w:w="9900" w:type="dxa"/>
            <w:vAlign w:val="bottom"/>
            <w:shd w:val="clear" w:color="auto" w:fill="DBDBDB"/>
          </w:tcPr>
          <w:p>
            <w:pPr>
              <w:ind w:left="340"/>
              <w:spacing w:after="0"/>
              <w:rPr>
                <w:sz w:val="20"/>
                <w:szCs w:val="20"/>
                <w:color w:val="auto"/>
              </w:rPr>
            </w:pPr>
            <w:r>
              <w:rPr>
                <w:rFonts w:ascii="Arial" w:cs="Arial" w:eastAsia="Arial" w:hAnsi="Arial"/>
                <w:sz w:val="16"/>
                <w:szCs w:val="16"/>
                <w:b w:val="1"/>
                <w:bCs w:val="1"/>
                <w:i w:val="1"/>
                <w:iCs w:val="1"/>
                <w:color w:val="auto"/>
              </w:rPr>
              <w:t>Adjusted Earnings Per Share</w:t>
            </w:r>
          </w:p>
        </w:tc>
        <w:tc>
          <w:tcPr>
            <w:tcW w:w="0" w:type="dxa"/>
            <w:vAlign w:val="bottom"/>
          </w:tcPr>
          <w:p>
            <w:pPr>
              <w:spacing w:after="0"/>
              <w:rPr>
                <w:sz w:val="1"/>
                <w:szCs w:val="1"/>
                <w:color w:val="auto"/>
              </w:rPr>
            </w:pPr>
          </w:p>
        </w:tc>
      </w:tr>
      <w:tr>
        <w:trPr>
          <w:trHeight w:val="230"/>
        </w:trPr>
        <w:tc>
          <w:tcPr>
            <w:tcW w:w="1340" w:type="dxa"/>
            <w:vAlign w:val="bottom"/>
            <w:shd w:val="clear" w:color="auto" w:fill="DBDBDB"/>
          </w:tcPr>
          <w:p>
            <w:pPr>
              <w:spacing w:after="0"/>
              <w:rPr>
                <w:sz w:val="20"/>
                <w:szCs w:val="20"/>
                <w:color w:val="auto"/>
              </w:rPr>
            </w:pPr>
          </w:p>
        </w:tc>
        <w:tc>
          <w:tcPr>
            <w:tcW w:w="9900" w:type="dxa"/>
            <w:vAlign w:val="bottom"/>
            <w:shd w:val="clear" w:color="auto" w:fill="DBDBDB"/>
          </w:tcPr>
          <w:p>
            <w:pPr>
              <w:ind w:left="340"/>
              <w:spacing w:after="0"/>
              <w:rPr>
                <w:sz w:val="20"/>
                <w:szCs w:val="20"/>
                <w:color w:val="auto"/>
              </w:rPr>
            </w:pPr>
            <w:r>
              <w:rPr>
                <w:rFonts w:ascii="Arial" w:cs="Arial" w:eastAsia="Arial" w:hAnsi="Arial"/>
                <w:sz w:val="16"/>
                <w:szCs w:val="16"/>
                <w:color w:val="auto"/>
              </w:rPr>
              <w:t>Achieved adjusted diluted earnings per share, or Adjusted EPS, of $4.17 per share.</w:t>
            </w:r>
          </w:p>
        </w:tc>
        <w:tc>
          <w:tcPr>
            <w:tcW w:w="0" w:type="dxa"/>
            <w:vAlign w:val="bottom"/>
          </w:tcPr>
          <w:p>
            <w:pPr>
              <w:spacing w:after="0"/>
              <w:rPr>
                <w:sz w:val="1"/>
                <w:szCs w:val="1"/>
                <w:color w:val="auto"/>
              </w:rPr>
            </w:pPr>
          </w:p>
        </w:tc>
      </w:tr>
      <w:tr>
        <w:trPr>
          <w:trHeight w:val="97"/>
        </w:trPr>
        <w:tc>
          <w:tcPr>
            <w:tcW w:w="1340" w:type="dxa"/>
            <w:vAlign w:val="bottom"/>
            <w:tcBorders>
              <w:bottom w:val="single" w:sz="8" w:color="BFBFBF"/>
            </w:tcBorders>
            <w:shd w:val="clear" w:color="auto" w:fill="DBDBDB"/>
          </w:tcPr>
          <w:p>
            <w:pPr>
              <w:spacing w:after="0"/>
              <w:rPr>
                <w:sz w:val="8"/>
                <w:szCs w:val="8"/>
                <w:color w:val="auto"/>
              </w:rPr>
            </w:pPr>
          </w:p>
        </w:tc>
        <w:tc>
          <w:tcPr>
            <w:tcW w:w="9900" w:type="dxa"/>
            <w:vAlign w:val="bottom"/>
            <w:tcBorders>
              <w:bottom w:val="single" w:sz="8" w:color="BFBFBF"/>
            </w:tcBorders>
            <w:shd w:val="clear" w:color="auto" w:fill="DBDBDB"/>
          </w:tcPr>
          <w:p>
            <w:pPr>
              <w:spacing w:after="0"/>
              <w:rPr>
                <w:sz w:val="8"/>
                <w:szCs w:val="8"/>
                <w:color w:val="auto"/>
              </w:rPr>
            </w:pPr>
          </w:p>
        </w:tc>
        <w:tc>
          <w:tcPr>
            <w:tcW w:w="0" w:type="dxa"/>
            <w:vAlign w:val="bottom"/>
          </w:tcPr>
          <w:p>
            <w:pPr>
              <w:spacing w:after="0"/>
              <w:rPr>
                <w:sz w:val="1"/>
                <w:szCs w:val="1"/>
                <w:color w:val="auto"/>
              </w:rPr>
            </w:pPr>
          </w:p>
        </w:tc>
      </w:tr>
      <w:tr>
        <w:trPr>
          <w:trHeight w:val="219"/>
        </w:trPr>
        <w:tc>
          <w:tcPr>
            <w:tcW w:w="1340" w:type="dxa"/>
            <w:vAlign w:val="bottom"/>
          </w:tcPr>
          <w:p>
            <w:pPr>
              <w:ind w:left="20"/>
              <w:spacing w:after="0"/>
              <w:rPr>
                <w:sz w:val="20"/>
                <w:szCs w:val="20"/>
                <w:color w:val="auto"/>
              </w:rPr>
            </w:pPr>
            <w:r>
              <w:rPr>
                <w:rFonts w:ascii="Arial" w:cs="Arial" w:eastAsia="Arial" w:hAnsi="Arial"/>
                <w:sz w:val="16"/>
                <w:szCs w:val="16"/>
                <w:b w:val="1"/>
                <w:bCs w:val="1"/>
                <w:color w:val="C00000"/>
              </w:rPr>
              <w:t>$0.36 share</w:t>
            </w:r>
          </w:p>
        </w:tc>
        <w:tc>
          <w:tcPr>
            <w:tcW w:w="9900" w:type="dxa"/>
            <w:vAlign w:val="bottom"/>
          </w:tcPr>
          <w:p>
            <w:pPr>
              <w:ind w:left="340"/>
              <w:spacing w:after="0"/>
              <w:rPr>
                <w:sz w:val="20"/>
                <w:szCs w:val="20"/>
                <w:color w:val="auto"/>
              </w:rPr>
            </w:pPr>
            <w:r>
              <w:rPr>
                <w:rFonts w:ascii="Arial" w:cs="Arial" w:eastAsia="Arial" w:hAnsi="Arial"/>
                <w:sz w:val="16"/>
                <w:szCs w:val="16"/>
                <w:b w:val="1"/>
                <w:bCs w:val="1"/>
                <w:i w:val="1"/>
                <w:iCs w:val="1"/>
                <w:color w:val="auto"/>
              </w:rPr>
              <w:t>Quarterly Cash Dividend</w:t>
            </w:r>
          </w:p>
        </w:tc>
        <w:tc>
          <w:tcPr>
            <w:tcW w:w="0" w:type="dxa"/>
            <w:vAlign w:val="bottom"/>
          </w:tcPr>
          <w:p>
            <w:pPr>
              <w:spacing w:after="0"/>
              <w:rPr>
                <w:sz w:val="1"/>
                <w:szCs w:val="1"/>
                <w:color w:val="auto"/>
              </w:rPr>
            </w:pPr>
          </w:p>
        </w:tc>
      </w:tr>
      <w:tr>
        <w:trPr>
          <w:trHeight w:val="187"/>
        </w:trPr>
        <w:tc>
          <w:tcPr>
            <w:tcW w:w="1340" w:type="dxa"/>
            <w:vAlign w:val="bottom"/>
          </w:tcPr>
          <w:p>
            <w:pPr>
              <w:spacing w:after="0"/>
              <w:rPr>
                <w:sz w:val="16"/>
                <w:szCs w:val="16"/>
                <w:color w:val="auto"/>
              </w:rPr>
            </w:pPr>
          </w:p>
        </w:tc>
        <w:tc>
          <w:tcPr>
            <w:tcW w:w="9900" w:type="dxa"/>
            <w:vAlign w:val="bottom"/>
          </w:tcPr>
          <w:p>
            <w:pPr>
              <w:ind w:left="340"/>
              <w:spacing w:after="0"/>
              <w:rPr>
                <w:sz w:val="20"/>
                <w:szCs w:val="20"/>
                <w:color w:val="auto"/>
              </w:rPr>
            </w:pPr>
            <w:r>
              <w:rPr>
                <w:rFonts w:ascii="Arial" w:cs="Arial" w:eastAsia="Arial" w:hAnsi="Arial"/>
                <w:sz w:val="16"/>
                <w:szCs w:val="16"/>
                <w:color w:val="auto"/>
              </w:rPr>
              <w:t>Paid a $0.36 per share quarterly cash dividend, a 5.9% increase over our fiscal 2023 quarterly cash dividend, and announced a $0.38</w:t>
            </w:r>
          </w:p>
        </w:tc>
        <w:tc>
          <w:tcPr>
            <w:tcW w:w="0" w:type="dxa"/>
            <w:vAlign w:val="bottom"/>
          </w:tcPr>
          <w:p>
            <w:pPr>
              <w:spacing w:after="0"/>
              <w:rPr>
                <w:sz w:val="1"/>
                <w:szCs w:val="1"/>
                <w:color w:val="auto"/>
              </w:rPr>
            </w:pPr>
          </w:p>
        </w:tc>
      </w:tr>
      <w:tr>
        <w:trPr>
          <w:trHeight w:val="211"/>
        </w:trPr>
        <w:tc>
          <w:tcPr>
            <w:tcW w:w="1340" w:type="dxa"/>
            <w:vAlign w:val="bottom"/>
          </w:tcPr>
          <w:p>
            <w:pPr>
              <w:spacing w:after="0"/>
              <w:rPr>
                <w:sz w:val="18"/>
                <w:szCs w:val="18"/>
                <w:color w:val="auto"/>
              </w:rPr>
            </w:pPr>
          </w:p>
        </w:tc>
        <w:tc>
          <w:tcPr>
            <w:tcW w:w="9900" w:type="dxa"/>
            <w:vAlign w:val="bottom"/>
          </w:tcPr>
          <w:p>
            <w:pPr>
              <w:ind w:left="340"/>
              <w:spacing w:after="0"/>
              <w:rPr>
                <w:sz w:val="20"/>
                <w:szCs w:val="20"/>
                <w:color w:val="auto"/>
              </w:rPr>
            </w:pPr>
            <w:r>
              <w:rPr>
                <w:rFonts w:ascii="Arial" w:cs="Arial" w:eastAsia="Arial" w:hAnsi="Arial"/>
                <w:sz w:val="16"/>
                <w:szCs w:val="16"/>
                <w:color w:val="auto"/>
              </w:rPr>
              <w:t>per share quarterly cash dividend for fiscal 2025.</w:t>
            </w:r>
          </w:p>
        </w:tc>
        <w:tc>
          <w:tcPr>
            <w:tcW w:w="0" w:type="dxa"/>
            <w:vAlign w:val="bottom"/>
          </w:tcPr>
          <w:p>
            <w:pPr>
              <w:spacing w:after="0"/>
              <w:rPr>
                <w:sz w:val="1"/>
                <w:szCs w:val="1"/>
                <w:color w:val="auto"/>
              </w:rPr>
            </w:pPr>
          </w:p>
        </w:tc>
      </w:tr>
      <w:tr>
        <w:trPr>
          <w:trHeight w:val="57"/>
        </w:trPr>
        <w:tc>
          <w:tcPr>
            <w:tcW w:w="1340" w:type="dxa"/>
            <w:vAlign w:val="bottom"/>
          </w:tcPr>
          <w:p>
            <w:pPr>
              <w:spacing w:after="0"/>
              <w:rPr>
                <w:sz w:val="4"/>
                <w:szCs w:val="4"/>
                <w:color w:val="auto"/>
              </w:rPr>
            </w:pPr>
          </w:p>
        </w:tc>
        <w:tc>
          <w:tcPr>
            <w:tcW w:w="99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7"/>
        </w:trPr>
        <w:tc>
          <w:tcPr>
            <w:tcW w:w="1340" w:type="dxa"/>
            <w:vAlign w:val="bottom"/>
            <w:shd w:val="clear" w:color="auto" w:fill="BF2115"/>
          </w:tcPr>
          <w:p>
            <w:pPr>
              <w:ind w:left="20"/>
              <w:spacing w:after="0"/>
              <w:rPr>
                <w:sz w:val="20"/>
                <w:szCs w:val="20"/>
                <w:color w:val="auto"/>
              </w:rPr>
            </w:pPr>
            <w:r>
              <w:rPr>
                <w:rFonts w:ascii="Arial" w:cs="Arial" w:eastAsia="Arial" w:hAnsi="Arial"/>
                <w:sz w:val="18"/>
                <w:szCs w:val="18"/>
                <w:b w:val="1"/>
                <w:bCs w:val="1"/>
                <w:color w:val="FFFFFF"/>
              </w:rPr>
              <w:t>Operational</w:t>
            </w:r>
          </w:p>
        </w:tc>
        <w:tc>
          <w:tcPr>
            <w:tcW w:w="9900" w:type="dxa"/>
            <w:vAlign w:val="bottom"/>
            <w:shd w:val="clear" w:color="auto" w:fill="BF2115"/>
          </w:tcPr>
          <w:p>
            <w:pPr>
              <w:spacing w:after="0"/>
              <w:rPr>
                <w:sz w:val="23"/>
                <w:szCs w:val="23"/>
                <w:color w:val="auto"/>
              </w:rPr>
            </w:pPr>
          </w:p>
        </w:tc>
        <w:tc>
          <w:tcPr>
            <w:tcW w:w="0" w:type="dxa"/>
            <w:vAlign w:val="bottom"/>
          </w:tcPr>
          <w:p>
            <w:pPr>
              <w:spacing w:after="0"/>
              <w:rPr>
                <w:sz w:val="1"/>
                <w:szCs w:val="1"/>
                <w:color w:val="auto"/>
              </w:rPr>
            </w:pPr>
          </w:p>
        </w:tc>
      </w:tr>
      <w:tr>
        <w:trPr>
          <w:trHeight w:val="226"/>
        </w:trPr>
        <w:tc>
          <w:tcPr>
            <w:tcW w:w="1340" w:type="dxa"/>
            <w:vAlign w:val="bottom"/>
            <w:vMerge w:val="restart"/>
            <w:shd w:val="clear" w:color="auto" w:fill="DBDBDB"/>
          </w:tcPr>
          <w:p>
            <w:pPr>
              <w:ind w:left="20"/>
              <w:spacing w:after="0" w:line="281" w:lineRule="exact"/>
              <w:rPr>
                <w:sz w:val="20"/>
                <w:szCs w:val="20"/>
                <w:color w:val="auto"/>
              </w:rPr>
            </w:pPr>
            <w:r>
              <w:rPr>
                <w:rFonts w:ascii="MS PGothic" w:cs="MS PGothic" w:eastAsia="MS PGothic" w:hAnsi="MS PGothic"/>
                <w:sz w:val="28"/>
                <w:szCs w:val="28"/>
                <w:color w:val="auto"/>
                <w:shd w:val="clear" w:color="auto" w:fill="C00000"/>
              </w:rPr>
              <w:t>✓</w:t>
            </w:r>
          </w:p>
        </w:tc>
        <w:tc>
          <w:tcPr>
            <w:tcW w:w="9900" w:type="dxa"/>
            <w:vAlign w:val="bottom"/>
            <w:shd w:val="clear" w:color="auto" w:fill="DBDBDB"/>
          </w:tcPr>
          <w:p>
            <w:pPr>
              <w:ind w:left="340"/>
              <w:spacing w:after="0"/>
              <w:rPr>
                <w:sz w:val="20"/>
                <w:szCs w:val="20"/>
                <w:color w:val="auto"/>
              </w:rPr>
            </w:pPr>
            <w:r>
              <w:rPr>
                <w:rFonts w:ascii="Arial" w:cs="Arial" w:eastAsia="Arial" w:hAnsi="Arial"/>
                <w:sz w:val="16"/>
                <w:szCs w:val="16"/>
                <w:b w:val="1"/>
                <w:bCs w:val="1"/>
                <w:i w:val="1"/>
                <w:iCs w:val="1"/>
                <w:color w:val="auto"/>
              </w:rPr>
              <w:t>Sustainability</w:t>
            </w:r>
          </w:p>
        </w:tc>
        <w:tc>
          <w:tcPr>
            <w:tcW w:w="0" w:type="dxa"/>
            <w:vAlign w:val="bottom"/>
          </w:tcPr>
          <w:p>
            <w:pPr>
              <w:spacing w:after="0"/>
              <w:rPr>
                <w:sz w:val="1"/>
                <w:szCs w:val="1"/>
                <w:color w:val="auto"/>
              </w:rPr>
            </w:pPr>
          </w:p>
        </w:tc>
      </w:tr>
      <w:tr>
        <w:trPr>
          <w:trHeight w:val="187"/>
        </w:trPr>
        <w:tc>
          <w:tcPr>
            <w:tcW w:w="1340" w:type="dxa"/>
            <w:vAlign w:val="bottom"/>
            <w:vMerge w:val="continue"/>
            <w:shd w:val="clear" w:color="auto" w:fill="DBDBDB"/>
          </w:tcPr>
          <w:p>
            <w:pPr>
              <w:spacing w:after="0"/>
              <w:rPr>
                <w:sz w:val="16"/>
                <w:szCs w:val="16"/>
                <w:color w:val="auto"/>
              </w:rPr>
            </w:pPr>
          </w:p>
        </w:tc>
        <w:tc>
          <w:tcPr>
            <w:tcW w:w="9900" w:type="dxa"/>
            <w:vAlign w:val="bottom"/>
            <w:shd w:val="clear" w:color="auto" w:fill="DBDBDB"/>
          </w:tcPr>
          <w:p>
            <w:pPr>
              <w:ind w:left="340"/>
              <w:spacing w:after="0"/>
              <w:rPr>
                <w:sz w:val="20"/>
                <w:szCs w:val="20"/>
                <w:color w:val="auto"/>
              </w:rPr>
            </w:pPr>
            <w:r>
              <w:rPr>
                <w:rFonts w:ascii="Arial" w:cs="Arial" w:eastAsia="Arial" w:hAnsi="Arial"/>
                <w:sz w:val="16"/>
                <w:szCs w:val="16"/>
                <w:color w:val="auto"/>
              </w:rPr>
              <w:t>Released our Fiscal 2023 Sustainability Report in June 2024, which highlights key achievements, metrics and sustainability goals</w:t>
            </w:r>
          </w:p>
        </w:tc>
        <w:tc>
          <w:tcPr>
            <w:tcW w:w="0" w:type="dxa"/>
            <w:vAlign w:val="bottom"/>
          </w:tcPr>
          <w:p>
            <w:pPr>
              <w:spacing w:after="0"/>
              <w:rPr>
                <w:sz w:val="1"/>
                <w:szCs w:val="1"/>
                <w:color w:val="auto"/>
              </w:rPr>
            </w:pPr>
          </w:p>
        </w:tc>
      </w:tr>
      <w:tr>
        <w:trPr>
          <w:trHeight w:val="187"/>
        </w:trPr>
        <w:tc>
          <w:tcPr>
            <w:tcW w:w="1340" w:type="dxa"/>
            <w:vAlign w:val="bottom"/>
            <w:shd w:val="clear" w:color="auto" w:fill="DBDBDB"/>
          </w:tcPr>
          <w:p>
            <w:pPr>
              <w:spacing w:after="0"/>
              <w:rPr>
                <w:sz w:val="16"/>
                <w:szCs w:val="16"/>
                <w:color w:val="auto"/>
              </w:rPr>
            </w:pPr>
          </w:p>
        </w:tc>
        <w:tc>
          <w:tcPr>
            <w:tcW w:w="9900" w:type="dxa"/>
            <w:vAlign w:val="bottom"/>
            <w:shd w:val="clear" w:color="auto" w:fill="DBDBDB"/>
          </w:tcPr>
          <w:p>
            <w:pPr>
              <w:ind w:left="340"/>
              <w:spacing w:after="0"/>
              <w:rPr>
                <w:sz w:val="20"/>
                <w:szCs w:val="20"/>
                <w:color w:val="auto"/>
              </w:rPr>
            </w:pPr>
            <w:r>
              <w:rPr>
                <w:rFonts w:ascii="Arial" w:cs="Arial" w:eastAsia="Arial" w:hAnsi="Arial"/>
                <w:sz w:val="16"/>
                <w:szCs w:val="16"/>
                <w:color w:val="auto"/>
              </w:rPr>
              <w:t>through the lens of our Product, People and Process sustainability pillars. The report builds on our longstanding commitment to making</w:t>
            </w:r>
          </w:p>
        </w:tc>
        <w:tc>
          <w:tcPr>
            <w:tcW w:w="0" w:type="dxa"/>
            <w:vAlign w:val="bottom"/>
          </w:tcPr>
          <w:p>
            <w:pPr>
              <w:spacing w:after="0"/>
              <w:rPr>
                <w:sz w:val="1"/>
                <w:szCs w:val="1"/>
                <w:color w:val="auto"/>
              </w:rPr>
            </w:pPr>
          </w:p>
        </w:tc>
      </w:tr>
      <w:tr>
        <w:trPr>
          <w:trHeight w:val="248"/>
        </w:trPr>
        <w:tc>
          <w:tcPr>
            <w:tcW w:w="1340" w:type="dxa"/>
            <w:vAlign w:val="bottom"/>
            <w:tcBorders>
              <w:bottom w:val="single" w:sz="8" w:color="DBDBDB"/>
            </w:tcBorders>
            <w:shd w:val="clear" w:color="auto" w:fill="DBDBDB"/>
          </w:tcPr>
          <w:p>
            <w:pPr>
              <w:spacing w:after="0"/>
              <w:rPr>
                <w:sz w:val="21"/>
                <w:szCs w:val="21"/>
                <w:color w:val="auto"/>
              </w:rPr>
            </w:pPr>
          </w:p>
        </w:tc>
        <w:tc>
          <w:tcPr>
            <w:tcW w:w="9900" w:type="dxa"/>
            <w:vAlign w:val="bottom"/>
            <w:tcBorders>
              <w:bottom w:val="single" w:sz="8" w:color="DBDBDB"/>
            </w:tcBorders>
            <w:shd w:val="clear" w:color="auto" w:fill="DBDBDB"/>
          </w:tcPr>
          <w:p>
            <w:pPr>
              <w:ind w:left="340"/>
              <w:spacing w:after="0"/>
              <w:rPr>
                <w:sz w:val="20"/>
                <w:szCs w:val="20"/>
                <w:color w:val="auto"/>
              </w:rPr>
            </w:pPr>
            <w:r>
              <w:rPr>
                <w:rFonts w:ascii="Arial" w:cs="Arial" w:eastAsia="Arial" w:hAnsi="Arial"/>
                <w:sz w:val="16"/>
                <w:szCs w:val="16"/>
                <w:color w:val="auto"/>
              </w:rPr>
              <w:t>a positive impact financially, socially and environmentally worldwide.</w:t>
            </w:r>
          </w:p>
        </w:tc>
        <w:tc>
          <w:tcPr>
            <w:tcW w:w="0" w:type="dxa"/>
            <w:vAlign w:val="bottom"/>
          </w:tcPr>
          <w:p>
            <w:pPr>
              <w:spacing w:after="0"/>
              <w:rPr>
                <w:sz w:val="1"/>
                <w:szCs w:val="1"/>
                <w:color w:val="auto"/>
              </w:rPr>
            </w:pPr>
          </w:p>
        </w:tc>
      </w:tr>
      <w:tr>
        <w:trPr>
          <w:trHeight w:val="107"/>
        </w:trPr>
        <w:tc>
          <w:tcPr>
            <w:tcW w:w="1340" w:type="dxa"/>
            <w:vAlign w:val="bottom"/>
          </w:tcPr>
          <w:p>
            <w:pPr>
              <w:spacing w:after="0"/>
              <w:rPr>
                <w:sz w:val="9"/>
                <w:szCs w:val="9"/>
                <w:color w:val="auto"/>
              </w:rPr>
            </w:pPr>
          </w:p>
        </w:tc>
        <w:tc>
          <w:tcPr>
            <w:tcW w:w="99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80"/>
        </w:trPr>
        <w:tc>
          <w:tcPr>
            <w:tcW w:w="1340" w:type="dxa"/>
            <w:vAlign w:val="bottom"/>
            <w:shd w:val="clear" w:color="auto" w:fill="BF2115"/>
          </w:tcPr>
          <w:p>
            <w:pPr>
              <w:ind w:left="20"/>
              <w:spacing w:after="0"/>
              <w:rPr>
                <w:sz w:val="20"/>
                <w:szCs w:val="20"/>
                <w:color w:val="auto"/>
              </w:rPr>
            </w:pPr>
            <w:r>
              <w:rPr>
                <w:rFonts w:ascii="Arial" w:cs="Arial" w:eastAsia="Arial" w:hAnsi="Arial"/>
                <w:sz w:val="18"/>
                <w:szCs w:val="18"/>
                <w:b w:val="1"/>
                <w:bCs w:val="1"/>
                <w:color w:val="FFFFFF"/>
              </w:rPr>
              <w:t>Strategic</w:t>
            </w:r>
          </w:p>
        </w:tc>
        <w:tc>
          <w:tcPr>
            <w:tcW w:w="9900" w:type="dxa"/>
            <w:vAlign w:val="bottom"/>
            <w:shd w:val="clear" w:color="auto" w:fill="BF2115"/>
          </w:tcPr>
          <w:p>
            <w:pPr>
              <w:spacing w:after="0"/>
              <w:rPr>
                <w:sz w:val="24"/>
                <w:szCs w:val="24"/>
                <w:color w:val="auto"/>
              </w:rPr>
            </w:pPr>
          </w:p>
        </w:tc>
        <w:tc>
          <w:tcPr>
            <w:tcW w:w="0" w:type="dxa"/>
            <w:vAlign w:val="bottom"/>
          </w:tcPr>
          <w:p>
            <w:pPr>
              <w:spacing w:after="0"/>
              <w:rPr>
                <w:sz w:val="1"/>
                <w:szCs w:val="1"/>
                <w:color w:val="auto"/>
              </w:rPr>
            </w:pPr>
          </w:p>
        </w:tc>
      </w:tr>
      <w:tr>
        <w:trPr>
          <w:trHeight w:val="239"/>
        </w:trPr>
        <w:tc>
          <w:tcPr>
            <w:tcW w:w="1340" w:type="dxa"/>
            <w:vAlign w:val="bottom"/>
            <w:vMerge w:val="restart"/>
          </w:tcPr>
          <w:p>
            <w:pPr>
              <w:ind w:left="20"/>
              <w:spacing w:after="0" w:line="281" w:lineRule="exact"/>
              <w:rPr>
                <w:sz w:val="20"/>
                <w:szCs w:val="20"/>
                <w:color w:val="auto"/>
              </w:rPr>
            </w:pPr>
            <w:r>
              <w:rPr>
                <w:rFonts w:ascii="MS PGothic" w:cs="MS PGothic" w:eastAsia="MS PGothic" w:hAnsi="MS PGothic"/>
                <w:sz w:val="28"/>
                <w:szCs w:val="28"/>
                <w:color w:val="auto"/>
                <w:shd w:val="clear" w:color="auto" w:fill="C00000"/>
              </w:rPr>
              <w:t>✓</w:t>
            </w:r>
          </w:p>
        </w:tc>
        <w:tc>
          <w:tcPr>
            <w:tcW w:w="9900" w:type="dxa"/>
            <w:vAlign w:val="bottom"/>
          </w:tcPr>
          <w:p>
            <w:pPr>
              <w:ind w:left="360"/>
              <w:spacing w:after="0"/>
              <w:rPr>
                <w:sz w:val="20"/>
                <w:szCs w:val="20"/>
                <w:color w:val="auto"/>
              </w:rPr>
            </w:pPr>
            <w:r>
              <w:rPr>
                <w:rFonts w:ascii="Arial" w:cs="Arial" w:eastAsia="Arial" w:hAnsi="Arial"/>
                <w:sz w:val="16"/>
                <w:szCs w:val="16"/>
                <w:b w:val="1"/>
                <w:bCs w:val="1"/>
                <w:i w:val="1"/>
                <w:iCs w:val="1"/>
                <w:color w:val="auto"/>
              </w:rPr>
              <w:t>Accelerating Profitable Growth, Driving Productivity and Operational Excellence and Empowering our People</w:t>
            </w:r>
          </w:p>
        </w:tc>
        <w:tc>
          <w:tcPr>
            <w:tcW w:w="0" w:type="dxa"/>
            <w:vAlign w:val="bottom"/>
          </w:tcPr>
          <w:p>
            <w:pPr>
              <w:spacing w:after="0"/>
              <w:rPr>
                <w:sz w:val="1"/>
                <w:szCs w:val="1"/>
                <w:color w:val="auto"/>
              </w:rPr>
            </w:pPr>
          </w:p>
        </w:tc>
      </w:tr>
      <w:tr>
        <w:trPr>
          <w:trHeight w:val="187"/>
        </w:trPr>
        <w:tc>
          <w:tcPr>
            <w:tcW w:w="1340" w:type="dxa"/>
            <w:vAlign w:val="bottom"/>
            <w:vMerge w:val="continue"/>
          </w:tcPr>
          <w:p>
            <w:pPr>
              <w:spacing w:after="0"/>
              <w:rPr>
                <w:sz w:val="16"/>
                <w:szCs w:val="16"/>
                <w:color w:val="auto"/>
              </w:rPr>
            </w:pPr>
          </w:p>
        </w:tc>
        <w:tc>
          <w:tcPr>
            <w:tcW w:w="9900" w:type="dxa"/>
            <w:vAlign w:val="bottom"/>
          </w:tcPr>
          <w:p>
            <w:pPr>
              <w:ind w:left="360"/>
              <w:spacing w:after="0"/>
              <w:rPr>
                <w:sz w:val="20"/>
                <w:szCs w:val="20"/>
                <w:color w:val="auto"/>
              </w:rPr>
            </w:pPr>
            <w:r>
              <w:rPr>
                <w:rFonts w:ascii="Arial" w:cs="Arial" w:eastAsia="Arial" w:hAnsi="Arial"/>
                <w:sz w:val="16"/>
                <w:szCs w:val="16"/>
                <w:color w:val="auto"/>
              </w:rPr>
              <w:t>Continued our key strategic priorities of accelerating profitable growth, driving productivity and operational excellence, and</w:t>
            </w:r>
          </w:p>
        </w:tc>
        <w:tc>
          <w:tcPr>
            <w:tcW w:w="0" w:type="dxa"/>
            <w:vAlign w:val="bottom"/>
          </w:tcPr>
          <w:p>
            <w:pPr>
              <w:spacing w:after="0"/>
              <w:rPr>
                <w:sz w:val="1"/>
                <w:szCs w:val="1"/>
                <w:color w:val="auto"/>
              </w:rPr>
            </w:pPr>
          </w:p>
        </w:tc>
      </w:tr>
      <w:tr>
        <w:trPr>
          <w:trHeight w:val="211"/>
        </w:trPr>
        <w:tc>
          <w:tcPr>
            <w:tcW w:w="1340" w:type="dxa"/>
            <w:vAlign w:val="bottom"/>
          </w:tcPr>
          <w:p>
            <w:pPr>
              <w:spacing w:after="0"/>
              <w:rPr>
                <w:sz w:val="18"/>
                <w:szCs w:val="18"/>
                <w:color w:val="auto"/>
              </w:rPr>
            </w:pPr>
          </w:p>
        </w:tc>
        <w:tc>
          <w:tcPr>
            <w:tcW w:w="9900" w:type="dxa"/>
            <w:vAlign w:val="bottom"/>
          </w:tcPr>
          <w:p>
            <w:pPr>
              <w:ind w:left="360"/>
              <w:spacing w:after="0"/>
              <w:rPr>
                <w:sz w:val="20"/>
                <w:szCs w:val="20"/>
                <w:color w:val="auto"/>
              </w:rPr>
            </w:pPr>
            <w:r>
              <w:rPr>
                <w:rFonts w:ascii="Arial" w:cs="Arial" w:eastAsia="Arial" w:hAnsi="Arial"/>
                <w:sz w:val="16"/>
                <w:szCs w:val="16"/>
                <w:color w:val="auto"/>
              </w:rPr>
              <w:t>empowering our people.</w:t>
            </w:r>
          </w:p>
        </w:tc>
        <w:tc>
          <w:tcPr>
            <w:tcW w:w="0" w:type="dxa"/>
            <w:vAlign w:val="bottom"/>
          </w:tcPr>
          <w:p>
            <w:pPr>
              <w:spacing w:after="0"/>
              <w:rPr>
                <w:sz w:val="1"/>
                <w:szCs w:val="1"/>
                <w:color w:val="auto"/>
              </w:rPr>
            </w:pPr>
          </w:p>
        </w:tc>
      </w:tr>
    </w:tbl>
    <w:p>
      <w:pPr>
        <w:spacing w:after="0" w:line="27" w:lineRule="exact"/>
        <w:rPr>
          <w:sz w:val="20"/>
          <w:szCs w:val="20"/>
          <w:color w:val="auto"/>
        </w:rPr>
      </w:pPr>
    </w:p>
    <w:p>
      <w:pPr>
        <w:sectPr>
          <w:pgSz w:w="11900" w:h="16838" w:orient="portrait"/>
          <w:cols w:equalWidth="0" w:num="1">
            <w:col w:w="11240"/>
          </w:cols>
          <w:pgMar w:left="320" w:top="1157" w:right="339" w:bottom="1440" w:gutter="0" w:footer="0" w:header="0"/>
          <w:type w:val="continuous"/>
        </w:sectPr>
      </w:pPr>
    </w:p>
    <w:p>
      <w:pPr>
        <w:ind w:left="20"/>
        <w:spacing w:after="0" w:line="241" w:lineRule="exact"/>
        <w:rPr>
          <w:sz w:val="20"/>
          <w:szCs w:val="20"/>
          <w:color w:val="auto"/>
        </w:rPr>
      </w:pPr>
      <w:r>
        <w:rPr>
          <w:rFonts w:ascii="MS PGothic" w:cs="MS PGothic" w:eastAsia="MS PGothic" w:hAnsi="MS PGothic"/>
          <w:sz w:val="24"/>
          <w:szCs w:val="24"/>
          <w:color w:val="auto"/>
          <w:shd w:val="clear" w:color="auto" w:fill="C00000"/>
        </w:rPr>
        <w:t>✓</w:t>
      </w:r>
    </w:p>
    <w:p>
      <w:pPr>
        <w:spacing w:after="0" w:line="294" w:lineRule="exact"/>
        <w:rPr>
          <w:sz w:val="20"/>
          <w:szCs w:val="20"/>
          <w:color w:val="auto"/>
        </w:rPr>
      </w:pPr>
    </w:p>
    <w:p>
      <w:pPr>
        <w:ind w:left="20"/>
        <w:spacing w:after="0" w:line="241" w:lineRule="exact"/>
        <w:rPr>
          <w:sz w:val="20"/>
          <w:szCs w:val="20"/>
          <w:color w:val="auto"/>
        </w:rPr>
      </w:pPr>
      <w:r>
        <w:rPr>
          <w:rFonts w:ascii="MS PGothic" w:cs="MS PGothic" w:eastAsia="MS PGothic" w:hAnsi="MS PGothic"/>
          <w:sz w:val="24"/>
          <w:szCs w:val="24"/>
          <w:color w:val="auto"/>
          <w:shd w:val="clear" w:color="auto" w:fill="C00000"/>
        </w:rPr>
        <w:t>✓</w:t>
      </w:r>
    </w:p>
    <w:p>
      <w:pPr>
        <w:spacing w:after="0" w:line="20" w:lineRule="exact"/>
        <w:rPr>
          <w:sz w:val="20"/>
          <w:szCs w:val="20"/>
          <w:color w:val="auto"/>
        </w:rPr>
      </w:pPr>
      <w:r>
        <w:rPr>
          <w:sz w:val="20"/>
          <w:szCs w:val="20"/>
          <w:color w:val="auto"/>
        </w:rPr>
        <w:br w:type="column"/>
      </w:r>
    </w:p>
    <w:p>
      <w:pPr>
        <w:spacing w:after="0" w:line="7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Research and Development Investment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-1074420</wp:posOffset>
            </wp:positionH>
            <wp:positionV relativeFrom="paragraph">
              <wp:posOffset>-142240</wp:posOffset>
            </wp:positionV>
            <wp:extent cx="7134225" cy="3473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4225" cy="347345"/>
                    </a:xfrm>
                    <a:prstGeom prst="rect">
                      <a:avLst/>
                    </a:prstGeom>
                    <a:noFill/>
                  </pic:spPr>
                </pic:pic>
              </a:graphicData>
            </a:graphic>
          </wp:anchor>
        </w:drawing>
      </w:r>
    </w:p>
    <w:p>
      <w:pPr>
        <w:spacing w:after="0" w:line="15" w:lineRule="exact"/>
        <w:rPr>
          <w:sz w:val="20"/>
          <w:szCs w:val="20"/>
          <w:color w:val="auto"/>
        </w:rPr>
      </w:pPr>
    </w:p>
    <w:p>
      <w:pPr>
        <w:spacing w:after="0"/>
        <w:rPr>
          <w:sz w:val="20"/>
          <w:szCs w:val="20"/>
          <w:color w:val="auto"/>
        </w:rPr>
      </w:pPr>
      <w:r>
        <w:rPr>
          <w:rFonts w:ascii="Arial" w:cs="Arial" w:eastAsia="Arial" w:hAnsi="Arial"/>
          <w:sz w:val="16"/>
          <w:szCs w:val="16"/>
          <w:color w:val="auto"/>
        </w:rPr>
        <w:t>We invested $173.1 million in R&amp;D initiatives.</w:t>
      </w:r>
    </w:p>
    <w:p>
      <w:pPr>
        <w:spacing w:after="0" w:line="13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Continued Focus on Alternative Power, Smart-Connected Products and Autonomous Solutions</w:t>
      </w:r>
    </w:p>
    <w:p>
      <w:pPr>
        <w:spacing w:after="0" w:line="35" w:lineRule="exact"/>
        <w:rPr>
          <w:sz w:val="20"/>
          <w:szCs w:val="20"/>
          <w:color w:val="auto"/>
        </w:rPr>
      </w:pPr>
    </w:p>
    <w:p>
      <w:pPr>
        <w:ind w:right="460"/>
        <w:spacing w:after="0" w:line="269" w:lineRule="auto"/>
        <w:rPr>
          <w:sz w:val="20"/>
          <w:szCs w:val="20"/>
          <w:color w:val="auto"/>
        </w:rPr>
      </w:pPr>
      <w:r>
        <w:rPr>
          <w:rFonts w:ascii="Arial" w:cs="Arial" w:eastAsia="Arial" w:hAnsi="Arial"/>
          <w:sz w:val="16"/>
          <w:szCs w:val="16"/>
          <w:color w:val="auto"/>
        </w:rPr>
        <w:t>Our creative, hard-working teams drove innovative advancements in technology, focusing on alternative power, smart-connected products and autonomous solutions.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-1074420</wp:posOffset>
            </wp:positionH>
            <wp:positionV relativeFrom="paragraph">
              <wp:posOffset>38735</wp:posOffset>
            </wp:positionV>
            <wp:extent cx="7134225"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980" w:space="720"/>
            <w:col w:w="9540"/>
          </w:cols>
          <w:pgMar w:left="320" w:top="1157"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vii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157" w:right="339" w:bottom="1440" w:gutter="0" w:footer="0" w:header="0"/>
          <w:type w:val="continuous"/>
        </w:sectPr>
      </w:pPr>
    </w:p>
    <w:bookmarkStart w:id="9" w:name="page10"/>
    <w:bookmarkEnd w:id="9"/>
    <w:p>
      <w:pPr>
        <w:spacing w:after="0"/>
        <w:rPr>
          <w:sz w:val="20"/>
          <w:szCs w:val="20"/>
          <w:color w:val="auto"/>
        </w:rPr>
      </w:pPr>
      <w:r>
        <w:rPr>
          <w:rFonts w:ascii="Arial" w:cs="Arial" w:eastAsia="Arial" w:hAnsi="Arial"/>
          <w:sz w:val="20"/>
          <w:szCs w:val="20"/>
          <w:b w:val="1"/>
          <w:bCs w:val="1"/>
          <w:color w:val="C00000"/>
        </w:rPr>
        <w:t>The Toro Company's Commitment to Sustainability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97790</wp:posOffset>
            </wp:positionH>
            <wp:positionV relativeFrom="paragraph">
              <wp:posOffset>97790</wp:posOffset>
            </wp:positionV>
            <wp:extent cx="6955790" cy="141478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955790" cy="1414780"/>
                    </a:xfrm>
                    <a:prstGeom prst="rect">
                      <a:avLst/>
                    </a:prstGeom>
                    <a:noFill/>
                  </pic:spPr>
                </pic:pic>
              </a:graphicData>
            </a:graphic>
          </wp:anchor>
        </w:drawing>
      </w:r>
    </w:p>
    <w:p>
      <w:pPr>
        <w:spacing w:after="0" w:line="237" w:lineRule="exact"/>
        <w:rPr>
          <w:sz w:val="20"/>
          <w:szCs w:val="20"/>
          <w:color w:val="auto"/>
        </w:rPr>
      </w:pPr>
    </w:p>
    <w:p>
      <w:pPr>
        <w:ind w:left="400" w:hanging="215"/>
        <w:spacing w:after="0"/>
        <w:tabs>
          <w:tab w:leader="none" w:pos="400" w:val="left"/>
        </w:tabs>
        <w:numPr>
          <w:ilvl w:val="0"/>
          <w:numId w:val="7"/>
        </w:numPr>
        <w:rPr>
          <w:rFonts w:ascii="MS PGothic" w:cs="MS PGothic" w:eastAsia="MS PGothic" w:hAnsi="MS PGothic"/>
          <w:sz w:val="20"/>
          <w:szCs w:val="20"/>
          <w:color w:val="auto"/>
          <w:shd w:val="clear" w:color="auto" w:fill="C00000"/>
        </w:rPr>
      </w:pPr>
      <w:r>
        <w:rPr>
          <w:rFonts w:ascii="Arial" w:cs="Arial" w:eastAsia="Arial" w:hAnsi="Arial"/>
          <w:sz w:val="18"/>
          <w:szCs w:val="18"/>
          <w:color w:val="auto"/>
        </w:rPr>
        <w:t>Deeply rooted in our purpose and strategic business priorities</w:t>
      </w:r>
    </w:p>
    <w:p>
      <w:pPr>
        <w:spacing w:after="0" w:line="70" w:lineRule="exact"/>
        <w:rPr>
          <w:rFonts w:ascii="MS PGothic" w:cs="MS PGothic" w:eastAsia="MS PGothic" w:hAnsi="MS PGothic"/>
          <w:sz w:val="20"/>
          <w:szCs w:val="20"/>
          <w:color w:val="auto"/>
          <w:shd w:val="clear" w:color="auto" w:fill="C00000"/>
        </w:rPr>
      </w:pPr>
    </w:p>
    <w:p>
      <w:pPr>
        <w:ind w:left="400" w:hanging="215"/>
        <w:spacing w:after="0"/>
        <w:tabs>
          <w:tab w:leader="none" w:pos="400" w:val="left"/>
        </w:tabs>
        <w:numPr>
          <w:ilvl w:val="0"/>
          <w:numId w:val="7"/>
        </w:numPr>
        <w:rPr>
          <w:rFonts w:ascii="MS PGothic" w:cs="MS PGothic" w:eastAsia="MS PGothic" w:hAnsi="MS PGothic"/>
          <w:sz w:val="20"/>
          <w:szCs w:val="20"/>
          <w:color w:val="auto"/>
          <w:shd w:val="clear" w:color="auto" w:fill="C00000"/>
        </w:rPr>
      </w:pPr>
      <w:r>
        <w:rPr>
          <w:rFonts w:ascii="Arial" w:cs="Arial" w:eastAsia="Arial" w:hAnsi="Arial"/>
          <w:sz w:val="18"/>
          <w:szCs w:val="18"/>
          <w:color w:val="auto"/>
        </w:rPr>
        <w:t>Continue to advance our sustainability goals through our focus on Product, Process and People, facilitated by Planning</w:t>
      </w:r>
    </w:p>
    <w:p>
      <w:pPr>
        <w:spacing w:after="0" w:line="70" w:lineRule="exact"/>
        <w:rPr>
          <w:rFonts w:ascii="MS PGothic" w:cs="MS PGothic" w:eastAsia="MS PGothic" w:hAnsi="MS PGothic"/>
          <w:sz w:val="20"/>
          <w:szCs w:val="20"/>
          <w:color w:val="auto"/>
          <w:shd w:val="clear" w:color="auto" w:fill="C00000"/>
        </w:rPr>
      </w:pPr>
    </w:p>
    <w:p>
      <w:pPr>
        <w:ind w:left="400" w:hanging="215"/>
        <w:spacing w:after="0"/>
        <w:tabs>
          <w:tab w:leader="none" w:pos="400" w:val="left"/>
        </w:tabs>
        <w:numPr>
          <w:ilvl w:val="0"/>
          <w:numId w:val="7"/>
        </w:numPr>
        <w:rPr>
          <w:rFonts w:ascii="MS PGothic" w:cs="MS PGothic" w:eastAsia="MS PGothic" w:hAnsi="MS PGothic"/>
          <w:sz w:val="20"/>
          <w:szCs w:val="20"/>
          <w:color w:val="auto"/>
          <w:shd w:val="clear" w:color="auto" w:fill="C00000"/>
        </w:rPr>
      </w:pPr>
      <w:r>
        <w:rPr>
          <w:rFonts w:ascii="Arial" w:cs="Arial" w:eastAsia="Arial" w:hAnsi="Arial"/>
          <w:sz w:val="18"/>
          <w:szCs w:val="18"/>
          <w:color w:val="auto"/>
        </w:rPr>
        <w:t>Demonstrate our commitment with an executive leadership role leading our efforts and enhancing our focus</w:t>
      </w:r>
    </w:p>
    <w:p>
      <w:pPr>
        <w:spacing w:after="0" w:line="70" w:lineRule="exact"/>
        <w:rPr>
          <w:rFonts w:ascii="MS PGothic" w:cs="MS PGothic" w:eastAsia="MS PGothic" w:hAnsi="MS PGothic"/>
          <w:sz w:val="20"/>
          <w:szCs w:val="20"/>
          <w:color w:val="auto"/>
          <w:shd w:val="clear" w:color="auto" w:fill="C00000"/>
        </w:rPr>
      </w:pPr>
    </w:p>
    <w:p>
      <w:pPr>
        <w:ind w:left="400" w:hanging="215"/>
        <w:spacing w:after="0"/>
        <w:tabs>
          <w:tab w:leader="none" w:pos="400" w:val="left"/>
        </w:tabs>
        <w:numPr>
          <w:ilvl w:val="0"/>
          <w:numId w:val="7"/>
        </w:numPr>
        <w:rPr>
          <w:rFonts w:ascii="MS PGothic" w:cs="MS PGothic" w:eastAsia="MS PGothic" w:hAnsi="MS PGothic"/>
          <w:sz w:val="20"/>
          <w:szCs w:val="20"/>
          <w:color w:val="auto"/>
          <w:shd w:val="clear" w:color="auto" w:fill="C00000"/>
        </w:rPr>
      </w:pPr>
      <w:r>
        <w:rPr>
          <w:rFonts w:ascii="Arial" w:cs="Arial" w:eastAsia="Arial" w:hAnsi="Arial"/>
          <w:sz w:val="18"/>
          <w:szCs w:val="18"/>
          <w:color w:val="auto"/>
        </w:rPr>
        <w:t>Released our Fiscal 2023 Sustainability Report in June 2024</w:t>
      </w:r>
    </w:p>
    <w:p>
      <w:pPr>
        <w:spacing w:after="0" w:line="70" w:lineRule="exact"/>
        <w:rPr>
          <w:rFonts w:ascii="MS PGothic" w:cs="MS PGothic" w:eastAsia="MS PGothic" w:hAnsi="MS PGothic"/>
          <w:sz w:val="20"/>
          <w:szCs w:val="20"/>
          <w:color w:val="auto"/>
          <w:shd w:val="clear" w:color="auto" w:fill="C00000"/>
        </w:rPr>
      </w:pPr>
    </w:p>
    <w:p>
      <w:pPr>
        <w:ind w:left="340" w:right="520" w:hanging="155"/>
        <w:spacing w:after="0" w:line="249" w:lineRule="auto"/>
        <w:tabs>
          <w:tab w:leader="none" w:pos="403" w:val="left"/>
        </w:tabs>
        <w:numPr>
          <w:ilvl w:val="0"/>
          <w:numId w:val="7"/>
        </w:numPr>
        <w:rPr>
          <w:rFonts w:ascii="MS PGothic" w:cs="MS PGothic" w:eastAsia="MS PGothic" w:hAnsi="MS PGothic"/>
          <w:sz w:val="20"/>
          <w:szCs w:val="20"/>
          <w:color w:val="auto"/>
          <w:shd w:val="clear" w:color="auto" w:fill="C00000"/>
        </w:rPr>
      </w:pPr>
      <w:r>
        <w:rPr>
          <w:rFonts w:ascii="Arial" w:cs="Arial" w:eastAsia="Arial" w:hAnsi="Arial"/>
          <w:sz w:val="18"/>
          <w:szCs w:val="18"/>
          <w:color w:val="auto"/>
        </w:rPr>
        <w:t>Our priorities are in alignment with six United Nations Sustainable Development Goals to address environmental and social issues globally</w:t>
      </w:r>
    </w:p>
    <w:p>
      <w:pPr>
        <w:spacing w:after="0" w:line="47" w:lineRule="exact"/>
        <w:rPr>
          <w:rFonts w:ascii="MS PGothic" w:cs="MS PGothic" w:eastAsia="MS PGothic" w:hAnsi="MS PGothic"/>
          <w:sz w:val="20"/>
          <w:szCs w:val="20"/>
          <w:color w:val="auto"/>
          <w:shd w:val="clear" w:color="auto" w:fill="C00000"/>
        </w:rPr>
      </w:pPr>
    </w:p>
    <w:p>
      <w:pPr>
        <w:ind w:left="340" w:right="200" w:hanging="155"/>
        <w:spacing w:after="0" w:line="274" w:lineRule="auto"/>
        <w:tabs>
          <w:tab w:leader="none" w:pos="403" w:val="left"/>
        </w:tabs>
        <w:numPr>
          <w:ilvl w:val="0"/>
          <w:numId w:val="7"/>
        </w:numPr>
        <w:rPr>
          <w:rFonts w:ascii="MS PGothic" w:cs="MS PGothic" w:eastAsia="MS PGothic" w:hAnsi="MS PGothic"/>
          <w:sz w:val="20"/>
          <w:szCs w:val="20"/>
          <w:color w:val="auto"/>
          <w:shd w:val="clear" w:color="auto" w:fill="C00000"/>
        </w:rPr>
      </w:pPr>
      <w:r>
        <w:rPr>
          <w:rFonts w:ascii="Arial" w:cs="Arial" w:eastAsia="Arial" w:hAnsi="Arial"/>
          <w:sz w:val="18"/>
          <w:szCs w:val="18"/>
          <w:color w:val="auto"/>
        </w:rPr>
        <w:t>Conducted an ESG double materiality assessment and Environmental Scenario Analysis to engage internal and external stakeholders to confirm our sustainability priorities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80645</wp:posOffset>
            </wp:positionH>
            <wp:positionV relativeFrom="paragraph">
              <wp:posOffset>106680</wp:posOffset>
            </wp:positionV>
            <wp:extent cx="6998335" cy="176212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998335" cy="1762125"/>
                    </a:xfrm>
                    <a:prstGeom prst="rect">
                      <a:avLst/>
                    </a:prstGeom>
                    <a:noFill/>
                  </pic:spPr>
                </pic:pic>
              </a:graphicData>
            </a:graphic>
          </wp:anchor>
        </w:drawing>
      </w:r>
    </w:p>
    <w:p>
      <w:pPr>
        <w:sectPr>
          <w:pgSz w:w="11900" w:h="16838" w:orient="portrait"/>
          <w:cols w:equalWidth="0" w:num="1">
            <w:col w:w="11140"/>
          </w:cols>
          <w:pgMar w:left="320" w:top="1157" w:right="439" w:bottom="1440" w:gutter="0" w:footer="0" w:header="0"/>
        </w:sectPr>
      </w:pPr>
    </w:p>
    <w:p>
      <w:pPr>
        <w:spacing w:after="0" w:line="189" w:lineRule="exact"/>
        <w:rPr>
          <w:sz w:val="20"/>
          <w:szCs w:val="20"/>
          <w:color w:val="auto"/>
        </w:rPr>
      </w:pPr>
    </w:p>
    <w:p>
      <w:pPr>
        <w:ind w:left="160"/>
        <w:spacing w:after="0" w:line="267" w:lineRule="auto"/>
        <w:rPr>
          <w:sz w:val="20"/>
          <w:szCs w:val="20"/>
          <w:color w:val="auto"/>
        </w:rPr>
      </w:pPr>
      <w:r>
        <w:rPr>
          <w:rFonts w:ascii="Arial" w:cs="Arial" w:eastAsia="Arial" w:hAnsi="Arial"/>
          <w:sz w:val="17"/>
          <w:szCs w:val="17"/>
          <w:b w:val="1"/>
          <w:bCs w:val="1"/>
          <w:color w:val="C00000"/>
        </w:rPr>
        <w:t xml:space="preserve">PRODUCTS: </w:t>
      </w:r>
      <w:r>
        <w:rPr>
          <w:rFonts w:ascii="Arial" w:cs="Arial" w:eastAsia="Arial" w:hAnsi="Arial"/>
          <w:sz w:val="17"/>
          <w:szCs w:val="17"/>
          <w:color w:val="000000"/>
        </w:rPr>
        <w:t>Develop innovative, safe</w:t>
      </w:r>
      <w:r>
        <w:rPr>
          <w:rFonts w:ascii="Arial" w:cs="Arial" w:eastAsia="Arial" w:hAnsi="Arial"/>
          <w:sz w:val="17"/>
          <w:szCs w:val="17"/>
          <w:b w:val="1"/>
          <w:bCs w:val="1"/>
          <w:color w:val="C00000"/>
        </w:rPr>
        <w:t xml:space="preserve"> </w:t>
      </w:r>
      <w:r>
        <w:rPr>
          <w:rFonts w:ascii="Arial" w:cs="Arial" w:eastAsia="Arial" w:hAnsi="Arial"/>
          <w:sz w:val="17"/>
          <w:szCs w:val="17"/>
          <w:color w:val="000000"/>
        </w:rPr>
        <w:t>and high-quality products that yield performance, productivity and environmental benefits for our customers</w:t>
      </w:r>
    </w:p>
    <w:p>
      <w:pPr>
        <w:spacing w:after="0" w:line="200" w:lineRule="exact"/>
        <w:rPr>
          <w:sz w:val="20"/>
          <w:szCs w:val="20"/>
          <w:color w:val="auto"/>
        </w:rPr>
      </w:pPr>
    </w:p>
    <w:p>
      <w:pPr>
        <w:spacing w:after="0" w:line="371"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C00000"/>
        </w:rPr>
        <w:t>Product Pillar Goal:</w:t>
      </w:r>
    </w:p>
    <w:p>
      <w:pPr>
        <w:spacing w:after="0" w:line="38" w:lineRule="exact"/>
        <w:rPr>
          <w:sz w:val="20"/>
          <w:szCs w:val="20"/>
          <w:color w:val="auto"/>
        </w:rPr>
      </w:pPr>
    </w:p>
    <w:p>
      <w:pPr>
        <w:ind w:left="160" w:right="260"/>
        <w:spacing w:after="0" w:line="241" w:lineRule="auto"/>
        <w:rPr>
          <w:sz w:val="20"/>
          <w:szCs w:val="20"/>
          <w:color w:val="auto"/>
        </w:rPr>
      </w:pPr>
      <w:r>
        <w:rPr>
          <w:rFonts w:ascii="Arial" w:cs="Arial" w:eastAsia="Arial" w:hAnsi="Arial"/>
          <w:sz w:val="18"/>
          <w:szCs w:val="18"/>
          <w:color w:val="auto"/>
        </w:rPr>
        <w:t>By 2025, increase battery and hybrid product sales to at least 20% of total adjusted net sales (motorized product sales)</w:t>
      </w:r>
    </w:p>
    <w:p>
      <w:pPr>
        <w:spacing w:after="0" w:line="20" w:lineRule="exact"/>
        <w:rPr>
          <w:sz w:val="20"/>
          <w:szCs w:val="20"/>
          <w:color w:val="auto"/>
        </w:rPr>
      </w:pPr>
      <w:r>
        <w:rPr>
          <w:sz w:val="20"/>
          <w:szCs w:val="20"/>
          <w:color w:val="auto"/>
        </w:rPr>
        <w:br w:type="column"/>
      </w:r>
    </w:p>
    <w:p>
      <w:pPr>
        <w:spacing w:after="0" w:line="169" w:lineRule="exact"/>
        <w:rPr>
          <w:sz w:val="20"/>
          <w:szCs w:val="20"/>
          <w:color w:val="auto"/>
        </w:rPr>
      </w:pPr>
    </w:p>
    <w:p>
      <w:pPr>
        <w:ind w:right="120"/>
        <w:spacing w:after="0" w:line="247" w:lineRule="auto"/>
        <w:rPr>
          <w:sz w:val="20"/>
          <w:szCs w:val="20"/>
          <w:color w:val="auto"/>
        </w:rPr>
      </w:pPr>
      <w:r>
        <w:rPr>
          <w:rFonts w:ascii="Arial" w:cs="Arial" w:eastAsia="Arial" w:hAnsi="Arial"/>
          <w:sz w:val="18"/>
          <w:szCs w:val="18"/>
          <w:b w:val="1"/>
          <w:bCs w:val="1"/>
          <w:color w:val="C00000"/>
        </w:rPr>
        <w:t xml:space="preserve">PROCESS: </w:t>
      </w:r>
      <w:r>
        <w:rPr>
          <w:rFonts w:ascii="Arial" w:cs="Arial" w:eastAsia="Arial" w:hAnsi="Arial"/>
          <w:sz w:val="18"/>
          <w:szCs w:val="18"/>
          <w:color w:val="000000"/>
        </w:rPr>
        <w:t>Continuously improve</w:t>
      </w:r>
      <w:r>
        <w:rPr>
          <w:rFonts w:ascii="Arial" w:cs="Arial" w:eastAsia="Arial" w:hAnsi="Arial"/>
          <w:sz w:val="18"/>
          <w:szCs w:val="18"/>
          <w:b w:val="1"/>
          <w:bCs w:val="1"/>
          <w:color w:val="C00000"/>
        </w:rPr>
        <w:t xml:space="preserve"> </w:t>
      </w:r>
      <w:r>
        <w:rPr>
          <w:rFonts w:ascii="Arial" w:cs="Arial" w:eastAsia="Arial" w:hAnsi="Arial"/>
          <w:sz w:val="18"/>
          <w:szCs w:val="18"/>
          <w:color w:val="000000"/>
        </w:rPr>
        <w:t>operational and resource efficiency; energy, water and waste management; and implement Lean management across our value chain</w:t>
      </w:r>
    </w:p>
    <w:p>
      <w:pPr>
        <w:spacing w:after="0" w:line="376" w:lineRule="exact"/>
        <w:rPr>
          <w:sz w:val="20"/>
          <w:szCs w:val="20"/>
          <w:color w:val="auto"/>
        </w:rPr>
      </w:pPr>
    </w:p>
    <w:p>
      <w:pPr>
        <w:spacing w:after="0"/>
        <w:rPr>
          <w:sz w:val="20"/>
          <w:szCs w:val="20"/>
          <w:color w:val="auto"/>
        </w:rPr>
      </w:pPr>
      <w:r>
        <w:rPr>
          <w:rFonts w:ascii="Arial" w:cs="Arial" w:eastAsia="Arial" w:hAnsi="Arial"/>
          <w:sz w:val="18"/>
          <w:szCs w:val="18"/>
          <w:b w:val="1"/>
          <w:bCs w:val="1"/>
          <w:color w:val="C00000"/>
        </w:rPr>
        <w:t>Process Pillar Goal:</w:t>
      </w:r>
    </w:p>
    <w:p>
      <w:pPr>
        <w:spacing w:after="0" w:line="38"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By 2025, reduce absolute Scope 1 and 2 greenhouse gas (GHG) emissions by at least 15% compared to fiscal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-2289810</wp:posOffset>
            </wp:positionH>
            <wp:positionV relativeFrom="paragraph">
              <wp:posOffset>354965</wp:posOffset>
            </wp:positionV>
            <wp:extent cx="7006590" cy="3136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006590" cy="3136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69" w:lineRule="exact"/>
        <w:rPr>
          <w:sz w:val="20"/>
          <w:szCs w:val="20"/>
          <w:color w:val="auto"/>
        </w:rPr>
      </w:pPr>
    </w:p>
    <w:p>
      <w:pPr>
        <w:ind w:right="80"/>
        <w:spacing w:after="0" w:line="248" w:lineRule="auto"/>
        <w:rPr>
          <w:sz w:val="20"/>
          <w:szCs w:val="20"/>
          <w:color w:val="auto"/>
        </w:rPr>
      </w:pPr>
      <w:r>
        <w:rPr>
          <w:rFonts w:ascii="Arial" w:cs="Arial" w:eastAsia="Arial" w:hAnsi="Arial"/>
          <w:sz w:val="18"/>
          <w:szCs w:val="18"/>
          <w:b w:val="1"/>
          <w:bCs w:val="1"/>
          <w:color w:val="C00000"/>
        </w:rPr>
        <w:t xml:space="preserve">PEOPLE: </w:t>
      </w:r>
      <w:r>
        <w:rPr>
          <w:rFonts w:ascii="Arial" w:cs="Arial" w:eastAsia="Arial" w:hAnsi="Arial"/>
          <w:sz w:val="18"/>
          <w:szCs w:val="18"/>
          <w:color w:val="000000"/>
        </w:rPr>
        <w:t>Promote the growth, development,</w:t>
      </w:r>
      <w:r>
        <w:rPr>
          <w:rFonts w:ascii="Arial" w:cs="Arial" w:eastAsia="Arial" w:hAnsi="Arial"/>
          <w:sz w:val="18"/>
          <w:szCs w:val="18"/>
          <w:b w:val="1"/>
          <w:bCs w:val="1"/>
          <w:color w:val="C00000"/>
        </w:rPr>
        <w:t xml:space="preserve"> </w:t>
      </w:r>
      <w:r>
        <w:rPr>
          <w:rFonts w:ascii="Arial" w:cs="Arial" w:eastAsia="Arial" w:hAnsi="Arial"/>
          <w:sz w:val="18"/>
          <w:szCs w:val="18"/>
          <w:color w:val="000000"/>
        </w:rPr>
        <w:t>health, safety and wellness of our employees and give back to the communities where we live and work</w:t>
      </w:r>
    </w:p>
    <w:p>
      <w:pPr>
        <w:spacing w:after="0" w:line="200" w:lineRule="exact"/>
        <w:rPr>
          <w:sz w:val="20"/>
          <w:szCs w:val="20"/>
          <w:color w:val="auto"/>
        </w:rPr>
      </w:pPr>
    </w:p>
    <w:p>
      <w:pPr>
        <w:spacing w:after="0" w:line="385" w:lineRule="exact"/>
        <w:rPr>
          <w:sz w:val="20"/>
          <w:szCs w:val="20"/>
          <w:color w:val="auto"/>
        </w:rPr>
      </w:pPr>
    </w:p>
    <w:p>
      <w:pPr>
        <w:spacing w:after="0"/>
        <w:rPr>
          <w:sz w:val="20"/>
          <w:szCs w:val="20"/>
          <w:color w:val="auto"/>
        </w:rPr>
      </w:pPr>
      <w:r>
        <w:rPr>
          <w:rFonts w:ascii="Arial" w:cs="Arial" w:eastAsia="Arial" w:hAnsi="Arial"/>
          <w:sz w:val="18"/>
          <w:szCs w:val="18"/>
          <w:b w:val="1"/>
          <w:bCs w:val="1"/>
          <w:color w:val="C00000"/>
        </w:rPr>
        <w:t>People Pillar Goal:</w:t>
      </w:r>
    </w:p>
    <w:p>
      <w:pPr>
        <w:spacing w:after="0" w:line="38" w:lineRule="exact"/>
        <w:rPr>
          <w:sz w:val="20"/>
          <w:szCs w:val="20"/>
          <w:color w:val="auto"/>
        </w:rPr>
      </w:pPr>
    </w:p>
    <w:p>
      <w:pPr>
        <w:ind w:right="80"/>
        <w:spacing w:after="0" w:line="241" w:lineRule="auto"/>
        <w:rPr>
          <w:sz w:val="20"/>
          <w:szCs w:val="20"/>
          <w:color w:val="auto"/>
        </w:rPr>
      </w:pPr>
      <w:r>
        <w:rPr>
          <w:rFonts w:ascii="Arial" w:cs="Arial" w:eastAsia="Arial" w:hAnsi="Arial"/>
          <w:sz w:val="18"/>
          <w:szCs w:val="18"/>
          <w:color w:val="auto"/>
        </w:rPr>
        <w:t>By 2025, increase the number of women and racial and ethnic minorities in leadership positions by at least 20% compared to fiscal 2021</w:t>
      </w:r>
    </w:p>
    <w:p>
      <w:pPr>
        <w:spacing w:after="0" w:line="200" w:lineRule="exact"/>
        <w:rPr>
          <w:sz w:val="20"/>
          <w:szCs w:val="20"/>
          <w:color w:val="auto"/>
        </w:rPr>
      </w:pPr>
    </w:p>
    <w:p>
      <w:pPr>
        <w:sectPr>
          <w:pgSz w:w="11900" w:h="16838" w:orient="portrait"/>
          <w:cols w:equalWidth="0" w:num="3">
            <w:col w:w="3380" w:space="340"/>
            <w:col w:w="3560" w:space="240"/>
            <w:col w:w="3620"/>
          </w:cols>
          <w:pgMar w:left="320" w:top="1157" w:right="439" w:bottom="1440" w:gutter="0" w:footer="0" w:header="0"/>
          <w:type w:val="continuous"/>
        </w:sectPr>
      </w:pPr>
    </w:p>
    <w:p>
      <w:pPr>
        <w:spacing w:after="0" w:line="165" w:lineRule="exact"/>
        <w:rPr>
          <w:sz w:val="20"/>
          <w:szCs w:val="20"/>
          <w:color w:val="auto"/>
        </w:rPr>
      </w:pPr>
    </w:p>
    <w:p>
      <w:pPr>
        <w:jc w:val="center"/>
        <w:ind w:left="440" w:right="440"/>
        <w:spacing w:after="0" w:line="279" w:lineRule="auto"/>
        <w:rPr>
          <w:sz w:val="20"/>
          <w:szCs w:val="20"/>
          <w:color w:val="auto"/>
        </w:rPr>
      </w:pPr>
      <w:r>
        <w:rPr>
          <w:rFonts w:ascii="Arial" w:cs="Arial" w:eastAsia="Arial" w:hAnsi="Arial"/>
          <w:sz w:val="18"/>
          <w:szCs w:val="18"/>
          <w:b w:val="1"/>
          <w:bCs w:val="1"/>
          <w:color w:val="C00000"/>
        </w:rPr>
        <w:t xml:space="preserve">PLANNING: </w:t>
      </w:r>
      <w:r>
        <w:rPr>
          <w:rFonts w:ascii="Arial" w:cs="Arial" w:eastAsia="Arial" w:hAnsi="Arial"/>
          <w:sz w:val="18"/>
          <w:szCs w:val="18"/>
          <w:color w:val="000000"/>
        </w:rPr>
        <w:t>Embed sustainability into our culture by enhancing our strategic approach to sustainability initiatives, providing more</w:t>
      </w:r>
      <w:r>
        <w:rPr>
          <w:rFonts w:ascii="Arial" w:cs="Arial" w:eastAsia="Arial" w:hAnsi="Arial"/>
          <w:sz w:val="18"/>
          <w:szCs w:val="18"/>
          <w:b w:val="1"/>
          <w:bCs w:val="1"/>
          <w:color w:val="C00000"/>
        </w:rPr>
        <w:t xml:space="preserve"> </w:t>
      </w:r>
      <w:r>
        <w:rPr>
          <w:rFonts w:ascii="Arial" w:cs="Arial" w:eastAsia="Arial" w:hAnsi="Arial"/>
          <w:sz w:val="18"/>
          <w:szCs w:val="18"/>
          <w:color w:val="000000"/>
        </w:rPr>
        <w:t>transparency and supporting our pillars and program development</w:t>
      </w:r>
    </w:p>
    <w:p>
      <w:pPr>
        <w:spacing w:after="0" w:line="121" w:lineRule="exact"/>
        <w:rPr>
          <w:sz w:val="20"/>
          <w:szCs w:val="20"/>
          <w:color w:val="auto"/>
        </w:rPr>
      </w:pPr>
    </w:p>
    <w:p>
      <w:pPr>
        <w:ind w:left="320"/>
        <w:spacing w:after="0"/>
        <w:rPr>
          <w:sz w:val="20"/>
          <w:szCs w:val="20"/>
          <w:color w:val="auto"/>
        </w:rPr>
      </w:pPr>
      <w:r>
        <w:rPr>
          <w:rFonts w:ascii="Arial" w:cs="Arial" w:eastAsia="Arial" w:hAnsi="Arial"/>
          <w:sz w:val="18"/>
          <w:szCs w:val="18"/>
          <w:color w:val="auto"/>
        </w:rPr>
        <w:t>Our Fiscal 2023 Sustainability Report is available on our website at www.thetorocompany.com under the Sustainability tab.</w:t>
      </w:r>
    </w:p>
    <w:p>
      <w:pPr>
        <w:spacing w:after="0" w:line="147" w:lineRule="exact"/>
        <w:rPr>
          <w:sz w:val="20"/>
          <w:szCs w:val="20"/>
          <w:color w:val="auto"/>
        </w:rPr>
      </w:pPr>
    </w:p>
    <w:p>
      <w:pPr>
        <w:spacing w:after="0"/>
        <w:rPr>
          <w:sz w:val="20"/>
          <w:szCs w:val="20"/>
          <w:color w:val="auto"/>
        </w:rPr>
      </w:pPr>
      <w:r>
        <w:rPr>
          <w:rFonts w:ascii="Arial" w:cs="Arial" w:eastAsia="Arial" w:hAnsi="Arial"/>
          <w:sz w:val="20"/>
          <w:szCs w:val="20"/>
          <w:b w:val="1"/>
          <w:bCs w:val="1"/>
          <w:color w:val="C00000"/>
        </w:rPr>
        <w:t>2025 Annual Meeting of Shareholders</w:t>
      </w:r>
    </w:p>
    <w:p>
      <w:pPr>
        <w:spacing w:after="0" w:line="134" w:lineRule="exact"/>
        <w:rPr>
          <w:sz w:val="20"/>
          <w:szCs w:val="20"/>
          <w:color w:val="auto"/>
        </w:rPr>
      </w:pPr>
    </w:p>
    <w:tbl>
      <w:tblPr>
        <w:tblLayout w:type="fixed"/>
        <w:tblInd w:w="630" w:type="dxa"/>
        <w:tblCellMar>
          <w:top w:w="0" w:type="dxa"/>
          <w:left w:w="0" w:type="dxa"/>
          <w:bottom w:w="0" w:type="dxa"/>
          <w:right w:w="0" w:type="dxa"/>
        </w:tblCellMar>
      </w:tblPr>
      <w:tr>
        <w:trPr>
          <w:trHeight w:val="330"/>
        </w:trPr>
        <w:tc>
          <w:tcPr>
            <w:tcW w:w="2960" w:type="dxa"/>
            <w:vAlign w:val="bottom"/>
            <w:tcBorders>
              <w:top w:val="single" w:sz="8" w:color="auto"/>
              <w:left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C00000"/>
                <w:w w:val="99"/>
              </w:rPr>
              <w:t>Date and Time</w:t>
            </w:r>
          </w:p>
        </w:tc>
        <w:tc>
          <w:tcPr>
            <w:tcW w:w="220" w:type="dxa"/>
            <w:vAlign w:val="bottom"/>
            <w:tcBorders>
              <w:right w:val="single" w:sz="8" w:color="auto"/>
            </w:tcBorders>
          </w:tcPr>
          <w:p>
            <w:pPr>
              <w:spacing w:after="0"/>
              <w:rPr>
                <w:sz w:val="24"/>
                <w:szCs w:val="24"/>
                <w:color w:val="auto"/>
              </w:rPr>
            </w:pPr>
          </w:p>
        </w:tc>
        <w:tc>
          <w:tcPr>
            <w:tcW w:w="480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C00000"/>
                <w:w w:val="98"/>
              </w:rPr>
              <w:t>Location</w:t>
            </w:r>
          </w:p>
        </w:tc>
        <w:tc>
          <w:tcPr>
            <w:tcW w:w="220" w:type="dxa"/>
            <w:vAlign w:val="bottom"/>
            <w:tcBorders>
              <w:right w:val="single" w:sz="8" w:color="auto"/>
            </w:tcBorders>
          </w:tcPr>
          <w:p>
            <w:pPr>
              <w:spacing w:after="0"/>
              <w:rPr>
                <w:sz w:val="24"/>
                <w:szCs w:val="24"/>
                <w:color w:val="auto"/>
              </w:rPr>
            </w:pPr>
          </w:p>
        </w:tc>
        <w:tc>
          <w:tcPr>
            <w:tcW w:w="184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C00000"/>
                <w:w w:val="98"/>
              </w:rPr>
              <w:t>Record Date</w:t>
            </w:r>
          </w:p>
        </w:tc>
      </w:tr>
      <w:tr>
        <w:trPr>
          <w:trHeight w:val="227"/>
        </w:trPr>
        <w:tc>
          <w:tcPr>
            <w:tcW w:w="29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7"/>
              </w:rPr>
              <w:t>Tuesday, March 18, 2025</w:t>
            </w:r>
          </w:p>
        </w:tc>
        <w:tc>
          <w:tcPr>
            <w:tcW w:w="220" w:type="dxa"/>
            <w:vAlign w:val="bottom"/>
            <w:tcBorders>
              <w:right w:val="single" w:sz="8" w:color="auto"/>
            </w:tcBorders>
          </w:tcPr>
          <w:p>
            <w:pPr>
              <w:spacing w:after="0"/>
              <w:rPr>
                <w:sz w:val="19"/>
                <w:szCs w:val="19"/>
                <w:color w:val="auto"/>
              </w:rPr>
            </w:pPr>
          </w:p>
        </w:tc>
        <w:tc>
          <w:tcPr>
            <w:tcW w:w="48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8"/>
              </w:rPr>
              <w:t>www.virtualshareholdermeeting.com/TTC2025</w:t>
            </w:r>
          </w:p>
        </w:tc>
        <w:tc>
          <w:tcPr>
            <w:tcW w:w="220" w:type="dxa"/>
            <w:vAlign w:val="bottom"/>
            <w:tcBorders>
              <w:right w:val="single" w:sz="8" w:color="auto"/>
            </w:tcBorders>
          </w:tcPr>
          <w:p>
            <w:pPr>
              <w:spacing w:after="0"/>
              <w:rPr>
                <w:sz w:val="19"/>
                <w:szCs w:val="19"/>
                <w:color w:val="auto"/>
              </w:rPr>
            </w:pPr>
          </w:p>
        </w:tc>
        <w:tc>
          <w:tcPr>
            <w:tcW w:w="18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7"/>
              </w:rPr>
              <w:t>January 21, 2025</w:t>
            </w:r>
          </w:p>
        </w:tc>
      </w:tr>
      <w:tr>
        <w:trPr>
          <w:trHeight w:val="233"/>
        </w:trPr>
        <w:tc>
          <w:tcPr>
            <w:tcW w:w="29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2:00 p.m. CDT</w:t>
            </w:r>
          </w:p>
        </w:tc>
        <w:tc>
          <w:tcPr>
            <w:tcW w:w="220" w:type="dxa"/>
            <w:vAlign w:val="bottom"/>
            <w:tcBorders>
              <w:right w:val="single" w:sz="8" w:color="auto"/>
            </w:tcBorders>
          </w:tcPr>
          <w:p>
            <w:pPr>
              <w:spacing w:after="0"/>
              <w:rPr>
                <w:sz w:val="20"/>
                <w:szCs w:val="20"/>
                <w:color w:val="auto"/>
              </w:rPr>
            </w:pPr>
          </w:p>
        </w:tc>
        <w:tc>
          <w:tcPr>
            <w:tcW w:w="4800" w:type="dxa"/>
            <w:vAlign w:val="bottom"/>
            <w:tcBorders>
              <w:right w:val="single" w:sz="8" w:color="auto"/>
            </w:tcBorders>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1840" w:type="dxa"/>
            <w:vAlign w:val="bottom"/>
            <w:tcBorders>
              <w:right w:val="single" w:sz="8" w:color="auto"/>
            </w:tcBorders>
          </w:tcPr>
          <w:p>
            <w:pPr>
              <w:spacing w:after="0"/>
              <w:rPr>
                <w:sz w:val="20"/>
                <w:szCs w:val="20"/>
                <w:color w:val="auto"/>
              </w:rPr>
            </w:pPr>
          </w:p>
        </w:tc>
      </w:tr>
      <w:tr>
        <w:trPr>
          <w:trHeight w:val="51"/>
        </w:trPr>
        <w:tc>
          <w:tcPr>
            <w:tcW w:w="2960" w:type="dxa"/>
            <w:vAlign w:val="bottom"/>
            <w:tcBorders>
              <w:left w:val="single" w:sz="8" w:color="auto"/>
              <w:bottom w:val="single" w:sz="8" w:color="auto"/>
              <w:right w:val="single" w:sz="8" w:color="auto"/>
            </w:tcBorders>
          </w:tcPr>
          <w:p>
            <w:pPr>
              <w:spacing w:after="0"/>
              <w:rPr>
                <w:sz w:val="4"/>
                <w:szCs w:val="4"/>
                <w:color w:val="auto"/>
              </w:rPr>
            </w:pPr>
          </w:p>
        </w:tc>
        <w:tc>
          <w:tcPr>
            <w:tcW w:w="220" w:type="dxa"/>
            <w:vAlign w:val="bottom"/>
            <w:tcBorders>
              <w:right w:val="single" w:sz="8" w:color="auto"/>
            </w:tcBorders>
          </w:tcPr>
          <w:p>
            <w:pPr>
              <w:spacing w:after="0"/>
              <w:rPr>
                <w:sz w:val="4"/>
                <w:szCs w:val="4"/>
                <w:color w:val="auto"/>
              </w:rPr>
            </w:pPr>
          </w:p>
        </w:tc>
        <w:tc>
          <w:tcPr>
            <w:tcW w:w="4800" w:type="dxa"/>
            <w:vAlign w:val="bottom"/>
            <w:tcBorders>
              <w:bottom w:val="single" w:sz="8" w:color="auto"/>
              <w:right w:val="single" w:sz="8" w:color="auto"/>
            </w:tcBorders>
          </w:tcPr>
          <w:p>
            <w:pPr>
              <w:spacing w:after="0"/>
              <w:rPr>
                <w:sz w:val="4"/>
                <w:szCs w:val="4"/>
                <w:color w:val="auto"/>
              </w:rPr>
            </w:pPr>
          </w:p>
        </w:tc>
        <w:tc>
          <w:tcPr>
            <w:tcW w:w="220" w:type="dxa"/>
            <w:vAlign w:val="bottom"/>
            <w:tcBorders>
              <w:right w:val="single" w:sz="8" w:color="auto"/>
            </w:tcBorders>
          </w:tcPr>
          <w:p>
            <w:pPr>
              <w:spacing w:after="0"/>
              <w:rPr>
                <w:sz w:val="4"/>
                <w:szCs w:val="4"/>
                <w:color w:val="auto"/>
              </w:rPr>
            </w:pPr>
          </w:p>
        </w:tc>
        <w:tc>
          <w:tcPr>
            <w:tcW w:w="1840" w:type="dxa"/>
            <w:vAlign w:val="bottom"/>
            <w:tcBorders>
              <w:bottom w:val="single" w:sz="8" w:color="auto"/>
              <w:right w:val="single" w:sz="8" w:color="auto"/>
            </w:tcBorders>
          </w:tcPr>
          <w:p>
            <w:pPr>
              <w:spacing w:after="0"/>
              <w:rPr>
                <w:sz w:val="4"/>
                <w:szCs w:val="4"/>
                <w:color w:val="auto"/>
              </w:rPr>
            </w:pPr>
          </w:p>
        </w:tc>
      </w:tr>
    </w:tbl>
    <w:p>
      <w:pPr>
        <w:spacing w:after="0" w:line="310" w:lineRule="exact"/>
        <w:rPr>
          <w:sz w:val="20"/>
          <w:szCs w:val="20"/>
          <w:color w:val="auto"/>
        </w:rPr>
      </w:pPr>
    </w:p>
    <w:p>
      <w:pPr>
        <w:spacing w:after="0"/>
        <w:rPr>
          <w:sz w:val="20"/>
          <w:szCs w:val="20"/>
          <w:color w:val="auto"/>
        </w:rPr>
      </w:pPr>
      <w:r>
        <w:rPr>
          <w:rFonts w:ascii="Arial" w:cs="Arial" w:eastAsia="Arial" w:hAnsi="Arial"/>
          <w:sz w:val="20"/>
          <w:szCs w:val="20"/>
          <w:b w:val="1"/>
          <w:bCs w:val="1"/>
          <w:color w:val="C00000"/>
        </w:rPr>
        <w:t>Meeting Agenda, Voting Matters and Recommendations</w:t>
      </w:r>
    </w:p>
    <w:p>
      <w:pPr>
        <w:spacing w:after="0" w:line="134" w:lineRule="exact"/>
        <w:rPr>
          <w:sz w:val="20"/>
          <w:szCs w:val="20"/>
          <w:color w:val="auto"/>
        </w:rPr>
      </w:pPr>
    </w:p>
    <w:tbl>
      <w:tblPr>
        <w:tblLayout w:type="fixed"/>
        <w:tblInd w:w="130" w:type="dxa"/>
        <w:tblCellMar>
          <w:top w:w="0" w:type="dxa"/>
          <w:left w:w="0" w:type="dxa"/>
          <w:bottom w:w="0" w:type="dxa"/>
          <w:right w:w="0" w:type="dxa"/>
        </w:tblCellMar>
      </w:tblPr>
      <w:tr>
        <w:trPr>
          <w:trHeight w:val="293"/>
        </w:trPr>
        <w:tc>
          <w:tcPr>
            <w:tcW w:w="7880" w:type="dxa"/>
            <w:vAlign w:val="bottom"/>
            <w:tcBorders>
              <w:top w:val="single" w:sz="8" w:color="auto"/>
              <w:left w:val="single" w:sz="8" w:color="auto"/>
            </w:tcBorders>
          </w:tcPr>
          <w:p>
            <w:pPr>
              <w:ind w:left="40"/>
              <w:spacing w:after="0"/>
              <w:rPr>
                <w:sz w:val="20"/>
                <w:szCs w:val="20"/>
                <w:color w:val="auto"/>
              </w:rPr>
            </w:pPr>
            <w:r>
              <w:rPr>
                <w:rFonts w:ascii="Arial" w:cs="Arial" w:eastAsia="Arial" w:hAnsi="Arial"/>
                <w:sz w:val="18"/>
                <w:szCs w:val="18"/>
                <w:b w:val="1"/>
                <w:bCs w:val="1"/>
                <w:color w:val="C00000"/>
              </w:rPr>
              <w:t>Proposal One</w:t>
            </w:r>
          </w:p>
        </w:tc>
        <w:tc>
          <w:tcPr>
            <w:tcW w:w="700" w:type="dxa"/>
            <w:vAlign w:val="bottom"/>
            <w:tcBorders>
              <w:top w:val="single" w:sz="8" w:color="auto"/>
            </w:tcBorders>
          </w:tcPr>
          <w:p>
            <w:pPr>
              <w:spacing w:after="0"/>
              <w:rPr>
                <w:sz w:val="24"/>
                <w:szCs w:val="24"/>
                <w:color w:val="auto"/>
              </w:rPr>
            </w:pPr>
          </w:p>
        </w:tc>
        <w:tc>
          <w:tcPr>
            <w:tcW w:w="1300" w:type="dxa"/>
            <w:vAlign w:val="bottom"/>
            <w:tcBorders>
              <w:top w:val="single" w:sz="8" w:color="auto"/>
            </w:tcBorders>
          </w:tcPr>
          <w:p>
            <w:pPr>
              <w:spacing w:after="0"/>
              <w:rPr>
                <w:sz w:val="24"/>
                <w:szCs w:val="24"/>
                <w:color w:val="auto"/>
              </w:rPr>
            </w:pPr>
          </w:p>
        </w:tc>
        <w:tc>
          <w:tcPr>
            <w:tcW w:w="1140" w:type="dxa"/>
            <w:vAlign w:val="bottom"/>
            <w:tcBorders>
              <w:top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788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w w:val="99"/>
              </w:rPr>
              <w:t>To elect as directors the four nominees named in the proxy statement: Jeffrey L. Harmening, Joyce</w:t>
            </w:r>
          </w:p>
        </w:tc>
        <w:tc>
          <w:tcPr>
            <w:tcW w:w="700" w:type="dxa"/>
            <w:vAlign w:val="bottom"/>
          </w:tcPr>
          <w:p>
            <w:pPr>
              <w:spacing w:after="0"/>
              <w:rPr>
                <w:sz w:val="19"/>
                <w:szCs w:val="19"/>
                <w:color w:val="auto"/>
              </w:rPr>
            </w:pPr>
          </w:p>
        </w:tc>
        <w:tc>
          <w:tcPr>
            <w:tcW w:w="1300" w:type="dxa"/>
            <w:vAlign w:val="bottom"/>
            <w:vMerge w:val="restart"/>
          </w:tcPr>
          <w:p>
            <w:pPr>
              <w:jc w:val="right"/>
              <w:ind w:right="671"/>
              <w:spacing w:after="0"/>
              <w:rPr>
                <w:sz w:val="20"/>
                <w:szCs w:val="20"/>
                <w:color w:val="auto"/>
              </w:rPr>
            </w:pPr>
            <w:r>
              <w:rPr>
                <w:rFonts w:ascii="Arial" w:cs="Arial" w:eastAsia="Arial" w:hAnsi="Arial"/>
                <w:sz w:val="18"/>
                <w:szCs w:val="18"/>
                <w:color w:val="auto"/>
              </w:rPr>
              <w:t>FOR</w:t>
            </w:r>
          </w:p>
        </w:tc>
        <w:tc>
          <w:tcPr>
            <w:tcW w:w="11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77"/>
        </w:trPr>
        <w:tc>
          <w:tcPr>
            <w:tcW w:w="7880" w:type="dxa"/>
            <w:vAlign w:val="bottom"/>
            <w:tcBorders>
              <w:left w:val="single" w:sz="8" w:color="auto"/>
            </w:tcBorders>
          </w:tcPr>
          <w:p>
            <w:pPr>
              <w:ind w:left="40"/>
              <w:spacing w:after="0" w:line="177" w:lineRule="exact"/>
              <w:rPr>
                <w:sz w:val="20"/>
                <w:szCs w:val="20"/>
                <w:color w:val="auto"/>
              </w:rPr>
            </w:pPr>
            <w:r>
              <w:rPr>
                <w:rFonts w:ascii="Arial" w:cs="Arial" w:eastAsia="Arial" w:hAnsi="Arial"/>
                <w:sz w:val="18"/>
                <w:szCs w:val="18"/>
                <w:color w:val="auto"/>
              </w:rPr>
              <w:t>A. Mullen, and James C. O'Rourke for a term of three years ending at the 2028 Annual Meeting of</w:t>
            </w:r>
          </w:p>
        </w:tc>
        <w:tc>
          <w:tcPr>
            <w:tcW w:w="700" w:type="dxa"/>
            <w:vAlign w:val="bottom"/>
          </w:tcPr>
          <w:p>
            <w:pPr>
              <w:spacing w:after="0"/>
              <w:rPr>
                <w:sz w:val="15"/>
                <w:szCs w:val="15"/>
                <w:color w:val="auto"/>
              </w:rPr>
            </w:pPr>
          </w:p>
        </w:tc>
        <w:tc>
          <w:tcPr>
            <w:tcW w:w="1300" w:type="dxa"/>
            <w:vAlign w:val="bottom"/>
            <w:vMerge w:val="continue"/>
          </w:tcPr>
          <w:p>
            <w:pPr>
              <w:spacing w:after="0"/>
              <w:rPr>
                <w:sz w:val="15"/>
                <w:szCs w:val="15"/>
                <w:color w:val="auto"/>
              </w:rPr>
            </w:pPr>
          </w:p>
        </w:tc>
        <w:tc>
          <w:tcPr>
            <w:tcW w:w="114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788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rPr>
              <w:t>Shareholders; and to rebalance the classes of directors to achieve a more equal distribution of</w:t>
            </w:r>
          </w:p>
        </w:tc>
        <w:tc>
          <w:tcPr>
            <w:tcW w:w="2000" w:type="dxa"/>
            <w:vAlign w:val="bottom"/>
            <w:gridSpan w:val="2"/>
          </w:tcPr>
          <w:p>
            <w:pPr>
              <w:ind w:left="100"/>
              <w:spacing w:after="0" w:line="236" w:lineRule="exact"/>
              <w:rPr>
                <w:sz w:val="20"/>
                <w:szCs w:val="20"/>
                <w:color w:val="auto"/>
              </w:rPr>
            </w:pPr>
            <w:r>
              <w:rPr>
                <w:rFonts w:ascii="MS PGothic" w:cs="MS PGothic" w:eastAsia="MS PGothic" w:hAnsi="MS PGothic"/>
                <w:sz w:val="27"/>
                <w:szCs w:val="27"/>
                <w:color w:val="C00000"/>
              </w:rPr>
              <w:t>☑</w:t>
            </w:r>
            <w:r>
              <w:rPr>
                <w:rFonts w:ascii="Arial" w:cs="Arial" w:eastAsia="Arial" w:hAnsi="Arial"/>
                <w:sz w:val="13"/>
                <w:szCs w:val="13"/>
                <w:color w:val="auto"/>
              </w:rPr>
              <w:t xml:space="preserve"> each nominee</w:t>
            </w:r>
          </w:p>
        </w:tc>
        <w:tc>
          <w:tcPr>
            <w:tcW w:w="114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Page 5</w:t>
            </w:r>
          </w:p>
        </w:tc>
        <w:tc>
          <w:tcPr>
            <w:tcW w:w="0" w:type="dxa"/>
            <w:vAlign w:val="bottom"/>
          </w:tcPr>
          <w:p>
            <w:pPr>
              <w:spacing w:after="0"/>
              <w:rPr>
                <w:sz w:val="1"/>
                <w:szCs w:val="1"/>
                <w:color w:val="auto"/>
              </w:rPr>
            </w:pPr>
          </w:p>
        </w:tc>
      </w:tr>
      <w:tr>
        <w:trPr>
          <w:trHeight w:val="200"/>
        </w:trPr>
        <w:tc>
          <w:tcPr>
            <w:tcW w:w="7880" w:type="dxa"/>
            <w:vAlign w:val="bottom"/>
            <w:tcBorders>
              <w:left w:val="single" w:sz="8" w:color="auto"/>
            </w:tcBorders>
          </w:tcPr>
          <w:p>
            <w:pPr>
              <w:ind w:left="40"/>
              <w:spacing w:after="0" w:line="201" w:lineRule="exact"/>
              <w:rPr>
                <w:sz w:val="20"/>
                <w:szCs w:val="20"/>
                <w:color w:val="auto"/>
              </w:rPr>
            </w:pPr>
            <w:r>
              <w:rPr>
                <w:rFonts w:ascii="Arial" w:cs="Arial" w:eastAsia="Arial" w:hAnsi="Arial"/>
                <w:sz w:val="18"/>
                <w:szCs w:val="18"/>
                <w:color w:val="auto"/>
              </w:rPr>
              <w:t>directors among classes, Richard M. Olson, for a term of two years ending at the 2027 Annual</w:t>
            </w:r>
          </w:p>
        </w:tc>
        <w:tc>
          <w:tcPr>
            <w:tcW w:w="7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14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3"/>
        </w:trPr>
        <w:tc>
          <w:tcPr>
            <w:tcW w:w="788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rPr>
              <w:t>Meeting of Shareholders.</w:t>
            </w:r>
          </w:p>
        </w:tc>
        <w:tc>
          <w:tcPr>
            <w:tcW w:w="7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1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7"/>
        </w:trPr>
        <w:tc>
          <w:tcPr>
            <w:tcW w:w="7880" w:type="dxa"/>
            <w:vAlign w:val="bottom"/>
            <w:tcBorders>
              <w:left w:val="single" w:sz="8" w:color="auto"/>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1300" w:type="dxa"/>
            <w:vAlign w:val="bottom"/>
            <w:tcBorders>
              <w:bottom w:val="single" w:sz="8" w:color="auto"/>
            </w:tcBorders>
          </w:tcPr>
          <w:p>
            <w:pPr>
              <w:spacing w:after="0"/>
              <w:rPr>
                <w:sz w:val="3"/>
                <w:szCs w:val="3"/>
                <w:color w:val="auto"/>
              </w:rPr>
            </w:pPr>
          </w:p>
        </w:tc>
        <w:tc>
          <w:tcPr>
            <w:tcW w:w="114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73"/>
        </w:trPr>
        <w:tc>
          <w:tcPr>
            <w:tcW w:w="7880" w:type="dxa"/>
            <w:vAlign w:val="bottom"/>
            <w:tcBorders>
              <w:bottom w:val="single" w:sz="8" w:color="auto"/>
            </w:tcBorders>
          </w:tcPr>
          <w:p>
            <w:pPr>
              <w:spacing w:after="0"/>
              <w:rPr>
                <w:sz w:val="6"/>
                <w:szCs w:val="6"/>
                <w:color w:val="auto"/>
              </w:rPr>
            </w:pPr>
          </w:p>
        </w:tc>
        <w:tc>
          <w:tcPr>
            <w:tcW w:w="700" w:type="dxa"/>
            <w:vAlign w:val="bottom"/>
            <w:tcBorders>
              <w:bottom w:val="single" w:sz="8" w:color="auto"/>
            </w:tcBorders>
          </w:tcPr>
          <w:p>
            <w:pPr>
              <w:spacing w:after="0"/>
              <w:rPr>
                <w:sz w:val="6"/>
                <w:szCs w:val="6"/>
                <w:color w:val="auto"/>
              </w:rPr>
            </w:pPr>
          </w:p>
        </w:tc>
        <w:tc>
          <w:tcPr>
            <w:tcW w:w="1300" w:type="dxa"/>
            <w:vAlign w:val="bottom"/>
            <w:tcBorders>
              <w:bottom w:val="single" w:sz="8" w:color="auto"/>
            </w:tcBorders>
          </w:tcPr>
          <w:p>
            <w:pPr>
              <w:spacing w:after="0"/>
              <w:rPr>
                <w:sz w:val="6"/>
                <w:szCs w:val="6"/>
                <w:color w:val="auto"/>
              </w:rPr>
            </w:pPr>
          </w:p>
        </w:tc>
        <w:tc>
          <w:tcPr>
            <w:tcW w:w="114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73"/>
        </w:trPr>
        <w:tc>
          <w:tcPr>
            <w:tcW w:w="7880" w:type="dxa"/>
            <w:vAlign w:val="bottom"/>
            <w:tcBorders>
              <w:left w:val="single" w:sz="8" w:color="auto"/>
            </w:tcBorders>
          </w:tcPr>
          <w:p>
            <w:pPr>
              <w:ind w:left="40"/>
              <w:spacing w:after="0"/>
              <w:rPr>
                <w:sz w:val="20"/>
                <w:szCs w:val="20"/>
                <w:color w:val="auto"/>
              </w:rPr>
            </w:pPr>
            <w:r>
              <w:rPr>
                <w:rFonts w:ascii="Arial" w:cs="Arial" w:eastAsia="Arial" w:hAnsi="Arial"/>
                <w:sz w:val="18"/>
                <w:szCs w:val="18"/>
                <w:b w:val="1"/>
                <w:bCs w:val="1"/>
                <w:color w:val="C00000"/>
              </w:rPr>
              <w:t>Proposal Two</w:t>
            </w:r>
          </w:p>
        </w:tc>
        <w:tc>
          <w:tcPr>
            <w:tcW w:w="700" w:type="dxa"/>
            <w:vAlign w:val="bottom"/>
            <w:vMerge w:val="restart"/>
          </w:tcPr>
          <w:p>
            <w:pPr>
              <w:ind w:left="100"/>
              <w:spacing w:after="0" w:line="501" w:lineRule="exact"/>
              <w:rPr>
                <w:sz w:val="20"/>
                <w:szCs w:val="20"/>
                <w:color w:val="auto"/>
              </w:rPr>
            </w:pPr>
            <w:r>
              <w:rPr>
                <w:rFonts w:ascii="MS PGothic" w:cs="MS PGothic" w:eastAsia="MS PGothic" w:hAnsi="MS PGothic"/>
                <w:sz w:val="50"/>
                <w:szCs w:val="50"/>
                <w:color w:val="C00000"/>
              </w:rPr>
              <w:t>☑</w:t>
            </w:r>
          </w:p>
        </w:tc>
        <w:tc>
          <w:tcPr>
            <w:tcW w:w="1300" w:type="dxa"/>
            <w:vAlign w:val="bottom"/>
          </w:tcPr>
          <w:p>
            <w:pPr>
              <w:spacing w:after="0"/>
              <w:rPr>
                <w:sz w:val="23"/>
                <w:szCs w:val="23"/>
                <w:color w:val="auto"/>
              </w:rPr>
            </w:pPr>
          </w:p>
        </w:tc>
        <w:tc>
          <w:tcPr>
            <w:tcW w:w="114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24"/>
        </w:trPr>
        <w:tc>
          <w:tcPr>
            <w:tcW w:w="788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rPr>
              <w:t>To ratify the selection of KPMG LLP as our independent registered public accounting firm for our</w:t>
            </w:r>
          </w:p>
        </w:tc>
        <w:tc>
          <w:tcPr>
            <w:tcW w:w="700" w:type="dxa"/>
            <w:vAlign w:val="bottom"/>
            <w:vMerge w:val="continue"/>
          </w:tcPr>
          <w:p>
            <w:pPr>
              <w:spacing w:after="0"/>
              <w:rPr>
                <w:sz w:val="19"/>
                <w:szCs w:val="19"/>
                <w:color w:val="auto"/>
              </w:rPr>
            </w:pPr>
          </w:p>
        </w:tc>
        <w:tc>
          <w:tcPr>
            <w:tcW w:w="1300" w:type="dxa"/>
            <w:vAlign w:val="bottom"/>
          </w:tcPr>
          <w:p>
            <w:pPr>
              <w:jc w:val="right"/>
              <w:ind w:right="671"/>
              <w:spacing w:after="0"/>
              <w:rPr>
                <w:sz w:val="20"/>
                <w:szCs w:val="20"/>
                <w:color w:val="auto"/>
              </w:rPr>
            </w:pPr>
            <w:r>
              <w:rPr>
                <w:rFonts w:ascii="Arial" w:cs="Arial" w:eastAsia="Arial" w:hAnsi="Arial"/>
                <w:sz w:val="18"/>
                <w:szCs w:val="18"/>
                <w:color w:val="auto"/>
              </w:rPr>
              <w:t>FOR</w:t>
            </w:r>
          </w:p>
        </w:tc>
        <w:tc>
          <w:tcPr>
            <w:tcW w:w="114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Page 24</w:t>
            </w:r>
          </w:p>
        </w:tc>
        <w:tc>
          <w:tcPr>
            <w:tcW w:w="0" w:type="dxa"/>
            <w:vAlign w:val="bottom"/>
          </w:tcPr>
          <w:p>
            <w:pPr>
              <w:spacing w:after="0"/>
              <w:rPr>
                <w:sz w:val="1"/>
                <w:szCs w:val="1"/>
                <w:color w:val="auto"/>
              </w:rPr>
            </w:pPr>
          </w:p>
        </w:tc>
      </w:tr>
      <w:tr>
        <w:trPr>
          <w:trHeight w:val="310"/>
        </w:trPr>
        <w:tc>
          <w:tcPr>
            <w:tcW w:w="788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18"/>
                <w:szCs w:val="18"/>
                <w:color w:val="auto"/>
              </w:rPr>
              <w:t>fiscal year ending October 31, 2025.</w:t>
            </w:r>
          </w:p>
        </w:tc>
        <w:tc>
          <w:tcPr>
            <w:tcW w:w="700" w:type="dxa"/>
            <w:vAlign w:val="bottom"/>
            <w:tcBorders>
              <w:bottom w:val="single" w:sz="8" w:color="auto"/>
            </w:tcBorders>
            <w:vMerge w:val="continue"/>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11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73"/>
        </w:trPr>
        <w:tc>
          <w:tcPr>
            <w:tcW w:w="7880" w:type="dxa"/>
            <w:vAlign w:val="bottom"/>
            <w:tcBorders>
              <w:bottom w:val="single" w:sz="8" w:color="auto"/>
            </w:tcBorders>
          </w:tcPr>
          <w:p>
            <w:pPr>
              <w:spacing w:after="0"/>
              <w:rPr>
                <w:sz w:val="6"/>
                <w:szCs w:val="6"/>
                <w:color w:val="auto"/>
              </w:rPr>
            </w:pPr>
          </w:p>
        </w:tc>
        <w:tc>
          <w:tcPr>
            <w:tcW w:w="700" w:type="dxa"/>
            <w:vAlign w:val="bottom"/>
            <w:tcBorders>
              <w:bottom w:val="single" w:sz="8" w:color="auto"/>
            </w:tcBorders>
          </w:tcPr>
          <w:p>
            <w:pPr>
              <w:spacing w:after="0"/>
              <w:rPr>
                <w:sz w:val="6"/>
                <w:szCs w:val="6"/>
                <w:color w:val="auto"/>
              </w:rPr>
            </w:pPr>
          </w:p>
        </w:tc>
        <w:tc>
          <w:tcPr>
            <w:tcW w:w="1300" w:type="dxa"/>
            <w:vAlign w:val="bottom"/>
            <w:tcBorders>
              <w:bottom w:val="single" w:sz="8" w:color="auto"/>
            </w:tcBorders>
          </w:tcPr>
          <w:p>
            <w:pPr>
              <w:spacing w:after="0"/>
              <w:rPr>
                <w:sz w:val="6"/>
                <w:szCs w:val="6"/>
                <w:color w:val="auto"/>
              </w:rPr>
            </w:pPr>
          </w:p>
        </w:tc>
        <w:tc>
          <w:tcPr>
            <w:tcW w:w="114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310"/>
        </w:trPr>
        <w:tc>
          <w:tcPr>
            <w:tcW w:w="7880" w:type="dxa"/>
            <w:vAlign w:val="bottom"/>
            <w:tcBorders>
              <w:left w:val="single" w:sz="8" w:color="auto"/>
            </w:tcBorders>
          </w:tcPr>
          <w:p>
            <w:pPr>
              <w:ind w:left="40"/>
              <w:spacing w:after="0"/>
              <w:rPr>
                <w:sz w:val="20"/>
                <w:szCs w:val="20"/>
                <w:color w:val="auto"/>
              </w:rPr>
            </w:pPr>
            <w:r>
              <w:rPr>
                <w:rFonts w:ascii="Arial" w:cs="Arial" w:eastAsia="Arial" w:hAnsi="Arial"/>
                <w:sz w:val="18"/>
                <w:szCs w:val="18"/>
                <w:b w:val="1"/>
                <w:bCs w:val="1"/>
                <w:color w:val="C00000"/>
              </w:rPr>
              <w:t>Proposal Three</w:t>
            </w:r>
          </w:p>
        </w:tc>
        <w:tc>
          <w:tcPr>
            <w:tcW w:w="2000" w:type="dxa"/>
            <w:vAlign w:val="bottom"/>
            <w:gridSpan w:val="2"/>
            <w:vMerge w:val="restart"/>
          </w:tcPr>
          <w:p>
            <w:pPr>
              <w:jc w:val="right"/>
              <w:ind w:right="671"/>
              <w:spacing w:after="0" w:line="564" w:lineRule="exact"/>
              <w:rPr>
                <w:sz w:val="20"/>
                <w:szCs w:val="20"/>
                <w:color w:val="auto"/>
              </w:rPr>
            </w:pPr>
            <w:r>
              <w:rPr>
                <w:rFonts w:ascii="MS PGothic" w:cs="MS PGothic" w:eastAsia="MS PGothic" w:hAnsi="MS PGothic"/>
                <w:sz w:val="49"/>
                <w:szCs w:val="49"/>
                <w:color w:val="C00000"/>
              </w:rPr>
              <w:t>☑</w:t>
            </w:r>
            <w:r>
              <w:rPr>
                <w:rFonts w:ascii="Arial" w:cs="Arial" w:eastAsia="Arial" w:hAnsi="Arial"/>
                <w:sz w:val="18"/>
                <w:szCs w:val="18"/>
                <w:color w:val="auto"/>
              </w:rPr>
              <w:t xml:space="preserve"> FOR</w:t>
            </w:r>
          </w:p>
        </w:tc>
        <w:tc>
          <w:tcPr>
            <w:tcW w:w="1140" w:type="dxa"/>
            <w:vAlign w:val="bottom"/>
            <w:tcBorders>
              <w:right w:val="single" w:sz="8" w:color="auto"/>
            </w:tcBorders>
            <w:vMerge w:val="restart"/>
          </w:tcPr>
          <w:p>
            <w:pPr>
              <w:ind w:left="40"/>
              <w:spacing w:after="0"/>
              <w:rPr>
                <w:sz w:val="20"/>
                <w:szCs w:val="20"/>
                <w:color w:val="auto"/>
              </w:rPr>
            </w:pPr>
            <w:r>
              <w:rPr>
                <w:rFonts w:ascii="Arial" w:cs="Arial" w:eastAsia="Arial" w:hAnsi="Arial"/>
                <w:sz w:val="18"/>
                <w:szCs w:val="18"/>
                <w:color w:val="auto"/>
              </w:rPr>
              <w:t>Page 27</w:t>
            </w:r>
          </w:p>
        </w:tc>
        <w:tc>
          <w:tcPr>
            <w:tcW w:w="0" w:type="dxa"/>
            <w:vAlign w:val="bottom"/>
          </w:tcPr>
          <w:p>
            <w:pPr>
              <w:spacing w:after="0"/>
              <w:rPr>
                <w:sz w:val="1"/>
                <w:szCs w:val="1"/>
                <w:color w:val="auto"/>
              </w:rPr>
            </w:pPr>
          </w:p>
        </w:tc>
      </w:tr>
      <w:tr>
        <w:trPr>
          <w:trHeight w:val="310"/>
        </w:trPr>
        <w:tc>
          <w:tcPr>
            <w:tcW w:w="788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18"/>
                <w:szCs w:val="18"/>
                <w:color w:val="auto"/>
              </w:rPr>
              <w:t>To approve, on an advisory basis, our executive compensation.</w:t>
            </w:r>
          </w:p>
        </w:tc>
        <w:tc>
          <w:tcPr>
            <w:tcW w:w="2000" w:type="dxa"/>
            <w:vAlign w:val="bottom"/>
            <w:tcBorders>
              <w:bottom w:val="single" w:sz="8" w:color="auto"/>
            </w:tcBorders>
            <w:gridSpan w:val="2"/>
            <w:vMerge w:val="continue"/>
          </w:tcPr>
          <w:p>
            <w:pPr>
              <w:spacing w:after="0"/>
              <w:rPr>
                <w:sz w:val="24"/>
                <w:szCs w:val="24"/>
                <w:color w:val="auto"/>
              </w:rPr>
            </w:pPr>
          </w:p>
        </w:tc>
        <w:tc>
          <w:tcPr>
            <w:tcW w:w="1140" w:type="dxa"/>
            <w:vAlign w:val="bottom"/>
            <w:tcBorders>
              <w:bottom w:val="single" w:sz="8" w:color="auto"/>
              <w:right w:val="single" w:sz="8" w:color="auto"/>
            </w:tcBorders>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140"/>
          </w:cols>
          <w:pgMar w:left="320" w:top="1157" w:right="4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99"/>
        <w:spacing w:after="0"/>
        <w:rPr>
          <w:sz w:val="20"/>
          <w:szCs w:val="20"/>
          <w:color w:val="auto"/>
        </w:rPr>
      </w:pPr>
      <w:r>
        <w:rPr>
          <w:rFonts w:ascii="Arial" w:cs="Arial" w:eastAsia="Arial" w:hAnsi="Arial"/>
          <w:sz w:val="20"/>
          <w:szCs w:val="20"/>
          <w:color w:val="auto"/>
        </w:rPr>
        <w:t>viii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78105</wp:posOffset>
            </wp:positionV>
            <wp:extent cx="7159625"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140"/>
          </w:cols>
          <w:pgMar w:left="320" w:top="1157" w:right="439" w:bottom="1440" w:gutter="0" w:footer="0" w:header="0"/>
          <w:type w:val="continuous"/>
        </w:sectPr>
      </w:pPr>
    </w:p>
    <w:bookmarkStart w:id="10" w:name="page11"/>
    <w:bookmarkEnd w:id="10"/>
    <w:p>
      <w:pPr>
        <w:spacing w:after="0"/>
        <w:rPr>
          <w:sz w:val="20"/>
          <w:szCs w:val="20"/>
          <w:color w:val="auto"/>
        </w:rPr>
      </w:pPr>
      <w:r>
        <w:rPr>
          <w:rFonts w:ascii="Arial" w:cs="Arial" w:eastAsia="Arial" w:hAnsi="Arial"/>
          <w:sz w:val="20"/>
          <w:szCs w:val="20"/>
          <w:b w:val="1"/>
          <w:bCs w:val="1"/>
          <w:color w:val="C00000"/>
        </w:rPr>
        <w:t>How to Cast Your Vote</w:t>
      </w:r>
    </w:p>
    <w:p>
      <w:pPr>
        <w:spacing w:after="0" w:line="108" w:lineRule="exact"/>
        <w:rPr>
          <w:sz w:val="20"/>
          <w:szCs w:val="20"/>
          <w:color w:val="auto"/>
        </w:rPr>
      </w:pPr>
    </w:p>
    <w:p>
      <w:pPr>
        <w:ind w:right="700" w:firstLine="320"/>
        <w:spacing w:after="0" w:line="264" w:lineRule="auto"/>
        <w:rPr>
          <w:sz w:val="20"/>
          <w:szCs w:val="20"/>
          <w:color w:val="auto"/>
        </w:rPr>
      </w:pPr>
      <w:r>
        <w:rPr>
          <w:rFonts w:ascii="Arial" w:cs="Arial" w:eastAsia="Arial" w:hAnsi="Arial"/>
          <w:sz w:val="18"/>
          <w:szCs w:val="18"/>
          <w:b w:val="1"/>
          <w:bCs w:val="1"/>
          <w:color w:val="auto"/>
        </w:rPr>
        <w:t xml:space="preserve">Your vote is important! </w:t>
      </w:r>
      <w:r>
        <w:rPr>
          <w:rFonts w:ascii="Arial" w:cs="Arial" w:eastAsia="Arial" w:hAnsi="Arial"/>
          <w:sz w:val="18"/>
          <w:szCs w:val="18"/>
          <w:color w:val="auto"/>
        </w:rPr>
        <w:t>Please vote your shares promptly using one of the methods listed below. See page 2 for additional voting</w:t>
      </w:r>
      <w:r>
        <w:rPr>
          <w:rFonts w:ascii="Arial" w:cs="Arial" w:eastAsia="Arial" w:hAnsi="Arial"/>
          <w:sz w:val="18"/>
          <w:szCs w:val="18"/>
          <w:b w:val="1"/>
          <w:bCs w:val="1"/>
          <w:color w:val="auto"/>
        </w:rPr>
        <w:t xml:space="preserve"> </w:t>
      </w:r>
      <w:r>
        <w:rPr>
          <w:rFonts w:ascii="Arial" w:cs="Arial" w:eastAsia="Arial" w:hAnsi="Arial"/>
          <w:sz w:val="18"/>
          <w:szCs w:val="18"/>
          <w:color w:val="auto"/>
        </w:rPr>
        <w:t>information.</w:t>
      </w:r>
    </w:p>
    <w:p>
      <w:pPr>
        <w:spacing w:after="0" w:line="91" w:lineRule="exact"/>
        <w:rPr>
          <w:sz w:val="20"/>
          <w:szCs w:val="20"/>
          <w:color w:val="auto"/>
        </w:rPr>
      </w:pPr>
    </w:p>
    <w:tbl>
      <w:tblPr>
        <w:tblLayout w:type="fixed"/>
        <w:tblInd w:w="10" w:type="dxa"/>
        <w:tblCellMar>
          <w:top w:w="0" w:type="dxa"/>
          <w:left w:w="0" w:type="dxa"/>
          <w:bottom w:w="0" w:type="dxa"/>
          <w:right w:w="0" w:type="dxa"/>
        </w:tblCellMar>
      </w:tblPr>
      <w:tr>
        <w:trPr>
          <w:trHeight w:val="240"/>
        </w:trPr>
        <w:tc>
          <w:tcPr>
            <w:tcW w:w="2120" w:type="dxa"/>
            <w:vAlign w:val="bottom"/>
            <w:tcBorders>
              <w:top w:val="single" w:sz="8" w:color="auto"/>
              <w:left w:val="single" w:sz="8" w:color="auto"/>
              <w:right w:val="single" w:sz="8" w:color="auto"/>
            </w:tcBorders>
            <w:shd w:val="clear" w:color="auto" w:fill="DBDBDB"/>
          </w:tcPr>
          <w:p>
            <w:pPr>
              <w:ind w:left="60"/>
              <w:spacing w:after="0"/>
              <w:rPr>
                <w:sz w:val="20"/>
                <w:szCs w:val="20"/>
                <w:color w:val="auto"/>
              </w:rPr>
            </w:pPr>
            <w:r>
              <w:rPr>
                <w:rFonts w:ascii="Arial" w:cs="Arial" w:eastAsia="Arial" w:hAnsi="Arial"/>
                <w:sz w:val="18"/>
                <w:szCs w:val="18"/>
                <w:b w:val="1"/>
                <w:bCs w:val="1"/>
                <w:color w:val="BF2115"/>
              </w:rPr>
              <w:t>By Internet</w:t>
            </w:r>
          </w:p>
        </w:tc>
        <w:tc>
          <w:tcPr>
            <w:tcW w:w="120" w:type="dxa"/>
            <w:vAlign w:val="bottom"/>
            <w:tcBorders>
              <w:right w:val="single" w:sz="8" w:color="auto"/>
            </w:tcBorders>
          </w:tcPr>
          <w:p>
            <w:pPr>
              <w:spacing w:after="0"/>
              <w:rPr>
                <w:sz w:val="20"/>
                <w:szCs w:val="20"/>
                <w:color w:val="auto"/>
              </w:rPr>
            </w:pPr>
          </w:p>
        </w:tc>
        <w:tc>
          <w:tcPr>
            <w:tcW w:w="1120" w:type="dxa"/>
            <w:vAlign w:val="bottom"/>
            <w:tcBorders>
              <w:top w:val="single" w:sz="8" w:color="auto"/>
              <w:right w:val="single" w:sz="8" w:color="auto"/>
            </w:tcBorders>
          </w:tcPr>
          <w:p>
            <w:pPr>
              <w:ind w:left="40"/>
              <w:spacing w:after="0"/>
              <w:rPr>
                <w:sz w:val="20"/>
                <w:szCs w:val="20"/>
                <w:color w:val="auto"/>
              </w:rPr>
            </w:pPr>
            <w:r>
              <w:rPr>
                <w:rFonts w:ascii="Arial" w:cs="Arial" w:eastAsia="Arial" w:hAnsi="Arial"/>
                <w:sz w:val="18"/>
                <w:szCs w:val="18"/>
                <w:b w:val="1"/>
                <w:bCs w:val="1"/>
                <w:color w:val="BF2115"/>
              </w:rPr>
              <w:t>By Phone</w:t>
            </w:r>
          </w:p>
        </w:tc>
        <w:tc>
          <w:tcPr>
            <w:tcW w:w="120" w:type="dxa"/>
            <w:vAlign w:val="bottom"/>
            <w:tcBorders>
              <w:right w:val="single" w:sz="8" w:color="auto"/>
            </w:tcBorders>
          </w:tcPr>
          <w:p>
            <w:pPr>
              <w:spacing w:after="0"/>
              <w:rPr>
                <w:sz w:val="20"/>
                <w:szCs w:val="20"/>
                <w:color w:val="auto"/>
              </w:rPr>
            </w:pPr>
          </w:p>
        </w:tc>
        <w:tc>
          <w:tcPr>
            <w:tcW w:w="1200" w:type="dxa"/>
            <w:vAlign w:val="bottom"/>
            <w:tcBorders>
              <w:top w:val="single" w:sz="8" w:color="auto"/>
              <w:right w:val="single" w:sz="8" w:color="auto"/>
            </w:tcBorders>
            <w:shd w:val="clear" w:color="auto" w:fill="DBDBDB"/>
          </w:tcPr>
          <w:p>
            <w:pPr>
              <w:ind w:left="40"/>
              <w:spacing w:after="0"/>
              <w:rPr>
                <w:sz w:val="20"/>
                <w:szCs w:val="20"/>
                <w:color w:val="auto"/>
              </w:rPr>
            </w:pPr>
            <w:r>
              <w:rPr>
                <w:rFonts w:ascii="Arial" w:cs="Arial" w:eastAsia="Arial" w:hAnsi="Arial"/>
                <w:sz w:val="18"/>
                <w:szCs w:val="18"/>
                <w:b w:val="1"/>
                <w:bCs w:val="1"/>
                <w:color w:val="BF2115"/>
              </w:rPr>
              <w:t>By Mail</w:t>
            </w:r>
          </w:p>
        </w:tc>
        <w:tc>
          <w:tcPr>
            <w:tcW w:w="120" w:type="dxa"/>
            <w:vAlign w:val="bottom"/>
            <w:tcBorders>
              <w:right w:val="single" w:sz="8" w:color="auto"/>
            </w:tcBorders>
          </w:tcPr>
          <w:p>
            <w:pPr>
              <w:spacing w:after="0"/>
              <w:rPr>
                <w:sz w:val="20"/>
                <w:szCs w:val="20"/>
                <w:color w:val="auto"/>
              </w:rPr>
            </w:pPr>
          </w:p>
        </w:tc>
        <w:tc>
          <w:tcPr>
            <w:tcW w:w="1220" w:type="dxa"/>
            <w:vAlign w:val="bottom"/>
            <w:tcBorders>
              <w:top w:val="single" w:sz="8" w:color="auto"/>
              <w:right w:val="single" w:sz="8" w:color="auto"/>
            </w:tcBorders>
          </w:tcPr>
          <w:p>
            <w:pPr>
              <w:ind w:left="40"/>
              <w:spacing w:after="0"/>
              <w:rPr>
                <w:sz w:val="20"/>
                <w:szCs w:val="20"/>
                <w:color w:val="auto"/>
              </w:rPr>
            </w:pPr>
            <w:r>
              <w:rPr>
                <w:rFonts w:ascii="Arial" w:cs="Arial" w:eastAsia="Arial" w:hAnsi="Arial"/>
                <w:sz w:val="18"/>
                <w:szCs w:val="18"/>
                <w:b w:val="1"/>
                <w:bCs w:val="1"/>
                <w:color w:val="BF2115"/>
              </w:rPr>
              <w:t>By Mobile</w:t>
            </w:r>
          </w:p>
        </w:tc>
        <w:tc>
          <w:tcPr>
            <w:tcW w:w="120" w:type="dxa"/>
            <w:vAlign w:val="bottom"/>
            <w:tcBorders>
              <w:right w:val="single" w:sz="8" w:color="auto"/>
            </w:tcBorders>
          </w:tcPr>
          <w:p>
            <w:pPr>
              <w:spacing w:after="0"/>
              <w:rPr>
                <w:sz w:val="20"/>
                <w:szCs w:val="20"/>
                <w:color w:val="auto"/>
              </w:rPr>
            </w:pPr>
          </w:p>
        </w:tc>
        <w:tc>
          <w:tcPr>
            <w:tcW w:w="5120" w:type="dxa"/>
            <w:vAlign w:val="bottom"/>
            <w:tcBorders>
              <w:top w:val="single" w:sz="8" w:color="auto"/>
              <w:right w:val="single" w:sz="8" w:color="auto"/>
            </w:tcBorders>
            <w:shd w:val="clear" w:color="auto" w:fill="DBDBDB"/>
          </w:tcPr>
          <w:p>
            <w:pPr>
              <w:spacing w:after="0"/>
              <w:rPr>
                <w:sz w:val="20"/>
                <w:szCs w:val="20"/>
                <w:color w:val="auto"/>
              </w:rPr>
            </w:pPr>
            <w:r>
              <w:rPr>
                <w:rFonts w:ascii="Arial" w:cs="Arial" w:eastAsia="Arial" w:hAnsi="Arial"/>
                <w:sz w:val="18"/>
                <w:szCs w:val="18"/>
                <w:b w:val="1"/>
                <w:bCs w:val="1"/>
                <w:color w:val="BF2115"/>
              </w:rPr>
              <w:t>By Attending the Meeting Virtually</w:t>
            </w:r>
          </w:p>
        </w:tc>
        <w:tc>
          <w:tcPr>
            <w:tcW w:w="0" w:type="dxa"/>
            <w:vAlign w:val="bottom"/>
          </w:tcPr>
          <w:p>
            <w:pPr>
              <w:spacing w:after="0"/>
              <w:rPr>
                <w:sz w:val="1"/>
                <w:szCs w:val="1"/>
                <w:color w:val="auto"/>
              </w:rPr>
            </w:pPr>
          </w:p>
        </w:tc>
      </w:tr>
      <w:tr>
        <w:trPr>
          <w:trHeight w:val="267"/>
        </w:trPr>
        <w:tc>
          <w:tcPr>
            <w:tcW w:w="2120" w:type="dxa"/>
            <w:vAlign w:val="bottom"/>
            <w:tcBorders>
              <w:left w:val="single" w:sz="8" w:color="auto"/>
              <w:right w:val="single" w:sz="8" w:color="auto"/>
            </w:tcBorders>
            <w:shd w:val="clear" w:color="auto" w:fill="DBDBDB"/>
          </w:tcPr>
          <w:p>
            <w:pPr>
              <w:ind w:left="60"/>
              <w:spacing w:after="0"/>
              <w:rPr>
                <w:sz w:val="20"/>
                <w:szCs w:val="20"/>
                <w:color w:val="auto"/>
              </w:rPr>
            </w:pPr>
            <w:r>
              <w:rPr>
                <w:rFonts w:ascii="Arial" w:cs="Arial" w:eastAsia="Arial" w:hAnsi="Arial"/>
                <w:sz w:val="18"/>
                <w:szCs w:val="18"/>
                <w:color w:val="auto"/>
              </w:rPr>
              <w:t>Go to</w:t>
            </w:r>
          </w:p>
        </w:tc>
        <w:tc>
          <w:tcPr>
            <w:tcW w:w="120" w:type="dxa"/>
            <w:vAlign w:val="bottom"/>
            <w:tcBorders>
              <w:right w:val="single" w:sz="8" w:color="auto"/>
            </w:tcBorders>
          </w:tcPr>
          <w:p>
            <w:pPr>
              <w:spacing w:after="0"/>
              <w:rPr>
                <w:sz w:val="23"/>
                <w:szCs w:val="23"/>
                <w:color w:val="auto"/>
              </w:rPr>
            </w:pPr>
          </w:p>
        </w:tc>
        <w:tc>
          <w:tcPr>
            <w:tcW w:w="11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Call</w:t>
            </w:r>
          </w:p>
        </w:tc>
        <w:tc>
          <w:tcPr>
            <w:tcW w:w="120" w:type="dxa"/>
            <w:vAlign w:val="bottom"/>
            <w:tcBorders>
              <w:right w:val="single" w:sz="8" w:color="auto"/>
            </w:tcBorders>
          </w:tcPr>
          <w:p>
            <w:pPr>
              <w:spacing w:after="0"/>
              <w:rPr>
                <w:sz w:val="23"/>
                <w:szCs w:val="23"/>
                <w:color w:val="auto"/>
              </w:rPr>
            </w:pPr>
          </w:p>
        </w:tc>
        <w:tc>
          <w:tcPr>
            <w:tcW w:w="1200" w:type="dxa"/>
            <w:vAlign w:val="bottom"/>
            <w:tcBorders>
              <w:right w:val="single" w:sz="8" w:color="auto"/>
            </w:tcBorders>
            <w:shd w:val="clear" w:color="auto" w:fill="DBDBDB"/>
          </w:tcPr>
          <w:p>
            <w:pPr>
              <w:ind w:left="40"/>
              <w:spacing w:after="0"/>
              <w:rPr>
                <w:sz w:val="20"/>
                <w:szCs w:val="20"/>
                <w:color w:val="auto"/>
              </w:rPr>
            </w:pPr>
            <w:r>
              <w:rPr>
                <w:rFonts w:ascii="Arial" w:cs="Arial" w:eastAsia="Arial" w:hAnsi="Arial"/>
                <w:sz w:val="18"/>
                <w:szCs w:val="18"/>
                <w:color w:val="auto"/>
              </w:rPr>
              <w:t>Return your</w:t>
            </w:r>
          </w:p>
        </w:tc>
        <w:tc>
          <w:tcPr>
            <w:tcW w:w="120" w:type="dxa"/>
            <w:vAlign w:val="bottom"/>
            <w:tcBorders>
              <w:right w:val="single" w:sz="8" w:color="auto"/>
            </w:tcBorders>
          </w:tcPr>
          <w:p>
            <w:pPr>
              <w:spacing w:after="0"/>
              <w:rPr>
                <w:sz w:val="23"/>
                <w:szCs w:val="23"/>
                <w:color w:val="auto"/>
              </w:rPr>
            </w:pPr>
          </w:p>
        </w:tc>
        <w:tc>
          <w:tcPr>
            <w:tcW w:w="1220" w:type="dxa"/>
            <w:vAlign w:val="bottom"/>
            <w:tcBorders>
              <w:right w:val="single" w:sz="8" w:color="auto"/>
            </w:tcBorders>
          </w:tcPr>
          <w:p>
            <w:pPr>
              <w:ind w:left="40"/>
              <w:spacing w:after="0"/>
              <w:rPr>
                <w:sz w:val="20"/>
                <w:szCs w:val="20"/>
                <w:color w:val="auto"/>
              </w:rPr>
            </w:pPr>
            <w:r>
              <w:rPr>
                <w:rFonts w:ascii="Arial" w:cs="Arial" w:eastAsia="Arial" w:hAnsi="Arial"/>
                <w:sz w:val="18"/>
                <w:szCs w:val="18"/>
                <w:b w:val="1"/>
                <w:bCs w:val="1"/>
                <w:color w:val="BF2115"/>
              </w:rPr>
              <w:t>Device</w:t>
            </w:r>
          </w:p>
        </w:tc>
        <w:tc>
          <w:tcPr>
            <w:tcW w:w="120" w:type="dxa"/>
            <w:vAlign w:val="bottom"/>
            <w:tcBorders>
              <w:right w:val="single" w:sz="8" w:color="auto"/>
            </w:tcBorders>
          </w:tcPr>
          <w:p>
            <w:pPr>
              <w:spacing w:after="0"/>
              <w:rPr>
                <w:sz w:val="23"/>
                <w:szCs w:val="23"/>
                <w:color w:val="auto"/>
              </w:rPr>
            </w:pPr>
          </w:p>
        </w:tc>
        <w:tc>
          <w:tcPr>
            <w:tcW w:w="5120" w:type="dxa"/>
            <w:vAlign w:val="bottom"/>
            <w:tcBorders>
              <w:right w:val="single" w:sz="8" w:color="auto"/>
            </w:tcBorders>
            <w:shd w:val="clear" w:color="auto" w:fill="DBDBDB"/>
          </w:tcPr>
          <w:p>
            <w:pPr>
              <w:spacing w:after="0"/>
              <w:rPr>
                <w:sz w:val="20"/>
                <w:szCs w:val="20"/>
                <w:color w:val="auto"/>
              </w:rPr>
            </w:pPr>
            <w:r>
              <w:rPr>
                <w:rFonts w:ascii="Arial" w:cs="Arial" w:eastAsia="Arial" w:hAnsi="Arial"/>
                <w:sz w:val="18"/>
                <w:szCs w:val="18"/>
                <w:color w:val="auto"/>
              </w:rPr>
              <w:t>Visit: www.virtualshareholdermeeting.com/TTC2025</w:t>
            </w:r>
          </w:p>
        </w:tc>
        <w:tc>
          <w:tcPr>
            <w:tcW w:w="0" w:type="dxa"/>
            <w:vAlign w:val="bottom"/>
          </w:tcPr>
          <w:p>
            <w:pPr>
              <w:spacing w:after="0"/>
              <w:rPr>
                <w:sz w:val="1"/>
                <w:szCs w:val="1"/>
                <w:color w:val="auto"/>
              </w:rPr>
            </w:pPr>
          </w:p>
        </w:tc>
      </w:tr>
      <w:tr>
        <w:trPr>
          <w:trHeight w:val="210"/>
        </w:trPr>
        <w:tc>
          <w:tcPr>
            <w:tcW w:w="2120" w:type="dxa"/>
            <w:vAlign w:val="bottom"/>
            <w:tcBorders>
              <w:left w:val="single" w:sz="8" w:color="auto"/>
              <w:right w:val="single" w:sz="8" w:color="auto"/>
            </w:tcBorders>
            <w:vMerge w:val="restart"/>
            <w:shd w:val="clear" w:color="auto" w:fill="DBDBDB"/>
          </w:tcPr>
          <w:p>
            <w:pPr>
              <w:ind w:left="60"/>
              <w:spacing w:after="0"/>
              <w:rPr>
                <w:sz w:val="20"/>
                <w:szCs w:val="20"/>
                <w:color w:val="auto"/>
              </w:rPr>
            </w:pPr>
            <w:r>
              <w:rPr>
                <w:rFonts w:ascii="Arial" w:cs="Arial" w:eastAsia="Arial" w:hAnsi="Arial"/>
                <w:sz w:val="18"/>
                <w:szCs w:val="18"/>
                <w:color w:val="auto"/>
              </w:rPr>
              <w:t>www.proxyvote.com</w:t>
            </w:r>
          </w:p>
        </w:tc>
        <w:tc>
          <w:tcPr>
            <w:tcW w:w="120" w:type="dxa"/>
            <w:vAlign w:val="bottom"/>
            <w:tcBorders>
              <w:right w:val="single" w:sz="8" w:color="auto"/>
            </w:tcBorders>
          </w:tcPr>
          <w:p>
            <w:pPr>
              <w:spacing w:after="0"/>
              <w:rPr>
                <w:sz w:val="18"/>
                <w:szCs w:val="18"/>
                <w:color w:val="auto"/>
              </w:rPr>
            </w:pPr>
          </w:p>
        </w:tc>
        <w:tc>
          <w:tcPr>
            <w:tcW w:w="112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800-690-</w:t>
            </w:r>
          </w:p>
        </w:tc>
        <w:tc>
          <w:tcPr>
            <w:tcW w:w="120" w:type="dxa"/>
            <w:vAlign w:val="bottom"/>
            <w:tcBorders>
              <w:right w:val="single" w:sz="8" w:color="auto"/>
            </w:tcBorders>
          </w:tcPr>
          <w:p>
            <w:pPr>
              <w:spacing w:after="0"/>
              <w:rPr>
                <w:sz w:val="18"/>
                <w:szCs w:val="18"/>
                <w:color w:val="auto"/>
              </w:rPr>
            </w:pPr>
          </w:p>
        </w:tc>
        <w:tc>
          <w:tcPr>
            <w:tcW w:w="1200" w:type="dxa"/>
            <w:vAlign w:val="bottom"/>
            <w:tcBorders>
              <w:right w:val="single" w:sz="8" w:color="auto"/>
            </w:tcBorders>
            <w:shd w:val="clear" w:color="auto" w:fill="DBDBDB"/>
          </w:tcPr>
          <w:p>
            <w:pPr>
              <w:ind w:left="40"/>
              <w:spacing w:after="0"/>
              <w:rPr>
                <w:sz w:val="20"/>
                <w:szCs w:val="20"/>
                <w:color w:val="auto"/>
              </w:rPr>
            </w:pPr>
            <w:r>
              <w:rPr>
                <w:rFonts w:ascii="Arial" w:cs="Arial" w:eastAsia="Arial" w:hAnsi="Arial"/>
                <w:sz w:val="18"/>
                <w:szCs w:val="18"/>
                <w:color w:val="auto"/>
              </w:rPr>
              <w:t>proxy card</w:t>
            </w:r>
          </w:p>
        </w:tc>
        <w:tc>
          <w:tcPr>
            <w:tcW w:w="120" w:type="dxa"/>
            <w:vAlign w:val="bottom"/>
            <w:tcBorders>
              <w:right w:val="single" w:sz="8" w:color="auto"/>
            </w:tcBorders>
          </w:tcPr>
          <w:p>
            <w:pPr>
              <w:spacing w:after="0"/>
              <w:rPr>
                <w:sz w:val="18"/>
                <w:szCs w:val="18"/>
                <w:color w:val="auto"/>
              </w:rPr>
            </w:pPr>
          </w:p>
        </w:tc>
        <w:tc>
          <w:tcPr>
            <w:tcW w:w="122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Scan the QR</w:t>
            </w:r>
          </w:p>
        </w:tc>
        <w:tc>
          <w:tcPr>
            <w:tcW w:w="120" w:type="dxa"/>
            <w:vAlign w:val="bottom"/>
            <w:tcBorders>
              <w:right w:val="single" w:sz="8" w:color="auto"/>
            </w:tcBorders>
          </w:tcPr>
          <w:p>
            <w:pPr>
              <w:spacing w:after="0"/>
              <w:rPr>
                <w:sz w:val="18"/>
                <w:szCs w:val="18"/>
                <w:color w:val="auto"/>
              </w:rPr>
            </w:pPr>
          </w:p>
        </w:tc>
        <w:tc>
          <w:tcPr>
            <w:tcW w:w="5120" w:type="dxa"/>
            <w:vAlign w:val="bottom"/>
            <w:tcBorders>
              <w:right w:val="single" w:sz="8" w:color="auto"/>
            </w:tcBorders>
            <w:shd w:val="clear" w:color="auto" w:fill="DBDBDB"/>
          </w:tcPr>
          <w:p>
            <w:pPr>
              <w:spacing w:after="0"/>
              <w:rPr>
                <w:sz w:val="18"/>
                <w:szCs w:val="18"/>
                <w:color w:val="auto"/>
              </w:rPr>
            </w:pPr>
          </w:p>
        </w:tc>
        <w:tc>
          <w:tcPr>
            <w:tcW w:w="0" w:type="dxa"/>
            <w:vAlign w:val="bottom"/>
          </w:tcPr>
          <w:p>
            <w:pPr>
              <w:spacing w:after="0"/>
              <w:rPr>
                <w:sz w:val="1"/>
                <w:szCs w:val="1"/>
                <w:color w:val="auto"/>
              </w:rPr>
            </w:pPr>
          </w:p>
        </w:tc>
      </w:tr>
      <w:tr>
        <w:trPr>
          <w:trHeight w:val="93"/>
        </w:trPr>
        <w:tc>
          <w:tcPr>
            <w:tcW w:w="2120" w:type="dxa"/>
            <w:vAlign w:val="bottom"/>
            <w:tcBorders>
              <w:left w:val="single" w:sz="8" w:color="auto"/>
              <w:right w:val="single" w:sz="8" w:color="auto"/>
            </w:tcBorders>
            <w:vMerge w:val="continue"/>
            <w:shd w:val="clear" w:color="auto" w:fill="DBDBDB"/>
          </w:tcPr>
          <w:p>
            <w:pPr>
              <w:spacing w:after="0"/>
              <w:rPr>
                <w:sz w:val="8"/>
                <w:szCs w:val="8"/>
                <w:color w:val="auto"/>
              </w:rPr>
            </w:pPr>
          </w:p>
        </w:tc>
        <w:tc>
          <w:tcPr>
            <w:tcW w:w="120" w:type="dxa"/>
            <w:vAlign w:val="bottom"/>
            <w:tcBorders>
              <w:right w:val="single" w:sz="8" w:color="auto"/>
            </w:tcBorders>
          </w:tcPr>
          <w:p>
            <w:pPr>
              <w:spacing w:after="0"/>
              <w:rPr>
                <w:sz w:val="8"/>
                <w:szCs w:val="8"/>
                <w:color w:val="auto"/>
              </w:rPr>
            </w:pPr>
          </w:p>
        </w:tc>
        <w:tc>
          <w:tcPr>
            <w:tcW w:w="1120" w:type="dxa"/>
            <w:vAlign w:val="bottom"/>
            <w:tcBorders>
              <w:right w:val="single" w:sz="8" w:color="auto"/>
            </w:tcBorders>
            <w:vMerge w:val="continue"/>
          </w:tcPr>
          <w:p>
            <w:pPr>
              <w:spacing w:after="0"/>
              <w:rPr>
                <w:sz w:val="8"/>
                <w:szCs w:val="8"/>
                <w:color w:val="auto"/>
              </w:rPr>
            </w:pPr>
          </w:p>
        </w:tc>
        <w:tc>
          <w:tcPr>
            <w:tcW w:w="120" w:type="dxa"/>
            <w:vAlign w:val="bottom"/>
            <w:tcBorders>
              <w:right w:val="single" w:sz="8" w:color="auto"/>
            </w:tcBorders>
          </w:tcPr>
          <w:p>
            <w:pPr>
              <w:spacing w:after="0"/>
              <w:rPr>
                <w:sz w:val="8"/>
                <w:szCs w:val="8"/>
                <w:color w:val="auto"/>
              </w:rPr>
            </w:pPr>
          </w:p>
        </w:tc>
        <w:tc>
          <w:tcPr>
            <w:tcW w:w="1200" w:type="dxa"/>
            <w:vAlign w:val="bottom"/>
            <w:tcBorders>
              <w:right w:val="single" w:sz="8" w:color="auto"/>
            </w:tcBorders>
            <w:shd w:val="clear" w:color="auto" w:fill="DBDBDB"/>
          </w:tcPr>
          <w:p>
            <w:pPr>
              <w:spacing w:after="0"/>
              <w:rPr>
                <w:sz w:val="8"/>
                <w:szCs w:val="8"/>
                <w:color w:val="auto"/>
              </w:rPr>
            </w:pPr>
          </w:p>
        </w:tc>
        <w:tc>
          <w:tcPr>
            <w:tcW w:w="120" w:type="dxa"/>
            <w:vAlign w:val="bottom"/>
            <w:tcBorders>
              <w:right w:val="single" w:sz="8" w:color="auto"/>
            </w:tcBorders>
          </w:tcPr>
          <w:p>
            <w:pPr>
              <w:spacing w:after="0"/>
              <w:rPr>
                <w:sz w:val="8"/>
                <w:szCs w:val="8"/>
                <w:color w:val="auto"/>
              </w:rPr>
            </w:pPr>
          </w:p>
        </w:tc>
        <w:tc>
          <w:tcPr>
            <w:tcW w:w="1220" w:type="dxa"/>
            <w:vAlign w:val="bottom"/>
            <w:tcBorders>
              <w:right w:val="single" w:sz="8" w:color="auto"/>
            </w:tcBorders>
            <w:vMerge w:val="restart"/>
          </w:tcPr>
          <w:p>
            <w:pPr>
              <w:ind w:left="40"/>
              <w:spacing w:after="0"/>
              <w:rPr>
                <w:sz w:val="20"/>
                <w:szCs w:val="20"/>
                <w:color w:val="auto"/>
              </w:rPr>
            </w:pPr>
            <w:r>
              <w:rPr>
                <w:rFonts w:ascii="Arial" w:cs="Arial" w:eastAsia="Arial" w:hAnsi="Arial"/>
                <w:sz w:val="18"/>
                <w:szCs w:val="18"/>
                <w:color w:val="auto"/>
              </w:rPr>
              <w:t>code</w:t>
            </w:r>
          </w:p>
        </w:tc>
        <w:tc>
          <w:tcPr>
            <w:tcW w:w="120" w:type="dxa"/>
            <w:vAlign w:val="bottom"/>
            <w:tcBorders>
              <w:right w:val="single" w:sz="8" w:color="auto"/>
            </w:tcBorders>
          </w:tcPr>
          <w:p>
            <w:pPr>
              <w:spacing w:after="0"/>
              <w:rPr>
                <w:sz w:val="8"/>
                <w:szCs w:val="8"/>
                <w:color w:val="auto"/>
              </w:rPr>
            </w:pPr>
          </w:p>
        </w:tc>
        <w:tc>
          <w:tcPr>
            <w:tcW w:w="5120" w:type="dxa"/>
            <w:vAlign w:val="bottom"/>
            <w:tcBorders>
              <w:right w:val="single" w:sz="8" w:color="auto"/>
            </w:tcBorders>
            <w:shd w:val="clear" w:color="auto" w:fill="DBDBDB"/>
          </w:tcPr>
          <w:p>
            <w:pPr>
              <w:spacing w:after="0"/>
              <w:rPr>
                <w:sz w:val="8"/>
                <w:szCs w:val="8"/>
                <w:color w:val="auto"/>
              </w:rPr>
            </w:pPr>
          </w:p>
        </w:tc>
        <w:tc>
          <w:tcPr>
            <w:tcW w:w="0" w:type="dxa"/>
            <w:vAlign w:val="bottom"/>
          </w:tcPr>
          <w:p>
            <w:pPr>
              <w:spacing w:after="0"/>
              <w:rPr>
                <w:sz w:val="1"/>
                <w:szCs w:val="1"/>
                <w:color w:val="auto"/>
              </w:rPr>
            </w:pPr>
          </w:p>
        </w:tc>
      </w:tr>
      <w:tr>
        <w:trPr>
          <w:trHeight w:val="140"/>
        </w:trPr>
        <w:tc>
          <w:tcPr>
            <w:tcW w:w="2120" w:type="dxa"/>
            <w:vAlign w:val="bottom"/>
            <w:tcBorders>
              <w:left w:val="single" w:sz="8" w:color="auto"/>
              <w:right w:val="single" w:sz="8" w:color="auto"/>
            </w:tcBorders>
            <w:shd w:val="clear" w:color="auto" w:fill="DBDBDB"/>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112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6903</w:t>
            </w:r>
          </w:p>
        </w:tc>
        <w:tc>
          <w:tcPr>
            <w:tcW w:w="120" w:type="dxa"/>
            <w:vAlign w:val="bottom"/>
            <w:tcBorders>
              <w:right w:val="single" w:sz="8" w:color="auto"/>
            </w:tcBorders>
          </w:tcPr>
          <w:p>
            <w:pPr>
              <w:spacing w:after="0"/>
              <w:rPr>
                <w:sz w:val="12"/>
                <w:szCs w:val="12"/>
                <w:color w:val="auto"/>
              </w:rPr>
            </w:pPr>
          </w:p>
        </w:tc>
        <w:tc>
          <w:tcPr>
            <w:tcW w:w="1200" w:type="dxa"/>
            <w:vAlign w:val="bottom"/>
            <w:tcBorders>
              <w:right w:val="single" w:sz="8" w:color="auto"/>
            </w:tcBorders>
            <w:shd w:val="clear" w:color="auto" w:fill="DBDBDB"/>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1220" w:type="dxa"/>
            <w:vAlign w:val="bottom"/>
            <w:tcBorders>
              <w:right w:val="single" w:sz="8" w:color="auto"/>
            </w:tcBorders>
            <w:vMerge w:val="continue"/>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5120" w:type="dxa"/>
            <w:vAlign w:val="bottom"/>
            <w:tcBorders>
              <w:right w:val="single" w:sz="8" w:color="auto"/>
            </w:tcBorders>
            <w:shd w:val="clear" w:color="auto" w:fill="DBDBDB"/>
          </w:tcPr>
          <w:p>
            <w:pPr>
              <w:spacing w:after="0"/>
              <w:rPr>
                <w:sz w:val="12"/>
                <w:szCs w:val="12"/>
                <w:color w:val="auto"/>
              </w:rPr>
            </w:pPr>
          </w:p>
        </w:tc>
        <w:tc>
          <w:tcPr>
            <w:tcW w:w="0" w:type="dxa"/>
            <w:vAlign w:val="bottom"/>
          </w:tcPr>
          <w:p>
            <w:pPr>
              <w:spacing w:after="0"/>
              <w:rPr>
                <w:sz w:val="1"/>
                <w:szCs w:val="1"/>
                <w:color w:val="auto"/>
              </w:rPr>
            </w:pPr>
          </w:p>
        </w:tc>
      </w:tr>
      <w:tr>
        <w:trPr>
          <w:trHeight w:val="93"/>
        </w:trPr>
        <w:tc>
          <w:tcPr>
            <w:tcW w:w="2120" w:type="dxa"/>
            <w:vAlign w:val="bottom"/>
            <w:tcBorders>
              <w:left w:val="single" w:sz="8" w:color="auto"/>
              <w:right w:val="single" w:sz="8" w:color="auto"/>
            </w:tcBorders>
            <w:shd w:val="clear" w:color="auto" w:fill="DBDBDB"/>
          </w:tcPr>
          <w:p>
            <w:pPr>
              <w:spacing w:after="0"/>
              <w:rPr>
                <w:sz w:val="8"/>
                <w:szCs w:val="8"/>
                <w:color w:val="auto"/>
              </w:rPr>
            </w:pPr>
          </w:p>
        </w:tc>
        <w:tc>
          <w:tcPr>
            <w:tcW w:w="120" w:type="dxa"/>
            <w:vAlign w:val="bottom"/>
            <w:tcBorders>
              <w:right w:val="single" w:sz="8" w:color="auto"/>
            </w:tcBorders>
          </w:tcPr>
          <w:p>
            <w:pPr>
              <w:spacing w:after="0"/>
              <w:rPr>
                <w:sz w:val="8"/>
                <w:szCs w:val="8"/>
                <w:color w:val="auto"/>
              </w:rPr>
            </w:pPr>
          </w:p>
        </w:tc>
        <w:tc>
          <w:tcPr>
            <w:tcW w:w="1120" w:type="dxa"/>
            <w:vAlign w:val="bottom"/>
            <w:tcBorders>
              <w:right w:val="single" w:sz="8" w:color="auto"/>
            </w:tcBorders>
            <w:vMerge w:val="continue"/>
          </w:tcPr>
          <w:p>
            <w:pPr>
              <w:spacing w:after="0"/>
              <w:rPr>
                <w:sz w:val="8"/>
                <w:szCs w:val="8"/>
                <w:color w:val="auto"/>
              </w:rPr>
            </w:pPr>
          </w:p>
        </w:tc>
        <w:tc>
          <w:tcPr>
            <w:tcW w:w="120" w:type="dxa"/>
            <w:vAlign w:val="bottom"/>
            <w:tcBorders>
              <w:right w:val="single" w:sz="8" w:color="auto"/>
            </w:tcBorders>
          </w:tcPr>
          <w:p>
            <w:pPr>
              <w:spacing w:after="0"/>
              <w:rPr>
                <w:sz w:val="8"/>
                <w:szCs w:val="8"/>
                <w:color w:val="auto"/>
              </w:rPr>
            </w:pPr>
          </w:p>
        </w:tc>
        <w:tc>
          <w:tcPr>
            <w:tcW w:w="1200" w:type="dxa"/>
            <w:vAlign w:val="bottom"/>
            <w:tcBorders>
              <w:right w:val="single" w:sz="8" w:color="auto"/>
            </w:tcBorders>
            <w:shd w:val="clear" w:color="auto" w:fill="DBDBDB"/>
          </w:tcPr>
          <w:p>
            <w:pPr>
              <w:spacing w:after="0"/>
              <w:rPr>
                <w:sz w:val="8"/>
                <w:szCs w:val="8"/>
                <w:color w:val="auto"/>
              </w:rPr>
            </w:pPr>
          </w:p>
        </w:tc>
        <w:tc>
          <w:tcPr>
            <w:tcW w:w="120" w:type="dxa"/>
            <w:vAlign w:val="bottom"/>
            <w:tcBorders>
              <w:right w:val="single" w:sz="8" w:color="auto"/>
            </w:tcBorders>
          </w:tcPr>
          <w:p>
            <w:pPr>
              <w:spacing w:after="0"/>
              <w:rPr>
                <w:sz w:val="8"/>
                <w:szCs w:val="8"/>
                <w:color w:val="auto"/>
              </w:rPr>
            </w:pPr>
          </w:p>
        </w:tc>
        <w:tc>
          <w:tcPr>
            <w:tcW w:w="1220" w:type="dxa"/>
            <w:vAlign w:val="bottom"/>
            <w:tcBorders>
              <w:right w:val="single" w:sz="8" w:color="auto"/>
            </w:tcBorders>
          </w:tcPr>
          <w:p>
            <w:pPr>
              <w:spacing w:after="0"/>
              <w:rPr>
                <w:sz w:val="8"/>
                <w:szCs w:val="8"/>
                <w:color w:val="auto"/>
              </w:rPr>
            </w:pPr>
          </w:p>
        </w:tc>
        <w:tc>
          <w:tcPr>
            <w:tcW w:w="120" w:type="dxa"/>
            <w:vAlign w:val="bottom"/>
            <w:tcBorders>
              <w:right w:val="single" w:sz="8" w:color="auto"/>
            </w:tcBorders>
          </w:tcPr>
          <w:p>
            <w:pPr>
              <w:spacing w:after="0"/>
              <w:rPr>
                <w:sz w:val="8"/>
                <w:szCs w:val="8"/>
                <w:color w:val="auto"/>
              </w:rPr>
            </w:pPr>
          </w:p>
        </w:tc>
        <w:tc>
          <w:tcPr>
            <w:tcW w:w="5120" w:type="dxa"/>
            <w:vAlign w:val="bottom"/>
            <w:tcBorders>
              <w:right w:val="single" w:sz="8" w:color="auto"/>
            </w:tcBorders>
            <w:shd w:val="clear" w:color="auto" w:fill="DBDBDB"/>
          </w:tcPr>
          <w:p>
            <w:pPr>
              <w:spacing w:after="0"/>
              <w:rPr>
                <w:sz w:val="8"/>
                <w:szCs w:val="8"/>
                <w:color w:val="auto"/>
              </w:rPr>
            </w:pPr>
          </w:p>
        </w:tc>
        <w:tc>
          <w:tcPr>
            <w:tcW w:w="0" w:type="dxa"/>
            <w:vAlign w:val="bottom"/>
          </w:tcPr>
          <w:p>
            <w:pPr>
              <w:spacing w:after="0"/>
              <w:rPr>
                <w:sz w:val="1"/>
                <w:szCs w:val="1"/>
                <w:color w:val="auto"/>
              </w:rPr>
            </w:pPr>
          </w:p>
        </w:tc>
      </w:tr>
      <w:tr>
        <w:trPr>
          <w:trHeight w:val="1438"/>
        </w:trPr>
        <w:tc>
          <w:tcPr>
            <w:tcW w:w="2120" w:type="dxa"/>
            <w:vAlign w:val="bottom"/>
            <w:tcBorders>
              <w:left w:val="single" w:sz="8" w:color="auto"/>
              <w:bottom w:val="single" w:sz="8" w:color="auto"/>
              <w:right w:val="single" w:sz="8" w:color="auto"/>
            </w:tcBorders>
            <w:shd w:val="clear" w:color="auto" w:fill="DBDBDB"/>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1120" w:type="dxa"/>
            <w:vAlign w:val="bottom"/>
            <w:tcBorders>
              <w:bottom w:val="single" w:sz="8" w:color="auto"/>
              <w:right w:val="single" w:sz="8" w:color="auto"/>
            </w:tcBorders>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1200" w:type="dxa"/>
            <w:vAlign w:val="bottom"/>
            <w:tcBorders>
              <w:bottom w:val="single" w:sz="8" w:color="auto"/>
              <w:right w:val="single" w:sz="8" w:color="auto"/>
            </w:tcBorders>
            <w:shd w:val="clear" w:color="auto" w:fill="DBDBDB"/>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1220" w:type="dxa"/>
            <w:vAlign w:val="bottom"/>
            <w:tcBorders>
              <w:bottom w:val="single" w:sz="8" w:color="auto"/>
              <w:right w:val="single" w:sz="8" w:color="auto"/>
            </w:tcBorders>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5120" w:type="dxa"/>
            <w:vAlign w:val="bottom"/>
            <w:tcBorders>
              <w:bottom w:val="single" w:sz="8" w:color="auto"/>
              <w:right w:val="single" w:sz="8" w:color="auto"/>
            </w:tcBorders>
            <w:shd w:val="clear" w:color="auto" w:fill="DBDBDB"/>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512445</wp:posOffset>
            </wp:positionH>
            <wp:positionV relativeFrom="paragraph">
              <wp:posOffset>-541655</wp:posOffset>
            </wp:positionV>
            <wp:extent cx="321945" cy="262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21945" cy="262890"/>
                    </a:xfrm>
                    <a:prstGeom prst="rect">
                      <a:avLst/>
                    </a:prstGeom>
                    <a:noFill/>
                  </pic:spPr>
                </pic:pic>
              </a:graphicData>
            </a:graphic>
          </wp:anchor>
        </w:drawing>
        <w:drawing>
          <wp:anchor simplePos="0" relativeHeight="251657728" behindDoc="1" locked="0" layoutInCell="0" allowOverlap="1">
            <wp:simplePos x="0" y="0"/>
            <wp:positionH relativeFrom="column">
              <wp:posOffset>1656715</wp:posOffset>
            </wp:positionH>
            <wp:positionV relativeFrom="paragraph">
              <wp:posOffset>-592455</wp:posOffset>
            </wp:positionV>
            <wp:extent cx="237490" cy="3644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237490" cy="364490"/>
                    </a:xfrm>
                    <a:prstGeom prst="rect">
                      <a:avLst/>
                    </a:prstGeom>
                    <a:noFill/>
                  </pic:spPr>
                </pic:pic>
              </a:graphicData>
            </a:graphic>
          </wp:anchor>
        </w:drawing>
        <w:drawing>
          <wp:anchor simplePos="0" relativeHeight="251657728" behindDoc="1" locked="0" layoutInCell="0" allowOverlap="1">
            <wp:simplePos x="0" y="0"/>
            <wp:positionH relativeFrom="column">
              <wp:posOffset>2427605</wp:posOffset>
            </wp:positionH>
            <wp:positionV relativeFrom="paragraph">
              <wp:posOffset>-549910</wp:posOffset>
            </wp:positionV>
            <wp:extent cx="321945" cy="2794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21945" cy="279400"/>
                    </a:xfrm>
                    <a:prstGeom prst="rect">
                      <a:avLst/>
                    </a:prstGeom>
                    <a:noFill/>
                  </pic:spPr>
                </pic:pic>
              </a:graphicData>
            </a:graphic>
          </wp:anchor>
        </w:drawing>
        <w:drawing>
          <wp:anchor simplePos="0" relativeHeight="251657728" behindDoc="1" locked="0" layoutInCell="0" allowOverlap="1">
            <wp:simplePos x="0" y="0"/>
            <wp:positionH relativeFrom="column">
              <wp:posOffset>3308350</wp:posOffset>
            </wp:positionH>
            <wp:positionV relativeFrom="paragraph">
              <wp:posOffset>-533400</wp:posOffset>
            </wp:positionV>
            <wp:extent cx="237490" cy="2374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237490" cy="237490"/>
                    </a:xfrm>
                    <a:prstGeom prst="rect">
                      <a:avLst/>
                    </a:prstGeom>
                    <a:noFill/>
                  </pic:spPr>
                </pic:pic>
              </a:graphicData>
            </a:graphic>
          </wp:anchor>
        </w:drawing>
        <w:drawing>
          <wp:anchor simplePos="0" relativeHeight="251657728" behindDoc="1" locked="0" layoutInCell="0" allowOverlap="1">
            <wp:simplePos x="0" y="0"/>
            <wp:positionH relativeFrom="column">
              <wp:posOffset>5358765</wp:posOffset>
            </wp:positionH>
            <wp:positionV relativeFrom="paragraph">
              <wp:posOffset>-541655</wp:posOffset>
            </wp:positionV>
            <wp:extent cx="321945" cy="262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21945" cy="262890"/>
                    </a:xfrm>
                    <a:prstGeom prst="rect">
                      <a:avLst/>
                    </a:prstGeom>
                    <a:noFill/>
                  </pic:spPr>
                </pic:pic>
              </a:graphicData>
            </a:graphic>
          </wp:anchor>
        </w:drawing>
      </w:r>
    </w:p>
    <w:p>
      <w:pPr>
        <w:spacing w:after="0" w:line="197" w:lineRule="exact"/>
        <w:rPr>
          <w:sz w:val="20"/>
          <w:szCs w:val="20"/>
          <w:color w:val="auto"/>
        </w:rPr>
      </w:pPr>
    </w:p>
    <w:p>
      <w:pPr>
        <w:spacing w:after="0"/>
        <w:rPr>
          <w:sz w:val="20"/>
          <w:szCs w:val="20"/>
          <w:color w:val="auto"/>
        </w:rPr>
      </w:pPr>
      <w:r>
        <w:rPr>
          <w:rFonts w:ascii="Arial" w:cs="Arial" w:eastAsia="Arial" w:hAnsi="Arial"/>
          <w:sz w:val="20"/>
          <w:szCs w:val="20"/>
          <w:b w:val="1"/>
          <w:bCs w:val="1"/>
          <w:color w:val="C00000"/>
        </w:rPr>
        <w:t>Corporate Governance Highlights</w:t>
      </w:r>
    </w:p>
    <w:p>
      <w:pPr>
        <w:spacing w:after="0" w:line="84" w:lineRule="exact"/>
        <w:rPr>
          <w:sz w:val="20"/>
          <w:szCs w:val="20"/>
          <w:color w:val="auto"/>
        </w:rPr>
      </w:pPr>
    </w:p>
    <w:p>
      <w:pPr>
        <w:jc w:val="center"/>
        <w:ind w:right="60"/>
        <w:spacing w:after="0" w:line="255" w:lineRule="auto"/>
        <w:rPr>
          <w:sz w:val="20"/>
          <w:szCs w:val="20"/>
          <w:color w:val="auto"/>
        </w:rPr>
      </w:pPr>
      <w:r>
        <w:rPr>
          <w:rFonts w:ascii="Arial" w:cs="Arial" w:eastAsia="Arial" w:hAnsi="Arial"/>
          <w:sz w:val="17"/>
          <w:szCs w:val="17"/>
          <w:color w:val="auto"/>
        </w:rPr>
        <w:t>Our Board provides oversight of critical matters such as our strategic plans, financial and other controls, risk management, merger and acquisition related activities, and executive succession planning. The Board reviews our major governance documents, policies and processes</w:t>
      </w:r>
    </w:p>
    <w:p>
      <w:pPr>
        <w:spacing w:after="0" w:line="1" w:lineRule="exact"/>
        <w:rPr>
          <w:sz w:val="20"/>
          <w:szCs w:val="20"/>
          <w:color w:val="auto"/>
        </w:rPr>
      </w:pPr>
    </w:p>
    <w:p>
      <w:pPr>
        <w:ind w:right="200"/>
        <w:spacing w:after="0" w:line="234" w:lineRule="auto"/>
        <w:rPr>
          <w:sz w:val="20"/>
          <w:szCs w:val="20"/>
          <w:color w:val="auto"/>
        </w:rPr>
      </w:pPr>
      <w:r>
        <w:rPr>
          <w:rFonts w:ascii="Arial" w:cs="Arial" w:eastAsia="Arial" w:hAnsi="Arial"/>
          <w:sz w:val="18"/>
          <w:szCs w:val="18"/>
          <w:color w:val="auto"/>
        </w:rPr>
        <w:t>regularly and thoughtfully determines the structures that are appropriate for our Company at the time, which includes review or determination of the following:</w:t>
      </w:r>
    </w:p>
    <w:p>
      <w:pPr>
        <w:sectPr>
          <w:pgSz w:w="11900" w:h="16838" w:orient="portrait"/>
          <w:cols w:equalWidth="0" w:num="1">
            <w:col w:w="11260"/>
          </w:cols>
          <w:pgMar w:left="320" w:top="1157" w:right="319" w:bottom="1440" w:gutter="0" w:footer="0" w:header="0"/>
        </w:sectPr>
      </w:pPr>
    </w:p>
    <w:p>
      <w:pPr>
        <w:spacing w:after="0" w:line="167" w:lineRule="exact"/>
        <w:rPr>
          <w:sz w:val="20"/>
          <w:szCs w:val="20"/>
          <w:color w:val="auto"/>
        </w:rPr>
      </w:pPr>
    </w:p>
    <w:p>
      <w:pPr>
        <w:ind w:left="1040" w:hanging="155"/>
        <w:spacing w:after="0" w:line="256" w:lineRule="auto"/>
        <w:tabs>
          <w:tab w:leader="none" w:pos="1108" w:val="left"/>
        </w:tabs>
        <w:numPr>
          <w:ilvl w:val="0"/>
          <w:numId w:val="8"/>
        </w:numPr>
        <w:rPr>
          <w:rFonts w:ascii="MS PGothic" w:cs="MS PGothic" w:eastAsia="MS PGothic" w:hAnsi="MS PGothic"/>
          <w:sz w:val="20"/>
          <w:szCs w:val="20"/>
          <w:color w:val="auto"/>
          <w:shd w:val="clear" w:color="auto" w:fill="C00000"/>
        </w:rPr>
      </w:pPr>
      <w:r>
        <w:rPr>
          <w:rFonts w:ascii="Arial" w:cs="Arial" w:eastAsia="Arial" w:hAnsi="Arial"/>
          <w:sz w:val="18"/>
          <w:szCs w:val="18"/>
          <w:color w:val="auto"/>
        </w:rPr>
        <w:t>Independent directors (other than CEO) and committee status</w:t>
      </w:r>
    </w:p>
    <w:p>
      <w:pPr>
        <w:spacing w:after="0" w:line="48" w:lineRule="exact"/>
        <w:rPr>
          <w:rFonts w:ascii="MS PGothic" w:cs="MS PGothic" w:eastAsia="MS PGothic" w:hAnsi="MS PGothic"/>
          <w:sz w:val="20"/>
          <w:szCs w:val="20"/>
          <w:color w:val="auto"/>
          <w:shd w:val="clear" w:color="auto" w:fill="C00000"/>
        </w:rPr>
      </w:pPr>
    </w:p>
    <w:p>
      <w:pPr>
        <w:ind w:left="1120" w:hanging="235"/>
        <w:spacing w:after="0"/>
        <w:tabs>
          <w:tab w:leader="none" w:pos="1120" w:val="left"/>
        </w:tabs>
        <w:numPr>
          <w:ilvl w:val="0"/>
          <w:numId w:val="8"/>
        </w:numPr>
        <w:rPr>
          <w:rFonts w:ascii="MS PGothic" w:cs="MS PGothic" w:eastAsia="MS PGothic" w:hAnsi="MS PGothic"/>
          <w:sz w:val="20"/>
          <w:szCs w:val="20"/>
          <w:color w:val="auto"/>
          <w:shd w:val="clear" w:color="auto" w:fill="C00000"/>
        </w:rPr>
      </w:pPr>
      <w:r>
        <w:rPr>
          <w:rFonts w:ascii="Arial" w:cs="Arial" w:eastAsia="Arial" w:hAnsi="Arial"/>
          <w:sz w:val="18"/>
          <w:szCs w:val="18"/>
          <w:color w:val="auto"/>
        </w:rPr>
        <w:t>Effective lead independent director structure</w:t>
      </w:r>
    </w:p>
    <w:p>
      <w:pPr>
        <w:spacing w:after="0" w:line="96" w:lineRule="exact"/>
        <w:rPr>
          <w:rFonts w:ascii="MS PGothic" w:cs="MS PGothic" w:eastAsia="MS PGothic" w:hAnsi="MS PGothic"/>
          <w:sz w:val="20"/>
          <w:szCs w:val="20"/>
          <w:color w:val="auto"/>
          <w:shd w:val="clear" w:color="auto" w:fill="C00000"/>
        </w:rPr>
      </w:pPr>
    </w:p>
    <w:p>
      <w:pPr>
        <w:ind w:left="1120" w:hanging="235"/>
        <w:spacing w:after="0"/>
        <w:tabs>
          <w:tab w:leader="none" w:pos="1120" w:val="left"/>
        </w:tabs>
        <w:numPr>
          <w:ilvl w:val="0"/>
          <w:numId w:val="8"/>
        </w:numPr>
        <w:rPr>
          <w:rFonts w:ascii="MS PGothic" w:cs="MS PGothic" w:eastAsia="MS PGothic" w:hAnsi="MS PGothic"/>
          <w:sz w:val="20"/>
          <w:szCs w:val="20"/>
          <w:color w:val="auto"/>
          <w:shd w:val="clear" w:color="auto" w:fill="C00000"/>
        </w:rPr>
      </w:pPr>
      <w:r>
        <w:rPr>
          <w:rFonts w:ascii="Arial" w:cs="Arial" w:eastAsia="Arial" w:hAnsi="Arial"/>
          <w:sz w:val="18"/>
          <w:szCs w:val="18"/>
          <w:color w:val="auto"/>
        </w:rPr>
        <w:t>Regular independent director executive sessions</w:t>
      </w:r>
    </w:p>
    <w:p>
      <w:pPr>
        <w:spacing w:after="0" w:line="83" w:lineRule="exact"/>
        <w:rPr>
          <w:rFonts w:ascii="MS PGothic" w:cs="MS PGothic" w:eastAsia="MS PGothic" w:hAnsi="MS PGothic"/>
          <w:sz w:val="20"/>
          <w:szCs w:val="20"/>
          <w:color w:val="auto"/>
          <w:shd w:val="clear" w:color="auto" w:fill="C00000"/>
        </w:rPr>
      </w:pPr>
    </w:p>
    <w:p>
      <w:pPr>
        <w:ind w:left="1120" w:hanging="235"/>
        <w:spacing w:after="0"/>
        <w:tabs>
          <w:tab w:leader="none" w:pos="1120" w:val="left"/>
        </w:tabs>
        <w:numPr>
          <w:ilvl w:val="0"/>
          <w:numId w:val="8"/>
        </w:numPr>
        <w:rPr>
          <w:rFonts w:ascii="MS PGothic" w:cs="MS PGothic" w:eastAsia="MS PGothic" w:hAnsi="MS PGothic"/>
          <w:sz w:val="20"/>
          <w:szCs w:val="20"/>
          <w:color w:val="auto"/>
          <w:shd w:val="clear" w:color="auto" w:fill="C00000"/>
        </w:rPr>
      </w:pPr>
      <w:r>
        <w:rPr>
          <w:rFonts w:ascii="Arial" w:cs="Arial" w:eastAsia="Arial" w:hAnsi="Arial"/>
          <w:sz w:val="18"/>
          <w:szCs w:val="18"/>
          <w:color w:val="auto"/>
        </w:rPr>
        <w:t>Anti-hedging and anti-pledging policy</w:t>
      </w:r>
    </w:p>
    <w:p>
      <w:pPr>
        <w:spacing w:after="0" w:line="83" w:lineRule="exact"/>
        <w:rPr>
          <w:rFonts w:ascii="MS PGothic" w:cs="MS PGothic" w:eastAsia="MS PGothic" w:hAnsi="MS PGothic"/>
          <w:sz w:val="20"/>
          <w:szCs w:val="20"/>
          <w:color w:val="auto"/>
          <w:shd w:val="clear" w:color="auto" w:fill="C00000"/>
        </w:rPr>
      </w:pPr>
    </w:p>
    <w:p>
      <w:pPr>
        <w:ind w:left="1120" w:hanging="235"/>
        <w:spacing w:after="0"/>
        <w:tabs>
          <w:tab w:leader="none" w:pos="1120" w:val="left"/>
        </w:tabs>
        <w:numPr>
          <w:ilvl w:val="0"/>
          <w:numId w:val="8"/>
        </w:numPr>
        <w:rPr>
          <w:rFonts w:ascii="MS PGothic" w:cs="MS PGothic" w:eastAsia="MS PGothic" w:hAnsi="MS PGothic"/>
          <w:sz w:val="20"/>
          <w:szCs w:val="20"/>
          <w:color w:val="auto"/>
          <w:shd w:val="clear" w:color="auto" w:fill="C00000"/>
        </w:rPr>
      </w:pPr>
      <w:r>
        <w:rPr>
          <w:rFonts w:ascii="Arial" w:cs="Arial" w:eastAsia="Arial" w:hAnsi="Arial"/>
          <w:sz w:val="18"/>
          <w:szCs w:val="18"/>
          <w:color w:val="auto"/>
        </w:rPr>
        <w:t>Clawback policy</w:t>
      </w:r>
    </w:p>
    <w:p>
      <w:pPr>
        <w:spacing w:after="0" w:line="83" w:lineRule="exact"/>
        <w:rPr>
          <w:rFonts w:ascii="MS PGothic" w:cs="MS PGothic" w:eastAsia="MS PGothic" w:hAnsi="MS PGothic"/>
          <w:sz w:val="20"/>
          <w:szCs w:val="20"/>
          <w:color w:val="auto"/>
          <w:shd w:val="clear" w:color="auto" w:fill="C00000"/>
        </w:rPr>
      </w:pPr>
    </w:p>
    <w:p>
      <w:pPr>
        <w:ind w:left="1120" w:hanging="235"/>
        <w:spacing w:after="0"/>
        <w:tabs>
          <w:tab w:leader="none" w:pos="1120" w:val="left"/>
        </w:tabs>
        <w:numPr>
          <w:ilvl w:val="0"/>
          <w:numId w:val="8"/>
        </w:numPr>
        <w:rPr>
          <w:rFonts w:ascii="MS PGothic" w:cs="MS PGothic" w:eastAsia="MS PGothic" w:hAnsi="MS PGothic"/>
          <w:sz w:val="20"/>
          <w:szCs w:val="20"/>
          <w:color w:val="auto"/>
          <w:shd w:val="clear" w:color="auto" w:fill="C00000"/>
        </w:rPr>
      </w:pPr>
      <w:r>
        <w:rPr>
          <w:rFonts w:ascii="Arial" w:cs="Arial" w:eastAsia="Arial" w:hAnsi="Arial"/>
          <w:sz w:val="18"/>
          <w:szCs w:val="18"/>
          <w:color w:val="auto"/>
        </w:rPr>
        <w:t>Codes of conduct and ethics</w:t>
      </w:r>
    </w:p>
    <w:p>
      <w:pPr>
        <w:spacing w:after="0" w:line="96" w:lineRule="exact"/>
        <w:rPr>
          <w:rFonts w:ascii="MS PGothic" w:cs="MS PGothic" w:eastAsia="MS PGothic" w:hAnsi="MS PGothic"/>
          <w:sz w:val="20"/>
          <w:szCs w:val="20"/>
          <w:color w:val="auto"/>
          <w:shd w:val="clear" w:color="auto" w:fill="C00000"/>
        </w:rPr>
      </w:pPr>
    </w:p>
    <w:p>
      <w:pPr>
        <w:ind w:left="1120" w:hanging="235"/>
        <w:spacing w:after="0"/>
        <w:tabs>
          <w:tab w:leader="none" w:pos="1120" w:val="left"/>
        </w:tabs>
        <w:numPr>
          <w:ilvl w:val="0"/>
          <w:numId w:val="8"/>
        </w:numPr>
        <w:rPr>
          <w:rFonts w:ascii="MS PGothic" w:cs="MS PGothic" w:eastAsia="MS PGothic" w:hAnsi="MS PGothic"/>
          <w:sz w:val="20"/>
          <w:szCs w:val="20"/>
          <w:color w:val="auto"/>
          <w:shd w:val="clear" w:color="auto" w:fill="C00000"/>
        </w:rPr>
      </w:pPr>
      <w:r>
        <w:rPr>
          <w:rFonts w:ascii="Arial" w:cs="Arial" w:eastAsia="Arial" w:hAnsi="Arial"/>
          <w:sz w:val="18"/>
          <w:szCs w:val="18"/>
          <w:color w:val="auto"/>
        </w:rPr>
        <w:t>Comprehensive director onboarding process</w:t>
      </w:r>
    </w:p>
    <w:p>
      <w:pPr>
        <w:spacing w:after="0" w:line="96" w:lineRule="exact"/>
        <w:rPr>
          <w:rFonts w:ascii="MS PGothic" w:cs="MS PGothic" w:eastAsia="MS PGothic" w:hAnsi="MS PGothic"/>
          <w:sz w:val="20"/>
          <w:szCs w:val="20"/>
          <w:color w:val="auto"/>
          <w:shd w:val="clear" w:color="auto" w:fill="C00000"/>
        </w:rPr>
      </w:pPr>
    </w:p>
    <w:p>
      <w:pPr>
        <w:ind w:left="1120" w:hanging="235"/>
        <w:spacing w:after="0"/>
        <w:tabs>
          <w:tab w:leader="none" w:pos="1120" w:val="left"/>
        </w:tabs>
        <w:numPr>
          <w:ilvl w:val="0"/>
          <w:numId w:val="8"/>
        </w:numPr>
        <w:rPr>
          <w:rFonts w:ascii="MS PGothic" w:cs="MS PGothic" w:eastAsia="MS PGothic" w:hAnsi="MS PGothic"/>
          <w:sz w:val="20"/>
          <w:szCs w:val="20"/>
          <w:color w:val="auto"/>
          <w:shd w:val="clear" w:color="auto" w:fill="C00000"/>
        </w:rPr>
      </w:pPr>
      <w:r>
        <w:rPr>
          <w:rFonts w:ascii="Arial" w:cs="Arial" w:eastAsia="Arial" w:hAnsi="Arial"/>
          <w:sz w:val="18"/>
          <w:szCs w:val="18"/>
          <w:color w:val="auto"/>
        </w:rPr>
        <w:t>Robust stock ownership guidelines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546735</wp:posOffset>
            </wp:positionH>
            <wp:positionV relativeFrom="paragraph">
              <wp:posOffset>-1612900</wp:posOffset>
            </wp:positionV>
            <wp:extent cx="2990850" cy="189801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2990850" cy="189801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47" w:lineRule="exact"/>
        <w:rPr>
          <w:sz w:val="20"/>
          <w:szCs w:val="20"/>
          <w:color w:val="auto"/>
        </w:rPr>
      </w:pPr>
    </w:p>
    <w:p>
      <w:pPr>
        <w:ind w:left="165" w:right="1000" w:hanging="165"/>
        <w:spacing w:after="0" w:line="256" w:lineRule="auto"/>
        <w:tabs>
          <w:tab w:leader="none" w:pos="230" w:val="left"/>
        </w:tabs>
        <w:numPr>
          <w:ilvl w:val="0"/>
          <w:numId w:val="9"/>
        </w:numPr>
        <w:rPr>
          <w:rFonts w:ascii="MS PGothic" w:cs="MS PGothic" w:eastAsia="MS PGothic" w:hAnsi="MS PGothic"/>
          <w:sz w:val="20"/>
          <w:szCs w:val="20"/>
          <w:color w:val="auto"/>
          <w:shd w:val="clear" w:color="auto" w:fill="C00000"/>
        </w:rPr>
      </w:pPr>
      <w:r>
        <w:rPr>
          <w:rFonts w:ascii="Arial" w:cs="Arial" w:eastAsia="Arial" w:hAnsi="Arial"/>
          <w:sz w:val="18"/>
          <w:szCs w:val="18"/>
          <w:color w:val="auto"/>
        </w:rPr>
        <w:t>Meaningful Board strategy and risk oversight, including cybersecurity</w:t>
      </w:r>
    </w:p>
    <w:p>
      <w:pPr>
        <w:spacing w:after="0" w:line="48" w:lineRule="exact"/>
        <w:rPr>
          <w:rFonts w:ascii="MS PGothic" w:cs="MS PGothic" w:eastAsia="MS PGothic" w:hAnsi="MS PGothic"/>
          <w:sz w:val="20"/>
          <w:szCs w:val="20"/>
          <w:color w:val="auto"/>
          <w:shd w:val="clear" w:color="auto" w:fill="C00000"/>
        </w:rPr>
      </w:pPr>
    </w:p>
    <w:p>
      <w:pPr>
        <w:ind w:left="225" w:hanging="225"/>
        <w:spacing w:after="0"/>
        <w:tabs>
          <w:tab w:leader="none" w:pos="225" w:val="left"/>
        </w:tabs>
        <w:numPr>
          <w:ilvl w:val="0"/>
          <w:numId w:val="9"/>
        </w:numPr>
        <w:rPr>
          <w:rFonts w:ascii="MS PGothic" w:cs="MS PGothic" w:eastAsia="MS PGothic" w:hAnsi="MS PGothic"/>
          <w:sz w:val="20"/>
          <w:szCs w:val="20"/>
          <w:color w:val="auto"/>
          <w:shd w:val="clear" w:color="auto" w:fill="C00000"/>
        </w:rPr>
      </w:pPr>
      <w:r>
        <w:rPr>
          <w:rFonts w:ascii="Arial" w:cs="Arial" w:eastAsia="Arial" w:hAnsi="Arial"/>
          <w:sz w:val="18"/>
          <w:szCs w:val="18"/>
          <w:color w:val="auto"/>
        </w:rPr>
        <w:t>Annual Board and committee self-evaluations</w:t>
      </w:r>
    </w:p>
    <w:p>
      <w:pPr>
        <w:spacing w:after="0" w:line="96" w:lineRule="exact"/>
        <w:rPr>
          <w:rFonts w:ascii="MS PGothic" w:cs="MS PGothic" w:eastAsia="MS PGothic" w:hAnsi="MS PGothic"/>
          <w:sz w:val="20"/>
          <w:szCs w:val="20"/>
          <w:color w:val="auto"/>
          <w:shd w:val="clear" w:color="auto" w:fill="C00000"/>
        </w:rPr>
      </w:pPr>
    </w:p>
    <w:p>
      <w:pPr>
        <w:ind w:left="225" w:hanging="225"/>
        <w:spacing w:after="0"/>
        <w:tabs>
          <w:tab w:leader="none" w:pos="225" w:val="left"/>
        </w:tabs>
        <w:numPr>
          <w:ilvl w:val="0"/>
          <w:numId w:val="9"/>
        </w:numPr>
        <w:rPr>
          <w:rFonts w:ascii="MS PGothic" w:cs="MS PGothic" w:eastAsia="MS PGothic" w:hAnsi="MS PGothic"/>
          <w:sz w:val="20"/>
          <w:szCs w:val="20"/>
          <w:color w:val="auto"/>
          <w:shd w:val="clear" w:color="auto" w:fill="C00000"/>
        </w:rPr>
      </w:pPr>
      <w:r>
        <w:rPr>
          <w:rFonts w:ascii="Arial" w:cs="Arial" w:eastAsia="Arial" w:hAnsi="Arial"/>
          <w:sz w:val="18"/>
          <w:szCs w:val="18"/>
          <w:color w:val="auto"/>
        </w:rPr>
        <w:t>Strong Board and committee meeting attendance</w:t>
      </w:r>
    </w:p>
    <w:p>
      <w:pPr>
        <w:spacing w:after="0" w:line="83" w:lineRule="exact"/>
        <w:rPr>
          <w:rFonts w:ascii="MS PGothic" w:cs="MS PGothic" w:eastAsia="MS PGothic" w:hAnsi="MS PGothic"/>
          <w:sz w:val="20"/>
          <w:szCs w:val="20"/>
          <w:color w:val="auto"/>
          <w:shd w:val="clear" w:color="auto" w:fill="C00000"/>
        </w:rPr>
      </w:pPr>
    </w:p>
    <w:p>
      <w:pPr>
        <w:ind w:left="225" w:hanging="225"/>
        <w:spacing w:after="0"/>
        <w:tabs>
          <w:tab w:leader="none" w:pos="225" w:val="left"/>
        </w:tabs>
        <w:numPr>
          <w:ilvl w:val="0"/>
          <w:numId w:val="9"/>
        </w:numPr>
        <w:rPr>
          <w:rFonts w:ascii="MS PGothic" w:cs="MS PGothic" w:eastAsia="MS PGothic" w:hAnsi="MS PGothic"/>
          <w:sz w:val="20"/>
          <w:szCs w:val="20"/>
          <w:color w:val="auto"/>
          <w:shd w:val="clear" w:color="auto" w:fill="C00000"/>
        </w:rPr>
      </w:pPr>
      <w:r>
        <w:rPr>
          <w:rFonts w:ascii="Arial" w:cs="Arial" w:eastAsia="Arial" w:hAnsi="Arial"/>
          <w:sz w:val="18"/>
          <w:szCs w:val="18"/>
          <w:color w:val="auto"/>
        </w:rPr>
        <w:t>Board access to management</w:t>
      </w:r>
    </w:p>
    <w:p>
      <w:pPr>
        <w:spacing w:after="0" w:line="83" w:lineRule="exact"/>
        <w:rPr>
          <w:rFonts w:ascii="MS PGothic" w:cs="MS PGothic" w:eastAsia="MS PGothic" w:hAnsi="MS PGothic"/>
          <w:sz w:val="20"/>
          <w:szCs w:val="20"/>
          <w:color w:val="auto"/>
          <w:shd w:val="clear" w:color="auto" w:fill="C00000"/>
        </w:rPr>
      </w:pPr>
    </w:p>
    <w:p>
      <w:pPr>
        <w:ind w:left="225" w:hanging="225"/>
        <w:spacing w:after="0"/>
        <w:tabs>
          <w:tab w:leader="none" w:pos="225" w:val="left"/>
        </w:tabs>
        <w:numPr>
          <w:ilvl w:val="0"/>
          <w:numId w:val="9"/>
        </w:numPr>
        <w:rPr>
          <w:rFonts w:ascii="MS PGothic" w:cs="MS PGothic" w:eastAsia="MS PGothic" w:hAnsi="MS PGothic"/>
          <w:sz w:val="20"/>
          <w:szCs w:val="20"/>
          <w:color w:val="auto"/>
          <w:shd w:val="clear" w:color="auto" w:fill="C00000"/>
        </w:rPr>
      </w:pPr>
      <w:r>
        <w:rPr>
          <w:rFonts w:ascii="Arial" w:cs="Arial" w:eastAsia="Arial" w:hAnsi="Arial"/>
          <w:sz w:val="18"/>
          <w:szCs w:val="18"/>
          <w:color w:val="auto"/>
        </w:rPr>
        <w:t>Board oversight of sustainability matters</w:t>
      </w:r>
    </w:p>
    <w:p>
      <w:pPr>
        <w:spacing w:after="0" w:line="83" w:lineRule="exact"/>
        <w:rPr>
          <w:rFonts w:ascii="MS PGothic" w:cs="MS PGothic" w:eastAsia="MS PGothic" w:hAnsi="MS PGothic"/>
          <w:sz w:val="20"/>
          <w:szCs w:val="20"/>
          <w:color w:val="auto"/>
          <w:shd w:val="clear" w:color="auto" w:fill="C00000"/>
        </w:rPr>
      </w:pPr>
    </w:p>
    <w:p>
      <w:pPr>
        <w:ind w:left="165" w:right="1060" w:hanging="165"/>
        <w:spacing w:after="0" w:line="256" w:lineRule="auto"/>
        <w:tabs>
          <w:tab w:leader="none" w:pos="232" w:val="left"/>
        </w:tabs>
        <w:numPr>
          <w:ilvl w:val="0"/>
          <w:numId w:val="9"/>
        </w:numPr>
        <w:rPr>
          <w:rFonts w:ascii="MS PGothic" w:cs="MS PGothic" w:eastAsia="MS PGothic" w:hAnsi="MS PGothic"/>
          <w:sz w:val="20"/>
          <w:szCs w:val="20"/>
          <w:color w:val="auto"/>
          <w:shd w:val="clear" w:color="auto" w:fill="C00000"/>
        </w:rPr>
      </w:pPr>
      <w:r>
        <w:rPr>
          <w:rFonts w:ascii="Arial" w:cs="Arial" w:eastAsia="Arial" w:hAnsi="Arial"/>
          <w:sz w:val="18"/>
          <w:szCs w:val="18"/>
          <w:color w:val="auto"/>
        </w:rPr>
        <w:t>Board refreshment efforts include diverse cultures and backgrounds</w:t>
      </w:r>
    </w:p>
    <w:p>
      <w:pPr>
        <w:spacing w:after="0" w:line="62" w:lineRule="exact"/>
        <w:rPr>
          <w:rFonts w:ascii="MS PGothic" w:cs="MS PGothic" w:eastAsia="MS PGothic" w:hAnsi="MS PGothic"/>
          <w:sz w:val="20"/>
          <w:szCs w:val="20"/>
          <w:color w:val="auto"/>
          <w:shd w:val="clear" w:color="auto" w:fill="C00000"/>
        </w:rPr>
      </w:pPr>
    </w:p>
    <w:p>
      <w:pPr>
        <w:ind w:left="225" w:hanging="225"/>
        <w:spacing w:after="0"/>
        <w:tabs>
          <w:tab w:leader="none" w:pos="225" w:val="left"/>
        </w:tabs>
        <w:numPr>
          <w:ilvl w:val="0"/>
          <w:numId w:val="9"/>
        </w:numPr>
        <w:rPr>
          <w:rFonts w:ascii="MS PGothic" w:cs="MS PGothic" w:eastAsia="MS PGothic" w:hAnsi="MS PGothic"/>
          <w:sz w:val="20"/>
          <w:szCs w:val="20"/>
          <w:color w:val="auto"/>
          <w:shd w:val="clear" w:color="auto" w:fill="C00000"/>
        </w:rPr>
      </w:pPr>
      <w:r>
        <w:rPr>
          <w:rFonts w:ascii="Arial" w:cs="Arial" w:eastAsia="Arial" w:hAnsi="Arial"/>
          <w:sz w:val="18"/>
          <w:szCs w:val="18"/>
          <w:color w:val="auto"/>
        </w:rPr>
        <w:t>No poison pill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-1545590</wp:posOffset>
            </wp:positionV>
            <wp:extent cx="2999105" cy="189801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2999105" cy="1898015"/>
                    </a:xfrm>
                    <a:prstGeom prst="rect">
                      <a:avLst/>
                    </a:prstGeom>
                    <a:noFill/>
                  </pic:spPr>
                </pic:pic>
              </a:graphicData>
            </a:graphic>
          </wp:anchor>
        </w:drawing>
      </w:r>
    </w:p>
    <w:p>
      <w:pPr>
        <w:spacing w:after="0" w:line="306" w:lineRule="exact"/>
        <w:rPr>
          <w:sz w:val="20"/>
          <w:szCs w:val="20"/>
          <w:color w:val="auto"/>
        </w:rPr>
      </w:pPr>
    </w:p>
    <w:p>
      <w:pPr>
        <w:sectPr>
          <w:pgSz w:w="11900" w:h="16838" w:orient="portrait"/>
          <w:cols w:equalWidth="0" w:num="2">
            <w:col w:w="5460" w:space="255"/>
            <w:col w:w="5545"/>
          </w:cols>
          <w:pgMar w:left="320" w:top="1157" w:right="31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ind w:right="20"/>
        <w:spacing w:after="0"/>
        <w:rPr>
          <w:sz w:val="20"/>
          <w:szCs w:val="20"/>
          <w:color w:val="auto"/>
        </w:rPr>
      </w:pPr>
      <w:r>
        <w:rPr>
          <w:rFonts w:ascii="Arial" w:cs="Arial" w:eastAsia="Arial" w:hAnsi="Arial"/>
          <w:sz w:val="21"/>
          <w:szCs w:val="21"/>
          <w:color w:val="auto"/>
        </w:rPr>
        <w:t>ix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79375</wp:posOffset>
            </wp:positionV>
            <wp:extent cx="7159625"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60"/>
          </w:cols>
          <w:pgMar w:left="320" w:top="1157" w:right="319" w:bottom="1440" w:gutter="0" w:footer="0" w:header="0"/>
          <w:type w:val="continuous"/>
        </w:sectPr>
      </w:pPr>
    </w:p>
    <w:bookmarkStart w:id="11" w:name="page12"/>
    <w:bookmarkEnd w:id="11"/>
    <w:tbl>
      <w:tblPr>
        <w:tblLayout w:type="fixed"/>
        <w:tblInd w:w="890" w:type="dxa"/>
        <w:tblCellMar>
          <w:top w:w="0" w:type="dxa"/>
          <w:left w:w="0" w:type="dxa"/>
          <w:bottom w:w="0" w:type="dxa"/>
          <w:right w:w="0" w:type="dxa"/>
        </w:tblCellMar>
      </w:tblPr>
      <w:tr>
        <w:trPr>
          <w:trHeight w:val="243"/>
        </w:trPr>
        <w:tc>
          <w:tcPr>
            <w:tcW w:w="9500" w:type="dxa"/>
            <w:vAlign w:val="bottom"/>
            <w:gridSpan w:val="11"/>
          </w:tcPr>
          <w:p>
            <w:pPr>
              <w:ind w:left="760"/>
              <w:spacing w:after="0"/>
              <w:rPr>
                <w:sz w:val="20"/>
                <w:szCs w:val="20"/>
                <w:color w:val="auto"/>
              </w:rPr>
            </w:pPr>
            <w:r>
              <w:rPr>
                <w:rFonts w:ascii="Arial" w:cs="Arial" w:eastAsia="Arial" w:hAnsi="Arial"/>
                <w:sz w:val="18"/>
                <w:szCs w:val="18"/>
                <w:b w:val="1"/>
                <w:bCs w:val="1"/>
                <w:i w:val="1"/>
                <w:iCs w:val="1"/>
                <w:color w:val="C00000"/>
              </w:rPr>
              <w:t>Immediately after the 2025 Annual Meeting, our Board will reflect the following characteristics:</w:t>
            </w:r>
          </w:p>
        </w:tc>
      </w:tr>
      <w:tr>
        <w:trPr>
          <w:trHeight w:val="107"/>
        </w:trPr>
        <w:tc>
          <w:tcPr>
            <w:tcW w:w="1740" w:type="dxa"/>
            <w:vAlign w:val="bottom"/>
            <w:tcBorders>
              <w:bottom w:val="single" w:sz="8" w:color="auto"/>
            </w:tcBorders>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960" w:type="dxa"/>
            <w:vAlign w:val="bottom"/>
            <w:tcBorders>
              <w:bottom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1520" w:type="dxa"/>
            <w:vAlign w:val="bottom"/>
            <w:tcBorders>
              <w:bottom w:val="single" w:sz="8" w:color="auto"/>
            </w:tcBorders>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1500" w:type="dxa"/>
            <w:vAlign w:val="bottom"/>
            <w:tcBorders>
              <w:bottom w:val="single" w:sz="8" w:color="auto"/>
            </w:tcBorders>
          </w:tcPr>
          <w:p>
            <w:pPr>
              <w:spacing w:after="0"/>
              <w:rPr>
                <w:sz w:val="9"/>
                <w:szCs w:val="9"/>
                <w:color w:val="auto"/>
              </w:rPr>
            </w:pPr>
          </w:p>
        </w:tc>
        <w:tc>
          <w:tcPr>
            <w:tcW w:w="1700" w:type="dxa"/>
            <w:vAlign w:val="bottom"/>
            <w:tcBorders>
              <w:bottom w:val="single" w:sz="8" w:color="auto"/>
            </w:tcBorders>
          </w:tcPr>
          <w:p>
            <w:pPr>
              <w:spacing w:after="0"/>
              <w:rPr>
                <w:sz w:val="9"/>
                <w:szCs w:val="9"/>
                <w:color w:val="auto"/>
              </w:rPr>
            </w:pPr>
          </w:p>
        </w:tc>
      </w:tr>
      <w:tr>
        <w:trPr>
          <w:trHeight w:val="215"/>
        </w:trPr>
        <w:tc>
          <w:tcPr>
            <w:tcW w:w="2100" w:type="dxa"/>
            <w:vAlign w:val="bottom"/>
            <w:tcBorders>
              <w:left w:val="single" w:sz="8" w:color="auto"/>
            </w:tcBorders>
            <w:gridSpan w:val="2"/>
          </w:tcPr>
          <w:p>
            <w:pPr>
              <w:jc w:val="center"/>
              <w:ind w:left="891"/>
              <w:spacing w:after="0"/>
              <w:rPr>
                <w:sz w:val="20"/>
                <w:szCs w:val="20"/>
                <w:color w:val="auto"/>
              </w:rPr>
            </w:pPr>
            <w:r>
              <w:rPr>
                <w:rFonts w:ascii="Arial" w:cs="Arial" w:eastAsia="Arial" w:hAnsi="Arial"/>
                <w:sz w:val="18"/>
                <w:szCs w:val="18"/>
                <w:b w:val="1"/>
                <w:bCs w:val="1"/>
                <w:color w:val="C00000"/>
                <w:w w:val="98"/>
              </w:rPr>
              <w:t>Average Age</w:t>
            </w:r>
          </w:p>
        </w:tc>
        <w:tc>
          <w:tcPr>
            <w:tcW w:w="960" w:type="dxa"/>
            <w:vAlign w:val="bottom"/>
            <w:tcBorders>
              <w:right w:val="single" w:sz="8" w:color="auto"/>
            </w:tcBorders>
          </w:tcPr>
          <w:p>
            <w:pPr>
              <w:spacing w:after="0"/>
              <w:rPr>
                <w:sz w:val="18"/>
                <w:szCs w:val="18"/>
                <w:color w:val="auto"/>
              </w:rPr>
            </w:pPr>
          </w:p>
        </w:tc>
        <w:tc>
          <w:tcPr>
            <w:tcW w:w="220" w:type="dxa"/>
            <w:vAlign w:val="bottom"/>
            <w:tcBorders>
              <w:right w:val="single" w:sz="8" w:color="auto"/>
            </w:tcBorders>
          </w:tcPr>
          <w:p>
            <w:pPr>
              <w:spacing w:after="0"/>
              <w:rPr>
                <w:sz w:val="18"/>
                <w:szCs w:val="18"/>
                <w:color w:val="auto"/>
              </w:rPr>
            </w:pPr>
          </w:p>
        </w:tc>
        <w:tc>
          <w:tcPr>
            <w:tcW w:w="2100" w:type="dxa"/>
            <w:vAlign w:val="bottom"/>
            <w:gridSpan w:val="3"/>
          </w:tcPr>
          <w:p>
            <w:pPr>
              <w:jc w:val="center"/>
              <w:ind w:left="591"/>
              <w:spacing w:after="0"/>
              <w:rPr>
                <w:sz w:val="20"/>
                <w:szCs w:val="20"/>
                <w:color w:val="auto"/>
              </w:rPr>
            </w:pPr>
            <w:r>
              <w:rPr>
                <w:rFonts w:ascii="Arial" w:cs="Arial" w:eastAsia="Arial" w:hAnsi="Arial"/>
                <w:sz w:val="18"/>
                <w:szCs w:val="18"/>
                <w:b w:val="1"/>
                <w:bCs w:val="1"/>
                <w:color w:val="C00000"/>
                <w:w w:val="98"/>
              </w:rPr>
              <w:t>Average Tenure</w:t>
            </w:r>
          </w:p>
        </w:tc>
        <w:tc>
          <w:tcPr>
            <w:tcW w:w="700" w:type="dxa"/>
            <w:vAlign w:val="bottom"/>
            <w:tcBorders>
              <w:right w:val="single" w:sz="8" w:color="auto"/>
            </w:tcBorders>
          </w:tcPr>
          <w:p>
            <w:pPr>
              <w:spacing w:after="0"/>
              <w:rPr>
                <w:sz w:val="18"/>
                <w:szCs w:val="18"/>
                <w:color w:val="auto"/>
              </w:rPr>
            </w:pPr>
          </w:p>
        </w:tc>
        <w:tc>
          <w:tcPr>
            <w:tcW w:w="220" w:type="dxa"/>
            <w:vAlign w:val="bottom"/>
            <w:tcBorders>
              <w:right w:val="single" w:sz="8" w:color="auto"/>
            </w:tcBorders>
          </w:tcPr>
          <w:p>
            <w:pPr>
              <w:spacing w:after="0"/>
              <w:rPr>
                <w:sz w:val="18"/>
                <w:szCs w:val="18"/>
                <w:color w:val="auto"/>
              </w:rPr>
            </w:pPr>
          </w:p>
        </w:tc>
        <w:tc>
          <w:tcPr>
            <w:tcW w:w="3200" w:type="dxa"/>
            <w:vAlign w:val="bottom"/>
            <w:tcBorders>
              <w:right w:val="single" w:sz="8" w:color="auto"/>
            </w:tcBorders>
            <w:gridSpan w:val="2"/>
          </w:tcPr>
          <w:p>
            <w:pPr>
              <w:jc w:val="center"/>
              <w:ind w:right="40"/>
              <w:spacing w:after="0"/>
              <w:rPr>
                <w:sz w:val="20"/>
                <w:szCs w:val="20"/>
                <w:color w:val="auto"/>
              </w:rPr>
            </w:pPr>
            <w:r>
              <w:rPr>
                <w:rFonts w:ascii="Arial" w:cs="Arial" w:eastAsia="Arial" w:hAnsi="Arial"/>
                <w:sz w:val="18"/>
                <w:szCs w:val="18"/>
                <w:b w:val="1"/>
                <w:bCs w:val="1"/>
                <w:color w:val="C00000"/>
                <w:w w:val="98"/>
              </w:rPr>
              <w:t>New Directors in the</w:t>
            </w:r>
          </w:p>
        </w:tc>
      </w:tr>
      <w:tr>
        <w:trPr>
          <w:trHeight w:val="200"/>
        </w:trPr>
        <w:tc>
          <w:tcPr>
            <w:tcW w:w="2100" w:type="dxa"/>
            <w:vAlign w:val="bottom"/>
            <w:tcBorders>
              <w:left w:val="single" w:sz="8" w:color="auto"/>
            </w:tcBorders>
            <w:gridSpan w:val="2"/>
          </w:tcPr>
          <w:p>
            <w:pPr>
              <w:jc w:val="center"/>
              <w:ind w:left="891"/>
              <w:spacing w:after="0" w:line="201" w:lineRule="exact"/>
              <w:rPr>
                <w:sz w:val="20"/>
                <w:szCs w:val="20"/>
                <w:color w:val="auto"/>
              </w:rPr>
            </w:pPr>
            <w:r>
              <w:rPr>
                <w:rFonts w:ascii="Arial" w:cs="Arial" w:eastAsia="Arial" w:hAnsi="Arial"/>
                <w:sz w:val="18"/>
                <w:szCs w:val="18"/>
                <w:b w:val="1"/>
                <w:bCs w:val="1"/>
                <w:color w:val="auto"/>
                <w:w w:val="99"/>
              </w:rPr>
              <w:t>60 years</w:t>
            </w:r>
          </w:p>
        </w:tc>
        <w:tc>
          <w:tcPr>
            <w:tcW w:w="960" w:type="dxa"/>
            <w:vAlign w:val="bottom"/>
            <w:tcBorders>
              <w:right w:val="single" w:sz="8" w:color="auto"/>
            </w:tcBorders>
          </w:tcPr>
          <w:p>
            <w:pPr>
              <w:spacing w:after="0"/>
              <w:rPr>
                <w:sz w:val="17"/>
                <w:szCs w:val="17"/>
                <w:color w:val="auto"/>
              </w:rPr>
            </w:pPr>
          </w:p>
        </w:tc>
        <w:tc>
          <w:tcPr>
            <w:tcW w:w="220" w:type="dxa"/>
            <w:vAlign w:val="bottom"/>
            <w:tcBorders>
              <w:right w:val="single" w:sz="8" w:color="auto"/>
            </w:tcBorders>
          </w:tcPr>
          <w:p>
            <w:pPr>
              <w:spacing w:after="0"/>
              <w:rPr>
                <w:sz w:val="17"/>
                <w:szCs w:val="17"/>
                <w:color w:val="auto"/>
              </w:rPr>
            </w:pPr>
          </w:p>
        </w:tc>
        <w:tc>
          <w:tcPr>
            <w:tcW w:w="2100" w:type="dxa"/>
            <w:vAlign w:val="bottom"/>
            <w:gridSpan w:val="3"/>
          </w:tcPr>
          <w:p>
            <w:pPr>
              <w:jc w:val="center"/>
              <w:ind w:left="611"/>
              <w:spacing w:after="0" w:line="201" w:lineRule="exact"/>
              <w:rPr>
                <w:sz w:val="20"/>
                <w:szCs w:val="20"/>
                <w:color w:val="auto"/>
              </w:rPr>
            </w:pPr>
            <w:r>
              <w:rPr>
                <w:rFonts w:ascii="Arial" w:cs="Arial" w:eastAsia="Arial" w:hAnsi="Arial"/>
                <w:sz w:val="18"/>
                <w:szCs w:val="18"/>
                <w:b w:val="1"/>
                <w:bCs w:val="1"/>
                <w:color w:val="auto"/>
                <w:w w:val="98"/>
              </w:rPr>
              <w:t>6.9 years</w:t>
            </w:r>
          </w:p>
        </w:tc>
        <w:tc>
          <w:tcPr>
            <w:tcW w:w="700" w:type="dxa"/>
            <w:vAlign w:val="bottom"/>
            <w:tcBorders>
              <w:right w:val="single" w:sz="8" w:color="auto"/>
            </w:tcBorders>
          </w:tcPr>
          <w:p>
            <w:pPr>
              <w:spacing w:after="0"/>
              <w:rPr>
                <w:sz w:val="17"/>
                <w:szCs w:val="17"/>
                <w:color w:val="auto"/>
              </w:rPr>
            </w:pPr>
          </w:p>
        </w:tc>
        <w:tc>
          <w:tcPr>
            <w:tcW w:w="220" w:type="dxa"/>
            <w:vAlign w:val="bottom"/>
            <w:tcBorders>
              <w:right w:val="single" w:sz="8" w:color="auto"/>
            </w:tcBorders>
          </w:tcPr>
          <w:p>
            <w:pPr>
              <w:spacing w:after="0"/>
              <w:rPr>
                <w:sz w:val="17"/>
                <w:szCs w:val="17"/>
                <w:color w:val="auto"/>
              </w:rPr>
            </w:pPr>
          </w:p>
        </w:tc>
        <w:tc>
          <w:tcPr>
            <w:tcW w:w="3200" w:type="dxa"/>
            <w:vAlign w:val="bottom"/>
            <w:tcBorders>
              <w:right w:val="single" w:sz="8" w:color="auto"/>
            </w:tcBorders>
            <w:gridSpan w:val="2"/>
          </w:tcPr>
          <w:p>
            <w:pPr>
              <w:jc w:val="center"/>
              <w:ind w:right="40"/>
              <w:spacing w:after="0" w:line="201" w:lineRule="exact"/>
              <w:rPr>
                <w:sz w:val="20"/>
                <w:szCs w:val="20"/>
                <w:color w:val="auto"/>
              </w:rPr>
            </w:pPr>
            <w:r>
              <w:rPr>
                <w:rFonts w:ascii="Arial" w:cs="Arial" w:eastAsia="Arial" w:hAnsi="Arial"/>
                <w:sz w:val="18"/>
                <w:szCs w:val="18"/>
                <w:b w:val="1"/>
                <w:bCs w:val="1"/>
                <w:color w:val="C00000"/>
                <w:w w:val="98"/>
              </w:rPr>
              <w:t>Last 5 Years</w:t>
            </w:r>
          </w:p>
        </w:tc>
      </w:tr>
      <w:tr>
        <w:trPr>
          <w:trHeight w:val="245"/>
        </w:trPr>
        <w:tc>
          <w:tcPr>
            <w:tcW w:w="1740" w:type="dxa"/>
            <w:vAlign w:val="bottom"/>
            <w:tcBorders>
              <w:left w:val="single" w:sz="8" w:color="auto"/>
              <w:bottom w:val="single" w:sz="8" w:color="auto"/>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960" w:type="dxa"/>
            <w:vAlign w:val="bottom"/>
            <w:tcBorders>
              <w:bottom w:val="single" w:sz="8" w:color="auto"/>
              <w:right w:val="single" w:sz="8" w:color="auto"/>
            </w:tcBorders>
          </w:tcPr>
          <w:p>
            <w:pPr>
              <w:spacing w:after="0"/>
              <w:rPr>
                <w:sz w:val="21"/>
                <w:szCs w:val="21"/>
                <w:color w:val="auto"/>
              </w:rPr>
            </w:pPr>
          </w:p>
        </w:tc>
        <w:tc>
          <w:tcPr>
            <w:tcW w:w="220" w:type="dxa"/>
            <w:vAlign w:val="bottom"/>
            <w:tcBorders>
              <w:right w:val="single" w:sz="8" w:color="auto"/>
            </w:tcBorders>
          </w:tcPr>
          <w:p>
            <w:pPr>
              <w:spacing w:after="0"/>
              <w:rPr>
                <w:sz w:val="21"/>
                <w:szCs w:val="21"/>
                <w:color w:val="auto"/>
              </w:rPr>
            </w:pPr>
          </w:p>
        </w:tc>
        <w:tc>
          <w:tcPr>
            <w:tcW w:w="152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700" w:type="dxa"/>
            <w:vAlign w:val="bottom"/>
            <w:tcBorders>
              <w:bottom w:val="single" w:sz="8" w:color="auto"/>
              <w:right w:val="single" w:sz="8" w:color="auto"/>
            </w:tcBorders>
          </w:tcPr>
          <w:p>
            <w:pPr>
              <w:spacing w:after="0"/>
              <w:rPr>
                <w:sz w:val="21"/>
                <w:szCs w:val="21"/>
                <w:color w:val="auto"/>
              </w:rPr>
            </w:pPr>
          </w:p>
        </w:tc>
        <w:tc>
          <w:tcPr>
            <w:tcW w:w="220" w:type="dxa"/>
            <w:vAlign w:val="bottom"/>
            <w:tcBorders>
              <w:right w:val="single" w:sz="8" w:color="auto"/>
            </w:tcBorders>
          </w:tcPr>
          <w:p>
            <w:pPr>
              <w:spacing w:after="0"/>
              <w:rPr>
                <w:sz w:val="21"/>
                <w:szCs w:val="21"/>
                <w:color w:val="auto"/>
              </w:rPr>
            </w:pPr>
          </w:p>
        </w:tc>
        <w:tc>
          <w:tcPr>
            <w:tcW w:w="3200" w:type="dxa"/>
            <w:vAlign w:val="bottom"/>
            <w:tcBorders>
              <w:bottom w:val="single" w:sz="8" w:color="auto"/>
              <w:right w:val="single" w:sz="8" w:color="auto"/>
            </w:tcBorders>
            <w:gridSpan w:val="2"/>
          </w:tcPr>
          <w:p>
            <w:pPr>
              <w:jc w:val="center"/>
              <w:ind w:right="20"/>
              <w:spacing w:after="0"/>
              <w:rPr>
                <w:sz w:val="20"/>
                <w:szCs w:val="20"/>
                <w:color w:val="auto"/>
              </w:rPr>
            </w:pPr>
            <w:r>
              <w:rPr>
                <w:rFonts w:ascii="Arial" w:cs="Arial" w:eastAsia="Arial" w:hAnsi="Arial"/>
                <w:sz w:val="18"/>
                <w:szCs w:val="18"/>
                <w:b w:val="1"/>
                <w:bCs w:val="1"/>
                <w:color w:val="auto"/>
                <w:w w:val="99"/>
              </w:rPr>
              <w:t>3</w:t>
            </w:r>
          </w:p>
        </w:tc>
      </w:tr>
      <w:tr>
        <w:trPr>
          <w:trHeight w:val="114"/>
        </w:trPr>
        <w:tc>
          <w:tcPr>
            <w:tcW w:w="1740" w:type="dxa"/>
            <w:vAlign w:val="bottom"/>
          </w:tcPr>
          <w:p>
            <w:pPr>
              <w:spacing w:after="0"/>
              <w:rPr>
                <w:sz w:val="9"/>
                <w:szCs w:val="9"/>
                <w:color w:val="auto"/>
              </w:rPr>
            </w:pPr>
          </w:p>
        </w:tc>
        <w:tc>
          <w:tcPr>
            <w:tcW w:w="360" w:type="dxa"/>
            <w:vAlign w:val="bottom"/>
          </w:tcPr>
          <w:p>
            <w:pPr>
              <w:spacing w:after="0"/>
              <w:rPr>
                <w:sz w:val="9"/>
                <w:szCs w:val="9"/>
                <w:color w:val="auto"/>
              </w:rPr>
            </w:pPr>
          </w:p>
        </w:tc>
        <w:tc>
          <w:tcPr>
            <w:tcW w:w="2700" w:type="dxa"/>
            <w:vAlign w:val="bottom"/>
            <w:gridSpan w:val="3"/>
          </w:tcPr>
          <w:p>
            <w:pPr>
              <w:spacing w:after="0"/>
              <w:rPr>
                <w:sz w:val="9"/>
                <w:szCs w:val="9"/>
                <w:color w:val="auto"/>
              </w:rPr>
            </w:pPr>
          </w:p>
        </w:tc>
        <w:tc>
          <w:tcPr>
            <w:tcW w:w="200" w:type="dxa"/>
            <w:vAlign w:val="bottom"/>
          </w:tcPr>
          <w:p>
            <w:pPr>
              <w:spacing w:after="0"/>
              <w:rPr>
                <w:sz w:val="9"/>
                <w:szCs w:val="9"/>
                <w:color w:val="auto"/>
              </w:rPr>
            </w:pPr>
          </w:p>
        </w:tc>
        <w:tc>
          <w:tcPr>
            <w:tcW w:w="380" w:type="dxa"/>
            <w:vAlign w:val="bottom"/>
          </w:tcPr>
          <w:p>
            <w:pPr>
              <w:spacing w:after="0"/>
              <w:rPr>
                <w:sz w:val="9"/>
                <w:szCs w:val="9"/>
                <w:color w:val="auto"/>
              </w:rPr>
            </w:pPr>
          </w:p>
        </w:tc>
        <w:tc>
          <w:tcPr>
            <w:tcW w:w="4120" w:type="dxa"/>
            <w:vAlign w:val="bottom"/>
            <w:gridSpan w:val="4"/>
          </w:tcPr>
          <w:p>
            <w:pPr>
              <w:spacing w:after="0"/>
              <w:rPr>
                <w:sz w:val="9"/>
                <w:szCs w:val="9"/>
                <w:color w:val="auto"/>
              </w:rPr>
            </w:pPr>
          </w:p>
        </w:tc>
      </w:tr>
      <w:tr>
        <w:trPr>
          <w:trHeight w:val="201"/>
        </w:trPr>
        <w:tc>
          <w:tcPr>
            <w:tcW w:w="1740" w:type="dxa"/>
            <w:vAlign w:val="bottom"/>
            <w:tcBorders>
              <w:right w:val="single" w:sz="8" w:color="auto"/>
            </w:tcBorders>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2700" w:type="dxa"/>
            <w:vAlign w:val="bottom"/>
            <w:tcBorders>
              <w:top w:val="single" w:sz="8" w:color="auto"/>
              <w:right w:val="single" w:sz="8" w:color="auto"/>
            </w:tcBorders>
            <w:gridSpan w:val="3"/>
          </w:tcPr>
          <w:p>
            <w:pPr>
              <w:jc w:val="center"/>
              <w:ind w:right="291"/>
              <w:spacing w:after="0" w:line="201" w:lineRule="exact"/>
              <w:rPr>
                <w:sz w:val="20"/>
                <w:szCs w:val="20"/>
                <w:color w:val="auto"/>
              </w:rPr>
            </w:pPr>
            <w:r>
              <w:rPr>
                <w:rFonts w:ascii="Arial" w:cs="Arial" w:eastAsia="Arial" w:hAnsi="Arial"/>
                <w:sz w:val="18"/>
                <w:szCs w:val="18"/>
                <w:b w:val="1"/>
                <w:bCs w:val="1"/>
                <w:color w:val="C00000"/>
                <w:w w:val="98"/>
              </w:rPr>
              <w:t>% of Directors who are</w:t>
            </w:r>
          </w:p>
        </w:tc>
        <w:tc>
          <w:tcPr>
            <w:tcW w:w="200" w:type="dxa"/>
            <w:vAlign w:val="bottom"/>
            <w:tcBorders>
              <w:right w:val="single" w:sz="8" w:color="auto"/>
            </w:tcBorders>
          </w:tcPr>
          <w:p>
            <w:pPr>
              <w:spacing w:after="0"/>
              <w:rPr>
                <w:sz w:val="17"/>
                <w:szCs w:val="17"/>
                <w:color w:val="auto"/>
              </w:rPr>
            </w:pPr>
          </w:p>
        </w:tc>
        <w:tc>
          <w:tcPr>
            <w:tcW w:w="380" w:type="dxa"/>
            <w:vAlign w:val="bottom"/>
            <w:tcBorders>
              <w:top w:val="single" w:sz="8" w:color="auto"/>
            </w:tcBorders>
          </w:tcPr>
          <w:p>
            <w:pPr>
              <w:spacing w:after="0"/>
              <w:rPr>
                <w:sz w:val="17"/>
                <w:szCs w:val="17"/>
                <w:color w:val="auto"/>
              </w:rPr>
            </w:pPr>
          </w:p>
        </w:tc>
        <w:tc>
          <w:tcPr>
            <w:tcW w:w="2420" w:type="dxa"/>
            <w:vAlign w:val="bottom"/>
            <w:tcBorders>
              <w:top w:val="single" w:sz="8" w:color="auto"/>
              <w:right w:val="single" w:sz="8" w:color="auto"/>
            </w:tcBorders>
            <w:gridSpan w:val="3"/>
          </w:tcPr>
          <w:p>
            <w:pPr>
              <w:jc w:val="center"/>
              <w:ind w:right="331"/>
              <w:spacing w:after="0" w:line="201" w:lineRule="exact"/>
              <w:rPr>
                <w:sz w:val="20"/>
                <w:szCs w:val="20"/>
                <w:color w:val="auto"/>
              </w:rPr>
            </w:pPr>
            <w:r>
              <w:rPr>
                <w:rFonts w:ascii="Arial" w:cs="Arial" w:eastAsia="Arial" w:hAnsi="Arial"/>
                <w:sz w:val="18"/>
                <w:szCs w:val="18"/>
                <w:b w:val="1"/>
                <w:bCs w:val="1"/>
                <w:color w:val="C00000"/>
                <w:w w:val="98"/>
              </w:rPr>
              <w:t>% of Directors who are</w:t>
            </w:r>
          </w:p>
        </w:tc>
        <w:tc>
          <w:tcPr>
            <w:tcW w:w="1700" w:type="dxa"/>
            <w:vAlign w:val="bottom"/>
          </w:tcPr>
          <w:p>
            <w:pPr>
              <w:spacing w:after="0"/>
              <w:rPr>
                <w:sz w:val="17"/>
                <w:szCs w:val="17"/>
                <w:color w:val="auto"/>
              </w:rPr>
            </w:pPr>
          </w:p>
        </w:tc>
      </w:tr>
      <w:tr>
        <w:trPr>
          <w:trHeight w:val="213"/>
        </w:trPr>
        <w:tc>
          <w:tcPr>
            <w:tcW w:w="1740" w:type="dxa"/>
            <w:vAlign w:val="bottom"/>
            <w:tcBorders>
              <w:right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2700" w:type="dxa"/>
            <w:vAlign w:val="bottom"/>
            <w:tcBorders>
              <w:right w:val="single" w:sz="8" w:color="auto"/>
            </w:tcBorders>
            <w:gridSpan w:val="3"/>
          </w:tcPr>
          <w:p>
            <w:pPr>
              <w:jc w:val="center"/>
              <w:ind w:right="311"/>
              <w:spacing w:after="0"/>
              <w:rPr>
                <w:sz w:val="20"/>
                <w:szCs w:val="20"/>
                <w:color w:val="auto"/>
              </w:rPr>
            </w:pPr>
            <w:r>
              <w:rPr>
                <w:rFonts w:ascii="Arial" w:cs="Arial" w:eastAsia="Arial" w:hAnsi="Arial"/>
                <w:sz w:val="18"/>
                <w:szCs w:val="18"/>
                <w:b w:val="1"/>
                <w:bCs w:val="1"/>
                <w:color w:val="C00000"/>
                <w:w w:val="99"/>
              </w:rPr>
              <w:t>Racially/Ethnically Diverse</w:t>
            </w:r>
          </w:p>
        </w:tc>
        <w:tc>
          <w:tcPr>
            <w:tcW w:w="200" w:type="dxa"/>
            <w:vAlign w:val="bottom"/>
            <w:tcBorders>
              <w:right w:val="single" w:sz="8" w:color="auto"/>
            </w:tcBorders>
          </w:tcPr>
          <w:p>
            <w:pPr>
              <w:spacing w:after="0"/>
              <w:rPr>
                <w:sz w:val="18"/>
                <w:szCs w:val="18"/>
                <w:color w:val="auto"/>
              </w:rPr>
            </w:pPr>
          </w:p>
        </w:tc>
        <w:tc>
          <w:tcPr>
            <w:tcW w:w="380" w:type="dxa"/>
            <w:vAlign w:val="bottom"/>
          </w:tcPr>
          <w:p>
            <w:pPr>
              <w:spacing w:after="0"/>
              <w:rPr>
                <w:sz w:val="18"/>
                <w:szCs w:val="18"/>
                <w:color w:val="auto"/>
              </w:rPr>
            </w:pPr>
          </w:p>
        </w:tc>
        <w:tc>
          <w:tcPr>
            <w:tcW w:w="2420" w:type="dxa"/>
            <w:vAlign w:val="bottom"/>
            <w:tcBorders>
              <w:right w:val="single" w:sz="8" w:color="auto"/>
            </w:tcBorders>
            <w:gridSpan w:val="3"/>
          </w:tcPr>
          <w:p>
            <w:pPr>
              <w:jc w:val="center"/>
              <w:ind w:right="331"/>
              <w:spacing w:after="0"/>
              <w:rPr>
                <w:sz w:val="20"/>
                <w:szCs w:val="20"/>
                <w:color w:val="auto"/>
              </w:rPr>
            </w:pPr>
            <w:r>
              <w:rPr>
                <w:rFonts w:ascii="Arial" w:cs="Arial" w:eastAsia="Arial" w:hAnsi="Arial"/>
                <w:sz w:val="18"/>
                <w:szCs w:val="18"/>
                <w:b w:val="1"/>
                <w:bCs w:val="1"/>
                <w:color w:val="C00000"/>
                <w:w w:val="98"/>
              </w:rPr>
              <w:t>Women</w:t>
            </w:r>
          </w:p>
        </w:tc>
        <w:tc>
          <w:tcPr>
            <w:tcW w:w="1700" w:type="dxa"/>
            <w:vAlign w:val="bottom"/>
          </w:tcPr>
          <w:p>
            <w:pPr>
              <w:spacing w:after="0"/>
              <w:rPr>
                <w:sz w:val="18"/>
                <w:szCs w:val="18"/>
                <w:color w:val="auto"/>
              </w:rPr>
            </w:pPr>
          </w:p>
        </w:tc>
      </w:tr>
      <w:tr>
        <w:trPr>
          <w:trHeight w:val="245"/>
        </w:trPr>
        <w:tc>
          <w:tcPr>
            <w:tcW w:w="1740" w:type="dxa"/>
            <w:vAlign w:val="bottom"/>
            <w:tcBorders>
              <w:right w:val="single" w:sz="8" w:color="auto"/>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2700" w:type="dxa"/>
            <w:vAlign w:val="bottom"/>
            <w:tcBorders>
              <w:bottom w:val="single" w:sz="8" w:color="auto"/>
              <w:right w:val="single" w:sz="8" w:color="auto"/>
            </w:tcBorders>
            <w:gridSpan w:val="3"/>
          </w:tcPr>
          <w:p>
            <w:pPr>
              <w:jc w:val="center"/>
              <w:ind w:right="291"/>
              <w:spacing w:after="0"/>
              <w:rPr>
                <w:sz w:val="20"/>
                <w:szCs w:val="20"/>
                <w:color w:val="auto"/>
              </w:rPr>
            </w:pPr>
            <w:r>
              <w:rPr>
                <w:rFonts w:ascii="Arial" w:cs="Arial" w:eastAsia="Arial" w:hAnsi="Arial"/>
                <w:sz w:val="18"/>
                <w:szCs w:val="18"/>
                <w:b w:val="1"/>
                <w:bCs w:val="1"/>
                <w:color w:val="auto"/>
                <w:w w:val="99"/>
              </w:rPr>
              <w:t>22%</w:t>
            </w:r>
          </w:p>
        </w:tc>
        <w:tc>
          <w:tcPr>
            <w:tcW w:w="200" w:type="dxa"/>
            <w:vAlign w:val="bottom"/>
            <w:tcBorders>
              <w:right w:val="single" w:sz="8" w:color="auto"/>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2420" w:type="dxa"/>
            <w:vAlign w:val="bottom"/>
            <w:tcBorders>
              <w:bottom w:val="single" w:sz="8" w:color="auto"/>
              <w:right w:val="single" w:sz="8" w:color="auto"/>
            </w:tcBorders>
            <w:gridSpan w:val="3"/>
          </w:tcPr>
          <w:p>
            <w:pPr>
              <w:jc w:val="center"/>
              <w:ind w:right="331"/>
              <w:spacing w:after="0"/>
              <w:rPr>
                <w:sz w:val="20"/>
                <w:szCs w:val="20"/>
                <w:color w:val="auto"/>
              </w:rPr>
            </w:pPr>
            <w:r>
              <w:rPr>
                <w:rFonts w:ascii="Arial" w:cs="Arial" w:eastAsia="Arial" w:hAnsi="Arial"/>
                <w:sz w:val="18"/>
                <w:szCs w:val="18"/>
                <w:b w:val="1"/>
                <w:bCs w:val="1"/>
                <w:color w:val="auto"/>
                <w:w w:val="99"/>
              </w:rPr>
              <w:t>33%</w:t>
            </w:r>
          </w:p>
        </w:tc>
        <w:tc>
          <w:tcPr>
            <w:tcW w:w="1700" w:type="dxa"/>
            <w:vAlign w:val="bottom"/>
          </w:tcPr>
          <w:p>
            <w:pPr>
              <w:spacing w:after="0"/>
              <w:rPr>
                <w:sz w:val="21"/>
                <w:szCs w:val="21"/>
                <w:color w:val="auto"/>
              </w:rPr>
            </w:pPr>
          </w:p>
        </w:tc>
      </w:tr>
    </w:tbl>
    <w:p>
      <w:pPr>
        <w:spacing w:after="0" w:line="230" w:lineRule="exact"/>
        <w:rPr>
          <w:sz w:val="20"/>
          <w:szCs w:val="20"/>
          <w:color w:val="auto"/>
        </w:rPr>
      </w:pPr>
    </w:p>
    <w:p>
      <w:pPr>
        <w:spacing w:after="0"/>
        <w:rPr>
          <w:sz w:val="20"/>
          <w:szCs w:val="20"/>
          <w:color w:val="auto"/>
        </w:rPr>
      </w:pPr>
      <w:r>
        <w:rPr>
          <w:rFonts w:ascii="Arial" w:cs="Arial" w:eastAsia="Arial" w:hAnsi="Arial"/>
          <w:sz w:val="20"/>
          <w:szCs w:val="20"/>
          <w:b w:val="1"/>
          <w:bCs w:val="1"/>
          <w:color w:val="C00000"/>
        </w:rPr>
        <w:t>Information About our Board of Directors</w:t>
      </w:r>
    </w:p>
    <w:p>
      <w:pPr>
        <w:spacing w:after="0" w:line="154" w:lineRule="exact"/>
        <w:rPr>
          <w:sz w:val="20"/>
          <w:szCs w:val="20"/>
          <w:color w:val="auto"/>
        </w:rPr>
      </w:pPr>
    </w:p>
    <w:tbl>
      <w:tblPr>
        <w:tblLayout w:type="fixed"/>
        <w:tblInd w:w="160" w:type="dxa"/>
        <w:tblCellMar>
          <w:top w:w="0" w:type="dxa"/>
          <w:left w:w="0" w:type="dxa"/>
          <w:bottom w:w="0" w:type="dxa"/>
          <w:right w:w="0" w:type="dxa"/>
        </w:tblCellMar>
      </w:tblPr>
      <w:tr>
        <w:trPr>
          <w:trHeight w:val="265"/>
        </w:trPr>
        <w:tc>
          <w:tcPr>
            <w:tcW w:w="660" w:type="dxa"/>
            <w:vAlign w:val="bottom"/>
          </w:tcPr>
          <w:p>
            <w:pPr>
              <w:spacing w:after="0"/>
              <w:rPr>
                <w:sz w:val="23"/>
                <w:szCs w:val="23"/>
                <w:color w:val="auto"/>
              </w:rPr>
            </w:pPr>
          </w:p>
        </w:tc>
        <w:tc>
          <w:tcPr>
            <w:tcW w:w="1020" w:type="dxa"/>
            <w:vAlign w:val="bottom"/>
            <w:shd w:val="clear" w:color="auto" w:fill="BF2115"/>
          </w:tcPr>
          <w:p>
            <w:pPr>
              <w:spacing w:after="0"/>
              <w:rPr>
                <w:sz w:val="23"/>
                <w:szCs w:val="23"/>
                <w:color w:val="auto"/>
              </w:rPr>
            </w:pPr>
          </w:p>
        </w:tc>
        <w:tc>
          <w:tcPr>
            <w:tcW w:w="3140" w:type="dxa"/>
            <w:vAlign w:val="bottom"/>
            <w:shd w:val="clear" w:color="auto" w:fill="BF2115"/>
          </w:tcPr>
          <w:p>
            <w:pPr>
              <w:spacing w:after="0"/>
              <w:rPr>
                <w:sz w:val="23"/>
                <w:szCs w:val="23"/>
                <w:color w:val="auto"/>
              </w:rPr>
            </w:pPr>
          </w:p>
        </w:tc>
        <w:tc>
          <w:tcPr>
            <w:tcW w:w="440" w:type="dxa"/>
            <w:vAlign w:val="bottom"/>
            <w:shd w:val="clear" w:color="auto" w:fill="BF2115"/>
          </w:tcPr>
          <w:p>
            <w:pPr>
              <w:spacing w:after="0"/>
              <w:rPr>
                <w:sz w:val="23"/>
                <w:szCs w:val="23"/>
                <w:color w:val="auto"/>
              </w:rPr>
            </w:pPr>
          </w:p>
        </w:tc>
        <w:tc>
          <w:tcPr>
            <w:tcW w:w="880" w:type="dxa"/>
            <w:vAlign w:val="bottom"/>
            <w:vMerge w:val="restart"/>
            <w:shd w:val="clear" w:color="auto" w:fill="BF2115"/>
          </w:tcPr>
          <w:p>
            <w:pPr>
              <w:jc w:val="center"/>
              <w:spacing w:after="0"/>
              <w:rPr>
                <w:sz w:val="20"/>
                <w:szCs w:val="20"/>
                <w:color w:val="auto"/>
              </w:rPr>
            </w:pPr>
            <w:r>
              <w:rPr>
                <w:rFonts w:ascii="Arial" w:cs="Arial" w:eastAsia="Arial" w:hAnsi="Arial"/>
                <w:sz w:val="14"/>
                <w:szCs w:val="14"/>
                <w:b w:val="1"/>
                <w:bCs w:val="1"/>
                <w:color w:val="FFFFFF"/>
              </w:rPr>
              <w:t>Director</w:t>
            </w:r>
          </w:p>
        </w:tc>
        <w:tc>
          <w:tcPr>
            <w:tcW w:w="2160" w:type="dxa"/>
            <w:vAlign w:val="bottom"/>
            <w:gridSpan w:val="4"/>
            <w:shd w:val="clear" w:color="auto" w:fill="BF2115"/>
          </w:tcPr>
          <w:p>
            <w:pPr>
              <w:ind w:left="260"/>
              <w:spacing w:after="0"/>
              <w:rPr>
                <w:sz w:val="20"/>
                <w:szCs w:val="20"/>
                <w:color w:val="auto"/>
              </w:rPr>
            </w:pPr>
            <w:r>
              <w:rPr>
                <w:rFonts w:ascii="Arial" w:cs="Arial" w:eastAsia="Arial" w:hAnsi="Arial"/>
                <w:sz w:val="14"/>
                <w:szCs w:val="14"/>
                <w:b w:val="1"/>
                <w:bCs w:val="1"/>
                <w:color w:val="FFFFFF"/>
              </w:rPr>
              <w:t>Committee Memberships</w:t>
            </w:r>
          </w:p>
        </w:tc>
        <w:tc>
          <w:tcPr>
            <w:tcW w:w="1980" w:type="dxa"/>
            <w:vAlign w:val="bottom"/>
            <w:gridSpan w:val="2"/>
            <w:vMerge w:val="restart"/>
            <w:shd w:val="clear" w:color="auto" w:fill="BF2115"/>
          </w:tcPr>
          <w:p>
            <w:pPr>
              <w:ind w:left="100"/>
              <w:spacing w:after="0"/>
              <w:rPr>
                <w:sz w:val="20"/>
                <w:szCs w:val="20"/>
                <w:color w:val="auto"/>
              </w:rPr>
            </w:pPr>
            <w:r>
              <w:rPr>
                <w:rFonts w:ascii="Arial" w:cs="Arial" w:eastAsia="Arial" w:hAnsi="Arial"/>
                <w:sz w:val="14"/>
                <w:szCs w:val="14"/>
                <w:b w:val="1"/>
                <w:bCs w:val="1"/>
                <w:color w:val="FFFFFF"/>
              </w:rPr>
              <w:t>Other Public Racial/Gender</w:t>
            </w:r>
          </w:p>
        </w:tc>
        <w:tc>
          <w:tcPr>
            <w:tcW w:w="0" w:type="dxa"/>
            <w:vAlign w:val="bottom"/>
          </w:tcPr>
          <w:p>
            <w:pPr>
              <w:spacing w:after="0"/>
              <w:rPr>
                <w:sz w:val="1"/>
                <w:szCs w:val="1"/>
                <w:color w:val="auto"/>
              </w:rPr>
            </w:pPr>
          </w:p>
        </w:tc>
      </w:tr>
      <w:tr>
        <w:trPr>
          <w:trHeight w:val="81"/>
        </w:trPr>
        <w:tc>
          <w:tcPr>
            <w:tcW w:w="660" w:type="dxa"/>
            <w:vAlign w:val="bottom"/>
          </w:tcPr>
          <w:p>
            <w:pPr>
              <w:spacing w:after="0"/>
              <w:rPr>
                <w:sz w:val="7"/>
                <w:szCs w:val="7"/>
                <w:color w:val="auto"/>
              </w:rPr>
            </w:pPr>
          </w:p>
        </w:tc>
        <w:tc>
          <w:tcPr>
            <w:tcW w:w="1020" w:type="dxa"/>
            <w:vAlign w:val="bottom"/>
            <w:vMerge w:val="restart"/>
            <w:shd w:val="clear" w:color="auto" w:fill="BF2115"/>
          </w:tcPr>
          <w:p>
            <w:pPr>
              <w:ind w:left="20"/>
              <w:spacing w:after="0"/>
              <w:rPr>
                <w:sz w:val="20"/>
                <w:szCs w:val="20"/>
                <w:color w:val="auto"/>
              </w:rPr>
            </w:pPr>
            <w:r>
              <w:rPr>
                <w:rFonts w:ascii="Arial" w:cs="Arial" w:eastAsia="Arial" w:hAnsi="Arial"/>
                <w:sz w:val="14"/>
                <w:szCs w:val="14"/>
                <w:b w:val="1"/>
                <w:bCs w:val="1"/>
                <w:color w:val="FFFFFF"/>
                <w:w w:val="98"/>
              </w:rPr>
              <w:t>Name and Title</w:t>
            </w:r>
          </w:p>
        </w:tc>
        <w:tc>
          <w:tcPr>
            <w:tcW w:w="3140" w:type="dxa"/>
            <w:vAlign w:val="bottom"/>
            <w:shd w:val="clear" w:color="auto" w:fill="BF2115"/>
          </w:tcPr>
          <w:p>
            <w:pPr>
              <w:spacing w:after="0"/>
              <w:rPr>
                <w:sz w:val="7"/>
                <w:szCs w:val="7"/>
                <w:color w:val="auto"/>
              </w:rPr>
            </w:pPr>
          </w:p>
        </w:tc>
        <w:tc>
          <w:tcPr>
            <w:tcW w:w="440" w:type="dxa"/>
            <w:vAlign w:val="bottom"/>
            <w:vMerge w:val="restart"/>
            <w:shd w:val="clear" w:color="auto" w:fill="BF2115"/>
          </w:tcPr>
          <w:p>
            <w:pPr>
              <w:jc w:val="center"/>
              <w:ind w:right="49"/>
              <w:spacing w:after="0"/>
              <w:rPr>
                <w:sz w:val="20"/>
                <w:szCs w:val="20"/>
                <w:color w:val="auto"/>
              </w:rPr>
            </w:pPr>
            <w:r>
              <w:rPr>
                <w:rFonts w:ascii="Arial" w:cs="Arial" w:eastAsia="Arial" w:hAnsi="Arial"/>
                <w:sz w:val="14"/>
                <w:szCs w:val="14"/>
                <w:b w:val="1"/>
                <w:bCs w:val="1"/>
                <w:color w:val="FFFFFF"/>
              </w:rPr>
              <w:t>Age</w:t>
            </w:r>
          </w:p>
        </w:tc>
        <w:tc>
          <w:tcPr>
            <w:tcW w:w="880" w:type="dxa"/>
            <w:vAlign w:val="bottom"/>
            <w:vMerge w:val="continue"/>
            <w:shd w:val="clear" w:color="auto" w:fill="BF2115"/>
          </w:tcPr>
          <w:p>
            <w:pPr>
              <w:spacing w:after="0"/>
              <w:rPr>
                <w:sz w:val="7"/>
                <w:szCs w:val="7"/>
                <w:color w:val="auto"/>
              </w:rPr>
            </w:pPr>
          </w:p>
        </w:tc>
        <w:tc>
          <w:tcPr>
            <w:tcW w:w="580" w:type="dxa"/>
            <w:vAlign w:val="bottom"/>
            <w:vMerge w:val="restart"/>
            <w:shd w:val="clear" w:color="auto" w:fill="BF2115"/>
          </w:tcPr>
          <w:p>
            <w:pPr>
              <w:ind w:left="220"/>
              <w:spacing w:after="0"/>
              <w:rPr>
                <w:sz w:val="20"/>
                <w:szCs w:val="20"/>
                <w:color w:val="auto"/>
              </w:rPr>
            </w:pPr>
            <w:r>
              <w:rPr>
                <w:rFonts w:ascii="Arial" w:cs="Arial" w:eastAsia="Arial" w:hAnsi="Arial"/>
                <w:sz w:val="14"/>
                <w:szCs w:val="14"/>
                <w:b w:val="1"/>
                <w:bCs w:val="1"/>
                <w:color w:val="FFFFFF"/>
              </w:rPr>
              <w:t>A</w:t>
            </w:r>
          </w:p>
        </w:tc>
        <w:tc>
          <w:tcPr>
            <w:tcW w:w="360" w:type="dxa"/>
            <w:vAlign w:val="bottom"/>
            <w:vMerge w:val="restart"/>
            <w:shd w:val="clear" w:color="auto" w:fill="BF2115"/>
          </w:tcPr>
          <w:p>
            <w:pPr>
              <w:ind w:left="120"/>
              <w:spacing w:after="0"/>
              <w:rPr>
                <w:sz w:val="20"/>
                <w:szCs w:val="20"/>
                <w:color w:val="auto"/>
              </w:rPr>
            </w:pPr>
            <w:r>
              <w:rPr>
                <w:rFonts w:ascii="Arial" w:cs="Arial" w:eastAsia="Arial" w:hAnsi="Arial"/>
                <w:sz w:val="14"/>
                <w:szCs w:val="14"/>
                <w:b w:val="1"/>
                <w:bCs w:val="1"/>
                <w:color w:val="FFFFFF"/>
              </w:rPr>
              <w:t>F</w:t>
            </w:r>
          </w:p>
        </w:tc>
        <w:tc>
          <w:tcPr>
            <w:tcW w:w="440" w:type="dxa"/>
            <w:vAlign w:val="bottom"/>
            <w:vMerge w:val="restart"/>
            <w:shd w:val="clear" w:color="auto" w:fill="BF2115"/>
          </w:tcPr>
          <w:p>
            <w:pPr>
              <w:jc w:val="center"/>
              <w:ind w:left="38"/>
              <w:spacing w:after="0"/>
              <w:rPr>
                <w:sz w:val="20"/>
                <w:szCs w:val="20"/>
                <w:color w:val="auto"/>
              </w:rPr>
            </w:pPr>
            <w:r>
              <w:rPr>
                <w:rFonts w:ascii="Arial" w:cs="Arial" w:eastAsia="Arial" w:hAnsi="Arial"/>
                <w:sz w:val="14"/>
                <w:szCs w:val="14"/>
                <w:b w:val="1"/>
                <w:bCs w:val="1"/>
                <w:color w:val="FFFFFF"/>
              </w:rPr>
              <w:t>N&amp;G</w:t>
            </w:r>
          </w:p>
        </w:tc>
        <w:tc>
          <w:tcPr>
            <w:tcW w:w="780" w:type="dxa"/>
            <w:vAlign w:val="bottom"/>
            <w:vMerge w:val="restart"/>
            <w:shd w:val="clear" w:color="auto" w:fill="BF2115"/>
          </w:tcPr>
          <w:p>
            <w:pPr>
              <w:ind w:left="280"/>
              <w:spacing w:after="0"/>
              <w:rPr>
                <w:sz w:val="20"/>
                <w:szCs w:val="20"/>
                <w:color w:val="auto"/>
              </w:rPr>
            </w:pPr>
            <w:r>
              <w:rPr>
                <w:rFonts w:ascii="Arial" w:cs="Arial" w:eastAsia="Arial" w:hAnsi="Arial"/>
                <w:sz w:val="14"/>
                <w:szCs w:val="14"/>
                <w:b w:val="1"/>
                <w:bCs w:val="1"/>
                <w:color w:val="FFFFFF"/>
              </w:rPr>
              <w:t>C&amp;HR</w:t>
            </w:r>
          </w:p>
        </w:tc>
        <w:tc>
          <w:tcPr>
            <w:tcW w:w="1980" w:type="dxa"/>
            <w:vAlign w:val="bottom"/>
            <w:gridSpan w:val="2"/>
            <w:vMerge w:val="continue"/>
            <w:shd w:val="clear" w:color="auto" w:fill="BF2115"/>
          </w:tcPr>
          <w:p>
            <w:pPr>
              <w:spacing w:after="0"/>
              <w:rPr>
                <w:sz w:val="7"/>
                <w:szCs w:val="7"/>
                <w:color w:val="auto"/>
              </w:rPr>
            </w:pPr>
          </w:p>
        </w:tc>
        <w:tc>
          <w:tcPr>
            <w:tcW w:w="0" w:type="dxa"/>
            <w:vAlign w:val="bottom"/>
          </w:tcPr>
          <w:p>
            <w:pPr>
              <w:spacing w:after="0"/>
              <w:rPr>
                <w:sz w:val="1"/>
                <w:szCs w:val="1"/>
                <w:color w:val="auto"/>
              </w:rPr>
            </w:pPr>
          </w:p>
        </w:tc>
      </w:tr>
      <w:tr>
        <w:trPr>
          <w:trHeight w:val="187"/>
        </w:trPr>
        <w:tc>
          <w:tcPr>
            <w:tcW w:w="660" w:type="dxa"/>
            <w:vAlign w:val="bottom"/>
          </w:tcPr>
          <w:p>
            <w:pPr>
              <w:spacing w:after="0"/>
              <w:rPr>
                <w:sz w:val="16"/>
                <w:szCs w:val="16"/>
                <w:color w:val="auto"/>
              </w:rPr>
            </w:pPr>
          </w:p>
        </w:tc>
        <w:tc>
          <w:tcPr>
            <w:tcW w:w="1020" w:type="dxa"/>
            <w:vAlign w:val="bottom"/>
            <w:vMerge w:val="continue"/>
            <w:shd w:val="clear" w:color="auto" w:fill="BF2115"/>
          </w:tcPr>
          <w:p>
            <w:pPr>
              <w:spacing w:after="0"/>
              <w:rPr>
                <w:sz w:val="16"/>
                <w:szCs w:val="16"/>
                <w:color w:val="auto"/>
              </w:rPr>
            </w:pPr>
          </w:p>
        </w:tc>
        <w:tc>
          <w:tcPr>
            <w:tcW w:w="3140" w:type="dxa"/>
            <w:vAlign w:val="bottom"/>
            <w:shd w:val="clear" w:color="auto" w:fill="BF2115"/>
          </w:tcPr>
          <w:p>
            <w:pPr>
              <w:spacing w:after="0"/>
              <w:rPr>
                <w:sz w:val="16"/>
                <w:szCs w:val="16"/>
                <w:color w:val="auto"/>
              </w:rPr>
            </w:pPr>
          </w:p>
        </w:tc>
        <w:tc>
          <w:tcPr>
            <w:tcW w:w="440" w:type="dxa"/>
            <w:vAlign w:val="bottom"/>
            <w:vMerge w:val="continue"/>
            <w:shd w:val="clear" w:color="auto" w:fill="BF2115"/>
          </w:tcPr>
          <w:p>
            <w:pPr>
              <w:spacing w:after="0"/>
              <w:rPr>
                <w:sz w:val="16"/>
                <w:szCs w:val="16"/>
                <w:color w:val="auto"/>
              </w:rPr>
            </w:pPr>
          </w:p>
        </w:tc>
        <w:tc>
          <w:tcPr>
            <w:tcW w:w="880" w:type="dxa"/>
            <w:vAlign w:val="bottom"/>
            <w:shd w:val="clear" w:color="auto" w:fill="BF2115"/>
          </w:tcPr>
          <w:p>
            <w:pPr>
              <w:jc w:val="center"/>
              <w:spacing w:after="0"/>
              <w:rPr>
                <w:sz w:val="20"/>
                <w:szCs w:val="20"/>
                <w:color w:val="auto"/>
              </w:rPr>
            </w:pPr>
            <w:r>
              <w:rPr>
                <w:rFonts w:ascii="Arial" w:cs="Arial" w:eastAsia="Arial" w:hAnsi="Arial"/>
                <w:sz w:val="14"/>
                <w:szCs w:val="14"/>
                <w:b w:val="1"/>
                <w:bCs w:val="1"/>
                <w:color w:val="FFFFFF"/>
              </w:rPr>
              <w:t>Since</w:t>
            </w:r>
          </w:p>
        </w:tc>
        <w:tc>
          <w:tcPr>
            <w:tcW w:w="580" w:type="dxa"/>
            <w:vAlign w:val="bottom"/>
            <w:vMerge w:val="continue"/>
            <w:shd w:val="clear" w:color="auto" w:fill="BF2115"/>
          </w:tcPr>
          <w:p>
            <w:pPr>
              <w:spacing w:after="0"/>
              <w:rPr>
                <w:sz w:val="16"/>
                <w:szCs w:val="16"/>
                <w:color w:val="auto"/>
              </w:rPr>
            </w:pPr>
          </w:p>
        </w:tc>
        <w:tc>
          <w:tcPr>
            <w:tcW w:w="360" w:type="dxa"/>
            <w:vAlign w:val="bottom"/>
            <w:vMerge w:val="continue"/>
            <w:shd w:val="clear" w:color="auto" w:fill="BF2115"/>
          </w:tcPr>
          <w:p>
            <w:pPr>
              <w:spacing w:after="0"/>
              <w:rPr>
                <w:sz w:val="16"/>
                <w:szCs w:val="16"/>
                <w:color w:val="auto"/>
              </w:rPr>
            </w:pPr>
          </w:p>
        </w:tc>
        <w:tc>
          <w:tcPr>
            <w:tcW w:w="440" w:type="dxa"/>
            <w:vAlign w:val="bottom"/>
            <w:vMerge w:val="continue"/>
            <w:shd w:val="clear" w:color="auto" w:fill="BF2115"/>
          </w:tcPr>
          <w:p>
            <w:pPr>
              <w:spacing w:after="0"/>
              <w:rPr>
                <w:sz w:val="16"/>
                <w:szCs w:val="16"/>
                <w:color w:val="auto"/>
              </w:rPr>
            </w:pPr>
          </w:p>
        </w:tc>
        <w:tc>
          <w:tcPr>
            <w:tcW w:w="780" w:type="dxa"/>
            <w:vAlign w:val="bottom"/>
            <w:vMerge w:val="continue"/>
            <w:shd w:val="clear" w:color="auto" w:fill="BF2115"/>
          </w:tcPr>
          <w:p>
            <w:pPr>
              <w:spacing w:after="0"/>
              <w:rPr>
                <w:sz w:val="16"/>
                <w:szCs w:val="16"/>
                <w:color w:val="auto"/>
              </w:rPr>
            </w:pPr>
          </w:p>
        </w:tc>
        <w:tc>
          <w:tcPr>
            <w:tcW w:w="960" w:type="dxa"/>
            <w:vAlign w:val="bottom"/>
            <w:shd w:val="clear" w:color="auto" w:fill="BF2115"/>
          </w:tcPr>
          <w:p>
            <w:pPr>
              <w:jc w:val="center"/>
              <w:spacing w:after="0"/>
              <w:rPr>
                <w:sz w:val="20"/>
                <w:szCs w:val="20"/>
                <w:color w:val="auto"/>
              </w:rPr>
            </w:pPr>
            <w:r>
              <w:rPr>
                <w:rFonts w:ascii="Arial" w:cs="Arial" w:eastAsia="Arial" w:hAnsi="Arial"/>
                <w:sz w:val="14"/>
                <w:szCs w:val="14"/>
                <w:b w:val="1"/>
                <w:bCs w:val="1"/>
                <w:color w:val="FFFFFF"/>
              </w:rPr>
              <w:t>Boards</w:t>
            </w:r>
          </w:p>
        </w:tc>
        <w:tc>
          <w:tcPr>
            <w:tcW w:w="1020" w:type="dxa"/>
            <w:vAlign w:val="bottom"/>
            <w:shd w:val="clear" w:color="auto" w:fill="BF2115"/>
          </w:tcPr>
          <w:p>
            <w:pPr>
              <w:jc w:val="center"/>
              <w:spacing w:after="0"/>
              <w:rPr>
                <w:sz w:val="20"/>
                <w:szCs w:val="20"/>
                <w:color w:val="auto"/>
              </w:rPr>
            </w:pPr>
            <w:r>
              <w:rPr>
                <w:rFonts w:ascii="Arial" w:cs="Arial" w:eastAsia="Arial" w:hAnsi="Arial"/>
                <w:sz w:val="14"/>
                <w:szCs w:val="14"/>
                <w:b w:val="1"/>
                <w:bCs w:val="1"/>
                <w:color w:val="FFFFFF"/>
              </w:rPr>
              <w:t>Diversity</w:t>
            </w:r>
          </w:p>
        </w:tc>
        <w:tc>
          <w:tcPr>
            <w:tcW w:w="0" w:type="dxa"/>
            <w:vAlign w:val="bottom"/>
          </w:tcPr>
          <w:p>
            <w:pPr>
              <w:spacing w:after="0"/>
              <w:rPr>
                <w:sz w:val="1"/>
                <w:szCs w:val="1"/>
                <w:color w:val="auto"/>
              </w:rPr>
            </w:pPr>
          </w:p>
        </w:tc>
      </w:tr>
      <w:tr>
        <w:trPr>
          <w:trHeight w:val="213"/>
        </w:trPr>
        <w:tc>
          <w:tcPr>
            <w:tcW w:w="660" w:type="dxa"/>
            <w:vAlign w:val="bottom"/>
          </w:tcPr>
          <w:p>
            <w:pPr>
              <w:spacing w:after="0"/>
              <w:rPr>
                <w:sz w:val="18"/>
                <w:szCs w:val="18"/>
                <w:color w:val="auto"/>
              </w:rPr>
            </w:pPr>
          </w:p>
        </w:tc>
        <w:tc>
          <w:tcPr>
            <w:tcW w:w="4160" w:type="dxa"/>
            <w:vAlign w:val="bottom"/>
            <w:gridSpan w:val="2"/>
          </w:tcPr>
          <w:p>
            <w:pPr>
              <w:ind w:left="20"/>
              <w:spacing w:after="0"/>
              <w:rPr>
                <w:sz w:val="20"/>
                <w:szCs w:val="20"/>
                <w:color w:val="auto"/>
              </w:rPr>
            </w:pPr>
            <w:r>
              <w:rPr>
                <w:rFonts w:ascii="Arial" w:cs="Arial" w:eastAsia="Arial" w:hAnsi="Arial"/>
                <w:sz w:val="14"/>
                <w:szCs w:val="14"/>
                <w:b w:val="1"/>
                <w:bCs w:val="1"/>
                <w:color w:val="C00000"/>
              </w:rPr>
              <w:t>Director Nominees</w:t>
            </w:r>
          </w:p>
        </w:tc>
        <w:tc>
          <w:tcPr>
            <w:tcW w:w="4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660" w:type="dxa"/>
            <w:vAlign w:val="bottom"/>
          </w:tcPr>
          <w:p>
            <w:pPr>
              <w:spacing w:after="0"/>
              <w:rPr>
                <w:sz w:val="18"/>
                <w:szCs w:val="18"/>
                <w:color w:val="auto"/>
              </w:rPr>
            </w:pPr>
          </w:p>
        </w:tc>
        <w:tc>
          <w:tcPr>
            <w:tcW w:w="4160" w:type="dxa"/>
            <w:vAlign w:val="bottom"/>
            <w:gridSpan w:val="2"/>
            <w:shd w:val="clear" w:color="auto" w:fill="DBDBDB"/>
          </w:tcPr>
          <w:p>
            <w:pPr>
              <w:ind w:left="20"/>
              <w:spacing w:after="0"/>
              <w:rPr>
                <w:sz w:val="20"/>
                <w:szCs w:val="20"/>
                <w:color w:val="auto"/>
              </w:rPr>
            </w:pPr>
            <w:r>
              <w:rPr>
                <w:rFonts w:ascii="Arial" w:cs="Arial" w:eastAsia="Arial" w:hAnsi="Arial"/>
                <w:sz w:val="14"/>
                <w:szCs w:val="14"/>
                <w:b w:val="1"/>
                <w:bCs w:val="1"/>
                <w:color w:val="C00000"/>
              </w:rPr>
              <w:t>Jeffrey L. Harmening</w:t>
            </w:r>
          </w:p>
        </w:tc>
        <w:tc>
          <w:tcPr>
            <w:tcW w:w="440" w:type="dxa"/>
            <w:vAlign w:val="bottom"/>
            <w:shd w:val="clear" w:color="auto" w:fill="DBDBDB"/>
          </w:tcPr>
          <w:p>
            <w:pPr>
              <w:spacing w:after="0"/>
              <w:rPr>
                <w:sz w:val="18"/>
                <w:szCs w:val="18"/>
                <w:color w:val="auto"/>
              </w:rPr>
            </w:pPr>
          </w:p>
        </w:tc>
        <w:tc>
          <w:tcPr>
            <w:tcW w:w="880" w:type="dxa"/>
            <w:vAlign w:val="bottom"/>
            <w:shd w:val="clear" w:color="auto" w:fill="DBDBDB"/>
          </w:tcPr>
          <w:p>
            <w:pPr>
              <w:spacing w:after="0"/>
              <w:rPr>
                <w:sz w:val="18"/>
                <w:szCs w:val="18"/>
                <w:color w:val="auto"/>
              </w:rPr>
            </w:pPr>
          </w:p>
        </w:tc>
        <w:tc>
          <w:tcPr>
            <w:tcW w:w="580" w:type="dxa"/>
            <w:vAlign w:val="bottom"/>
            <w:vMerge w:val="restart"/>
            <w:shd w:val="clear" w:color="auto" w:fill="DBDBDB"/>
          </w:tcPr>
          <w:p>
            <w:pPr>
              <w:ind w:left="200"/>
              <w:spacing w:after="0" w:line="181" w:lineRule="exact"/>
              <w:rPr>
                <w:sz w:val="20"/>
                <w:szCs w:val="20"/>
                <w:color w:val="auto"/>
              </w:rPr>
            </w:pPr>
            <w:r>
              <w:rPr>
                <w:rFonts w:ascii="MS PGothic" w:cs="MS PGothic" w:eastAsia="MS PGothic" w:hAnsi="MS PGothic"/>
                <w:sz w:val="18"/>
                <w:szCs w:val="18"/>
                <w:color w:val="auto"/>
                <w:shd w:val="clear" w:color="auto" w:fill="C00000"/>
              </w:rPr>
              <w:t>✓</w:t>
            </w:r>
          </w:p>
        </w:tc>
        <w:tc>
          <w:tcPr>
            <w:tcW w:w="360" w:type="dxa"/>
            <w:vAlign w:val="bottom"/>
            <w:shd w:val="clear" w:color="auto" w:fill="DBDBDB"/>
          </w:tcPr>
          <w:p>
            <w:pPr>
              <w:spacing w:after="0"/>
              <w:rPr>
                <w:sz w:val="18"/>
                <w:szCs w:val="18"/>
                <w:color w:val="auto"/>
              </w:rPr>
            </w:pPr>
          </w:p>
        </w:tc>
        <w:tc>
          <w:tcPr>
            <w:tcW w:w="440" w:type="dxa"/>
            <w:vAlign w:val="bottom"/>
            <w:shd w:val="clear" w:color="auto" w:fill="DBDBDB"/>
          </w:tcPr>
          <w:p>
            <w:pPr>
              <w:spacing w:after="0"/>
              <w:rPr>
                <w:sz w:val="18"/>
                <w:szCs w:val="18"/>
                <w:color w:val="auto"/>
              </w:rPr>
            </w:pPr>
          </w:p>
        </w:tc>
        <w:tc>
          <w:tcPr>
            <w:tcW w:w="780" w:type="dxa"/>
            <w:vAlign w:val="bottom"/>
            <w:shd w:val="clear" w:color="auto" w:fill="DBDBDB"/>
          </w:tcPr>
          <w:p>
            <w:pPr>
              <w:spacing w:after="0"/>
              <w:rPr>
                <w:sz w:val="18"/>
                <w:szCs w:val="18"/>
                <w:color w:val="auto"/>
              </w:rPr>
            </w:pPr>
          </w:p>
        </w:tc>
        <w:tc>
          <w:tcPr>
            <w:tcW w:w="960" w:type="dxa"/>
            <w:vAlign w:val="bottom"/>
            <w:shd w:val="clear" w:color="auto" w:fill="DBDBDB"/>
          </w:tcPr>
          <w:p>
            <w:pPr>
              <w:spacing w:after="0"/>
              <w:rPr>
                <w:sz w:val="18"/>
                <w:szCs w:val="18"/>
                <w:color w:val="auto"/>
              </w:rPr>
            </w:pPr>
          </w:p>
        </w:tc>
        <w:tc>
          <w:tcPr>
            <w:tcW w:w="1020" w:type="dxa"/>
            <w:vAlign w:val="bottom"/>
            <w:shd w:val="clear" w:color="auto" w:fill="DBDBDB"/>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660" w:type="dxa"/>
            <w:vAlign w:val="bottom"/>
          </w:tcPr>
          <w:p>
            <w:pPr>
              <w:spacing w:after="0"/>
              <w:rPr>
                <w:sz w:val="17"/>
                <w:szCs w:val="17"/>
                <w:color w:val="auto"/>
              </w:rPr>
            </w:pPr>
          </w:p>
        </w:tc>
        <w:tc>
          <w:tcPr>
            <w:tcW w:w="4160" w:type="dxa"/>
            <w:vAlign w:val="bottom"/>
            <w:gridSpan w:val="2"/>
            <w:shd w:val="clear" w:color="auto" w:fill="DBDBDB"/>
          </w:tcPr>
          <w:p>
            <w:pPr>
              <w:ind w:left="80"/>
              <w:spacing w:after="0"/>
              <w:rPr>
                <w:sz w:val="20"/>
                <w:szCs w:val="20"/>
                <w:color w:val="auto"/>
              </w:rPr>
            </w:pPr>
            <w:r>
              <w:rPr>
                <w:rFonts w:ascii="Arial" w:cs="Arial" w:eastAsia="Arial" w:hAnsi="Arial"/>
                <w:sz w:val="14"/>
                <w:szCs w:val="14"/>
                <w:color w:val="auto"/>
              </w:rPr>
              <w:t>Chairman and Chief Executive Officer,</w:t>
            </w:r>
          </w:p>
        </w:tc>
        <w:tc>
          <w:tcPr>
            <w:tcW w:w="440" w:type="dxa"/>
            <w:vAlign w:val="bottom"/>
            <w:shd w:val="clear" w:color="auto" w:fill="DBDBDB"/>
          </w:tcPr>
          <w:p>
            <w:pPr>
              <w:jc w:val="center"/>
              <w:ind w:right="49"/>
              <w:spacing w:after="0"/>
              <w:rPr>
                <w:sz w:val="20"/>
                <w:szCs w:val="20"/>
                <w:color w:val="auto"/>
              </w:rPr>
            </w:pPr>
            <w:r>
              <w:rPr>
                <w:rFonts w:ascii="Arial" w:cs="Arial" w:eastAsia="Arial" w:hAnsi="Arial"/>
                <w:sz w:val="14"/>
                <w:szCs w:val="14"/>
                <w:color w:val="auto"/>
              </w:rPr>
              <w:t>58</w:t>
            </w:r>
          </w:p>
        </w:tc>
        <w:tc>
          <w:tcPr>
            <w:tcW w:w="880" w:type="dxa"/>
            <w:vAlign w:val="bottom"/>
            <w:shd w:val="clear" w:color="auto" w:fill="DBDBDB"/>
          </w:tcPr>
          <w:p>
            <w:pPr>
              <w:jc w:val="center"/>
              <w:spacing w:after="0"/>
              <w:rPr>
                <w:sz w:val="20"/>
                <w:szCs w:val="20"/>
                <w:color w:val="auto"/>
              </w:rPr>
            </w:pPr>
            <w:r>
              <w:rPr>
                <w:rFonts w:ascii="Arial" w:cs="Arial" w:eastAsia="Arial" w:hAnsi="Arial"/>
                <w:sz w:val="14"/>
                <w:szCs w:val="14"/>
                <w:color w:val="auto"/>
              </w:rPr>
              <w:t>2019</w:t>
            </w:r>
          </w:p>
        </w:tc>
        <w:tc>
          <w:tcPr>
            <w:tcW w:w="580" w:type="dxa"/>
            <w:vAlign w:val="bottom"/>
            <w:vMerge w:val="continue"/>
            <w:shd w:val="clear" w:color="auto" w:fill="DBDBDB"/>
          </w:tcPr>
          <w:p>
            <w:pPr>
              <w:spacing w:after="0"/>
              <w:rPr>
                <w:sz w:val="17"/>
                <w:szCs w:val="17"/>
                <w:color w:val="auto"/>
              </w:rPr>
            </w:pPr>
          </w:p>
        </w:tc>
        <w:tc>
          <w:tcPr>
            <w:tcW w:w="360" w:type="dxa"/>
            <w:vAlign w:val="bottom"/>
            <w:shd w:val="clear" w:color="auto" w:fill="DBDBDB"/>
          </w:tcPr>
          <w:p>
            <w:pPr>
              <w:ind w:left="100"/>
              <w:spacing w:after="0"/>
              <w:rPr>
                <w:sz w:val="20"/>
                <w:szCs w:val="20"/>
                <w:color w:val="auto"/>
              </w:rPr>
            </w:pPr>
            <w:r>
              <w:rPr>
                <w:rFonts w:ascii="Arial" w:cs="Arial" w:eastAsia="Arial" w:hAnsi="Arial"/>
                <w:sz w:val="16"/>
                <w:szCs w:val="16"/>
                <w:b w:val="1"/>
                <w:bCs w:val="1"/>
                <w:color w:val="C00000"/>
              </w:rPr>
              <w:t>C</w:t>
            </w:r>
          </w:p>
        </w:tc>
        <w:tc>
          <w:tcPr>
            <w:tcW w:w="440" w:type="dxa"/>
            <w:vAlign w:val="bottom"/>
            <w:shd w:val="clear" w:color="auto" w:fill="DBDBDB"/>
          </w:tcPr>
          <w:p>
            <w:pPr>
              <w:spacing w:after="0"/>
              <w:rPr>
                <w:sz w:val="17"/>
                <w:szCs w:val="17"/>
                <w:color w:val="auto"/>
              </w:rPr>
            </w:pPr>
          </w:p>
        </w:tc>
        <w:tc>
          <w:tcPr>
            <w:tcW w:w="780" w:type="dxa"/>
            <w:vAlign w:val="bottom"/>
            <w:shd w:val="clear" w:color="auto" w:fill="DBDBDB"/>
          </w:tcPr>
          <w:p>
            <w:pPr>
              <w:spacing w:after="0"/>
              <w:rPr>
                <w:sz w:val="17"/>
                <w:szCs w:val="17"/>
                <w:color w:val="auto"/>
              </w:rPr>
            </w:pPr>
          </w:p>
        </w:tc>
        <w:tc>
          <w:tcPr>
            <w:tcW w:w="960" w:type="dxa"/>
            <w:vAlign w:val="bottom"/>
            <w:shd w:val="clear" w:color="auto" w:fill="DBDBDB"/>
          </w:tcPr>
          <w:p>
            <w:pPr>
              <w:jc w:val="center"/>
              <w:ind w:left="7"/>
              <w:spacing w:after="0"/>
              <w:rPr>
                <w:sz w:val="20"/>
                <w:szCs w:val="20"/>
                <w:color w:val="auto"/>
              </w:rPr>
            </w:pPr>
            <w:r>
              <w:rPr>
                <w:rFonts w:ascii="Arial" w:cs="Arial" w:eastAsia="Arial" w:hAnsi="Arial"/>
                <w:sz w:val="14"/>
                <w:szCs w:val="14"/>
                <w:b w:val="1"/>
                <w:bCs w:val="1"/>
                <w:color w:val="BF2115"/>
              </w:rPr>
              <w:t>1</w:t>
            </w:r>
          </w:p>
        </w:tc>
        <w:tc>
          <w:tcPr>
            <w:tcW w:w="1020" w:type="dxa"/>
            <w:vAlign w:val="bottom"/>
            <w:shd w:val="clear" w:color="auto" w:fill="DBDBDB"/>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660" w:type="dxa"/>
            <w:vAlign w:val="bottom"/>
          </w:tcPr>
          <w:p>
            <w:pPr>
              <w:spacing w:after="0"/>
              <w:rPr>
                <w:sz w:val="16"/>
                <w:szCs w:val="16"/>
                <w:color w:val="auto"/>
              </w:rPr>
            </w:pPr>
          </w:p>
        </w:tc>
        <w:tc>
          <w:tcPr>
            <w:tcW w:w="4160" w:type="dxa"/>
            <w:vAlign w:val="bottom"/>
            <w:tcBorders>
              <w:bottom w:val="single" w:sz="8" w:color="DBDBDB"/>
            </w:tcBorders>
            <w:gridSpan w:val="2"/>
            <w:shd w:val="clear" w:color="auto" w:fill="DBDBDB"/>
          </w:tcPr>
          <w:p>
            <w:pPr>
              <w:ind w:left="80"/>
              <w:spacing w:after="0"/>
              <w:rPr>
                <w:sz w:val="20"/>
                <w:szCs w:val="20"/>
                <w:color w:val="auto"/>
              </w:rPr>
            </w:pPr>
            <w:r>
              <w:rPr>
                <w:rFonts w:ascii="Arial" w:cs="Arial" w:eastAsia="Arial" w:hAnsi="Arial"/>
                <w:sz w:val="14"/>
                <w:szCs w:val="14"/>
                <w:color w:val="auto"/>
              </w:rPr>
              <w:t>General Mills, Inc.</w:t>
            </w:r>
          </w:p>
        </w:tc>
        <w:tc>
          <w:tcPr>
            <w:tcW w:w="440" w:type="dxa"/>
            <w:vAlign w:val="bottom"/>
            <w:tcBorders>
              <w:bottom w:val="single" w:sz="8" w:color="DBDBDB"/>
            </w:tcBorders>
            <w:shd w:val="clear" w:color="auto" w:fill="DBDBDB"/>
          </w:tcPr>
          <w:p>
            <w:pPr>
              <w:spacing w:after="0"/>
              <w:rPr>
                <w:sz w:val="16"/>
                <w:szCs w:val="16"/>
                <w:color w:val="auto"/>
              </w:rPr>
            </w:pPr>
          </w:p>
        </w:tc>
        <w:tc>
          <w:tcPr>
            <w:tcW w:w="880" w:type="dxa"/>
            <w:vAlign w:val="bottom"/>
            <w:tcBorders>
              <w:bottom w:val="single" w:sz="8" w:color="DBDBDB"/>
            </w:tcBorders>
            <w:shd w:val="clear" w:color="auto" w:fill="DBDBDB"/>
          </w:tcPr>
          <w:p>
            <w:pPr>
              <w:spacing w:after="0"/>
              <w:rPr>
                <w:sz w:val="16"/>
                <w:szCs w:val="16"/>
                <w:color w:val="auto"/>
              </w:rPr>
            </w:pPr>
          </w:p>
        </w:tc>
        <w:tc>
          <w:tcPr>
            <w:tcW w:w="580" w:type="dxa"/>
            <w:vAlign w:val="bottom"/>
            <w:tcBorders>
              <w:bottom w:val="single" w:sz="8" w:color="DBDBDB"/>
            </w:tcBorders>
            <w:shd w:val="clear" w:color="auto" w:fill="DBDBDB"/>
          </w:tcPr>
          <w:p>
            <w:pPr>
              <w:spacing w:after="0"/>
              <w:rPr>
                <w:sz w:val="16"/>
                <w:szCs w:val="16"/>
                <w:color w:val="auto"/>
              </w:rPr>
            </w:pPr>
          </w:p>
        </w:tc>
        <w:tc>
          <w:tcPr>
            <w:tcW w:w="360" w:type="dxa"/>
            <w:vAlign w:val="bottom"/>
            <w:tcBorders>
              <w:bottom w:val="single" w:sz="8" w:color="DBDBDB"/>
            </w:tcBorders>
            <w:shd w:val="clear" w:color="auto" w:fill="DBDBDB"/>
          </w:tcPr>
          <w:p>
            <w:pPr>
              <w:spacing w:after="0"/>
              <w:rPr>
                <w:sz w:val="16"/>
                <w:szCs w:val="16"/>
                <w:color w:val="auto"/>
              </w:rPr>
            </w:pPr>
          </w:p>
        </w:tc>
        <w:tc>
          <w:tcPr>
            <w:tcW w:w="440" w:type="dxa"/>
            <w:vAlign w:val="bottom"/>
            <w:tcBorders>
              <w:bottom w:val="single" w:sz="8" w:color="DBDBDB"/>
            </w:tcBorders>
            <w:shd w:val="clear" w:color="auto" w:fill="DBDBDB"/>
          </w:tcPr>
          <w:p>
            <w:pPr>
              <w:spacing w:after="0"/>
              <w:rPr>
                <w:sz w:val="16"/>
                <w:szCs w:val="16"/>
                <w:color w:val="auto"/>
              </w:rPr>
            </w:pPr>
          </w:p>
        </w:tc>
        <w:tc>
          <w:tcPr>
            <w:tcW w:w="780" w:type="dxa"/>
            <w:vAlign w:val="bottom"/>
            <w:tcBorders>
              <w:bottom w:val="single" w:sz="8" w:color="DBDBDB"/>
            </w:tcBorders>
            <w:shd w:val="clear" w:color="auto" w:fill="DBDBDB"/>
          </w:tcPr>
          <w:p>
            <w:pPr>
              <w:spacing w:after="0"/>
              <w:rPr>
                <w:sz w:val="16"/>
                <w:szCs w:val="16"/>
                <w:color w:val="auto"/>
              </w:rPr>
            </w:pPr>
          </w:p>
        </w:tc>
        <w:tc>
          <w:tcPr>
            <w:tcW w:w="960" w:type="dxa"/>
            <w:vAlign w:val="bottom"/>
            <w:tcBorders>
              <w:bottom w:val="single" w:sz="8" w:color="DBDBDB"/>
            </w:tcBorders>
            <w:shd w:val="clear" w:color="auto" w:fill="DBDBDB"/>
          </w:tcPr>
          <w:p>
            <w:pPr>
              <w:spacing w:after="0"/>
              <w:rPr>
                <w:sz w:val="16"/>
                <w:szCs w:val="16"/>
                <w:color w:val="auto"/>
              </w:rPr>
            </w:pPr>
          </w:p>
        </w:tc>
        <w:tc>
          <w:tcPr>
            <w:tcW w:w="1020" w:type="dxa"/>
            <w:vAlign w:val="bottom"/>
            <w:tcBorders>
              <w:bottom w:val="single" w:sz="8" w:color="DBDBDB"/>
            </w:tcBorders>
            <w:shd w:val="clear" w:color="auto" w:fill="DBDBDB"/>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660" w:type="dxa"/>
            <w:vAlign w:val="bottom"/>
          </w:tcPr>
          <w:p>
            <w:pPr>
              <w:spacing w:after="0"/>
              <w:rPr>
                <w:sz w:val="18"/>
                <w:szCs w:val="18"/>
                <w:color w:val="auto"/>
              </w:rPr>
            </w:pPr>
          </w:p>
        </w:tc>
        <w:tc>
          <w:tcPr>
            <w:tcW w:w="4160" w:type="dxa"/>
            <w:vAlign w:val="bottom"/>
            <w:gridSpan w:val="2"/>
          </w:tcPr>
          <w:p>
            <w:pPr>
              <w:ind w:left="20"/>
              <w:spacing w:after="0"/>
              <w:rPr>
                <w:sz w:val="20"/>
                <w:szCs w:val="20"/>
                <w:color w:val="auto"/>
              </w:rPr>
            </w:pPr>
            <w:r>
              <w:rPr>
                <w:rFonts w:ascii="Arial" w:cs="Arial" w:eastAsia="Arial" w:hAnsi="Arial"/>
                <w:sz w:val="14"/>
                <w:szCs w:val="14"/>
                <w:b w:val="1"/>
                <w:bCs w:val="1"/>
                <w:color w:val="C00000"/>
              </w:rPr>
              <w:t>Joyce A. Mullen</w:t>
            </w:r>
          </w:p>
        </w:tc>
        <w:tc>
          <w:tcPr>
            <w:tcW w:w="4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40" w:type="dxa"/>
            <w:vAlign w:val="bottom"/>
            <w:vMerge w:val="restart"/>
          </w:tcPr>
          <w:p>
            <w:pPr>
              <w:ind w:left="200"/>
              <w:spacing w:after="0" w:line="161" w:lineRule="exact"/>
              <w:rPr>
                <w:sz w:val="20"/>
                <w:szCs w:val="20"/>
                <w:color w:val="auto"/>
              </w:rPr>
            </w:pPr>
            <w:r>
              <w:rPr>
                <w:rFonts w:ascii="MS PGothic" w:cs="MS PGothic" w:eastAsia="MS PGothic" w:hAnsi="MS PGothic"/>
                <w:sz w:val="16"/>
                <w:szCs w:val="16"/>
                <w:color w:val="auto"/>
                <w:shd w:val="clear" w:color="auto" w:fill="C00000"/>
              </w:rPr>
              <w:t>✓</w:t>
            </w:r>
          </w:p>
        </w:tc>
        <w:tc>
          <w:tcPr>
            <w:tcW w:w="780" w:type="dxa"/>
            <w:vAlign w:val="bottom"/>
            <w:vMerge w:val="restart"/>
          </w:tcPr>
          <w:p>
            <w:pPr>
              <w:ind w:left="440"/>
              <w:spacing w:after="0" w:line="181" w:lineRule="exact"/>
              <w:rPr>
                <w:sz w:val="20"/>
                <w:szCs w:val="20"/>
                <w:color w:val="auto"/>
              </w:rPr>
            </w:pPr>
            <w:r>
              <w:rPr>
                <w:rFonts w:ascii="MS PGothic" w:cs="MS PGothic" w:eastAsia="MS PGothic" w:hAnsi="MS PGothic"/>
                <w:sz w:val="18"/>
                <w:szCs w:val="18"/>
                <w:color w:val="auto"/>
                <w:shd w:val="clear" w:color="auto" w:fill="C00000"/>
              </w:rPr>
              <w:t>✓</w:t>
            </w:r>
          </w:p>
        </w:tc>
        <w:tc>
          <w:tcPr>
            <w:tcW w:w="960" w:type="dxa"/>
            <w:vAlign w:val="bottom"/>
          </w:tcPr>
          <w:p>
            <w:pPr>
              <w:spacing w:after="0"/>
              <w:rPr>
                <w:sz w:val="18"/>
                <w:szCs w:val="18"/>
                <w:color w:val="auto"/>
              </w:rPr>
            </w:pPr>
          </w:p>
        </w:tc>
        <w:tc>
          <w:tcPr>
            <w:tcW w:w="1020" w:type="dxa"/>
            <w:vAlign w:val="bottom"/>
            <w:vMerge w:val="restart"/>
          </w:tcPr>
          <w:p>
            <w:pPr>
              <w:jc w:val="center"/>
              <w:spacing w:after="0" w:line="181" w:lineRule="exact"/>
              <w:rPr>
                <w:sz w:val="20"/>
                <w:szCs w:val="20"/>
                <w:color w:val="auto"/>
              </w:rPr>
            </w:pPr>
            <w:r>
              <w:rPr>
                <w:rFonts w:ascii="MS PGothic" w:cs="MS PGothic" w:eastAsia="MS PGothic" w:hAnsi="MS PGothic"/>
                <w:sz w:val="18"/>
                <w:szCs w:val="18"/>
                <w:color w:val="auto"/>
                <w:w w:val="77"/>
                <w:shd w:val="clear" w:color="auto" w:fill="BF2115"/>
              </w:rPr>
              <w:t>✓</w:t>
            </w:r>
          </w:p>
        </w:tc>
        <w:tc>
          <w:tcPr>
            <w:tcW w:w="0" w:type="dxa"/>
            <w:vAlign w:val="bottom"/>
          </w:tcPr>
          <w:p>
            <w:pPr>
              <w:spacing w:after="0"/>
              <w:rPr>
                <w:sz w:val="1"/>
                <w:szCs w:val="1"/>
                <w:color w:val="auto"/>
              </w:rPr>
            </w:pPr>
          </w:p>
        </w:tc>
      </w:tr>
      <w:tr>
        <w:trPr>
          <w:trHeight w:val="206"/>
        </w:trPr>
        <w:tc>
          <w:tcPr>
            <w:tcW w:w="660" w:type="dxa"/>
            <w:vAlign w:val="bottom"/>
          </w:tcPr>
          <w:p>
            <w:pPr>
              <w:spacing w:after="0"/>
              <w:rPr>
                <w:sz w:val="17"/>
                <w:szCs w:val="17"/>
                <w:color w:val="auto"/>
              </w:rPr>
            </w:pPr>
          </w:p>
        </w:tc>
        <w:tc>
          <w:tcPr>
            <w:tcW w:w="4160" w:type="dxa"/>
            <w:vAlign w:val="bottom"/>
            <w:gridSpan w:val="2"/>
          </w:tcPr>
          <w:p>
            <w:pPr>
              <w:ind w:left="80"/>
              <w:spacing w:after="0"/>
              <w:rPr>
                <w:sz w:val="20"/>
                <w:szCs w:val="20"/>
                <w:color w:val="auto"/>
              </w:rPr>
            </w:pPr>
            <w:r>
              <w:rPr>
                <w:rFonts w:ascii="Arial" w:cs="Arial" w:eastAsia="Arial" w:hAnsi="Arial"/>
                <w:sz w:val="14"/>
                <w:szCs w:val="14"/>
                <w:color w:val="auto"/>
              </w:rPr>
              <w:t>President and Chief Executive Officer,</w:t>
            </w:r>
          </w:p>
        </w:tc>
        <w:tc>
          <w:tcPr>
            <w:tcW w:w="440" w:type="dxa"/>
            <w:vAlign w:val="bottom"/>
          </w:tcPr>
          <w:p>
            <w:pPr>
              <w:jc w:val="center"/>
              <w:ind w:right="49"/>
              <w:spacing w:after="0"/>
              <w:rPr>
                <w:sz w:val="20"/>
                <w:szCs w:val="20"/>
                <w:color w:val="auto"/>
              </w:rPr>
            </w:pPr>
            <w:r>
              <w:rPr>
                <w:rFonts w:ascii="Arial" w:cs="Arial" w:eastAsia="Arial" w:hAnsi="Arial"/>
                <w:sz w:val="14"/>
                <w:szCs w:val="14"/>
                <w:color w:val="auto"/>
              </w:rPr>
              <w:t>62</w:t>
            </w:r>
          </w:p>
        </w:tc>
        <w:tc>
          <w:tcPr>
            <w:tcW w:w="880" w:type="dxa"/>
            <w:vAlign w:val="bottom"/>
          </w:tcPr>
          <w:p>
            <w:pPr>
              <w:jc w:val="center"/>
              <w:spacing w:after="0"/>
              <w:rPr>
                <w:sz w:val="20"/>
                <w:szCs w:val="20"/>
                <w:color w:val="auto"/>
              </w:rPr>
            </w:pPr>
            <w:r>
              <w:rPr>
                <w:rFonts w:ascii="Arial" w:cs="Arial" w:eastAsia="Arial" w:hAnsi="Arial"/>
                <w:sz w:val="14"/>
                <w:szCs w:val="14"/>
                <w:color w:val="auto"/>
              </w:rPr>
              <w:t>2019</w:t>
            </w:r>
          </w:p>
        </w:tc>
        <w:tc>
          <w:tcPr>
            <w:tcW w:w="5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40" w:type="dxa"/>
            <w:vAlign w:val="bottom"/>
            <w:vMerge w:val="continue"/>
          </w:tcPr>
          <w:p>
            <w:pPr>
              <w:spacing w:after="0"/>
              <w:rPr>
                <w:sz w:val="17"/>
                <w:szCs w:val="17"/>
                <w:color w:val="auto"/>
              </w:rPr>
            </w:pPr>
          </w:p>
        </w:tc>
        <w:tc>
          <w:tcPr>
            <w:tcW w:w="780" w:type="dxa"/>
            <w:vAlign w:val="bottom"/>
            <w:vMerge w:val="continue"/>
          </w:tcPr>
          <w:p>
            <w:pPr>
              <w:spacing w:after="0"/>
              <w:rPr>
                <w:sz w:val="17"/>
                <w:szCs w:val="17"/>
                <w:color w:val="auto"/>
              </w:rPr>
            </w:pPr>
          </w:p>
        </w:tc>
        <w:tc>
          <w:tcPr>
            <w:tcW w:w="960" w:type="dxa"/>
            <w:vAlign w:val="bottom"/>
          </w:tcPr>
          <w:p>
            <w:pPr>
              <w:jc w:val="center"/>
              <w:ind w:left="7"/>
              <w:spacing w:after="0"/>
              <w:rPr>
                <w:sz w:val="20"/>
                <w:szCs w:val="20"/>
                <w:color w:val="auto"/>
              </w:rPr>
            </w:pPr>
            <w:r>
              <w:rPr>
                <w:rFonts w:ascii="Arial" w:cs="Arial" w:eastAsia="Arial" w:hAnsi="Arial"/>
                <w:sz w:val="14"/>
                <w:szCs w:val="14"/>
                <w:b w:val="1"/>
                <w:bCs w:val="1"/>
                <w:color w:val="BF2115"/>
              </w:rPr>
              <w:t>1</w:t>
            </w:r>
          </w:p>
        </w:tc>
        <w:tc>
          <w:tcPr>
            <w:tcW w:w="10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660" w:type="dxa"/>
            <w:vAlign w:val="bottom"/>
          </w:tcPr>
          <w:p>
            <w:pPr>
              <w:spacing w:after="0"/>
              <w:rPr>
                <w:sz w:val="16"/>
                <w:szCs w:val="16"/>
                <w:color w:val="auto"/>
              </w:rPr>
            </w:pPr>
          </w:p>
        </w:tc>
        <w:tc>
          <w:tcPr>
            <w:tcW w:w="4160" w:type="dxa"/>
            <w:vAlign w:val="bottom"/>
            <w:gridSpan w:val="2"/>
          </w:tcPr>
          <w:p>
            <w:pPr>
              <w:ind w:left="80"/>
              <w:spacing w:after="0"/>
              <w:rPr>
                <w:sz w:val="20"/>
                <w:szCs w:val="20"/>
                <w:color w:val="auto"/>
              </w:rPr>
            </w:pPr>
            <w:r>
              <w:rPr>
                <w:rFonts w:ascii="Arial" w:cs="Arial" w:eastAsia="Arial" w:hAnsi="Arial"/>
                <w:sz w:val="14"/>
                <w:szCs w:val="14"/>
                <w:color w:val="auto"/>
              </w:rPr>
              <w:t>Insight Enterprises, Inc.</w:t>
            </w:r>
          </w:p>
        </w:tc>
        <w:tc>
          <w:tcPr>
            <w:tcW w:w="4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660" w:type="dxa"/>
            <w:vAlign w:val="bottom"/>
          </w:tcPr>
          <w:p>
            <w:pPr>
              <w:spacing w:after="0" w:line="20" w:lineRule="exact"/>
              <w:rPr>
                <w:sz w:val="1"/>
                <w:szCs w:val="1"/>
                <w:color w:val="auto"/>
              </w:rPr>
            </w:pPr>
          </w:p>
        </w:tc>
        <w:tc>
          <w:tcPr>
            <w:tcW w:w="416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2"/>
        </w:trPr>
        <w:tc>
          <w:tcPr>
            <w:tcW w:w="660" w:type="dxa"/>
            <w:vAlign w:val="bottom"/>
          </w:tcPr>
          <w:p>
            <w:pPr>
              <w:spacing w:after="0"/>
              <w:rPr>
                <w:sz w:val="18"/>
                <w:szCs w:val="18"/>
                <w:color w:val="auto"/>
              </w:rPr>
            </w:pPr>
          </w:p>
        </w:tc>
        <w:tc>
          <w:tcPr>
            <w:tcW w:w="4160" w:type="dxa"/>
            <w:vAlign w:val="bottom"/>
            <w:gridSpan w:val="2"/>
            <w:shd w:val="clear" w:color="auto" w:fill="DBDBDB"/>
          </w:tcPr>
          <w:p>
            <w:pPr>
              <w:ind w:left="20"/>
              <w:spacing w:after="0"/>
              <w:rPr>
                <w:sz w:val="20"/>
                <w:szCs w:val="20"/>
                <w:color w:val="auto"/>
              </w:rPr>
            </w:pPr>
            <w:r>
              <w:rPr>
                <w:rFonts w:ascii="Arial" w:cs="Arial" w:eastAsia="Arial" w:hAnsi="Arial"/>
                <w:sz w:val="14"/>
                <w:szCs w:val="14"/>
                <w:b w:val="1"/>
                <w:bCs w:val="1"/>
                <w:color w:val="C00000"/>
              </w:rPr>
              <w:t>Richard M. Olson</w:t>
            </w:r>
          </w:p>
        </w:tc>
        <w:tc>
          <w:tcPr>
            <w:tcW w:w="440" w:type="dxa"/>
            <w:vAlign w:val="bottom"/>
            <w:shd w:val="clear" w:color="auto" w:fill="DBDBDB"/>
          </w:tcPr>
          <w:p>
            <w:pPr>
              <w:spacing w:after="0"/>
              <w:rPr>
                <w:sz w:val="18"/>
                <w:szCs w:val="18"/>
                <w:color w:val="auto"/>
              </w:rPr>
            </w:pPr>
          </w:p>
        </w:tc>
        <w:tc>
          <w:tcPr>
            <w:tcW w:w="880" w:type="dxa"/>
            <w:vAlign w:val="bottom"/>
            <w:shd w:val="clear" w:color="auto" w:fill="DBDBDB"/>
          </w:tcPr>
          <w:p>
            <w:pPr>
              <w:spacing w:after="0"/>
              <w:rPr>
                <w:sz w:val="18"/>
                <w:szCs w:val="18"/>
                <w:color w:val="auto"/>
              </w:rPr>
            </w:pPr>
          </w:p>
        </w:tc>
        <w:tc>
          <w:tcPr>
            <w:tcW w:w="580" w:type="dxa"/>
            <w:vAlign w:val="bottom"/>
            <w:shd w:val="clear" w:color="auto" w:fill="DBDBDB"/>
          </w:tcPr>
          <w:p>
            <w:pPr>
              <w:spacing w:after="0"/>
              <w:rPr>
                <w:sz w:val="18"/>
                <w:szCs w:val="18"/>
                <w:color w:val="auto"/>
              </w:rPr>
            </w:pPr>
          </w:p>
        </w:tc>
        <w:tc>
          <w:tcPr>
            <w:tcW w:w="360" w:type="dxa"/>
            <w:vAlign w:val="bottom"/>
            <w:shd w:val="clear" w:color="auto" w:fill="DBDBDB"/>
          </w:tcPr>
          <w:p>
            <w:pPr>
              <w:spacing w:after="0"/>
              <w:rPr>
                <w:sz w:val="18"/>
                <w:szCs w:val="18"/>
                <w:color w:val="auto"/>
              </w:rPr>
            </w:pPr>
          </w:p>
        </w:tc>
        <w:tc>
          <w:tcPr>
            <w:tcW w:w="440" w:type="dxa"/>
            <w:vAlign w:val="bottom"/>
            <w:shd w:val="clear" w:color="auto" w:fill="DBDBDB"/>
          </w:tcPr>
          <w:p>
            <w:pPr>
              <w:spacing w:after="0"/>
              <w:rPr>
                <w:sz w:val="18"/>
                <w:szCs w:val="18"/>
                <w:color w:val="auto"/>
              </w:rPr>
            </w:pPr>
          </w:p>
        </w:tc>
        <w:tc>
          <w:tcPr>
            <w:tcW w:w="780" w:type="dxa"/>
            <w:vAlign w:val="bottom"/>
            <w:shd w:val="clear" w:color="auto" w:fill="DBDBDB"/>
          </w:tcPr>
          <w:p>
            <w:pPr>
              <w:spacing w:after="0"/>
              <w:rPr>
                <w:sz w:val="18"/>
                <w:szCs w:val="18"/>
                <w:color w:val="auto"/>
              </w:rPr>
            </w:pPr>
          </w:p>
        </w:tc>
        <w:tc>
          <w:tcPr>
            <w:tcW w:w="960" w:type="dxa"/>
            <w:vAlign w:val="bottom"/>
            <w:shd w:val="clear" w:color="auto" w:fill="DBDBDB"/>
          </w:tcPr>
          <w:p>
            <w:pPr>
              <w:spacing w:after="0"/>
              <w:rPr>
                <w:sz w:val="18"/>
                <w:szCs w:val="18"/>
                <w:color w:val="auto"/>
              </w:rPr>
            </w:pPr>
          </w:p>
        </w:tc>
        <w:tc>
          <w:tcPr>
            <w:tcW w:w="1020" w:type="dxa"/>
            <w:vAlign w:val="bottom"/>
            <w:shd w:val="clear" w:color="auto" w:fill="DBDBDB"/>
          </w:tcPr>
          <w:p>
            <w:pPr>
              <w:spacing w:after="0"/>
              <w:rPr>
                <w:sz w:val="18"/>
                <w:szCs w:val="18"/>
                <w:color w:val="auto"/>
              </w:rPr>
            </w:pPr>
          </w:p>
        </w:tc>
        <w:tc>
          <w:tcPr>
            <w:tcW w:w="0" w:type="dxa"/>
            <w:vAlign w:val="bottom"/>
          </w:tcPr>
          <w:p>
            <w:pPr>
              <w:spacing w:after="0"/>
              <w:rPr>
                <w:sz w:val="1"/>
                <w:szCs w:val="1"/>
                <w:color w:val="auto"/>
              </w:rPr>
            </w:pPr>
          </w:p>
        </w:tc>
      </w:tr>
      <w:tr>
        <w:trPr>
          <w:trHeight w:val="179"/>
        </w:trPr>
        <w:tc>
          <w:tcPr>
            <w:tcW w:w="660" w:type="dxa"/>
            <w:vAlign w:val="bottom"/>
          </w:tcPr>
          <w:p>
            <w:pPr>
              <w:spacing w:after="0"/>
              <w:rPr>
                <w:sz w:val="15"/>
                <w:szCs w:val="15"/>
                <w:color w:val="auto"/>
              </w:rPr>
            </w:pPr>
          </w:p>
        </w:tc>
        <w:tc>
          <w:tcPr>
            <w:tcW w:w="4160" w:type="dxa"/>
            <w:vAlign w:val="bottom"/>
            <w:gridSpan w:val="2"/>
            <w:shd w:val="clear" w:color="auto" w:fill="DBDBDB"/>
          </w:tcPr>
          <w:p>
            <w:pPr>
              <w:ind w:left="80"/>
              <w:spacing w:after="0"/>
              <w:rPr>
                <w:sz w:val="20"/>
                <w:szCs w:val="20"/>
                <w:color w:val="auto"/>
              </w:rPr>
            </w:pPr>
            <w:r>
              <w:rPr>
                <w:rFonts w:ascii="Arial" w:cs="Arial" w:eastAsia="Arial" w:hAnsi="Arial"/>
                <w:sz w:val="14"/>
                <w:szCs w:val="14"/>
                <w:color w:val="auto"/>
              </w:rPr>
              <w:t>Chairman, President and Chief Executive Officer, The Toro</w:t>
            </w:r>
          </w:p>
        </w:tc>
        <w:tc>
          <w:tcPr>
            <w:tcW w:w="440" w:type="dxa"/>
            <w:vAlign w:val="bottom"/>
            <w:shd w:val="clear" w:color="auto" w:fill="DBDBDB"/>
          </w:tcPr>
          <w:p>
            <w:pPr>
              <w:jc w:val="center"/>
              <w:ind w:right="49"/>
              <w:spacing w:after="0"/>
              <w:rPr>
                <w:sz w:val="20"/>
                <w:szCs w:val="20"/>
                <w:color w:val="auto"/>
              </w:rPr>
            </w:pPr>
            <w:r>
              <w:rPr>
                <w:rFonts w:ascii="Arial" w:cs="Arial" w:eastAsia="Arial" w:hAnsi="Arial"/>
                <w:sz w:val="14"/>
                <w:szCs w:val="14"/>
                <w:color w:val="auto"/>
              </w:rPr>
              <w:t>61</w:t>
            </w:r>
          </w:p>
        </w:tc>
        <w:tc>
          <w:tcPr>
            <w:tcW w:w="880" w:type="dxa"/>
            <w:vAlign w:val="bottom"/>
            <w:shd w:val="clear" w:color="auto" w:fill="DBDBDB"/>
          </w:tcPr>
          <w:p>
            <w:pPr>
              <w:jc w:val="center"/>
              <w:spacing w:after="0"/>
              <w:rPr>
                <w:sz w:val="20"/>
                <w:szCs w:val="20"/>
                <w:color w:val="auto"/>
              </w:rPr>
            </w:pPr>
            <w:r>
              <w:rPr>
                <w:rFonts w:ascii="Arial" w:cs="Arial" w:eastAsia="Arial" w:hAnsi="Arial"/>
                <w:sz w:val="14"/>
                <w:szCs w:val="14"/>
                <w:color w:val="auto"/>
              </w:rPr>
              <w:t>2016</w:t>
            </w:r>
          </w:p>
        </w:tc>
        <w:tc>
          <w:tcPr>
            <w:tcW w:w="580" w:type="dxa"/>
            <w:vAlign w:val="bottom"/>
            <w:shd w:val="clear" w:color="auto" w:fill="DBDBDB"/>
          </w:tcPr>
          <w:p>
            <w:pPr>
              <w:spacing w:after="0"/>
              <w:rPr>
                <w:sz w:val="15"/>
                <w:szCs w:val="15"/>
                <w:color w:val="auto"/>
              </w:rPr>
            </w:pPr>
          </w:p>
        </w:tc>
        <w:tc>
          <w:tcPr>
            <w:tcW w:w="360" w:type="dxa"/>
            <w:vAlign w:val="bottom"/>
            <w:shd w:val="clear" w:color="auto" w:fill="DBDBDB"/>
          </w:tcPr>
          <w:p>
            <w:pPr>
              <w:spacing w:after="0"/>
              <w:rPr>
                <w:sz w:val="15"/>
                <w:szCs w:val="15"/>
                <w:color w:val="auto"/>
              </w:rPr>
            </w:pPr>
          </w:p>
        </w:tc>
        <w:tc>
          <w:tcPr>
            <w:tcW w:w="440" w:type="dxa"/>
            <w:vAlign w:val="bottom"/>
            <w:shd w:val="clear" w:color="auto" w:fill="DBDBDB"/>
          </w:tcPr>
          <w:p>
            <w:pPr>
              <w:spacing w:after="0"/>
              <w:rPr>
                <w:sz w:val="15"/>
                <w:szCs w:val="15"/>
                <w:color w:val="auto"/>
              </w:rPr>
            </w:pPr>
          </w:p>
        </w:tc>
        <w:tc>
          <w:tcPr>
            <w:tcW w:w="780" w:type="dxa"/>
            <w:vAlign w:val="bottom"/>
            <w:shd w:val="clear" w:color="auto" w:fill="DBDBDB"/>
          </w:tcPr>
          <w:p>
            <w:pPr>
              <w:spacing w:after="0"/>
              <w:rPr>
                <w:sz w:val="15"/>
                <w:szCs w:val="15"/>
                <w:color w:val="auto"/>
              </w:rPr>
            </w:pPr>
          </w:p>
        </w:tc>
        <w:tc>
          <w:tcPr>
            <w:tcW w:w="960" w:type="dxa"/>
            <w:vAlign w:val="bottom"/>
            <w:shd w:val="clear" w:color="auto" w:fill="DBDBDB"/>
          </w:tcPr>
          <w:p>
            <w:pPr>
              <w:jc w:val="center"/>
              <w:ind w:left="7"/>
              <w:spacing w:after="0"/>
              <w:rPr>
                <w:sz w:val="20"/>
                <w:szCs w:val="20"/>
                <w:color w:val="auto"/>
              </w:rPr>
            </w:pPr>
            <w:r>
              <w:rPr>
                <w:rFonts w:ascii="Arial" w:cs="Arial" w:eastAsia="Arial" w:hAnsi="Arial"/>
                <w:sz w:val="14"/>
                <w:szCs w:val="14"/>
                <w:b w:val="1"/>
                <w:bCs w:val="1"/>
                <w:color w:val="BF2115"/>
              </w:rPr>
              <w:t>1</w:t>
            </w:r>
          </w:p>
        </w:tc>
        <w:tc>
          <w:tcPr>
            <w:tcW w:w="1020" w:type="dxa"/>
            <w:vAlign w:val="bottom"/>
            <w:shd w:val="clear" w:color="auto" w:fill="DBDBDB"/>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660" w:type="dxa"/>
            <w:vAlign w:val="bottom"/>
          </w:tcPr>
          <w:p>
            <w:pPr>
              <w:spacing w:after="0"/>
              <w:rPr>
                <w:sz w:val="17"/>
                <w:szCs w:val="17"/>
                <w:color w:val="auto"/>
              </w:rPr>
            </w:pPr>
          </w:p>
        </w:tc>
        <w:tc>
          <w:tcPr>
            <w:tcW w:w="1020" w:type="dxa"/>
            <w:vAlign w:val="bottom"/>
            <w:shd w:val="clear" w:color="auto" w:fill="DBDBDB"/>
          </w:tcPr>
          <w:p>
            <w:pPr>
              <w:ind w:left="80"/>
              <w:spacing w:after="0"/>
              <w:rPr>
                <w:sz w:val="20"/>
                <w:szCs w:val="20"/>
                <w:color w:val="auto"/>
              </w:rPr>
            </w:pPr>
            <w:r>
              <w:rPr>
                <w:rFonts w:ascii="Arial" w:cs="Arial" w:eastAsia="Arial" w:hAnsi="Arial"/>
                <w:sz w:val="14"/>
                <w:szCs w:val="14"/>
                <w:color w:val="auto"/>
              </w:rPr>
              <w:t>Company</w:t>
            </w:r>
          </w:p>
        </w:tc>
        <w:tc>
          <w:tcPr>
            <w:tcW w:w="3140" w:type="dxa"/>
            <w:vAlign w:val="bottom"/>
            <w:shd w:val="clear" w:color="auto" w:fill="DBDBDB"/>
          </w:tcPr>
          <w:p>
            <w:pPr>
              <w:spacing w:after="0"/>
              <w:rPr>
                <w:sz w:val="17"/>
                <w:szCs w:val="17"/>
                <w:color w:val="auto"/>
              </w:rPr>
            </w:pPr>
          </w:p>
        </w:tc>
        <w:tc>
          <w:tcPr>
            <w:tcW w:w="440" w:type="dxa"/>
            <w:vAlign w:val="bottom"/>
            <w:shd w:val="clear" w:color="auto" w:fill="DBDBDB"/>
          </w:tcPr>
          <w:p>
            <w:pPr>
              <w:spacing w:after="0"/>
              <w:rPr>
                <w:sz w:val="17"/>
                <w:szCs w:val="17"/>
                <w:color w:val="auto"/>
              </w:rPr>
            </w:pPr>
          </w:p>
        </w:tc>
        <w:tc>
          <w:tcPr>
            <w:tcW w:w="880" w:type="dxa"/>
            <w:vAlign w:val="bottom"/>
            <w:shd w:val="clear" w:color="auto" w:fill="DBDBDB"/>
          </w:tcPr>
          <w:p>
            <w:pPr>
              <w:spacing w:after="0"/>
              <w:rPr>
                <w:sz w:val="17"/>
                <w:szCs w:val="17"/>
                <w:color w:val="auto"/>
              </w:rPr>
            </w:pPr>
          </w:p>
        </w:tc>
        <w:tc>
          <w:tcPr>
            <w:tcW w:w="580" w:type="dxa"/>
            <w:vAlign w:val="bottom"/>
            <w:shd w:val="clear" w:color="auto" w:fill="DBDBDB"/>
          </w:tcPr>
          <w:p>
            <w:pPr>
              <w:spacing w:after="0"/>
              <w:rPr>
                <w:sz w:val="17"/>
                <w:szCs w:val="17"/>
                <w:color w:val="auto"/>
              </w:rPr>
            </w:pPr>
          </w:p>
        </w:tc>
        <w:tc>
          <w:tcPr>
            <w:tcW w:w="360" w:type="dxa"/>
            <w:vAlign w:val="bottom"/>
            <w:shd w:val="clear" w:color="auto" w:fill="DBDBDB"/>
          </w:tcPr>
          <w:p>
            <w:pPr>
              <w:spacing w:after="0"/>
              <w:rPr>
                <w:sz w:val="17"/>
                <w:szCs w:val="17"/>
                <w:color w:val="auto"/>
              </w:rPr>
            </w:pPr>
          </w:p>
        </w:tc>
        <w:tc>
          <w:tcPr>
            <w:tcW w:w="440" w:type="dxa"/>
            <w:vAlign w:val="bottom"/>
            <w:shd w:val="clear" w:color="auto" w:fill="DBDBDB"/>
          </w:tcPr>
          <w:p>
            <w:pPr>
              <w:spacing w:after="0"/>
              <w:rPr>
                <w:sz w:val="17"/>
                <w:szCs w:val="17"/>
                <w:color w:val="auto"/>
              </w:rPr>
            </w:pPr>
          </w:p>
        </w:tc>
        <w:tc>
          <w:tcPr>
            <w:tcW w:w="780" w:type="dxa"/>
            <w:vAlign w:val="bottom"/>
            <w:shd w:val="clear" w:color="auto" w:fill="DBDBDB"/>
          </w:tcPr>
          <w:p>
            <w:pPr>
              <w:spacing w:after="0"/>
              <w:rPr>
                <w:sz w:val="17"/>
                <w:szCs w:val="17"/>
                <w:color w:val="auto"/>
              </w:rPr>
            </w:pPr>
          </w:p>
        </w:tc>
        <w:tc>
          <w:tcPr>
            <w:tcW w:w="960" w:type="dxa"/>
            <w:vAlign w:val="bottom"/>
            <w:shd w:val="clear" w:color="auto" w:fill="DBDBDB"/>
          </w:tcPr>
          <w:p>
            <w:pPr>
              <w:spacing w:after="0"/>
              <w:rPr>
                <w:sz w:val="17"/>
                <w:szCs w:val="17"/>
                <w:color w:val="auto"/>
              </w:rPr>
            </w:pPr>
          </w:p>
        </w:tc>
        <w:tc>
          <w:tcPr>
            <w:tcW w:w="1020" w:type="dxa"/>
            <w:vAlign w:val="bottom"/>
            <w:shd w:val="clear" w:color="auto" w:fill="DBDBDB"/>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660" w:type="dxa"/>
            <w:vAlign w:val="bottom"/>
          </w:tcPr>
          <w:p>
            <w:pPr>
              <w:spacing w:after="0"/>
              <w:rPr>
                <w:sz w:val="18"/>
                <w:szCs w:val="18"/>
                <w:color w:val="auto"/>
              </w:rPr>
            </w:pPr>
          </w:p>
        </w:tc>
        <w:tc>
          <w:tcPr>
            <w:tcW w:w="4160" w:type="dxa"/>
            <w:vAlign w:val="bottom"/>
            <w:gridSpan w:val="2"/>
          </w:tcPr>
          <w:p>
            <w:pPr>
              <w:ind w:left="20"/>
              <w:spacing w:after="0"/>
              <w:rPr>
                <w:sz w:val="20"/>
                <w:szCs w:val="20"/>
                <w:color w:val="auto"/>
              </w:rPr>
            </w:pPr>
            <w:r>
              <w:rPr>
                <w:rFonts w:ascii="Arial" w:cs="Arial" w:eastAsia="Arial" w:hAnsi="Arial"/>
                <w:sz w:val="14"/>
                <w:szCs w:val="14"/>
                <w:b w:val="1"/>
                <w:bCs w:val="1"/>
                <w:color w:val="C00000"/>
              </w:rPr>
              <w:t>James C. O'Rourke</w:t>
            </w:r>
          </w:p>
        </w:tc>
        <w:tc>
          <w:tcPr>
            <w:tcW w:w="4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40" w:type="dxa"/>
            <w:vAlign w:val="bottom"/>
            <w:vMerge w:val="restart"/>
          </w:tcPr>
          <w:p>
            <w:pPr>
              <w:ind w:left="200"/>
              <w:spacing w:after="0" w:line="181" w:lineRule="exact"/>
              <w:rPr>
                <w:sz w:val="20"/>
                <w:szCs w:val="20"/>
                <w:color w:val="auto"/>
              </w:rPr>
            </w:pPr>
            <w:r>
              <w:rPr>
                <w:rFonts w:ascii="MS PGothic" w:cs="MS PGothic" w:eastAsia="MS PGothic" w:hAnsi="MS PGothic"/>
                <w:sz w:val="18"/>
                <w:szCs w:val="18"/>
                <w:color w:val="auto"/>
                <w:shd w:val="clear" w:color="auto" w:fill="C00000"/>
              </w:rPr>
              <w:t>✓</w:t>
            </w:r>
          </w:p>
        </w:tc>
        <w:tc>
          <w:tcPr>
            <w:tcW w:w="7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2"/>
        </w:trPr>
        <w:tc>
          <w:tcPr>
            <w:tcW w:w="660" w:type="dxa"/>
            <w:vAlign w:val="bottom"/>
          </w:tcPr>
          <w:p>
            <w:pPr>
              <w:spacing w:after="0"/>
              <w:rPr>
                <w:sz w:val="16"/>
                <w:szCs w:val="16"/>
                <w:color w:val="auto"/>
              </w:rPr>
            </w:pPr>
          </w:p>
        </w:tc>
        <w:tc>
          <w:tcPr>
            <w:tcW w:w="4160" w:type="dxa"/>
            <w:vAlign w:val="bottom"/>
            <w:gridSpan w:val="2"/>
          </w:tcPr>
          <w:p>
            <w:pPr>
              <w:ind w:left="80"/>
              <w:spacing w:after="0"/>
              <w:rPr>
                <w:sz w:val="20"/>
                <w:szCs w:val="20"/>
                <w:color w:val="auto"/>
              </w:rPr>
            </w:pPr>
            <w:r>
              <w:rPr>
                <w:rFonts w:ascii="Arial" w:cs="Arial" w:eastAsia="Arial" w:hAnsi="Arial"/>
                <w:sz w:val="14"/>
                <w:szCs w:val="14"/>
                <w:color w:val="auto"/>
              </w:rPr>
              <w:t>Retired, President and Chief Executive Officer, The Mosaic</w:t>
            </w:r>
          </w:p>
        </w:tc>
        <w:tc>
          <w:tcPr>
            <w:tcW w:w="440" w:type="dxa"/>
            <w:vAlign w:val="bottom"/>
          </w:tcPr>
          <w:p>
            <w:pPr>
              <w:jc w:val="center"/>
              <w:ind w:right="49"/>
              <w:spacing w:after="0"/>
              <w:rPr>
                <w:sz w:val="20"/>
                <w:szCs w:val="20"/>
                <w:color w:val="auto"/>
              </w:rPr>
            </w:pPr>
            <w:r>
              <w:rPr>
                <w:rFonts w:ascii="Arial" w:cs="Arial" w:eastAsia="Arial" w:hAnsi="Arial"/>
                <w:sz w:val="14"/>
                <w:szCs w:val="14"/>
                <w:color w:val="auto"/>
              </w:rPr>
              <w:t>64</w:t>
            </w:r>
          </w:p>
        </w:tc>
        <w:tc>
          <w:tcPr>
            <w:tcW w:w="880" w:type="dxa"/>
            <w:vAlign w:val="bottom"/>
          </w:tcPr>
          <w:p>
            <w:pPr>
              <w:jc w:val="center"/>
              <w:spacing w:after="0"/>
              <w:rPr>
                <w:sz w:val="20"/>
                <w:szCs w:val="20"/>
                <w:color w:val="auto"/>
              </w:rPr>
            </w:pPr>
            <w:r>
              <w:rPr>
                <w:rFonts w:ascii="Arial" w:cs="Arial" w:eastAsia="Arial" w:hAnsi="Arial"/>
                <w:sz w:val="14"/>
                <w:szCs w:val="14"/>
                <w:color w:val="auto"/>
              </w:rPr>
              <w:t>2012</w:t>
            </w:r>
          </w:p>
        </w:tc>
        <w:tc>
          <w:tcPr>
            <w:tcW w:w="5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440" w:type="dxa"/>
            <w:vAlign w:val="bottom"/>
            <w:vMerge w:val="continue"/>
          </w:tcPr>
          <w:p>
            <w:pPr>
              <w:spacing w:after="0"/>
              <w:rPr>
                <w:sz w:val="16"/>
                <w:szCs w:val="16"/>
                <w:color w:val="auto"/>
              </w:rPr>
            </w:pPr>
          </w:p>
        </w:tc>
        <w:tc>
          <w:tcPr>
            <w:tcW w:w="780" w:type="dxa"/>
            <w:vAlign w:val="bottom"/>
          </w:tcPr>
          <w:p>
            <w:pPr>
              <w:ind w:left="420"/>
              <w:spacing w:after="0"/>
              <w:rPr>
                <w:sz w:val="20"/>
                <w:szCs w:val="20"/>
                <w:color w:val="auto"/>
              </w:rPr>
            </w:pPr>
            <w:r>
              <w:rPr>
                <w:rFonts w:ascii="Arial" w:cs="Arial" w:eastAsia="Arial" w:hAnsi="Arial"/>
                <w:sz w:val="16"/>
                <w:szCs w:val="16"/>
                <w:b w:val="1"/>
                <w:bCs w:val="1"/>
                <w:color w:val="C00000"/>
              </w:rPr>
              <w:t>C</w:t>
            </w:r>
          </w:p>
        </w:tc>
        <w:tc>
          <w:tcPr>
            <w:tcW w:w="960" w:type="dxa"/>
            <w:vAlign w:val="bottom"/>
          </w:tcPr>
          <w:p>
            <w:pPr>
              <w:jc w:val="center"/>
              <w:ind w:left="7"/>
              <w:spacing w:after="0"/>
              <w:rPr>
                <w:sz w:val="20"/>
                <w:szCs w:val="20"/>
                <w:color w:val="auto"/>
              </w:rPr>
            </w:pPr>
            <w:r>
              <w:rPr>
                <w:rFonts w:ascii="Arial" w:cs="Arial" w:eastAsia="Arial" w:hAnsi="Arial"/>
                <w:sz w:val="14"/>
                <w:szCs w:val="14"/>
                <w:b w:val="1"/>
                <w:bCs w:val="1"/>
                <w:color w:val="BF2115"/>
              </w:rPr>
              <w:t>2</w:t>
            </w: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60" w:type="dxa"/>
            <w:vAlign w:val="bottom"/>
          </w:tcPr>
          <w:p>
            <w:pPr>
              <w:spacing w:after="0"/>
              <w:rPr>
                <w:sz w:val="16"/>
                <w:szCs w:val="16"/>
                <w:color w:val="auto"/>
              </w:rPr>
            </w:pPr>
          </w:p>
        </w:tc>
        <w:tc>
          <w:tcPr>
            <w:tcW w:w="1020" w:type="dxa"/>
            <w:vAlign w:val="bottom"/>
          </w:tcPr>
          <w:p>
            <w:pPr>
              <w:ind w:left="80"/>
              <w:spacing w:after="0"/>
              <w:rPr>
                <w:sz w:val="20"/>
                <w:szCs w:val="20"/>
                <w:color w:val="auto"/>
              </w:rPr>
            </w:pPr>
            <w:r>
              <w:rPr>
                <w:rFonts w:ascii="Arial" w:cs="Arial" w:eastAsia="Arial" w:hAnsi="Arial"/>
                <w:sz w:val="14"/>
                <w:szCs w:val="14"/>
                <w:color w:val="auto"/>
              </w:rPr>
              <w:t>Company</w:t>
            </w:r>
          </w:p>
        </w:tc>
        <w:tc>
          <w:tcPr>
            <w:tcW w:w="31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660" w:type="dxa"/>
            <w:vAlign w:val="bottom"/>
          </w:tcPr>
          <w:p>
            <w:pPr>
              <w:spacing w:after="0" w:line="20" w:lineRule="exact"/>
              <w:rPr>
                <w:sz w:val="1"/>
                <w:szCs w:val="1"/>
                <w:color w:val="auto"/>
              </w:rPr>
            </w:pPr>
          </w:p>
        </w:tc>
        <w:tc>
          <w:tcPr>
            <w:tcW w:w="416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3"/>
        </w:trPr>
        <w:tc>
          <w:tcPr>
            <w:tcW w:w="660" w:type="dxa"/>
            <w:vAlign w:val="bottom"/>
          </w:tcPr>
          <w:p>
            <w:pPr>
              <w:spacing w:after="0"/>
              <w:rPr>
                <w:sz w:val="18"/>
                <w:szCs w:val="18"/>
                <w:color w:val="auto"/>
              </w:rPr>
            </w:pPr>
          </w:p>
        </w:tc>
        <w:tc>
          <w:tcPr>
            <w:tcW w:w="4160" w:type="dxa"/>
            <w:vAlign w:val="bottom"/>
            <w:gridSpan w:val="2"/>
            <w:shd w:val="clear" w:color="auto" w:fill="DBDBDB"/>
          </w:tcPr>
          <w:p>
            <w:pPr>
              <w:ind w:left="20"/>
              <w:spacing w:after="0"/>
              <w:rPr>
                <w:sz w:val="20"/>
                <w:szCs w:val="20"/>
                <w:color w:val="auto"/>
              </w:rPr>
            </w:pPr>
            <w:r>
              <w:rPr>
                <w:rFonts w:ascii="Arial" w:cs="Arial" w:eastAsia="Arial" w:hAnsi="Arial"/>
                <w:sz w:val="14"/>
                <w:szCs w:val="14"/>
                <w:b w:val="1"/>
                <w:bCs w:val="1"/>
                <w:color w:val="C00000"/>
              </w:rPr>
              <w:t>Continuing Directors</w:t>
            </w:r>
          </w:p>
        </w:tc>
        <w:tc>
          <w:tcPr>
            <w:tcW w:w="440" w:type="dxa"/>
            <w:vAlign w:val="bottom"/>
            <w:shd w:val="clear" w:color="auto" w:fill="DBDBDB"/>
          </w:tcPr>
          <w:p>
            <w:pPr>
              <w:spacing w:after="0"/>
              <w:rPr>
                <w:sz w:val="18"/>
                <w:szCs w:val="18"/>
                <w:color w:val="auto"/>
              </w:rPr>
            </w:pPr>
          </w:p>
        </w:tc>
        <w:tc>
          <w:tcPr>
            <w:tcW w:w="880" w:type="dxa"/>
            <w:vAlign w:val="bottom"/>
            <w:shd w:val="clear" w:color="auto" w:fill="DBDBDB"/>
          </w:tcPr>
          <w:p>
            <w:pPr>
              <w:spacing w:after="0"/>
              <w:rPr>
                <w:sz w:val="18"/>
                <w:szCs w:val="18"/>
                <w:color w:val="auto"/>
              </w:rPr>
            </w:pPr>
          </w:p>
        </w:tc>
        <w:tc>
          <w:tcPr>
            <w:tcW w:w="580" w:type="dxa"/>
            <w:vAlign w:val="bottom"/>
            <w:shd w:val="clear" w:color="auto" w:fill="DBDBDB"/>
          </w:tcPr>
          <w:p>
            <w:pPr>
              <w:spacing w:after="0"/>
              <w:rPr>
                <w:sz w:val="18"/>
                <w:szCs w:val="18"/>
                <w:color w:val="auto"/>
              </w:rPr>
            </w:pPr>
          </w:p>
        </w:tc>
        <w:tc>
          <w:tcPr>
            <w:tcW w:w="360" w:type="dxa"/>
            <w:vAlign w:val="bottom"/>
            <w:shd w:val="clear" w:color="auto" w:fill="DBDBDB"/>
          </w:tcPr>
          <w:p>
            <w:pPr>
              <w:spacing w:after="0"/>
              <w:rPr>
                <w:sz w:val="18"/>
                <w:szCs w:val="18"/>
                <w:color w:val="auto"/>
              </w:rPr>
            </w:pPr>
          </w:p>
        </w:tc>
        <w:tc>
          <w:tcPr>
            <w:tcW w:w="440" w:type="dxa"/>
            <w:vAlign w:val="bottom"/>
            <w:shd w:val="clear" w:color="auto" w:fill="DBDBDB"/>
          </w:tcPr>
          <w:p>
            <w:pPr>
              <w:spacing w:after="0"/>
              <w:rPr>
                <w:sz w:val="18"/>
                <w:szCs w:val="18"/>
                <w:color w:val="auto"/>
              </w:rPr>
            </w:pPr>
          </w:p>
        </w:tc>
        <w:tc>
          <w:tcPr>
            <w:tcW w:w="780" w:type="dxa"/>
            <w:vAlign w:val="bottom"/>
            <w:shd w:val="clear" w:color="auto" w:fill="DBDBDB"/>
          </w:tcPr>
          <w:p>
            <w:pPr>
              <w:spacing w:after="0"/>
              <w:rPr>
                <w:sz w:val="18"/>
                <w:szCs w:val="18"/>
                <w:color w:val="auto"/>
              </w:rPr>
            </w:pPr>
          </w:p>
        </w:tc>
        <w:tc>
          <w:tcPr>
            <w:tcW w:w="960" w:type="dxa"/>
            <w:vAlign w:val="bottom"/>
            <w:shd w:val="clear" w:color="auto" w:fill="DBDBDB"/>
          </w:tcPr>
          <w:p>
            <w:pPr>
              <w:spacing w:after="0"/>
              <w:rPr>
                <w:sz w:val="18"/>
                <w:szCs w:val="18"/>
                <w:color w:val="auto"/>
              </w:rPr>
            </w:pPr>
          </w:p>
        </w:tc>
        <w:tc>
          <w:tcPr>
            <w:tcW w:w="1020" w:type="dxa"/>
            <w:vAlign w:val="bottom"/>
            <w:shd w:val="clear" w:color="auto" w:fill="DBDBDB"/>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660" w:type="dxa"/>
            <w:vAlign w:val="bottom"/>
          </w:tcPr>
          <w:p>
            <w:pPr>
              <w:spacing w:after="0"/>
              <w:rPr>
                <w:sz w:val="18"/>
                <w:szCs w:val="18"/>
                <w:color w:val="auto"/>
              </w:rPr>
            </w:pPr>
          </w:p>
        </w:tc>
        <w:tc>
          <w:tcPr>
            <w:tcW w:w="4160" w:type="dxa"/>
            <w:vAlign w:val="bottom"/>
            <w:gridSpan w:val="2"/>
          </w:tcPr>
          <w:p>
            <w:pPr>
              <w:ind w:left="20"/>
              <w:spacing w:after="0"/>
              <w:rPr>
                <w:sz w:val="20"/>
                <w:szCs w:val="20"/>
                <w:color w:val="auto"/>
              </w:rPr>
            </w:pPr>
            <w:r>
              <w:rPr>
                <w:rFonts w:ascii="Arial" w:cs="Arial" w:eastAsia="Arial" w:hAnsi="Arial"/>
                <w:sz w:val="14"/>
                <w:szCs w:val="14"/>
                <w:b w:val="1"/>
                <w:bCs w:val="1"/>
                <w:color w:val="C00000"/>
              </w:rPr>
              <w:t>Gary L. Ellis – Lead Independent Director</w:t>
            </w:r>
          </w:p>
        </w:tc>
        <w:tc>
          <w:tcPr>
            <w:tcW w:w="4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80" w:type="dxa"/>
            <w:vAlign w:val="bottom"/>
            <w:vMerge w:val="restart"/>
          </w:tcPr>
          <w:p>
            <w:pPr>
              <w:ind w:left="200"/>
              <w:spacing w:after="0" w:line="181" w:lineRule="exact"/>
              <w:rPr>
                <w:sz w:val="20"/>
                <w:szCs w:val="20"/>
                <w:color w:val="auto"/>
              </w:rPr>
            </w:pPr>
            <w:r>
              <w:rPr>
                <w:rFonts w:ascii="MS PGothic" w:cs="MS PGothic" w:eastAsia="MS PGothic" w:hAnsi="MS PGothic"/>
                <w:sz w:val="18"/>
                <w:szCs w:val="18"/>
                <w:color w:val="auto"/>
                <w:shd w:val="clear" w:color="auto" w:fill="C00000"/>
              </w:rPr>
              <w:t>✓</w:t>
            </w:r>
          </w:p>
        </w:tc>
        <w:tc>
          <w:tcPr>
            <w:tcW w:w="360" w:type="dxa"/>
            <w:vAlign w:val="bottom"/>
            <w:vMerge w:val="restart"/>
          </w:tcPr>
          <w:p>
            <w:pPr>
              <w:ind w:left="80"/>
              <w:spacing w:after="0" w:line="181" w:lineRule="exact"/>
              <w:rPr>
                <w:sz w:val="20"/>
                <w:szCs w:val="20"/>
                <w:color w:val="auto"/>
              </w:rPr>
            </w:pPr>
            <w:r>
              <w:rPr>
                <w:rFonts w:ascii="MS PGothic" w:cs="MS PGothic" w:eastAsia="MS PGothic" w:hAnsi="MS PGothic"/>
                <w:sz w:val="18"/>
                <w:szCs w:val="18"/>
                <w:color w:val="auto"/>
                <w:shd w:val="clear" w:color="auto" w:fill="C00000"/>
              </w:rPr>
              <w:t>✓</w:t>
            </w:r>
          </w:p>
        </w:tc>
        <w:tc>
          <w:tcPr>
            <w:tcW w:w="4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660" w:type="dxa"/>
            <w:vAlign w:val="bottom"/>
          </w:tcPr>
          <w:p>
            <w:pPr>
              <w:spacing w:after="0"/>
              <w:rPr>
                <w:sz w:val="19"/>
                <w:szCs w:val="19"/>
                <w:color w:val="auto"/>
              </w:rPr>
            </w:pPr>
          </w:p>
        </w:tc>
        <w:tc>
          <w:tcPr>
            <w:tcW w:w="4160" w:type="dxa"/>
            <w:vAlign w:val="bottom"/>
            <w:gridSpan w:val="2"/>
          </w:tcPr>
          <w:p>
            <w:pPr>
              <w:ind w:left="80"/>
              <w:spacing w:after="0"/>
              <w:rPr>
                <w:sz w:val="20"/>
                <w:szCs w:val="20"/>
                <w:color w:val="auto"/>
              </w:rPr>
            </w:pPr>
            <w:r>
              <w:rPr>
                <w:rFonts w:ascii="Arial" w:cs="Arial" w:eastAsia="Arial" w:hAnsi="Arial"/>
                <w:sz w:val="14"/>
                <w:szCs w:val="14"/>
                <w:color w:val="auto"/>
              </w:rPr>
              <w:t>Retired Executive Vice President,</w:t>
            </w:r>
          </w:p>
        </w:tc>
        <w:tc>
          <w:tcPr>
            <w:tcW w:w="440" w:type="dxa"/>
            <w:vAlign w:val="bottom"/>
          </w:tcPr>
          <w:p>
            <w:pPr>
              <w:jc w:val="center"/>
              <w:ind w:right="49"/>
              <w:spacing w:after="0"/>
              <w:rPr>
                <w:sz w:val="20"/>
                <w:szCs w:val="20"/>
                <w:color w:val="auto"/>
              </w:rPr>
            </w:pPr>
            <w:r>
              <w:rPr>
                <w:rFonts w:ascii="Arial" w:cs="Arial" w:eastAsia="Arial" w:hAnsi="Arial"/>
                <w:sz w:val="14"/>
                <w:szCs w:val="14"/>
                <w:color w:val="auto"/>
              </w:rPr>
              <w:t>68</w:t>
            </w:r>
          </w:p>
        </w:tc>
        <w:tc>
          <w:tcPr>
            <w:tcW w:w="880" w:type="dxa"/>
            <w:vAlign w:val="bottom"/>
          </w:tcPr>
          <w:p>
            <w:pPr>
              <w:jc w:val="center"/>
              <w:spacing w:after="0"/>
              <w:rPr>
                <w:sz w:val="20"/>
                <w:szCs w:val="20"/>
                <w:color w:val="auto"/>
              </w:rPr>
            </w:pPr>
            <w:r>
              <w:rPr>
                <w:rFonts w:ascii="Arial" w:cs="Arial" w:eastAsia="Arial" w:hAnsi="Arial"/>
                <w:sz w:val="14"/>
                <w:szCs w:val="14"/>
                <w:color w:val="auto"/>
              </w:rPr>
              <w:t>2006</w:t>
            </w:r>
          </w:p>
        </w:tc>
        <w:tc>
          <w:tcPr>
            <w:tcW w:w="580" w:type="dxa"/>
            <w:vAlign w:val="bottom"/>
            <w:vMerge w:val="continue"/>
          </w:tcPr>
          <w:p>
            <w:pPr>
              <w:spacing w:after="0"/>
              <w:rPr>
                <w:sz w:val="19"/>
                <w:szCs w:val="19"/>
                <w:color w:val="auto"/>
              </w:rPr>
            </w:pPr>
          </w:p>
        </w:tc>
        <w:tc>
          <w:tcPr>
            <w:tcW w:w="360" w:type="dxa"/>
            <w:vAlign w:val="bottom"/>
            <w:vMerge w:val="continue"/>
          </w:tcPr>
          <w:p>
            <w:pPr>
              <w:spacing w:after="0"/>
              <w:rPr>
                <w:sz w:val="19"/>
                <w:szCs w:val="19"/>
                <w:color w:val="auto"/>
              </w:rPr>
            </w:pPr>
          </w:p>
        </w:tc>
        <w:tc>
          <w:tcPr>
            <w:tcW w:w="4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960" w:type="dxa"/>
            <w:vAlign w:val="bottom"/>
          </w:tcPr>
          <w:p>
            <w:pPr>
              <w:jc w:val="center"/>
              <w:spacing w:after="0"/>
              <w:rPr>
                <w:sz w:val="20"/>
                <w:szCs w:val="20"/>
                <w:color w:val="auto"/>
              </w:rPr>
            </w:pPr>
            <w:r>
              <w:rPr>
                <w:rFonts w:ascii="Arial" w:cs="Arial" w:eastAsia="Arial" w:hAnsi="Arial"/>
                <w:sz w:val="16"/>
                <w:szCs w:val="16"/>
                <w:b w:val="1"/>
                <w:bCs w:val="1"/>
                <w:color w:val="BF2115"/>
              </w:rPr>
              <w:t>1</w:t>
            </w: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660" w:type="dxa"/>
            <w:vAlign w:val="bottom"/>
          </w:tcPr>
          <w:p>
            <w:pPr>
              <w:spacing w:after="0"/>
              <w:rPr>
                <w:sz w:val="19"/>
                <w:szCs w:val="19"/>
                <w:color w:val="auto"/>
              </w:rPr>
            </w:pPr>
          </w:p>
        </w:tc>
        <w:tc>
          <w:tcPr>
            <w:tcW w:w="1020" w:type="dxa"/>
            <w:vAlign w:val="bottom"/>
          </w:tcPr>
          <w:p>
            <w:pPr>
              <w:ind w:left="80"/>
              <w:spacing w:after="0"/>
              <w:rPr>
                <w:sz w:val="20"/>
                <w:szCs w:val="20"/>
                <w:color w:val="auto"/>
              </w:rPr>
            </w:pPr>
            <w:r>
              <w:rPr>
                <w:rFonts w:ascii="Arial" w:cs="Arial" w:eastAsia="Arial" w:hAnsi="Arial"/>
                <w:sz w:val="14"/>
                <w:szCs w:val="14"/>
                <w:color w:val="auto"/>
              </w:rPr>
              <w:t>Medtronic plc</w:t>
            </w:r>
          </w:p>
        </w:tc>
        <w:tc>
          <w:tcPr>
            <w:tcW w:w="31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580" w:type="dxa"/>
            <w:vAlign w:val="bottom"/>
          </w:tcPr>
          <w:p>
            <w:pPr>
              <w:ind w:left="220"/>
              <w:spacing w:after="0"/>
              <w:rPr>
                <w:sz w:val="20"/>
                <w:szCs w:val="20"/>
                <w:color w:val="auto"/>
              </w:rPr>
            </w:pPr>
            <w:r>
              <w:rPr>
                <w:rFonts w:ascii="Arial" w:cs="Arial" w:eastAsia="Arial" w:hAnsi="Arial"/>
                <w:sz w:val="16"/>
                <w:szCs w:val="16"/>
                <w:b w:val="1"/>
                <w:bCs w:val="1"/>
                <w:color w:val="C00000"/>
              </w:rPr>
              <w:t>E</w:t>
            </w:r>
          </w:p>
        </w:tc>
        <w:tc>
          <w:tcPr>
            <w:tcW w:w="3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416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2"/>
        </w:trPr>
        <w:tc>
          <w:tcPr>
            <w:tcW w:w="660" w:type="dxa"/>
            <w:vAlign w:val="bottom"/>
          </w:tcPr>
          <w:p>
            <w:pPr>
              <w:spacing w:after="0"/>
              <w:rPr>
                <w:sz w:val="18"/>
                <w:szCs w:val="18"/>
                <w:color w:val="auto"/>
              </w:rPr>
            </w:pPr>
          </w:p>
        </w:tc>
        <w:tc>
          <w:tcPr>
            <w:tcW w:w="4160" w:type="dxa"/>
            <w:vAlign w:val="bottom"/>
            <w:gridSpan w:val="2"/>
            <w:shd w:val="clear" w:color="auto" w:fill="DBDBDB"/>
          </w:tcPr>
          <w:p>
            <w:pPr>
              <w:ind w:left="20"/>
              <w:spacing w:after="0"/>
              <w:rPr>
                <w:sz w:val="20"/>
                <w:szCs w:val="20"/>
                <w:color w:val="auto"/>
              </w:rPr>
            </w:pPr>
            <w:r>
              <w:rPr>
                <w:rFonts w:ascii="Arial" w:cs="Arial" w:eastAsia="Arial" w:hAnsi="Arial"/>
                <w:sz w:val="14"/>
                <w:szCs w:val="14"/>
                <w:b w:val="1"/>
                <w:bCs w:val="1"/>
                <w:color w:val="C00000"/>
              </w:rPr>
              <w:t>Jill M. Pemberton</w:t>
            </w:r>
          </w:p>
        </w:tc>
        <w:tc>
          <w:tcPr>
            <w:tcW w:w="440" w:type="dxa"/>
            <w:vAlign w:val="bottom"/>
            <w:shd w:val="clear" w:color="auto" w:fill="DBDBDB"/>
          </w:tcPr>
          <w:p>
            <w:pPr>
              <w:spacing w:after="0"/>
              <w:rPr>
                <w:sz w:val="18"/>
                <w:szCs w:val="18"/>
                <w:color w:val="auto"/>
              </w:rPr>
            </w:pPr>
          </w:p>
        </w:tc>
        <w:tc>
          <w:tcPr>
            <w:tcW w:w="880" w:type="dxa"/>
            <w:vAlign w:val="bottom"/>
            <w:shd w:val="clear" w:color="auto" w:fill="DBDBDB"/>
          </w:tcPr>
          <w:p>
            <w:pPr>
              <w:spacing w:after="0"/>
              <w:rPr>
                <w:sz w:val="18"/>
                <w:szCs w:val="18"/>
                <w:color w:val="auto"/>
              </w:rPr>
            </w:pPr>
          </w:p>
        </w:tc>
        <w:tc>
          <w:tcPr>
            <w:tcW w:w="580" w:type="dxa"/>
            <w:vAlign w:val="bottom"/>
            <w:shd w:val="clear" w:color="auto" w:fill="DBDBDB"/>
          </w:tcPr>
          <w:p>
            <w:pPr>
              <w:spacing w:after="0"/>
              <w:rPr>
                <w:sz w:val="18"/>
                <w:szCs w:val="18"/>
                <w:color w:val="auto"/>
              </w:rPr>
            </w:pPr>
          </w:p>
        </w:tc>
        <w:tc>
          <w:tcPr>
            <w:tcW w:w="360" w:type="dxa"/>
            <w:vAlign w:val="bottom"/>
            <w:vMerge w:val="restart"/>
            <w:shd w:val="clear" w:color="auto" w:fill="DBDBDB"/>
          </w:tcPr>
          <w:p>
            <w:pPr>
              <w:ind w:left="100"/>
              <w:spacing w:after="0" w:line="161" w:lineRule="exact"/>
              <w:rPr>
                <w:sz w:val="20"/>
                <w:szCs w:val="20"/>
                <w:color w:val="auto"/>
              </w:rPr>
            </w:pPr>
            <w:r>
              <w:rPr>
                <w:rFonts w:ascii="MS PGothic" w:cs="MS PGothic" w:eastAsia="MS PGothic" w:hAnsi="MS PGothic"/>
                <w:sz w:val="16"/>
                <w:szCs w:val="16"/>
                <w:color w:val="auto"/>
                <w:shd w:val="clear" w:color="auto" w:fill="C00000"/>
              </w:rPr>
              <w:t>✓</w:t>
            </w:r>
          </w:p>
        </w:tc>
        <w:tc>
          <w:tcPr>
            <w:tcW w:w="440" w:type="dxa"/>
            <w:vAlign w:val="bottom"/>
            <w:shd w:val="clear" w:color="auto" w:fill="DBDBDB"/>
          </w:tcPr>
          <w:p>
            <w:pPr>
              <w:spacing w:after="0"/>
              <w:rPr>
                <w:sz w:val="18"/>
                <w:szCs w:val="18"/>
                <w:color w:val="auto"/>
              </w:rPr>
            </w:pPr>
          </w:p>
        </w:tc>
        <w:tc>
          <w:tcPr>
            <w:tcW w:w="780" w:type="dxa"/>
            <w:vAlign w:val="bottom"/>
            <w:shd w:val="clear" w:color="auto" w:fill="DBDBDB"/>
          </w:tcPr>
          <w:p>
            <w:pPr>
              <w:spacing w:after="0"/>
              <w:rPr>
                <w:sz w:val="18"/>
                <w:szCs w:val="18"/>
                <w:color w:val="auto"/>
              </w:rPr>
            </w:pPr>
          </w:p>
        </w:tc>
        <w:tc>
          <w:tcPr>
            <w:tcW w:w="960" w:type="dxa"/>
            <w:vAlign w:val="bottom"/>
            <w:shd w:val="clear" w:color="auto" w:fill="DBDBDB"/>
          </w:tcPr>
          <w:p>
            <w:pPr>
              <w:spacing w:after="0"/>
              <w:rPr>
                <w:sz w:val="18"/>
                <w:szCs w:val="18"/>
                <w:color w:val="auto"/>
              </w:rPr>
            </w:pPr>
          </w:p>
        </w:tc>
        <w:tc>
          <w:tcPr>
            <w:tcW w:w="1020" w:type="dxa"/>
            <w:vAlign w:val="bottom"/>
            <w:vMerge w:val="restart"/>
            <w:shd w:val="clear" w:color="auto" w:fill="DBDBDB"/>
          </w:tcPr>
          <w:p>
            <w:pPr>
              <w:jc w:val="center"/>
              <w:spacing w:after="0" w:line="181" w:lineRule="exact"/>
              <w:rPr>
                <w:sz w:val="20"/>
                <w:szCs w:val="20"/>
                <w:color w:val="auto"/>
              </w:rPr>
            </w:pPr>
            <w:r>
              <w:rPr>
                <w:rFonts w:ascii="MS PGothic" w:cs="MS PGothic" w:eastAsia="MS PGothic" w:hAnsi="MS PGothic"/>
                <w:sz w:val="18"/>
                <w:szCs w:val="18"/>
                <w:color w:val="auto"/>
                <w:w w:val="77"/>
                <w:shd w:val="clear" w:color="auto" w:fill="C00000"/>
              </w:rPr>
              <w:t>✓</w:t>
            </w:r>
          </w:p>
        </w:tc>
        <w:tc>
          <w:tcPr>
            <w:tcW w:w="0" w:type="dxa"/>
            <w:vAlign w:val="bottom"/>
          </w:tcPr>
          <w:p>
            <w:pPr>
              <w:spacing w:after="0"/>
              <w:rPr>
                <w:sz w:val="1"/>
                <w:szCs w:val="1"/>
                <w:color w:val="auto"/>
              </w:rPr>
            </w:pPr>
          </w:p>
        </w:tc>
      </w:tr>
      <w:tr>
        <w:trPr>
          <w:trHeight w:val="202"/>
        </w:trPr>
        <w:tc>
          <w:tcPr>
            <w:tcW w:w="660" w:type="dxa"/>
            <w:vAlign w:val="bottom"/>
          </w:tcPr>
          <w:p>
            <w:pPr>
              <w:spacing w:after="0"/>
              <w:rPr>
                <w:sz w:val="17"/>
                <w:szCs w:val="17"/>
                <w:color w:val="auto"/>
              </w:rPr>
            </w:pPr>
          </w:p>
        </w:tc>
        <w:tc>
          <w:tcPr>
            <w:tcW w:w="4160" w:type="dxa"/>
            <w:vAlign w:val="bottom"/>
            <w:gridSpan w:val="2"/>
            <w:shd w:val="clear" w:color="auto" w:fill="DBDBDB"/>
          </w:tcPr>
          <w:p>
            <w:pPr>
              <w:ind w:left="100"/>
              <w:spacing w:after="0"/>
              <w:rPr>
                <w:sz w:val="20"/>
                <w:szCs w:val="20"/>
                <w:color w:val="auto"/>
              </w:rPr>
            </w:pPr>
            <w:r>
              <w:rPr>
                <w:rFonts w:ascii="Arial" w:cs="Arial" w:eastAsia="Arial" w:hAnsi="Arial"/>
                <w:sz w:val="14"/>
                <w:szCs w:val="14"/>
                <w:color w:val="auto"/>
              </w:rPr>
              <w:t>Chief Financial Officer, North America</w:t>
            </w:r>
          </w:p>
        </w:tc>
        <w:tc>
          <w:tcPr>
            <w:tcW w:w="440" w:type="dxa"/>
            <w:vAlign w:val="bottom"/>
            <w:shd w:val="clear" w:color="auto" w:fill="DBDBDB"/>
          </w:tcPr>
          <w:p>
            <w:pPr>
              <w:jc w:val="center"/>
              <w:ind w:right="49"/>
              <w:spacing w:after="0"/>
              <w:rPr>
                <w:sz w:val="20"/>
                <w:szCs w:val="20"/>
                <w:color w:val="auto"/>
              </w:rPr>
            </w:pPr>
            <w:r>
              <w:rPr>
                <w:rFonts w:ascii="Arial" w:cs="Arial" w:eastAsia="Arial" w:hAnsi="Arial"/>
                <w:sz w:val="14"/>
                <w:szCs w:val="14"/>
                <w:color w:val="auto"/>
              </w:rPr>
              <w:t>54</w:t>
            </w:r>
          </w:p>
        </w:tc>
        <w:tc>
          <w:tcPr>
            <w:tcW w:w="880" w:type="dxa"/>
            <w:vAlign w:val="bottom"/>
            <w:shd w:val="clear" w:color="auto" w:fill="DBDBDB"/>
          </w:tcPr>
          <w:p>
            <w:pPr>
              <w:jc w:val="center"/>
              <w:spacing w:after="0"/>
              <w:rPr>
                <w:sz w:val="20"/>
                <w:szCs w:val="20"/>
                <w:color w:val="auto"/>
              </w:rPr>
            </w:pPr>
            <w:r>
              <w:rPr>
                <w:rFonts w:ascii="Arial" w:cs="Arial" w:eastAsia="Arial" w:hAnsi="Arial"/>
                <w:sz w:val="14"/>
                <w:szCs w:val="14"/>
                <w:color w:val="auto"/>
              </w:rPr>
              <w:t>2022</w:t>
            </w:r>
          </w:p>
        </w:tc>
        <w:tc>
          <w:tcPr>
            <w:tcW w:w="580" w:type="dxa"/>
            <w:vAlign w:val="bottom"/>
            <w:shd w:val="clear" w:color="auto" w:fill="DBDBDB"/>
          </w:tcPr>
          <w:p>
            <w:pPr>
              <w:ind w:left="200"/>
              <w:spacing w:after="0"/>
              <w:rPr>
                <w:sz w:val="20"/>
                <w:szCs w:val="20"/>
                <w:color w:val="auto"/>
              </w:rPr>
            </w:pPr>
            <w:r>
              <w:rPr>
                <w:rFonts w:ascii="Arial" w:cs="Arial" w:eastAsia="Arial" w:hAnsi="Arial"/>
                <w:sz w:val="16"/>
                <w:szCs w:val="16"/>
                <w:b w:val="1"/>
                <w:bCs w:val="1"/>
                <w:color w:val="C00000"/>
              </w:rPr>
              <w:t>C</w:t>
            </w:r>
          </w:p>
        </w:tc>
        <w:tc>
          <w:tcPr>
            <w:tcW w:w="360" w:type="dxa"/>
            <w:vAlign w:val="bottom"/>
            <w:vMerge w:val="continue"/>
            <w:shd w:val="clear" w:color="auto" w:fill="DBDBDB"/>
          </w:tcPr>
          <w:p>
            <w:pPr>
              <w:spacing w:after="0"/>
              <w:rPr>
                <w:sz w:val="17"/>
                <w:szCs w:val="17"/>
                <w:color w:val="auto"/>
              </w:rPr>
            </w:pPr>
          </w:p>
        </w:tc>
        <w:tc>
          <w:tcPr>
            <w:tcW w:w="440" w:type="dxa"/>
            <w:vAlign w:val="bottom"/>
            <w:shd w:val="clear" w:color="auto" w:fill="DBDBDB"/>
          </w:tcPr>
          <w:p>
            <w:pPr>
              <w:spacing w:after="0"/>
              <w:rPr>
                <w:sz w:val="17"/>
                <w:szCs w:val="17"/>
                <w:color w:val="auto"/>
              </w:rPr>
            </w:pPr>
          </w:p>
        </w:tc>
        <w:tc>
          <w:tcPr>
            <w:tcW w:w="780" w:type="dxa"/>
            <w:vAlign w:val="bottom"/>
            <w:shd w:val="clear" w:color="auto" w:fill="DBDBDB"/>
          </w:tcPr>
          <w:p>
            <w:pPr>
              <w:spacing w:after="0"/>
              <w:rPr>
                <w:sz w:val="17"/>
                <w:szCs w:val="17"/>
                <w:color w:val="auto"/>
              </w:rPr>
            </w:pPr>
          </w:p>
        </w:tc>
        <w:tc>
          <w:tcPr>
            <w:tcW w:w="960" w:type="dxa"/>
            <w:vAlign w:val="bottom"/>
            <w:shd w:val="clear" w:color="auto" w:fill="DBDBDB"/>
          </w:tcPr>
          <w:p>
            <w:pPr>
              <w:spacing w:after="0"/>
              <w:rPr>
                <w:sz w:val="17"/>
                <w:szCs w:val="17"/>
                <w:color w:val="auto"/>
              </w:rPr>
            </w:pPr>
          </w:p>
        </w:tc>
        <w:tc>
          <w:tcPr>
            <w:tcW w:w="1020" w:type="dxa"/>
            <w:vAlign w:val="bottom"/>
            <w:vMerge w:val="continue"/>
            <w:shd w:val="clear" w:color="auto" w:fill="DBDBDB"/>
          </w:tcPr>
          <w:p>
            <w:pPr>
              <w:spacing w:after="0"/>
              <w:rPr>
                <w:sz w:val="17"/>
                <w:szCs w:val="17"/>
                <w:color w:val="auto"/>
              </w:rPr>
            </w:pPr>
          </w:p>
        </w:tc>
        <w:tc>
          <w:tcPr>
            <w:tcW w:w="0" w:type="dxa"/>
            <w:vAlign w:val="bottom"/>
          </w:tcPr>
          <w:p>
            <w:pPr>
              <w:spacing w:after="0"/>
              <w:rPr>
                <w:sz w:val="1"/>
                <w:szCs w:val="1"/>
                <w:color w:val="auto"/>
              </w:rPr>
            </w:pPr>
          </w:p>
        </w:tc>
      </w:tr>
      <w:tr>
        <w:trPr>
          <w:trHeight w:val="240"/>
        </w:trPr>
        <w:tc>
          <w:tcPr>
            <w:tcW w:w="660" w:type="dxa"/>
            <w:vAlign w:val="bottom"/>
          </w:tcPr>
          <w:p>
            <w:pPr>
              <w:spacing w:after="0"/>
              <w:rPr>
                <w:sz w:val="20"/>
                <w:szCs w:val="20"/>
                <w:color w:val="auto"/>
              </w:rPr>
            </w:pPr>
          </w:p>
        </w:tc>
        <w:tc>
          <w:tcPr>
            <w:tcW w:w="4160" w:type="dxa"/>
            <w:vAlign w:val="bottom"/>
            <w:gridSpan w:val="2"/>
            <w:shd w:val="clear" w:color="auto" w:fill="DBDBDB"/>
          </w:tcPr>
          <w:p>
            <w:pPr>
              <w:ind w:left="100"/>
              <w:spacing w:after="0"/>
              <w:rPr>
                <w:sz w:val="20"/>
                <w:szCs w:val="20"/>
                <w:color w:val="auto"/>
              </w:rPr>
            </w:pPr>
            <w:r>
              <w:rPr>
                <w:rFonts w:ascii="Arial" w:cs="Arial" w:eastAsia="Arial" w:hAnsi="Arial"/>
                <w:sz w:val="14"/>
                <w:szCs w:val="14"/>
                <w:color w:val="auto"/>
              </w:rPr>
              <w:t>LVMH Moët Hennessy Louis Vuitton</w:t>
            </w:r>
          </w:p>
        </w:tc>
        <w:tc>
          <w:tcPr>
            <w:tcW w:w="440" w:type="dxa"/>
            <w:vAlign w:val="bottom"/>
            <w:shd w:val="clear" w:color="auto" w:fill="DBDBDB"/>
          </w:tcPr>
          <w:p>
            <w:pPr>
              <w:spacing w:after="0"/>
              <w:rPr>
                <w:sz w:val="20"/>
                <w:szCs w:val="20"/>
                <w:color w:val="auto"/>
              </w:rPr>
            </w:pPr>
          </w:p>
        </w:tc>
        <w:tc>
          <w:tcPr>
            <w:tcW w:w="880" w:type="dxa"/>
            <w:vAlign w:val="bottom"/>
            <w:shd w:val="clear" w:color="auto" w:fill="DBDBDB"/>
          </w:tcPr>
          <w:p>
            <w:pPr>
              <w:spacing w:after="0"/>
              <w:rPr>
                <w:sz w:val="20"/>
                <w:szCs w:val="20"/>
                <w:color w:val="auto"/>
              </w:rPr>
            </w:pPr>
          </w:p>
        </w:tc>
        <w:tc>
          <w:tcPr>
            <w:tcW w:w="580" w:type="dxa"/>
            <w:vAlign w:val="bottom"/>
            <w:shd w:val="clear" w:color="auto" w:fill="DBDBDB"/>
          </w:tcPr>
          <w:p>
            <w:pPr>
              <w:ind w:left="220"/>
              <w:spacing w:after="0"/>
              <w:rPr>
                <w:sz w:val="20"/>
                <w:szCs w:val="20"/>
                <w:color w:val="auto"/>
              </w:rPr>
            </w:pPr>
            <w:r>
              <w:rPr>
                <w:rFonts w:ascii="Arial" w:cs="Arial" w:eastAsia="Arial" w:hAnsi="Arial"/>
                <w:sz w:val="16"/>
                <w:szCs w:val="16"/>
                <w:b w:val="1"/>
                <w:bCs w:val="1"/>
                <w:color w:val="C00000"/>
              </w:rPr>
              <w:t>E</w:t>
            </w:r>
          </w:p>
        </w:tc>
        <w:tc>
          <w:tcPr>
            <w:tcW w:w="360" w:type="dxa"/>
            <w:vAlign w:val="bottom"/>
            <w:shd w:val="clear" w:color="auto" w:fill="DBDBDB"/>
          </w:tcPr>
          <w:p>
            <w:pPr>
              <w:spacing w:after="0"/>
              <w:rPr>
                <w:sz w:val="20"/>
                <w:szCs w:val="20"/>
                <w:color w:val="auto"/>
              </w:rPr>
            </w:pPr>
          </w:p>
        </w:tc>
        <w:tc>
          <w:tcPr>
            <w:tcW w:w="440" w:type="dxa"/>
            <w:vAlign w:val="bottom"/>
            <w:shd w:val="clear" w:color="auto" w:fill="DBDBDB"/>
          </w:tcPr>
          <w:p>
            <w:pPr>
              <w:spacing w:after="0"/>
              <w:rPr>
                <w:sz w:val="20"/>
                <w:szCs w:val="20"/>
                <w:color w:val="auto"/>
              </w:rPr>
            </w:pPr>
          </w:p>
        </w:tc>
        <w:tc>
          <w:tcPr>
            <w:tcW w:w="780" w:type="dxa"/>
            <w:vAlign w:val="bottom"/>
            <w:shd w:val="clear" w:color="auto" w:fill="DBDBDB"/>
          </w:tcPr>
          <w:p>
            <w:pPr>
              <w:spacing w:after="0"/>
              <w:rPr>
                <w:sz w:val="20"/>
                <w:szCs w:val="20"/>
                <w:color w:val="auto"/>
              </w:rPr>
            </w:pPr>
          </w:p>
        </w:tc>
        <w:tc>
          <w:tcPr>
            <w:tcW w:w="960" w:type="dxa"/>
            <w:vAlign w:val="bottom"/>
            <w:shd w:val="clear" w:color="auto" w:fill="DBDBDB"/>
          </w:tcPr>
          <w:p>
            <w:pPr>
              <w:spacing w:after="0"/>
              <w:rPr>
                <w:sz w:val="20"/>
                <w:szCs w:val="20"/>
                <w:color w:val="auto"/>
              </w:rPr>
            </w:pPr>
          </w:p>
        </w:tc>
        <w:tc>
          <w:tcPr>
            <w:tcW w:w="1020" w:type="dxa"/>
            <w:vAlign w:val="bottom"/>
            <w:shd w:val="clear" w:color="auto" w:fill="DBDBDB"/>
          </w:tcPr>
          <w:p>
            <w:pPr>
              <w:spacing w:after="0"/>
              <w:rPr>
                <w:sz w:val="20"/>
                <w:szCs w:val="20"/>
                <w:color w:val="auto"/>
              </w:rPr>
            </w:pPr>
          </w:p>
        </w:tc>
        <w:tc>
          <w:tcPr>
            <w:tcW w:w="0" w:type="dxa"/>
            <w:vAlign w:val="bottom"/>
          </w:tcPr>
          <w:p>
            <w:pPr>
              <w:spacing w:after="0"/>
              <w:rPr>
                <w:sz w:val="1"/>
                <w:szCs w:val="1"/>
                <w:color w:val="auto"/>
              </w:rPr>
            </w:pPr>
          </w:p>
        </w:tc>
      </w:tr>
      <w:tr>
        <w:trPr>
          <w:trHeight w:val="212"/>
        </w:trPr>
        <w:tc>
          <w:tcPr>
            <w:tcW w:w="660" w:type="dxa"/>
            <w:vAlign w:val="bottom"/>
          </w:tcPr>
          <w:p>
            <w:pPr>
              <w:spacing w:after="0"/>
              <w:rPr>
                <w:sz w:val="18"/>
                <w:szCs w:val="18"/>
                <w:color w:val="auto"/>
              </w:rPr>
            </w:pPr>
          </w:p>
        </w:tc>
        <w:tc>
          <w:tcPr>
            <w:tcW w:w="4160" w:type="dxa"/>
            <w:vAlign w:val="bottom"/>
            <w:gridSpan w:val="2"/>
          </w:tcPr>
          <w:p>
            <w:pPr>
              <w:ind w:left="20"/>
              <w:spacing w:after="0"/>
              <w:rPr>
                <w:sz w:val="20"/>
                <w:szCs w:val="20"/>
                <w:color w:val="auto"/>
              </w:rPr>
            </w:pPr>
            <w:r>
              <w:rPr>
                <w:rFonts w:ascii="Arial" w:cs="Arial" w:eastAsia="Arial" w:hAnsi="Arial"/>
                <w:sz w:val="14"/>
                <w:szCs w:val="14"/>
                <w:b w:val="1"/>
                <w:bCs w:val="1"/>
                <w:color w:val="C00000"/>
              </w:rPr>
              <w:t>Dianne C. Craig</w:t>
            </w:r>
          </w:p>
        </w:tc>
        <w:tc>
          <w:tcPr>
            <w:tcW w:w="4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80" w:type="dxa"/>
            <w:vAlign w:val="bottom"/>
            <w:vMerge w:val="restart"/>
          </w:tcPr>
          <w:p>
            <w:pPr>
              <w:ind w:left="220"/>
              <w:spacing w:after="0" w:line="181" w:lineRule="exact"/>
              <w:rPr>
                <w:sz w:val="20"/>
                <w:szCs w:val="20"/>
                <w:color w:val="auto"/>
              </w:rPr>
            </w:pPr>
            <w:r>
              <w:rPr>
                <w:rFonts w:ascii="MS PGothic" w:cs="MS PGothic" w:eastAsia="MS PGothic" w:hAnsi="MS PGothic"/>
                <w:sz w:val="18"/>
                <w:szCs w:val="18"/>
                <w:color w:val="auto"/>
                <w:shd w:val="clear" w:color="auto" w:fill="C00000"/>
              </w:rPr>
              <w:t>✓</w:t>
            </w:r>
          </w:p>
        </w:tc>
        <w:tc>
          <w:tcPr>
            <w:tcW w:w="360" w:type="dxa"/>
            <w:vAlign w:val="bottom"/>
            <w:vMerge w:val="restart"/>
          </w:tcPr>
          <w:p>
            <w:pPr>
              <w:ind w:left="80"/>
              <w:spacing w:after="0" w:line="181" w:lineRule="exact"/>
              <w:rPr>
                <w:sz w:val="20"/>
                <w:szCs w:val="20"/>
                <w:color w:val="auto"/>
              </w:rPr>
            </w:pPr>
            <w:r>
              <w:rPr>
                <w:rFonts w:ascii="MS PGothic" w:cs="MS PGothic" w:eastAsia="MS PGothic" w:hAnsi="MS PGothic"/>
                <w:sz w:val="18"/>
                <w:szCs w:val="18"/>
                <w:color w:val="auto"/>
                <w:shd w:val="clear" w:color="auto" w:fill="C00000"/>
              </w:rPr>
              <w:t>✓</w:t>
            </w:r>
          </w:p>
        </w:tc>
        <w:tc>
          <w:tcPr>
            <w:tcW w:w="4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20" w:type="dxa"/>
            <w:vAlign w:val="bottom"/>
            <w:vMerge w:val="restart"/>
          </w:tcPr>
          <w:p>
            <w:pPr>
              <w:jc w:val="center"/>
              <w:spacing w:after="0" w:line="181" w:lineRule="exact"/>
              <w:rPr>
                <w:sz w:val="20"/>
                <w:szCs w:val="20"/>
                <w:color w:val="auto"/>
              </w:rPr>
            </w:pPr>
            <w:r>
              <w:rPr>
                <w:rFonts w:ascii="MS PGothic" w:cs="MS PGothic" w:eastAsia="MS PGothic" w:hAnsi="MS PGothic"/>
                <w:sz w:val="18"/>
                <w:szCs w:val="18"/>
                <w:color w:val="auto"/>
                <w:w w:val="77"/>
                <w:shd w:val="clear" w:color="auto" w:fill="BF2115"/>
              </w:rPr>
              <w:t>✓</w:t>
            </w:r>
          </w:p>
        </w:tc>
        <w:tc>
          <w:tcPr>
            <w:tcW w:w="0" w:type="dxa"/>
            <w:vAlign w:val="bottom"/>
          </w:tcPr>
          <w:p>
            <w:pPr>
              <w:spacing w:after="0"/>
              <w:rPr>
                <w:sz w:val="1"/>
                <w:szCs w:val="1"/>
                <w:color w:val="auto"/>
              </w:rPr>
            </w:pPr>
          </w:p>
        </w:tc>
      </w:tr>
      <w:tr>
        <w:trPr>
          <w:trHeight w:val="193"/>
        </w:trPr>
        <w:tc>
          <w:tcPr>
            <w:tcW w:w="660" w:type="dxa"/>
            <w:vAlign w:val="bottom"/>
          </w:tcPr>
          <w:p>
            <w:pPr>
              <w:spacing w:after="0"/>
              <w:rPr>
                <w:sz w:val="16"/>
                <w:szCs w:val="16"/>
                <w:color w:val="auto"/>
              </w:rPr>
            </w:pPr>
          </w:p>
        </w:tc>
        <w:tc>
          <w:tcPr>
            <w:tcW w:w="4160" w:type="dxa"/>
            <w:vAlign w:val="bottom"/>
            <w:gridSpan w:val="2"/>
          </w:tcPr>
          <w:p>
            <w:pPr>
              <w:ind w:left="100"/>
              <w:spacing w:after="0"/>
              <w:rPr>
                <w:sz w:val="20"/>
                <w:szCs w:val="20"/>
                <w:color w:val="auto"/>
              </w:rPr>
            </w:pPr>
            <w:r>
              <w:rPr>
                <w:rFonts w:ascii="Arial" w:cs="Arial" w:eastAsia="Arial" w:hAnsi="Arial"/>
                <w:sz w:val="14"/>
                <w:szCs w:val="14"/>
                <w:color w:val="auto"/>
              </w:rPr>
              <w:t>President, Lincoln,</w:t>
            </w:r>
          </w:p>
        </w:tc>
        <w:tc>
          <w:tcPr>
            <w:tcW w:w="440" w:type="dxa"/>
            <w:vAlign w:val="bottom"/>
          </w:tcPr>
          <w:p>
            <w:pPr>
              <w:jc w:val="center"/>
              <w:ind w:right="49"/>
              <w:spacing w:after="0"/>
              <w:rPr>
                <w:sz w:val="20"/>
                <w:szCs w:val="20"/>
                <w:color w:val="auto"/>
              </w:rPr>
            </w:pPr>
            <w:r>
              <w:rPr>
                <w:rFonts w:ascii="Arial" w:cs="Arial" w:eastAsia="Arial" w:hAnsi="Arial"/>
                <w:sz w:val="14"/>
                <w:szCs w:val="14"/>
                <w:color w:val="auto"/>
              </w:rPr>
              <w:t>61</w:t>
            </w:r>
          </w:p>
        </w:tc>
        <w:tc>
          <w:tcPr>
            <w:tcW w:w="880" w:type="dxa"/>
            <w:vAlign w:val="bottom"/>
          </w:tcPr>
          <w:p>
            <w:pPr>
              <w:jc w:val="center"/>
              <w:spacing w:after="0"/>
              <w:rPr>
                <w:sz w:val="20"/>
                <w:szCs w:val="20"/>
                <w:color w:val="auto"/>
              </w:rPr>
            </w:pPr>
            <w:r>
              <w:rPr>
                <w:rFonts w:ascii="Arial" w:cs="Arial" w:eastAsia="Arial" w:hAnsi="Arial"/>
                <w:sz w:val="14"/>
                <w:szCs w:val="14"/>
                <w:color w:val="auto"/>
              </w:rPr>
              <w:t>2024</w:t>
            </w:r>
          </w:p>
        </w:tc>
        <w:tc>
          <w:tcPr>
            <w:tcW w:w="580" w:type="dxa"/>
            <w:vAlign w:val="bottom"/>
            <w:vMerge w:val="continue"/>
          </w:tcPr>
          <w:p>
            <w:pPr>
              <w:spacing w:after="0"/>
              <w:rPr>
                <w:sz w:val="16"/>
                <w:szCs w:val="16"/>
                <w:color w:val="auto"/>
              </w:rPr>
            </w:pPr>
          </w:p>
        </w:tc>
        <w:tc>
          <w:tcPr>
            <w:tcW w:w="360" w:type="dxa"/>
            <w:vAlign w:val="bottom"/>
            <w:vMerge w:val="continue"/>
          </w:tcPr>
          <w:p>
            <w:pPr>
              <w:spacing w:after="0"/>
              <w:rPr>
                <w:sz w:val="16"/>
                <w:szCs w:val="16"/>
                <w:color w:val="auto"/>
              </w:rPr>
            </w:pPr>
          </w:p>
        </w:tc>
        <w:tc>
          <w:tcPr>
            <w:tcW w:w="4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660" w:type="dxa"/>
            <w:vAlign w:val="bottom"/>
          </w:tcPr>
          <w:p>
            <w:pPr>
              <w:spacing w:after="0"/>
              <w:rPr>
                <w:sz w:val="16"/>
                <w:szCs w:val="16"/>
                <w:color w:val="auto"/>
              </w:rPr>
            </w:pPr>
          </w:p>
        </w:tc>
        <w:tc>
          <w:tcPr>
            <w:tcW w:w="4160" w:type="dxa"/>
            <w:vAlign w:val="bottom"/>
            <w:gridSpan w:val="2"/>
          </w:tcPr>
          <w:p>
            <w:pPr>
              <w:ind w:left="100"/>
              <w:spacing w:after="0"/>
              <w:rPr>
                <w:sz w:val="20"/>
                <w:szCs w:val="20"/>
                <w:color w:val="auto"/>
              </w:rPr>
            </w:pPr>
            <w:r>
              <w:rPr>
                <w:rFonts w:ascii="Arial" w:cs="Arial" w:eastAsia="Arial" w:hAnsi="Arial"/>
                <w:sz w:val="14"/>
                <w:szCs w:val="14"/>
                <w:color w:val="auto"/>
              </w:rPr>
              <w:t>Ford Motor Company</w:t>
            </w:r>
          </w:p>
        </w:tc>
        <w:tc>
          <w:tcPr>
            <w:tcW w:w="4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660" w:type="dxa"/>
            <w:vAlign w:val="bottom"/>
          </w:tcPr>
          <w:p>
            <w:pPr>
              <w:spacing w:after="0"/>
              <w:rPr>
                <w:sz w:val="18"/>
                <w:szCs w:val="18"/>
                <w:color w:val="auto"/>
              </w:rPr>
            </w:pPr>
          </w:p>
        </w:tc>
        <w:tc>
          <w:tcPr>
            <w:tcW w:w="4160" w:type="dxa"/>
            <w:vAlign w:val="bottom"/>
            <w:gridSpan w:val="2"/>
            <w:shd w:val="clear" w:color="auto" w:fill="DBDBDB"/>
          </w:tcPr>
          <w:p>
            <w:pPr>
              <w:ind w:left="20"/>
              <w:spacing w:after="0"/>
              <w:rPr>
                <w:sz w:val="20"/>
                <w:szCs w:val="20"/>
                <w:color w:val="auto"/>
              </w:rPr>
            </w:pPr>
            <w:r>
              <w:rPr>
                <w:rFonts w:ascii="Arial" w:cs="Arial" w:eastAsia="Arial" w:hAnsi="Arial"/>
                <w:sz w:val="14"/>
                <w:szCs w:val="14"/>
                <w:b w:val="1"/>
                <w:bCs w:val="1"/>
                <w:color w:val="C00000"/>
              </w:rPr>
              <w:t>Eric P. Hansotia</w:t>
            </w:r>
          </w:p>
        </w:tc>
        <w:tc>
          <w:tcPr>
            <w:tcW w:w="440" w:type="dxa"/>
            <w:vAlign w:val="bottom"/>
            <w:shd w:val="clear" w:color="auto" w:fill="DBDBDB"/>
          </w:tcPr>
          <w:p>
            <w:pPr>
              <w:spacing w:after="0"/>
              <w:rPr>
                <w:sz w:val="18"/>
                <w:szCs w:val="18"/>
                <w:color w:val="auto"/>
              </w:rPr>
            </w:pPr>
          </w:p>
        </w:tc>
        <w:tc>
          <w:tcPr>
            <w:tcW w:w="880" w:type="dxa"/>
            <w:vAlign w:val="bottom"/>
            <w:shd w:val="clear" w:color="auto" w:fill="DBDBDB"/>
          </w:tcPr>
          <w:p>
            <w:pPr>
              <w:spacing w:after="0"/>
              <w:rPr>
                <w:sz w:val="18"/>
                <w:szCs w:val="18"/>
                <w:color w:val="auto"/>
              </w:rPr>
            </w:pPr>
          </w:p>
        </w:tc>
        <w:tc>
          <w:tcPr>
            <w:tcW w:w="580" w:type="dxa"/>
            <w:vAlign w:val="bottom"/>
            <w:shd w:val="clear" w:color="auto" w:fill="DBDBDB"/>
          </w:tcPr>
          <w:p>
            <w:pPr>
              <w:spacing w:after="0"/>
              <w:rPr>
                <w:sz w:val="18"/>
                <w:szCs w:val="18"/>
                <w:color w:val="auto"/>
              </w:rPr>
            </w:pPr>
          </w:p>
        </w:tc>
        <w:tc>
          <w:tcPr>
            <w:tcW w:w="360" w:type="dxa"/>
            <w:vAlign w:val="bottom"/>
            <w:shd w:val="clear" w:color="auto" w:fill="DBDBDB"/>
          </w:tcPr>
          <w:p>
            <w:pPr>
              <w:spacing w:after="0"/>
              <w:rPr>
                <w:sz w:val="18"/>
                <w:szCs w:val="18"/>
                <w:color w:val="auto"/>
              </w:rPr>
            </w:pPr>
          </w:p>
        </w:tc>
        <w:tc>
          <w:tcPr>
            <w:tcW w:w="440" w:type="dxa"/>
            <w:vAlign w:val="bottom"/>
            <w:vMerge w:val="restart"/>
            <w:shd w:val="clear" w:color="auto" w:fill="DBDBDB"/>
          </w:tcPr>
          <w:p>
            <w:pPr>
              <w:ind w:left="200"/>
              <w:spacing w:after="0" w:line="181" w:lineRule="exact"/>
              <w:rPr>
                <w:sz w:val="20"/>
                <w:szCs w:val="20"/>
                <w:color w:val="auto"/>
              </w:rPr>
            </w:pPr>
            <w:r>
              <w:rPr>
                <w:rFonts w:ascii="MS PGothic" w:cs="MS PGothic" w:eastAsia="MS PGothic" w:hAnsi="MS PGothic"/>
                <w:sz w:val="18"/>
                <w:szCs w:val="18"/>
                <w:color w:val="auto"/>
                <w:shd w:val="clear" w:color="auto" w:fill="C00000"/>
              </w:rPr>
              <w:t>✓</w:t>
            </w:r>
          </w:p>
        </w:tc>
        <w:tc>
          <w:tcPr>
            <w:tcW w:w="780" w:type="dxa"/>
            <w:vAlign w:val="bottom"/>
            <w:vMerge w:val="restart"/>
            <w:shd w:val="clear" w:color="auto" w:fill="DBDBDB"/>
          </w:tcPr>
          <w:p>
            <w:pPr>
              <w:ind w:left="420"/>
              <w:spacing w:after="0" w:line="181" w:lineRule="exact"/>
              <w:rPr>
                <w:sz w:val="20"/>
                <w:szCs w:val="20"/>
                <w:color w:val="auto"/>
              </w:rPr>
            </w:pPr>
            <w:r>
              <w:rPr>
                <w:rFonts w:ascii="MS PGothic" w:cs="MS PGothic" w:eastAsia="MS PGothic" w:hAnsi="MS PGothic"/>
                <w:sz w:val="18"/>
                <w:szCs w:val="18"/>
                <w:color w:val="auto"/>
                <w:shd w:val="clear" w:color="auto" w:fill="C00000"/>
              </w:rPr>
              <w:t>✓</w:t>
            </w:r>
          </w:p>
        </w:tc>
        <w:tc>
          <w:tcPr>
            <w:tcW w:w="960" w:type="dxa"/>
            <w:vAlign w:val="bottom"/>
            <w:shd w:val="clear" w:color="auto" w:fill="DBDBDB"/>
          </w:tcPr>
          <w:p>
            <w:pPr>
              <w:spacing w:after="0"/>
              <w:rPr>
                <w:sz w:val="18"/>
                <w:szCs w:val="18"/>
                <w:color w:val="auto"/>
              </w:rPr>
            </w:pPr>
          </w:p>
        </w:tc>
        <w:tc>
          <w:tcPr>
            <w:tcW w:w="1020" w:type="dxa"/>
            <w:vAlign w:val="bottom"/>
            <w:vMerge w:val="restart"/>
            <w:shd w:val="clear" w:color="auto" w:fill="DBDBDB"/>
          </w:tcPr>
          <w:p>
            <w:pPr>
              <w:jc w:val="center"/>
              <w:spacing w:after="0" w:line="181" w:lineRule="exact"/>
              <w:rPr>
                <w:sz w:val="20"/>
                <w:szCs w:val="20"/>
                <w:color w:val="auto"/>
              </w:rPr>
            </w:pPr>
            <w:r>
              <w:rPr>
                <w:rFonts w:ascii="MS PGothic" w:cs="MS PGothic" w:eastAsia="MS PGothic" w:hAnsi="MS PGothic"/>
                <w:sz w:val="18"/>
                <w:szCs w:val="18"/>
                <w:color w:val="auto"/>
                <w:w w:val="77"/>
                <w:shd w:val="clear" w:color="auto" w:fill="C00000"/>
              </w:rPr>
              <w:t>✓</w:t>
            </w:r>
          </w:p>
        </w:tc>
        <w:tc>
          <w:tcPr>
            <w:tcW w:w="0" w:type="dxa"/>
            <w:vAlign w:val="bottom"/>
          </w:tcPr>
          <w:p>
            <w:pPr>
              <w:spacing w:after="0"/>
              <w:rPr>
                <w:sz w:val="1"/>
                <w:szCs w:val="1"/>
                <w:color w:val="auto"/>
              </w:rPr>
            </w:pPr>
          </w:p>
        </w:tc>
      </w:tr>
      <w:tr>
        <w:trPr>
          <w:trHeight w:val="206"/>
        </w:trPr>
        <w:tc>
          <w:tcPr>
            <w:tcW w:w="660" w:type="dxa"/>
            <w:vAlign w:val="bottom"/>
          </w:tcPr>
          <w:p>
            <w:pPr>
              <w:spacing w:after="0"/>
              <w:rPr>
                <w:sz w:val="17"/>
                <w:szCs w:val="17"/>
                <w:color w:val="auto"/>
              </w:rPr>
            </w:pPr>
          </w:p>
        </w:tc>
        <w:tc>
          <w:tcPr>
            <w:tcW w:w="4160" w:type="dxa"/>
            <w:vAlign w:val="bottom"/>
            <w:gridSpan w:val="2"/>
            <w:shd w:val="clear" w:color="auto" w:fill="DBDBDB"/>
          </w:tcPr>
          <w:p>
            <w:pPr>
              <w:ind w:left="100"/>
              <w:spacing w:after="0"/>
              <w:rPr>
                <w:sz w:val="20"/>
                <w:szCs w:val="20"/>
                <w:color w:val="auto"/>
              </w:rPr>
            </w:pPr>
            <w:r>
              <w:rPr>
                <w:rFonts w:ascii="Arial" w:cs="Arial" w:eastAsia="Arial" w:hAnsi="Arial"/>
                <w:sz w:val="14"/>
                <w:szCs w:val="14"/>
                <w:color w:val="auto"/>
              </w:rPr>
              <w:t>Chairman, President and Chief Executive Officer,</w:t>
            </w:r>
          </w:p>
        </w:tc>
        <w:tc>
          <w:tcPr>
            <w:tcW w:w="440" w:type="dxa"/>
            <w:vAlign w:val="bottom"/>
            <w:shd w:val="clear" w:color="auto" w:fill="DBDBDB"/>
          </w:tcPr>
          <w:p>
            <w:pPr>
              <w:jc w:val="center"/>
              <w:ind w:right="49"/>
              <w:spacing w:after="0"/>
              <w:rPr>
                <w:sz w:val="20"/>
                <w:szCs w:val="20"/>
                <w:color w:val="auto"/>
              </w:rPr>
            </w:pPr>
            <w:r>
              <w:rPr>
                <w:rFonts w:ascii="Arial" w:cs="Arial" w:eastAsia="Arial" w:hAnsi="Arial"/>
                <w:sz w:val="14"/>
                <w:szCs w:val="14"/>
                <w:color w:val="auto"/>
              </w:rPr>
              <w:t>56</w:t>
            </w:r>
          </w:p>
        </w:tc>
        <w:tc>
          <w:tcPr>
            <w:tcW w:w="880" w:type="dxa"/>
            <w:vAlign w:val="bottom"/>
            <w:shd w:val="clear" w:color="auto" w:fill="DBDBDB"/>
          </w:tcPr>
          <w:p>
            <w:pPr>
              <w:jc w:val="center"/>
              <w:spacing w:after="0"/>
              <w:rPr>
                <w:sz w:val="20"/>
                <w:szCs w:val="20"/>
                <w:color w:val="auto"/>
              </w:rPr>
            </w:pPr>
            <w:r>
              <w:rPr>
                <w:rFonts w:ascii="Arial" w:cs="Arial" w:eastAsia="Arial" w:hAnsi="Arial"/>
                <w:sz w:val="14"/>
                <w:szCs w:val="14"/>
                <w:color w:val="auto"/>
              </w:rPr>
              <w:t>2022</w:t>
            </w:r>
          </w:p>
        </w:tc>
        <w:tc>
          <w:tcPr>
            <w:tcW w:w="580" w:type="dxa"/>
            <w:vAlign w:val="bottom"/>
            <w:shd w:val="clear" w:color="auto" w:fill="DBDBDB"/>
          </w:tcPr>
          <w:p>
            <w:pPr>
              <w:spacing w:after="0"/>
              <w:rPr>
                <w:sz w:val="17"/>
                <w:szCs w:val="17"/>
                <w:color w:val="auto"/>
              </w:rPr>
            </w:pPr>
          </w:p>
        </w:tc>
        <w:tc>
          <w:tcPr>
            <w:tcW w:w="360" w:type="dxa"/>
            <w:vAlign w:val="bottom"/>
            <w:shd w:val="clear" w:color="auto" w:fill="DBDBDB"/>
          </w:tcPr>
          <w:p>
            <w:pPr>
              <w:spacing w:after="0"/>
              <w:rPr>
                <w:sz w:val="17"/>
                <w:szCs w:val="17"/>
                <w:color w:val="auto"/>
              </w:rPr>
            </w:pPr>
          </w:p>
        </w:tc>
        <w:tc>
          <w:tcPr>
            <w:tcW w:w="440" w:type="dxa"/>
            <w:vAlign w:val="bottom"/>
            <w:vMerge w:val="continue"/>
            <w:shd w:val="clear" w:color="auto" w:fill="DBDBDB"/>
          </w:tcPr>
          <w:p>
            <w:pPr>
              <w:spacing w:after="0"/>
              <w:rPr>
                <w:sz w:val="17"/>
                <w:szCs w:val="17"/>
                <w:color w:val="auto"/>
              </w:rPr>
            </w:pPr>
          </w:p>
        </w:tc>
        <w:tc>
          <w:tcPr>
            <w:tcW w:w="780" w:type="dxa"/>
            <w:vAlign w:val="bottom"/>
            <w:vMerge w:val="continue"/>
            <w:shd w:val="clear" w:color="auto" w:fill="DBDBDB"/>
          </w:tcPr>
          <w:p>
            <w:pPr>
              <w:spacing w:after="0"/>
              <w:rPr>
                <w:sz w:val="17"/>
                <w:szCs w:val="17"/>
                <w:color w:val="auto"/>
              </w:rPr>
            </w:pPr>
          </w:p>
        </w:tc>
        <w:tc>
          <w:tcPr>
            <w:tcW w:w="960" w:type="dxa"/>
            <w:vAlign w:val="bottom"/>
            <w:shd w:val="clear" w:color="auto" w:fill="DBDBDB"/>
          </w:tcPr>
          <w:p>
            <w:pPr>
              <w:jc w:val="center"/>
              <w:spacing w:after="0"/>
              <w:rPr>
                <w:sz w:val="20"/>
                <w:szCs w:val="20"/>
                <w:color w:val="auto"/>
              </w:rPr>
            </w:pPr>
            <w:r>
              <w:rPr>
                <w:rFonts w:ascii="Arial" w:cs="Arial" w:eastAsia="Arial" w:hAnsi="Arial"/>
                <w:sz w:val="16"/>
                <w:szCs w:val="16"/>
                <w:b w:val="1"/>
                <w:bCs w:val="1"/>
                <w:color w:val="BF2115"/>
              </w:rPr>
              <w:t>1</w:t>
            </w:r>
          </w:p>
        </w:tc>
        <w:tc>
          <w:tcPr>
            <w:tcW w:w="1020" w:type="dxa"/>
            <w:vAlign w:val="bottom"/>
            <w:vMerge w:val="continue"/>
            <w:shd w:val="clear" w:color="auto" w:fill="DBDBDB"/>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660" w:type="dxa"/>
            <w:vAlign w:val="bottom"/>
          </w:tcPr>
          <w:p>
            <w:pPr>
              <w:spacing w:after="0"/>
              <w:rPr>
                <w:sz w:val="16"/>
                <w:szCs w:val="16"/>
                <w:color w:val="auto"/>
              </w:rPr>
            </w:pPr>
          </w:p>
        </w:tc>
        <w:tc>
          <w:tcPr>
            <w:tcW w:w="4160" w:type="dxa"/>
            <w:vAlign w:val="bottom"/>
            <w:tcBorders>
              <w:bottom w:val="single" w:sz="8" w:color="DBDBDB"/>
            </w:tcBorders>
            <w:gridSpan w:val="2"/>
            <w:shd w:val="clear" w:color="auto" w:fill="DBDBDB"/>
          </w:tcPr>
          <w:p>
            <w:pPr>
              <w:ind w:left="100"/>
              <w:spacing w:after="0"/>
              <w:rPr>
                <w:sz w:val="20"/>
                <w:szCs w:val="20"/>
                <w:color w:val="auto"/>
              </w:rPr>
            </w:pPr>
            <w:r>
              <w:rPr>
                <w:rFonts w:ascii="Arial" w:cs="Arial" w:eastAsia="Arial" w:hAnsi="Arial"/>
                <w:sz w:val="14"/>
                <w:szCs w:val="14"/>
                <w:color w:val="auto"/>
              </w:rPr>
              <w:t>AGCO Corporation</w:t>
            </w:r>
          </w:p>
        </w:tc>
        <w:tc>
          <w:tcPr>
            <w:tcW w:w="440" w:type="dxa"/>
            <w:vAlign w:val="bottom"/>
            <w:tcBorders>
              <w:bottom w:val="single" w:sz="8" w:color="DBDBDB"/>
            </w:tcBorders>
            <w:shd w:val="clear" w:color="auto" w:fill="DBDBDB"/>
          </w:tcPr>
          <w:p>
            <w:pPr>
              <w:spacing w:after="0"/>
              <w:rPr>
                <w:sz w:val="16"/>
                <w:szCs w:val="16"/>
                <w:color w:val="auto"/>
              </w:rPr>
            </w:pPr>
          </w:p>
        </w:tc>
        <w:tc>
          <w:tcPr>
            <w:tcW w:w="880" w:type="dxa"/>
            <w:vAlign w:val="bottom"/>
            <w:tcBorders>
              <w:bottom w:val="single" w:sz="8" w:color="DBDBDB"/>
            </w:tcBorders>
            <w:shd w:val="clear" w:color="auto" w:fill="DBDBDB"/>
          </w:tcPr>
          <w:p>
            <w:pPr>
              <w:spacing w:after="0"/>
              <w:rPr>
                <w:sz w:val="16"/>
                <w:szCs w:val="16"/>
                <w:color w:val="auto"/>
              </w:rPr>
            </w:pPr>
          </w:p>
        </w:tc>
        <w:tc>
          <w:tcPr>
            <w:tcW w:w="580" w:type="dxa"/>
            <w:vAlign w:val="bottom"/>
            <w:tcBorders>
              <w:bottom w:val="single" w:sz="8" w:color="DBDBDB"/>
            </w:tcBorders>
            <w:shd w:val="clear" w:color="auto" w:fill="DBDBDB"/>
          </w:tcPr>
          <w:p>
            <w:pPr>
              <w:spacing w:after="0"/>
              <w:rPr>
                <w:sz w:val="16"/>
                <w:szCs w:val="16"/>
                <w:color w:val="auto"/>
              </w:rPr>
            </w:pPr>
          </w:p>
        </w:tc>
        <w:tc>
          <w:tcPr>
            <w:tcW w:w="360" w:type="dxa"/>
            <w:vAlign w:val="bottom"/>
            <w:tcBorders>
              <w:bottom w:val="single" w:sz="8" w:color="DBDBDB"/>
            </w:tcBorders>
            <w:shd w:val="clear" w:color="auto" w:fill="DBDBDB"/>
          </w:tcPr>
          <w:p>
            <w:pPr>
              <w:spacing w:after="0"/>
              <w:rPr>
                <w:sz w:val="16"/>
                <w:szCs w:val="16"/>
                <w:color w:val="auto"/>
              </w:rPr>
            </w:pPr>
          </w:p>
        </w:tc>
        <w:tc>
          <w:tcPr>
            <w:tcW w:w="440" w:type="dxa"/>
            <w:vAlign w:val="bottom"/>
            <w:tcBorders>
              <w:bottom w:val="single" w:sz="8" w:color="DBDBDB"/>
            </w:tcBorders>
            <w:shd w:val="clear" w:color="auto" w:fill="DBDBDB"/>
          </w:tcPr>
          <w:p>
            <w:pPr>
              <w:spacing w:after="0"/>
              <w:rPr>
                <w:sz w:val="16"/>
                <w:szCs w:val="16"/>
                <w:color w:val="auto"/>
              </w:rPr>
            </w:pPr>
          </w:p>
        </w:tc>
        <w:tc>
          <w:tcPr>
            <w:tcW w:w="780" w:type="dxa"/>
            <w:vAlign w:val="bottom"/>
            <w:tcBorders>
              <w:bottom w:val="single" w:sz="8" w:color="DBDBDB"/>
            </w:tcBorders>
            <w:shd w:val="clear" w:color="auto" w:fill="DBDBDB"/>
          </w:tcPr>
          <w:p>
            <w:pPr>
              <w:spacing w:after="0"/>
              <w:rPr>
                <w:sz w:val="16"/>
                <w:szCs w:val="16"/>
                <w:color w:val="auto"/>
              </w:rPr>
            </w:pPr>
          </w:p>
        </w:tc>
        <w:tc>
          <w:tcPr>
            <w:tcW w:w="960" w:type="dxa"/>
            <w:vAlign w:val="bottom"/>
            <w:tcBorders>
              <w:bottom w:val="single" w:sz="8" w:color="DBDBDB"/>
            </w:tcBorders>
            <w:shd w:val="clear" w:color="auto" w:fill="DBDBDB"/>
          </w:tcPr>
          <w:p>
            <w:pPr>
              <w:spacing w:after="0"/>
              <w:rPr>
                <w:sz w:val="16"/>
                <w:szCs w:val="16"/>
                <w:color w:val="auto"/>
              </w:rPr>
            </w:pPr>
          </w:p>
        </w:tc>
        <w:tc>
          <w:tcPr>
            <w:tcW w:w="1020" w:type="dxa"/>
            <w:vAlign w:val="bottom"/>
            <w:tcBorders>
              <w:bottom w:val="single" w:sz="8" w:color="DBDBDB"/>
            </w:tcBorders>
            <w:shd w:val="clear" w:color="auto" w:fill="DBDBDB"/>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660" w:type="dxa"/>
            <w:vAlign w:val="bottom"/>
          </w:tcPr>
          <w:p>
            <w:pPr>
              <w:spacing w:after="0"/>
              <w:rPr>
                <w:sz w:val="18"/>
                <w:szCs w:val="18"/>
                <w:color w:val="auto"/>
              </w:rPr>
            </w:pPr>
          </w:p>
        </w:tc>
        <w:tc>
          <w:tcPr>
            <w:tcW w:w="4160" w:type="dxa"/>
            <w:vAlign w:val="bottom"/>
            <w:gridSpan w:val="2"/>
          </w:tcPr>
          <w:p>
            <w:pPr>
              <w:ind w:left="20"/>
              <w:spacing w:after="0"/>
              <w:rPr>
                <w:sz w:val="20"/>
                <w:szCs w:val="20"/>
                <w:color w:val="auto"/>
              </w:rPr>
            </w:pPr>
            <w:r>
              <w:rPr>
                <w:rFonts w:ascii="Arial" w:cs="Arial" w:eastAsia="Arial" w:hAnsi="Arial"/>
                <w:sz w:val="14"/>
                <w:szCs w:val="14"/>
                <w:b w:val="1"/>
                <w:bCs w:val="1"/>
                <w:color w:val="C00000"/>
              </w:rPr>
              <w:t>D. Christian Koch</w:t>
            </w:r>
          </w:p>
        </w:tc>
        <w:tc>
          <w:tcPr>
            <w:tcW w:w="4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80" w:type="dxa"/>
            <w:vAlign w:val="bottom"/>
            <w:vMerge w:val="restart"/>
          </w:tcPr>
          <w:p>
            <w:pPr>
              <w:ind w:left="420"/>
              <w:spacing w:after="0" w:line="181" w:lineRule="exact"/>
              <w:rPr>
                <w:sz w:val="20"/>
                <w:szCs w:val="20"/>
                <w:color w:val="auto"/>
              </w:rPr>
            </w:pPr>
            <w:r>
              <w:rPr>
                <w:rFonts w:ascii="MS PGothic" w:cs="MS PGothic" w:eastAsia="MS PGothic" w:hAnsi="MS PGothic"/>
                <w:sz w:val="18"/>
                <w:szCs w:val="18"/>
                <w:color w:val="auto"/>
                <w:shd w:val="clear" w:color="auto" w:fill="C00000"/>
              </w:rPr>
              <w:t>✓</w:t>
            </w:r>
          </w:p>
        </w:tc>
        <w:tc>
          <w:tcPr>
            <w:tcW w:w="9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8"/>
        </w:trPr>
        <w:tc>
          <w:tcPr>
            <w:tcW w:w="660" w:type="dxa"/>
            <w:vAlign w:val="bottom"/>
          </w:tcPr>
          <w:p>
            <w:pPr>
              <w:spacing w:after="0"/>
              <w:rPr>
                <w:sz w:val="16"/>
                <w:szCs w:val="16"/>
                <w:color w:val="auto"/>
              </w:rPr>
            </w:pPr>
          </w:p>
        </w:tc>
        <w:tc>
          <w:tcPr>
            <w:tcW w:w="4160" w:type="dxa"/>
            <w:vAlign w:val="bottom"/>
            <w:gridSpan w:val="2"/>
          </w:tcPr>
          <w:p>
            <w:pPr>
              <w:ind w:left="80"/>
              <w:spacing w:after="0"/>
              <w:rPr>
                <w:sz w:val="20"/>
                <w:szCs w:val="20"/>
                <w:color w:val="auto"/>
              </w:rPr>
            </w:pPr>
            <w:r>
              <w:rPr>
                <w:rFonts w:ascii="Arial" w:cs="Arial" w:eastAsia="Arial" w:hAnsi="Arial"/>
                <w:sz w:val="14"/>
                <w:szCs w:val="14"/>
                <w:color w:val="auto"/>
              </w:rPr>
              <w:t>Chairman, President and Chief Executive Officer, Carlisle</w:t>
            </w:r>
          </w:p>
        </w:tc>
        <w:tc>
          <w:tcPr>
            <w:tcW w:w="440" w:type="dxa"/>
            <w:vAlign w:val="bottom"/>
          </w:tcPr>
          <w:p>
            <w:pPr>
              <w:jc w:val="center"/>
              <w:ind w:right="49"/>
              <w:spacing w:after="0"/>
              <w:rPr>
                <w:sz w:val="20"/>
                <w:szCs w:val="20"/>
                <w:color w:val="auto"/>
              </w:rPr>
            </w:pPr>
            <w:r>
              <w:rPr>
                <w:rFonts w:ascii="Arial" w:cs="Arial" w:eastAsia="Arial" w:hAnsi="Arial"/>
                <w:sz w:val="14"/>
                <w:szCs w:val="14"/>
                <w:color w:val="auto"/>
              </w:rPr>
              <w:t>60</w:t>
            </w:r>
          </w:p>
        </w:tc>
        <w:tc>
          <w:tcPr>
            <w:tcW w:w="880" w:type="dxa"/>
            <w:vAlign w:val="bottom"/>
          </w:tcPr>
          <w:p>
            <w:pPr>
              <w:jc w:val="center"/>
              <w:spacing w:after="0"/>
              <w:rPr>
                <w:sz w:val="20"/>
                <w:szCs w:val="20"/>
                <w:color w:val="auto"/>
              </w:rPr>
            </w:pPr>
            <w:r>
              <w:rPr>
                <w:rFonts w:ascii="Arial" w:cs="Arial" w:eastAsia="Arial" w:hAnsi="Arial"/>
                <w:sz w:val="14"/>
                <w:szCs w:val="14"/>
                <w:color w:val="auto"/>
              </w:rPr>
              <w:t>2016</w:t>
            </w:r>
          </w:p>
        </w:tc>
        <w:tc>
          <w:tcPr>
            <w:tcW w:w="5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440" w:type="dxa"/>
            <w:vAlign w:val="bottom"/>
          </w:tcPr>
          <w:p>
            <w:pPr>
              <w:jc w:val="center"/>
              <w:ind w:left="18"/>
              <w:spacing w:after="0"/>
              <w:rPr>
                <w:sz w:val="20"/>
                <w:szCs w:val="20"/>
                <w:color w:val="auto"/>
              </w:rPr>
            </w:pPr>
            <w:r>
              <w:rPr>
                <w:rFonts w:ascii="Arial" w:cs="Arial" w:eastAsia="Arial" w:hAnsi="Arial"/>
                <w:sz w:val="16"/>
                <w:szCs w:val="16"/>
                <w:b w:val="1"/>
                <w:bCs w:val="1"/>
                <w:color w:val="C00000"/>
                <w:w w:val="86"/>
              </w:rPr>
              <w:t>C</w:t>
            </w:r>
          </w:p>
        </w:tc>
        <w:tc>
          <w:tcPr>
            <w:tcW w:w="780" w:type="dxa"/>
            <w:vAlign w:val="bottom"/>
            <w:vMerge w:val="continue"/>
          </w:tcPr>
          <w:p>
            <w:pPr>
              <w:spacing w:after="0"/>
              <w:rPr>
                <w:sz w:val="16"/>
                <w:szCs w:val="16"/>
                <w:color w:val="auto"/>
              </w:rPr>
            </w:pPr>
          </w:p>
        </w:tc>
        <w:tc>
          <w:tcPr>
            <w:tcW w:w="960" w:type="dxa"/>
            <w:vAlign w:val="bottom"/>
          </w:tcPr>
          <w:p>
            <w:pPr>
              <w:jc w:val="center"/>
              <w:ind w:left="7"/>
              <w:spacing w:after="0"/>
              <w:rPr>
                <w:sz w:val="20"/>
                <w:szCs w:val="20"/>
                <w:color w:val="auto"/>
              </w:rPr>
            </w:pPr>
            <w:r>
              <w:rPr>
                <w:rFonts w:ascii="Arial" w:cs="Arial" w:eastAsia="Arial" w:hAnsi="Arial"/>
                <w:sz w:val="14"/>
                <w:szCs w:val="14"/>
                <w:b w:val="1"/>
                <w:bCs w:val="1"/>
                <w:color w:val="BF2115"/>
              </w:rPr>
              <w:t>1</w:t>
            </w: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60" w:type="dxa"/>
            <w:vAlign w:val="bottom"/>
          </w:tcPr>
          <w:p>
            <w:pPr>
              <w:spacing w:after="0"/>
              <w:rPr>
                <w:sz w:val="16"/>
                <w:szCs w:val="16"/>
                <w:color w:val="auto"/>
              </w:rPr>
            </w:pPr>
          </w:p>
        </w:tc>
        <w:tc>
          <w:tcPr>
            <w:tcW w:w="4160" w:type="dxa"/>
            <w:vAlign w:val="bottom"/>
            <w:gridSpan w:val="2"/>
          </w:tcPr>
          <w:p>
            <w:pPr>
              <w:ind w:left="80"/>
              <w:spacing w:after="0"/>
              <w:rPr>
                <w:sz w:val="20"/>
                <w:szCs w:val="20"/>
                <w:color w:val="auto"/>
              </w:rPr>
            </w:pPr>
            <w:r>
              <w:rPr>
                <w:rFonts w:ascii="Arial" w:cs="Arial" w:eastAsia="Arial" w:hAnsi="Arial"/>
                <w:sz w:val="14"/>
                <w:szCs w:val="14"/>
                <w:color w:val="auto"/>
              </w:rPr>
              <w:t>Companies Incorporated</w:t>
            </w:r>
          </w:p>
        </w:tc>
        <w:tc>
          <w:tcPr>
            <w:tcW w:w="4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00"/>
        </w:trPr>
        <w:tc>
          <w:tcPr>
            <w:tcW w:w="1680" w:type="dxa"/>
            <w:vAlign w:val="bottom"/>
            <w:gridSpan w:val="2"/>
          </w:tcPr>
          <w:p>
            <w:pPr>
              <w:spacing w:after="0"/>
              <w:rPr>
                <w:sz w:val="20"/>
                <w:szCs w:val="20"/>
                <w:color w:val="auto"/>
              </w:rPr>
            </w:pPr>
            <w:r>
              <w:rPr>
                <w:rFonts w:ascii="Arial" w:cs="Arial" w:eastAsia="Arial" w:hAnsi="Arial"/>
                <w:sz w:val="16"/>
                <w:szCs w:val="16"/>
                <w:b w:val="1"/>
                <w:bCs w:val="1"/>
                <w:color w:val="C00000"/>
              </w:rPr>
              <w:t xml:space="preserve">A: </w:t>
            </w:r>
            <w:r>
              <w:rPr>
                <w:rFonts w:ascii="Arial" w:cs="Arial" w:eastAsia="Arial" w:hAnsi="Arial"/>
                <w:sz w:val="16"/>
                <w:szCs w:val="16"/>
                <w:color w:val="000000"/>
              </w:rPr>
              <w:t>Audit</w:t>
            </w:r>
          </w:p>
        </w:tc>
        <w:tc>
          <w:tcPr>
            <w:tcW w:w="3140" w:type="dxa"/>
            <w:vAlign w:val="bottom"/>
          </w:tcPr>
          <w:p>
            <w:pPr>
              <w:ind w:left="120"/>
              <w:spacing w:after="0"/>
              <w:rPr>
                <w:sz w:val="20"/>
                <w:szCs w:val="20"/>
                <w:color w:val="auto"/>
              </w:rPr>
            </w:pPr>
            <w:r>
              <w:rPr>
                <w:rFonts w:ascii="Arial" w:cs="Arial" w:eastAsia="Arial" w:hAnsi="Arial"/>
                <w:sz w:val="16"/>
                <w:szCs w:val="16"/>
                <w:b w:val="1"/>
                <w:bCs w:val="1"/>
                <w:color w:val="C00000"/>
              </w:rPr>
              <w:t xml:space="preserve">N&amp;G: </w:t>
            </w:r>
            <w:r>
              <w:rPr>
                <w:rFonts w:ascii="Arial" w:cs="Arial" w:eastAsia="Arial" w:hAnsi="Arial"/>
                <w:sz w:val="16"/>
                <w:szCs w:val="16"/>
                <w:color w:val="000000"/>
              </w:rPr>
              <w:t>Nominating &amp; Governance</w:t>
            </w:r>
          </w:p>
        </w:tc>
        <w:tc>
          <w:tcPr>
            <w:tcW w:w="440" w:type="dxa"/>
            <w:vAlign w:val="bottom"/>
          </w:tcPr>
          <w:p>
            <w:pPr>
              <w:spacing w:after="0"/>
              <w:rPr>
                <w:sz w:val="24"/>
                <w:szCs w:val="24"/>
                <w:color w:val="auto"/>
              </w:rPr>
            </w:pPr>
          </w:p>
        </w:tc>
        <w:tc>
          <w:tcPr>
            <w:tcW w:w="1460" w:type="dxa"/>
            <w:vAlign w:val="bottom"/>
            <w:gridSpan w:val="2"/>
          </w:tcPr>
          <w:p>
            <w:pPr>
              <w:ind w:left="540"/>
              <w:spacing w:after="0" w:line="196" w:lineRule="exact"/>
              <w:rPr>
                <w:sz w:val="20"/>
                <w:szCs w:val="20"/>
                <w:color w:val="auto"/>
              </w:rPr>
            </w:pPr>
            <w:r>
              <w:rPr>
                <w:rFonts w:ascii="MS PGothic" w:cs="MS PGothic" w:eastAsia="MS PGothic" w:hAnsi="MS PGothic"/>
                <w:sz w:val="17"/>
                <w:szCs w:val="17"/>
                <w:color w:val="000000"/>
                <w:shd w:val="clear" w:color="auto" w:fill="C00000"/>
              </w:rPr>
              <w:t>✓</w:t>
            </w:r>
            <w:r>
              <w:rPr>
                <w:rFonts w:ascii="Arial" w:cs="Arial" w:eastAsia="Arial" w:hAnsi="Arial"/>
                <w:sz w:val="16"/>
                <w:szCs w:val="16"/>
                <w:b w:val="1"/>
                <w:bCs w:val="1"/>
                <w:color w:val="C00000"/>
              </w:rPr>
              <w:t xml:space="preserve">: </w:t>
            </w:r>
            <w:r>
              <w:rPr>
                <w:rFonts w:ascii="Arial" w:cs="Arial" w:eastAsia="Arial" w:hAnsi="Arial"/>
                <w:sz w:val="16"/>
                <w:szCs w:val="16"/>
                <w:color w:val="000000"/>
              </w:rPr>
              <w:t>Member</w:t>
            </w:r>
          </w:p>
        </w:tc>
        <w:tc>
          <w:tcPr>
            <w:tcW w:w="3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760" w:type="dxa"/>
            <w:vAlign w:val="bottom"/>
            <w:gridSpan w:val="3"/>
          </w:tcPr>
          <w:p>
            <w:pPr>
              <w:jc w:val="center"/>
              <w:ind w:right="95"/>
              <w:spacing w:after="0"/>
              <w:rPr>
                <w:sz w:val="20"/>
                <w:szCs w:val="20"/>
                <w:color w:val="auto"/>
              </w:rPr>
            </w:pPr>
            <w:r>
              <w:rPr>
                <w:rFonts w:ascii="Arial" w:cs="Arial" w:eastAsia="Arial" w:hAnsi="Arial"/>
                <w:sz w:val="16"/>
                <w:szCs w:val="16"/>
                <w:b w:val="1"/>
                <w:bCs w:val="1"/>
                <w:color w:val="C00000"/>
              </w:rPr>
              <w:t xml:space="preserve">E: </w:t>
            </w:r>
            <w:r>
              <w:rPr>
                <w:rFonts w:ascii="Arial" w:cs="Arial" w:eastAsia="Arial" w:hAnsi="Arial"/>
                <w:sz w:val="16"/>
                <w:szCs w:val="16"/>
                <w:color w:val="000000"/>
              </w:rPr>
              <w:t>Audit Committee Financial Expert</w:t>
            </w:r>
          </w:p>
        </w:tc>
        <w:tc>
          <w:tcPr>
            <w:tcW w:w="0" w:type="dxa"/>
            <w:vAlign w:val="bottom"/>
          </w:tcPr>
          <w:p>
            <w:pPr>
              <w:spacing w:after="0"/>
              <w:rPr>
                <w:sz w:val="1"/>
                <w:szCs w:val="1"/>
                <w:color w:val="auto"/>
              </w:rPr>
            </w:pPr>
          </w:p>
        </w:tc>
      </w:tr>
      <w:tr>
        <w:trPr>
          <w:trHeight w:val="272"/>
        </w:trPr>
        <w:tc>
          <w:tcPr>
            <w:tcW w:w="1680" w:type="dxa"/>
            <w:vAlign w:val="bottom"/>
            <w:gridSpan w:val="2"/>
          </w:tcPr>
          <w:p>
            <w:pPr>
              <w:spacing w:after="0"/>
              <w:rPr>
                <w:sz w:val="20"/>
                <w:szCs w:val="20"/>
                <w:color w:val="auto"/>
              </w:rPr>
            </w:pPr>
            <w:r>
              <w:rPr>
                <w:rFonts w:ascii="Arial" w:cs="Arial" w:eastAsia="Arial" w:hAnsi="Arial"/>
                <w:sz w:val="16"/>
                <w:szCs w:val="16"/>
                <w:b w:val="1"/>
                <w:bCs w:val="1"/>
                <w:color w:val="C00000"/>
              </w:rPr>
              <w:t xml:space="preserve">F: </w:t>
            </w:r>
            <w:r>
              <w:rPr>
                <w:rFonts w:ascii="Arial" w:cs="Arial" w:eastAsia="Arial" w:hAnsi="Arial"/>
                <w:sz w:val="16"/>
                <w:szCs w:val="16"/>
                <w:color w:val="000000"/>
              </w:rPr>
              <w:t>Finance</w:t>
            </w:r>
          </w:p>
        </w:tc>
        <w:tc>
          <w:tcPr>
            <w:tcW w:w="3140" w:type="dxa"/>
            <w:vAlign w:val="bottom"/>
          </w:tcPr>
          <w:p>
            <w:pPr>
              <w:ind w:left="20"/>
              <w:spacing w:after="0"/>
              <w:rPr>
                <w:sz w:val="20"/>
                <w:szCs w:val="20"/>
                <w:color w:val="auto"/>
              </w:rPr>
            </w:pPr>
            <w:r>
              <w:rPr>
                <w:rFonts w:ascii="Arial" w:cs="Arial" w:eastAsia="Arial" w:hAnsi="Arial"/>
                <w:sz w:val="16"/>
                <w:szCs w:val="16"/>
                <w:b w:val="1"/>
                <w:bCs w:val="1"/>
                <w:color w:val="C00000"/>
                <w:w w:val="99"/>
              </w:rPr>
              <w:t xml:space="preserve">C&amp;HR: </w:t>
            </w:r>
            <w:r>
              <w:rPr>
                <w:rFonts w:ascii="Arial" w:cs="Arial" w:eastAsia="Arial" w:hAnsi="Arial"/>
                <w:sz w:val="16"/>
                <w:szCs w:val="16"/>
                <w:color w:val="000000"/>
                <w:w w:val="99"/>
              </w:rPr>
              <w:t>Compensation &amp; Human Resources</w:t>
            </w:r>
          </w:p>
        </w:tc>
        <w:tc>
          <w:tcPr>
            <w:tcW w:w="440" w:type="dxa"/>
            <w:vAlign w:val="bottom"/>
          </w:tcPr>
          <w:p>
            <w:pPr>
              <w:spacing w:after="0"/>
              <w:rPr>
                <w:sz w:val="23"/>
                <w:szCs w:val="23"/>
                <w:color w:val="auto"/>
              </w:rPr>
            </w:pPr>
          </w:p>
        </w:tc>
        <w:tc>
          <w:tcPr>
            <w:tcW w:w="1460" w:type="dxa"/>
            <w:vAlign w:val="bottom"/>
            <w:gridSpan w:val="2"/>
          </w:tcPr>
          <w:p>
            <w:pPr>
              <w:ind w:left="540"/>
              <w:spacing w:after="0"/>
              <w:rPr>
                <w:sz w:val="20"/>
                <w:szCs w:val="20"/>
                <w:color w:val="auto"/>
              </w:rPr>
            </w:pPr>
            <w:r>
              <w:rPr>
                <w:rFonts w:ascii="Arial" w:cs="Arial" w:eastAsia="Arial" w:hAnsi="Arial"/>
                <w:sz w:val="16"/>
                <w:szCs w:val="16"/>
                <w:b w:val="1"/>
                <w:bCs w:val="1"/>
                <w:color w:val="C00000"/>
              </w:rPr>
              <w:t xml:space="preserve">C: </w:t>
            </w:r>
            <w:r>
              <w:rPr>
                <w:rFonts w:ascii="Arial" w:cs="Arial" w:eastAsia="Arial" w:hAnsi="Arial"/>
                <w:sz w:val="16"/>
                <w:szCs w:val="16"/>
                <w:color w:val="000000"/>
              </w:rPr>
              <w:t>Chair</w:t>
            </w:r>
          </w:p>
        </w:tc>
        <w:tc>
          <w:tcPr>
            <w:tcW w:w="36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3986530</wp:posOffset>
            </wp:positionH>
            <wp:positionV relativeFrom="paragraph">
              <wp:posOffset>-4425950</wp:posOffset>
            </wp:positionV>
            <wp:extent cx="1431925"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43192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5580"/>
        <w:spacing w:after="0"/>
        <w:rPr>
          <w:sz w:val="20"/>
          <w:szCs w:val="20"/>
          <w:color w:val="auto"/>
        </w:rPr>
      </w:pPr>
      <w:r>
        <w:rPr>
          <w:rFonts w:ascii="Arial" w:cs="Arial" w:eastAsia="Arial" w:hAnsi="Arial"/>
          <w:sz w:val="21"/>
          <w:szCs w:val="21"/>
          <w:color w:val="auto"/>
        </w:rPr>
        <w:t>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79375</wp:posOffset>
            </wp:positionV>
            <wp:extent cx="7159625"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0440"/>
          </w:cols>
          <w:pgMar w:left="320" w:top="1110" w:right="1139" w:bottom="1440" w:gutter="0" w:footer="0" w:header="0"/>
        </w:sectPr>
      </w:pPr>
    </w:p>
    <w:bookmarkStart w:id="12" w:name="page13"/>
    <w:bookmarkEnd w:id="12"/>
    <w:p>
      <w:pPr>
        <w:spacing w:after="0"/>
        <w:rPr>
          <w:sz w:val="20"/>
          <w:szCs w:val="20"/>
          <w:color w:val="auto"/>
        </w:rPr>
      </w:pPr>
      <w:r>
        <w:rPr>
          <w:rFonts w:ascii="Arial" w:cs="Arial" w:eastAsia="Arial" w:hAnsi="Arial"/>
          <w:sz w:val="20"/>
          <w:szCs w:val="20"/>
          <w:b w:val="1"/>
          <w:bCs w:val="1"/>
          <w:color w:val="C00000"/>
        </w:rPr>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605790</wp:posOffset>
            </wp:positionH>
            <wp:positionV relativeFrom="paragraph">
              <wp:posOffset>97790</wp:posOffset>
            </wp:positionV>
            <wp:extent cx="5948045" cy="4743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948045" cy="474345"/>
                    </a:xfrm>
                    <a:prstGeom prst="rect">
                      <a:avLst/>
                    </a:prstGeom>
                    <a:noFill/>
                  </pic:spPr>
                </pic:pic>
              </a:graphicData>
            </a:graphic>
          </wp:anchor>
        </w:drawing>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C00000"/>
        </w:rPr>
        <w:t>Executive Compensation Program Philosophy</w:t>
      </w:r>
    </w:p>
    <w:p>
      <w:pPr>
        <w:spacing w:after="0" w:line="38" w:lineRule="exact"/>
        <w:rPr>
          <w:sz w:val="20"/>
          <w:szCs w:val="20"/>
          <w:color w:val="auto"/>
        </w:rPr>
      </w:pPr>
    </w:p>
    <w:p>
      <w:pPr>
        <w:jc w:val="center"/>
        <w:ind w:left="340" w:right="1000"/>
        <w:spacing w:after="0" w:line="243" w:lineRule="auto"/>
        <w:rPr>
          <w:sz w:val="20"/>
          <w:szCs w:val="20"/>
          <w:color w:val="auto"/>
        </w:rPr>
      </w:pPr>
      <w:r>
        <w:rPr>
          <w:rFonts w:ascii="Arial" w:cs="Arial" w:eastAsia="Arial" w:hAnsi="Arial"/>
          <w:sz w:val="18"/>
          <w:szCs w:val="18"/>
          <w:color w:val="auto"/>
        </w:rPr>
        <w:t>Our executive compensation philosophy is to maintain a program that allows us to attract, retain, motivate and reward highly qualified and talented executive officers.</w:t>
      </w:r>
    </w:p>
    <w:p>
      <w:pPr>
        <w:spacing w:after="0" w:line="109" w:lineRule="exact"/>
        <w:rPr>
          <w:sz w:val="20"/>
          <w:szCs w:val="20"/>
          <w:color w:val="auto"/>
        </w:rPr>
      </w:pPr>
    </w:p>
    <w:tbl>
      <w:tblPr>
        <w:tblLayout w:type="fixed"/>
        <w:tblInd w:w="970" w:type="dxa"/>
        <w:tblCellMar>
          <w:top w:w="0" w:type="dxa"/>
          <w:left w:w="0" w:type="dxa"/>
          <w:bottom w:w="0" w:type="dxa"/>
          <w:right w:w="0" w:type="dxa"/>
        </w:tblCellMar>
      </w:tblPr>
      <w:tr>
        <w:trPr>
          <w:trHeight w:val="275"/>
        </w:trPr>
        <w:tc>
          <w:tcPr>
            <w:tcW w:w="3600" w:type="dxa"/>
            <w:vAlign w:val="bottom"/>
            <w:tcBorders>
              <w:top w:val="single" w:sz="8" w:color="auto"/>
              <w:left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C00000"/>
                <w:w w:val="99"/>
              </w:rPr>
              <w:t>Align interests of executive</w:t>
            </w:r>
          </w:p>
        </w:tc>
        <w:tc>
          <w:tcPr>
            <w:tcW w:w="160" w:type="dxa"/>
            <w:vAlign w:val="bottom"/>
            <w:tcBorders>
              <w:right w:val="single" w:sz="8" w:color="auto"/>
            </w:tcBorders>
          </w:tcPr>
          <w:p>
            <w:pPr>
              <w:spacing w:after="0"/>
              <w:rPr>
                <w:sz w:val="23"/>
                <w:szCs w:val="23"/>
                <w:color w:val="auto"/>
              </w:rPr>
            </w:pPr>
          </w:p>
        </w:tc>
        <w:tc>
          <w:tcPr>
            <w:tcW w:w="18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C00000"/>
                <w:w w:val="98"/>
              </w:rPr>
              <w:t>Link pay to</w:t>
            </w:r>
          </w:p>
        </w:tc>
        <w:tc>
          <w:tcPr>
            <w:tcW w:w="140" w:type="dxa"/>
            <w:vAlign w:val="bottom"/>
            <w:tcBorders>
              <w:right w:val="single" w:sz="8" w:color="auto"/>
            </w:tcBorders>
          </w:tcPr>
          <w:p>
            <w:pPr>
              <w:spacing w:after="0"/>
              <w:rPr>
                <w:sz w:val="23"/>
                <w:szCs w:val="23"/>
                <w:color w:val="auto"/>
              </w:rPr>
            </w:pPr>
          </w:p>
        </w:tc>
        <w:tc>
          <w:tcPr>
            <w:tcW w:w="360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C00000"/>
                <w:w w:val="99"/>
              </w:rPr>
              <w:t>Provide competitive target</w:t>
            </w:r>
          </w:p>
        </w:tc>
      </w:tr>
      <w:tr>
        <w:trPr>
          <w:trHeight w:val="200"/>
        </w:trPr>
        <w:tc>
          <w:tcPr>
            <w:tcW w:w="3600" w:type="dxa"/>
            <w:vAlign w:val="bottom"/>
            <w:tcBorders>
              <w:left w:val="single" w:sz="8" w:color="auto"/>
              <w:right w:val="single" w:sz="8" w:color="auto"/>
            </w:tcBorders>
          </w:tcPr>
          <w:p>
            <w:pPr>
              <w:jc w:val="center"/>
              <w:spacing w:after="0" w:line="201" w:lineRule="exact"/>
              <w:rPr>
                <w:sz w:val="20"/>
                <w:szCs w:val="20"/>
                <w:color w:val="auto"/>
              </w:rPr>
            </w:pPr>
            <w:r>
              <w:rPr>
                <w:rFonts w:ascii="Arial" w:cs="Arial" w:eastAsia="Arial" w:hAnsi="Arial"/>
                <w:sz w:val="18"/>
                <w:szCs w:val="18"/>
                <w:b w:val="1"/>
                <w:bCs w:val="1"/>
                <w:color w:val="C00000"/>
                <w:w w:val="99"/>
              </w:rPr>
              <w:t>officers with shareholder</w:t>
            </w:r>
          </w:p>
        </w:tc>
        <w:tc>
          <w:tcPr>
            <w:tcW w:w="160" w:type="dxa"/>
            <w:vAlign w:val="bottom"/>
            <w:tcBorders>
              <w:right w:val="single" w:sz="8" w:color="auto"/>
            </w:tcBorders>
          </w:tcPr>
          <w:p>
            <w:pPr>
              <w:spacing w:after="0"/>
              <w:rPr>
                <w:sz w:val="17"/>
                <w:szCs w:val="17"/>
                <w:color w:val="auto"/>
              </w:rPr>
            </w:pPr>
          </w:p>
        </w:tc>
        <w:tc>
          <w:tcPr>
            <w:tcW w:w="1860" w:type="dxa"/>
            <w:vAlign w:val="bottom"/>
            <w:tcBorders>
              <w:right w:val="single" w:sz="8" w:color="auto"/>
            </w:tcBorders>
          </w:tcPr>
          <w:p>
            <w:pPr>
              <w:jc w:val="center"/>
              <w:spacing w:after="0" w:line="201" w:lineRule="exact"/>
              <w:rPr>
                <w:sz w:val="20"/>
                <w:szCs w:val="20"/>
                <w:color w:val="auto"/>
              </w:rPr>
            </w:pPr>
            <w:r>
              <w:rPr>
                <w:rFonts w:ascii="Arial" w:cs="Arial" w:eastAsia="Arial" w:hAnsi="Arial"/>
                <w:sz w:val="18"/>
                <w:szCs w:val="18"/>
                <w:b w:val="1"/>
                <w:bCs w:val="1"/>
                <w:color w:val="C00000"/>
                <w:w w:val="99"/>
              </w:rPr>
              <w:t>performance</w:t>
            </w:r>
          </w:p>
        </w:tc>
        <w:tc>
          <w:tcPr>
            <w:tcW w:w="140" w:type="dxa"/>
            <w:vAlign w:val="bottom"/>
            <w:tcBorders>
              <w:right w:val="single" w:sz="8" w:color="auto"/>
            </w:tcBorders>
          </w:tcPr>
          <w:p>
            <w:pPr>
              <w:spacing w:after="0"/>
              <w:rPr>
                <w:sz w:val="17"/>
                <w:szCs w:val="17"/>
                <w:color w:val="auto"/>
              </w:rPr>
            </w:pPr>
          </w:p>
        </w:tc>
        <w:tc>
          <w:tcPr>
            <w:tcW w:w="3600" w:type="dxa"/>
            <w:vAlign w:val="bottom"/>
            <w:tcBorders>
              <w:right w:val="single" w:sz="8" w:color="auto"/>
            </w:tcBorders>
          </w:tcPr>
          <w:p>
            <w:pPr>
              <w:jc w:val="center"/>
              <w:spacing w:after="0" w:line="201" w:lineRule="exact"/>
              <w:rPr>
                <w:sz w:val="20"/>
                <w:szCs w:val="20"/>
                <w:color w:val="auto"/>
              </w:rPr>
            </w:pPr>
            <w:r>
              <w:rPr>
                <w:rFonts w:ascii="Arial" w:cs="Arial" w:eastAsia="Arial" w:hAnsi="Arial"/>
                <w:sz w:val="18"/>
                <w:szCs w:val="18"/>
                <w:b w:val="1"/>
                <w:bCs w:val="1"/>
                <w:color w:val="C00000"/>
                <w:w w:val="98"/>
              </w:rPr>
              <w:t>total direct compensation</w:t>
            </w:r>
          </w:p>
        </w:tc>
      </w:tr>
      <w:tr>
        <w:trPr>
          <w:trHeight w:val="245"/>
        </w:trPr>
        <w:tc>
          <w:tcPr>
            <w:tcW w:w="360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C00000"/>
                <w:w w:val="98"/>
              </w:rPr>
              <w:t>interests</w:t>
            </w:r>
          </w:p>
        </w:tc>
        <w:tc>
          <w:tcPr>
            <w:tcW w:w="160" w:type="dxa"/>
            <w:vAlign w:val="bottom"/>
            <w:tcBorders>
              <w:right w:val="single" w:sz="8" w:color="auto"/>
            </w:tcBorders>
          </w:tcPr>
          <w:p>
            <w:pPr>
              <w:spacing w:after="0"/>
              <w:rPr>
                <w:sz w:val="21"/>
                <w:szCs w:val="21"/>
                <w:color w:val="auto"/>
              </w:rPr>
            </w:pPr>
          </w:p>
        </w:tc>
        <w:tc>
          <w:tcPr>
            <w:tcW w:w="1860" w:type="dxa"/>
            <w:vAlign w:val="bottom"/>
            <w:tcBorders>
              <w:right w:val="single" w:sz="8" w:color="auto"/>
            </w:tcBorders>
          </w:tcPr>
          <w:p>
            <w:pPr>
              <w:spacing w:after="0"/>
              <w:rPr>
                <w:sz w:val="21"/>
                <w:szCs w:val="21"/>
                <w:color w:val="auto"/>
              </w:rPr>
            </w:pPr>
          </w:p>
        </w:tc>
        <w:tc>
          <w:tcPr>
            <w:tcW w:w="140" w:type="dxa"/>
            <w:vAlign w:val="bottom"/>
            <w:tcBorders>
              <w:right w:val="single" w:sz="8" w:color="auto"/>
            </w:tcBorders>
          </w:tcPr>
          <w:p>
            <w:pPr>
              <w:spacing w:after="0"/>
              <w:rPr>
                <w:sz w:val="21"/>
                <w:szCs w:val="21"/>
                <w:color w:val="auto"/>
              </w:rPr>
            </w:pPr>
          </w:p>
        </w:tc>
        <w:tc>
          <w:tcPr>
            <w:tcW w:w="360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C00000"/>
                <w:w w:val="97"/>
              </w:rPr>
              <w:t>opportunities</w:t>
            </w:r>
          </w:p>
        </w:tc>
      </w:tr>
      <w:tr>
        <w:trPr>
          <w:trHeight w:val="67"/>
        </w:trPr>
        <w:tc>
          <w:tcPr>
            <w:tcW w:w="3600" w:type="dxa"/>
            <w:vAlign w:val="bottom"/>
            <w:tcBorders>
              <w:left w:val="single" w:sz="8" w:color="auto"/>
              <w:bottom w:val="single" w:sz="8" w:color="auto"/>
              <w:right w:val="single" w:sz="8" w:color="auto"/>
            </w:tcBorders>
          </w:tcPr>
          <w:p>
            <w:pPr>
              <w:spacing w:after="0"/>
              <w:rPr>
                <w:sz w:val="5"/>
                <w:szCs w:val="5"/>
                <w:color w:val="auto"/>
              </w:rPr>
            </w:pPr>
          </w:p>
        </w:tc>
        <w:tc>
          <w:tcPr>
            <w:tcW w:w="160" w:type="dxa"/>
            <w:vAlign w:val="bottom"/>
            <w:tcBorders>
              <w:right w:val="single" w:sz="8" w:color="auto"/>
            </w:tcBorders>
          </w:tcPr>
          <w:p>
            <w:pPr>
              <w:spacing w:after="0"/>
              <w:rPr>
                <w:sz w:val="5"/>
                <w:szCs w:val="5"/>
                <w:color w:val="auto"/>
              </w:rPr>
            </w:pPr>
          </w:p>
        </w:tc>
        <w:tc>
          <w:tcPr>
            <w:tcW w:w="1860" w:type="dxa"/>
            <w:vAlign w:val="bottom"/>
            <w:tcBorders>
              <w:bottom w:val="single" w:sz="8" w:color="auto"/>
              <w:right w:val="single" w:sz="8" w:color="auto"/>
            </w:tcBorders>
          </w:tcPr>
          <w:p>
            <w:pPr>
              <w:spacing w:after="0"/>
              <w:rPr>
                <w:sz w:val="5"/>
                <w:szCs w:val="5"/>
                <w:color w:val="auto"/>
              </w:rPr>
            </w:pPr>
          </w:p>
        </w:tc>
        <w:tc>
          <w:tcPr>
            <w:tcW w:w="140" w:type="dxa"/>
            <w:vAlign w:val="bottom"/>
            <w:tcBorders>
              <w:right w:val="single" w:sz="8" w:color="auto"/>
            </w:tcBorders>
          </w:tcPr>
          <w:p>
            <w:pPr>
              <w:spacing w:after="0"/>
              <w:rPr>
                <w:sz w:val="5"/>
                <w:szCs w:val="5"/>
                <w:color w:val="auto"/>
              </w:rPr>
            </w:pPr>
          </w:p>
        </w:tc>
        <w:tc>
          <w:tcPr>
            <w:tcW w:w="3600" w:type="dxa"/>
            <w:vAlign w:val="bottom"/>
            <w:tcBorders>
              <w:bottom w:val="single" w:sz="8" w:color="auto"/>
              <w:right w:val="single" w:sz="8" w:color="auto"/>
            </w:tcBorders>
          </w:tcPr>
          <w:p>
            <w:pPr>
              <w:spacing w:after="0"/>
              <w:rPr>
                <w:sz w:val="5"/>
                <w:szCs w:val="5"/>
                <w:color w:val="auto"/>
              </w:rPr>
            </w:pPr>
          </w:p>
        </w:tc>
      </w:tr>
    </w:tbl>
    <w:p>
      <w:pPr>
        <w:spacing w:after="0" w:line="217" w:lineRule="exact"/>
        <w:rPr>
          <w:sz w:val="20"/>
          <w:szCs w:val="20"/>
          <w:color w:val="auto"/>
        </w:rPr>
      </w:pPr>
    </w:p>
    <w:p>
      <w:pPr>
        <w:spacing w:after="0"/>
        <w:rPr>
          <w:sz w:val="20"/>
          <w:szCs w:val="20"/>
          <w:color w:val="auto"/>
        </w:rPr>
      </w:pPr>
      <w:r>
        <w:rPr>
          <w:rFonts w:ascii="Arial" w:cs="Arial" w:eastAsia="Arial" w:hAnsi="Arial"/>
          <w:sz w:val="20"/>
          <w:szCs w:val="20"/>
          <w:b w:val="1"/>
          <w:bCs w:val="1"/>
          <w:color w:val="C00000"/>
        </w:rPr>
        <w:t>Fiscal 2024 Executive Compensation Summary</w:t>
      </w:r>
    </w:p>
    <w:p>
      <w:pPr>
        <w:spacing w:after="0" w:line="84" w:lineRule="exact"/>
        <w:rPr>
          <w:sz w:val="20"/>
          <w:szCs w:val="20"/>
          <w:color w:val="auto"/>
        </w:rPr>
      </w:pPr>
    </w:p>
    <w:p>
      <w:pPr>
        <w:ind w:firstLine="320"/>
        <w:spacing w:after="0" w:line="255" w:lineRule="auto"/>
        <w:rPr>
          <w:sz w:val="20"/>
          <w:szCs w:val="20"/>
          <w:color w:val="auto"/>
        </w:rPr>
      </w:pPr>
      <w:r>
        <w:rPr>
          <w:rFonts w:ascii="Arial" w:cs="Arial" w:eastAsia="Arial" w:hAnsi="Arial"/>
          <w:sz w:val="17"/>
          <w:szCs w:val="17"/>
          <w:color w:val="auto"/>
        </w:rPr>
        <w:t>We seek to motivate executive officers to achieve improved financial performance of our Company through incentive plans that reward better performance with increased incentive payouts and hold executive officers accountable for financial performance that falls below targeted</w:t>
      </w:r>
    </w:p>
    <w:p>
      <w:pPr>
        <w:spacing w:after="0" w:line="1" w:lineRule="exact"/>
        <w:rPr>
          <w:sz w:val="20"/>
          <w:szCs w:val="20"/>
          <w:color w:val="auto"/>
        </w:rPr>
      </w:pPr>
    </w:p>
    <w:p>
      <w:pPr>
        <w:spacing w:after="0" w:line="237" w:lineRule="auto"/>
        <w:rPr>
          <w:sz w:val="20"/>
          <w:szCs w:val="20"/>
          <w:color w:val="auto"/>
        </w:rPr>
      </w:pPr>
      <w:r>
        <w:rPr>
          <w:rFonts w:ascii="Arial" w:cs="Arial" w:eastAsia="Arial" w:hAnsi="Arial"/>
          <w:sz w:val="17"/>
          <w:szCs w:val="17"/>
          <w:color w:val="auto"/>
        </w:rPr>
        <w:t>levels by paying reduced or no incentive payouts. Accordingly, a significant portion of the target total direct compensation for our Chairman and CEO and other executive officers is comprised of short- and long-term variable performance-based, or at risk, compensation to directly link</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their pay to performance. Generally, higher level executive positions have a higher level of pay that is performance-based.</w:t>
      </w:r>
    </w:p>
    <w:p>
      <w:pPr>
        <w:spacing w:after="0" w:line="84" w:lineRule="exact"/>
        <w:rPr>
          <w:sz w:val="20"/>
          <w:szCs w:val="20"/>
          <w:color w:val="auto"/>
        </w:rPr>
      </w:pPr>
    </w:p>
    <w:p>
      <w:pPr>
        <w:ind w:firstLine="320"/>
        <w:spacing w:after="0" w:line="246" w:lineRule="auto"/>
        <w:rPr>
          <w:sz w:val="20"/>
          <w:szCs w:val="20"/>
          <w:color w:val="auto"/>
        </w:rPr>
      </w:pPr>
      <w:r>
        <w:rPr>
          <w:rFonts w:ascii="Arial" w:cs="Arial" w:eastAsia="Arial" w:hAnsi="Arial"/>
          <w:sz w:val="18"/>
          <w:szCs w:val="18"/>
          <w:color w:val="auto"/>
        </w:rPr>
        <w:t>The breakdown of variable, at-risk, pay (broken out between target annual cash incentives and target long-term incentives) compared fixed pay (i.e., annual base salary) for our Chairman and CEO and other Named Executive Officers is shown below:</w:t>
      </w:r>
    </w:p>
    <w:p>
      <w:pPr>
        <w:spacing w:after="0" w:line="102" w:lineRule="exact"/>
        <w:rPr>
          <w:sz w:val="20"/>
          <w:szCs w:val="20"/>
          <w:color w:val="auto"/>
        </w:rPr>
      </w:pPr>
    </w:p>
    <w:tbl>
      <w:tblPr>
        <w:tblLayout w:type="fixed"/>
        <w:tblInd w:w="320" w:type="dxa"/>
        <w:tblCellMar>
          <w:top w:w="0" w:type="dxa"/>
          <w:left w:w="0" w:type="dxa"/>
          <w:bottom w:w="0" w:type="dxa"/>
          <w:right w:w="0" w:type="dxa"/>
        </w:tblCellMar>
      </w:tblPr>
      <w:tr>
        <w:trPr>
          <w:trHeight w:val="184"/>
        </w:trPr>
        <w:tc>
          <w:tcPr>
            <w:tcW w:w="5300" w:type="dxa"/>
            <w:vAlign w:val="bottom"/>
            <w:shd w:val="clear" w:color="auto" w:fill="BF2115"/>
          </w:tcPr>
          <w:p>
            <w:pPr>
              <w:jc w:val="center"/>
              <w:spacing w:after="0"/>
              <w:rPr>
                <w:sz w:val="20"/>
                <w:szCs w:val="20"/>
                <w:color w:val="auto"/>
              </w:rPr>
            </w:pPr>
            <w:r>
              <w:rPr>
                <w:rFonts w:ascii="Arial" w:cs="Arial" w:eastAsia="Arial" w:hAnsi="Arial"/>
                <w:sz w:val="16"/>
                <w:szCs w:val="16"/>
                <w:b w:val="1"/>
                <w:bCs w:val="1"/>
                <w:color w:val="FFFFFF"/>
              </w:rPr>
              <w:t>Chairman and CEO</w:t>
            </w:r>
          </w:p>
        </w:tc>
        <w:tc>
          <w:tcPr>
            <w:tcW w:w="80" w:type="dxa"/>
            <w:vAlign w:val="bottom"/>
          </w:tcPr>
          <w:p>
            <w:pPr>
              <w:spacing w:after="0"/>
              <w:rPr>
                <w:sz w:val="16"/>
                <w:szCs w:val="16"/>
                <w:color w:val="auto"/>
              </w:rPr>
            </w:pPr>
          </w:p>
        </w:tc>
        <w:tc>
          <w:tcPr>
            <w:tcW w:w="5140" w:type="dxa"/>
            <w:vAlign w:val="bottom"/>
            <w:shd w:val="clear" w:color="auto" w:fill="BF2115"/>
          </w:tcPr>
          <w:p>
            <w:pPr>
              <w:jc w:val="center"/>
              <w:spacing w:after="0"/>
              <w:rPr>
                <w:sz w:val="20"/>
                <w:szCs w:val="20"/>
                <w:color w:val="auto"/>
              </w:rPr>
            </w:pPr>
            <w:r>
              <w:rPr>
                <w:rFonts w:ascii="Arial" w:cs="Arial" w:eastAsia="Arial" w:hAnsi="Arial"/>
                <w:sz w:val="16"/>
                <w:szCs w:val="16"/>
                <w:b w:val="1"/>
                <w:bCs w:val="1"/>
                <w:color w:val="FFFFFF"/>
              </w:rPr>
              <w:t>All Other Named Executive Officers</w:t>
            </w:r>
          </w:p>
        </w:tc>
      </w:tr>
      <w:tr>
        <w:trPr>
          <w:trHeight w:val="213"/>
        </w:trPr>
        <w:tc>
          <w:tcPr>
            <w:tcW w:w="5300" w:type="dxa"/>
            <w:vAlign w:val="bottom"/>
            <w:shd w:val="clear" w:color="auto" w:fill="BF2115"/>
          </w:tcPr>
          <w:p>
            <w:pPr>
              <w:jc w:val="center"/>
              <w:spacing w:after="0"/>
              <w:rPr>
                <w:sz w:val="20"/>
                <w:szCs w:val="20"/>
                <w:color w:val="auto"/>
              </w:rPr>
            </w:pPr>
            <w:r>
              <w:rPr>
                <w:rFonts w:ascii="Arial" w:cs="Arial" w:eastAsia="Arial" w:hAnsi="Arial"/>
                <w:sz w:val="16"/>
                <w:szCs w:val="16"/>
                <w:b w:val="1"/>
                <w:bCs w:val="1"/>
                <w:color w:val="FFFFFF"/>
                <w:w w:val="99"/>
              </w:rPr>
              <w:t>Target Total Direct Compensation Mix</w:t>
            </w:r>
          </w:p>
        </w:tc>
        <w:tc>
          <w:tcPr>
            <w:tcW w:w="80" w:type="dxa"/>
            <w:vAlign w:val="bottom"/>
          </w:tcPr>
          <w:p>
            <w:pPr>
              <w:spacing w:after="0"/>
              <w:rPr>
                <w:sz w:val="18"/>
                <w:szCs w:val="18"/>
                <w:color w:val="auto"/>
              </w:rPr>
            </w:pPr>
          </w:p>
        </w:tc>
        <w:tc>
          <w:tcPr>
            <w:tcW w:w="5140" w:type="dxa"/>
            <w:vAlign w:val="bottom"/>
            <w:shd w:val="clear" w:color="auto" w:fill="BF2115"/>
          </w:tcPr>
          <w:p>
            <w:pPr>
              <w:jc w:val="center"/>
              <w:spacing w:after="0"/>
              <w:rPr>
                <w:sz w:val="20"/>
                <w:szCs w:val="20"/>
                <w:color w:val="auto"/>
              </w:rPr>
            </w:pPr>
            <w:r>
              <w:rPr>
                <w:rFonts w:ascii="Arial" w:cs="Arial" w:eastAsia="Arial" w:hAnsi="Arial"/>
                <w:sz w:val="16"/>
                <w:szCs w:val="16"/>
                <w:b w:val="1"/>
                <w:bCs w:val="1"/>
                <w:color w:val="FFFFFF"/>
                <w:w w:val="99"/>
              </w:rPr>
              <w:t>Target Total Direct Compensation Mix</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461645</wp:posOffset>
            </wp:positionH>
            <wp:positionV relativeFrom="paragraph">
              <wp:posOffset>50800</wp:posOffset>
            </wp:positionV>
            <wp:extent cx="6219190" cy="248221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219190" cy="24822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xi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79375</wp:posOffset>
            </wp:positionV>
            <wp:extent cx="7159625"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343" w:right="339" w:bottom="1440" w:gutter="0" w:footer="0" w:header="0"/>
        </w:sectPr>
      </w:pPr>
    </w:p>
    <w:bookmarkStart w:id="13" w:name="page14"/>
    <w:bookmarkEnd w:id="13"/>
    <w:p>
      <w:pPr>
        <w:spacing w:after="0" w:line="39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732790</wp:posOffset>
            </wp:positionV>
            <wp:extent cx="1398270" cy="154178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398270" cy="1541780"/>
                    </a:xfrm>
                    <a:prstGeom prst="rect">
                      <a:avLst/>
                    </a:prstGeom>
                    <a:noFill/>
                  </pic:spPr>
                </pic:pic>
              </a:graphicData>
            </a:graphic>
          </wp:anchor>
        </w:drawing>
      </w:r>
    </w:p>
    <w:p>
      <w:pPr>
        <w:spacing w:after="0"/>
        <w:rPr>
          <w:sz w:val="20"/>
          <w:szCs w:val="20"/>
          <w:color w:val="auto"/>
        </w:rPr>
      </w:pPr>
      <w:r>
        <w:rPr>
          <w:rFonts w:ascii="Arial" w:cs="Arial" w:eastAsia="Arial" w:hAnsi="Arial"/>
          <w:sz w:val="17"/>
          <w:szCs w:val="17"/>
          <w:b w:val="1"/>
          <w:bCs w:val="1"/>
          <w:color w:val="FFFFFF"/>
        </w:rPr>
        <w:t>What we do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FFFFFF"/>
        </w:rPr>
        <w:t>What we</w:t>
      </w:r>
    </w:p>
    <w:p>
      <w:pPr>
        <w:spacing w:after="0" w:line="38" w:lineRule="exact"/>
        <w:rPr>
          <w:sz w:val="20"/>
          <w:szCs w:val="20"/>
          <w:color w:val="auto"/>
        </w:rPr>
      </w:pPr>
    </w:p>
    <w:p>
      <w:pPr>
        <w:ind w:left="140"/>
        <w:spacing w:after="0"/>
        <w:rPr>
          <w:sz w:val="20"/>
          <w:szCs w:val="20"/>
          <w:color w:val="auto"/>
        </w:rPr>
      </w:pPr>
      <w:r>
        <w:rPr>
          <w:rFonts w:ascii="Arial" w:cs="Arial" w:eastAsia="Arial" w:hAnsi="Arial"/>
          <w:sz w:val="18"/>
          <w:szCs w:val="18"/>
          <w:b w:val="1"/>
          <w:bCs w:val="1"/>
          <w:color w:val="FFFFFF"/>
        </w:rPr>
        <w:t>don't do</w:t>
      </w:r>
    </w:p>
    <w:p>
      <w:pPr>
        <w:spacing w:after="0" w:line="20" w:lineRule="exact"/>
        <w:rPr>
          <w:sz w:val="20"/>
          <w:szCs w:val="20"/>
          <w:color w:val="auto"/>
        </w:rPr>
      </w:pPr>
      <w:r>
        <w:rPr>
          <w:sz w:val="20"/>
          <w:szCs w:val="20"/>
          <w:color w:val="auto"/>
        </w:rPr>
        <w:br w:type="column"/>
      </w:r>
    </w:p>
    <w:p>
      <w:pPr>
        <w:ind w:left="1000" w:hanging="571"/>
        <w:spacing w:after="0"/>
        <w:tabs>
          <w:tab w:leader="none" w:pos="1000" w:val="left"/>
        </w:tabs>
        <w:numPr>
          <w:ilvl w:val="0"/>
          <w:numId w:val="10"/>
        </w:numPr>
        <w:rPr>
          <w:rFonts w:ascii="MS PGothic" w:cs="MS PGothic" w:eastAsia="MS PGothic" w:hAnsi="MS PGothic"/>
          <w:sz w:val="17"/>
          <w:szCs w:val="17"/>
          <w:color w:val="auto"/>
          <w:shd w:val="clear" w:color="auto" w:fill="C00000"/>
        </w:rPr>
      </w:pPr>
      <w:r>
        <w:rPr>
          <w:rFonts w:ascii="Arial" w:cs="Arial" w:eastAsia="Arial" w:hAnsi="Arial"/>
          <w:sz w:val="17"/>
          <w:szCs w:val="17"/>
          <w:color w:val="auto"/>
        </w:rPr>
        <w:t>Emphasize long-term performance in our equity-based incentive awards</w:t>
      </w:r>
    </w:p>
    <w:p>
      <w:pPr>
        <w:spacing w:after="0" w:line="71" w:lineRule="exact"/>
        <w:rPr>
          <w:rFonts w:ascii="MS PGothic" w:cs="MS PGothic" w:eastAsia="MS PGothic" w:hAnsi="MS PGothic"/>
          <w:sz w:val="17"/>
          <w:szCs w:val="17"/>
          <w:color w:val="auto"/>
          <w:shd w:val="clear" w:color="auto" w:fill="C00000"/>
        </w:rPr>
      </w:pPr>
    </w:p>
    <w:p>
      <w:pPr>
        <w:ind w:left="1000" w:hanging="571"/>
        <w:spacing w:after="0"/>
        <w:tabs>
          <w:tab w:leader="none" w:pos="1000" w:val="left"/>
        </w:tabs>
        <w:numPr>
          <w:ilvl w:val="0"/>
          <w:numId w:val="10"/>
        </w:numPr>
        <w:rPr>
          <w:rFonts w:ascii="MS PGothic" w:cs="MS PGothic" w:eastAsia="MS PGothic" w:hAnsi="MS PGothic"/>
          <w:sz w:val="18"/>
          <w:szCs w:val="18"/>
          <w:color w:val="auto"/>
          <w:shd w:val="clear" w:color="auto" w:fill="C00000"/>
        </w:rPr>
      </w:pPr>
      <w:r>
        <w:rPr>
          <w:rFonts w:ascii="Arial" w:cs="Arial" w:eastAsia="Arial" w:hAnsi="Arial"/>
          <w:sz w:val="18"/>
          <w:szCs w:val="18"/>
          <w:color w:val="auto"/>
        </w:rPr>
        <w:t>Use a mix of performance measures in our incentive plans</w:t>
      </w:r>
    </w:p>
    <w:p>
      <w:pPr>
        <w:spacing w:after="0" w:line="59" w:lineRule="exact"/>
        <w:rPr>
          <w:rFonts w:ascii="MS PGothic" w:cs="MS PGothic" w:eastAsia="MS PGothic" w:hAnsi="MS PGothic"/>
          <w:sz w:val="18"/>
          <w:szCs w:val="18"/>
          <w:color w:val="auto"/>
          <w:shd w:val="clear" w:color="auto" w:fill="C00000"/>
        </w:rPr>
      </w:pPr>
    </w:p>
    <w:p>
      <w:pPr>
        <w:ind w:left="1000" w:hanging="571"/>
        <w:spacing w:after="0"/>
        <w:tabs>
          <w:tab w:leader="none" w:pos="1000" w:val="left"/>
        </w:tabs>
        <w:numPr>
          <w:ilvl w:val="0"/>
          <w:numId w:val="10"/>
        </w:numPr>
        <w:rPr>
          <w:rFonts w:ascii="MS PGothic" w:cs="MS PGothic" w:eastAsia="MS PGothic" w:hAnsi="MS PGothic"/>
          <w:sz w:val="18"/>
          <w:szCs w:val="18"/>
          <w:color w:val="auto"/>
          <w:shd w:val="clear" w:color="auto" w:fill="C00000"/>
        </w:rPr>
      </w:pPr>
      <w:r>
        <w:rPr>
          <w:rFonts w:ascii="Arial" w:cs="Arial" w:eastAsia="Arial" w:hAnsi="Arial"/>
          <w:sz w:val="18"/>
          <w:szCs w:val="18"/>
          <w:color w:val="auto"/>
        </w:rPr>
        <w:t>Establish threshold levels of performance and caps on payouts</w:t>
      </w:r>
    </w:p>
    <w:p>
      <w:pPr>
        <w:spacing w:after="0" w:line="59" w:lineRule="exact"/>
        <w:rPr>
          <w:rFonts w:ascii="MS PGothic" w:cs="MS PGothic" w:eastAsia="MS PGothic" w:hAnsi="MS PGothic"/>
          <w:sz w:val="18"/>
          <w:szCs w:val="18"/>
          <w:color w:val="auto"/>
          <w:shd w:val="clear" w:color="auto" w:fill="C00000"/>
        </w:rPr>
      </w:pPr>
    </w:p>
    <w:p>
      <w:pPr>
        <w:ind w:left="1000" w:hanging="571"/>
        <w:spacing w:after="0"/>
        <w:tabs>
          <w:tab w:leader="none" w:pos="1000" w:val="left"/>
        </w:tabs>
        <w:numPr>
          <w:ilvl w:val="0"/>
          <w:numId w:val="10"/>
        </w:numPr>
        <w:rPr>
          <w:rFonts w:ascii="MS PGothic" w:cs="MS PGothic" w:eastAsia="MS PGothic" w:hAnsi="MS PGothic"/>
          <w:sz w:val="18"/>
          <w:szCs w:val="18"/>
          <w:color w:val="auto"/>
          <w:shd w:val="clear" w:color="auto" w:fill="C00000"/>
        </w:rPr>
      </w:pPr>
      <w:r>
        <w:rPr>
          <w:rFonts w:ascii="Arial" w:cs="Arial" w:eastAsia="Arial" w:hAnsi="Arial"/>
          <w:sz w:val="18"/>
          <w:szCs w:val="18"/>
          <w:color w:val="auto"/>
        </w:rPr>
        <w:t>Maintain a robust clawback policy and provisions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17780</wp:posOffset>
            </wp:positionH>
            <wp:positionV relativeFrom="paragraph">
              <wp:posOffset>23495</wp:posOffset>
            </wp:positionV>
            <wp:extent cx="5583555" cy="254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583555" cy="25400"/>
                    </a:xfrm>
                    <a:prstGeom prst="rect">
                      <a:avLst/>
                    </a:prstGeom>
                    <a:noFill/>
                  </pic:spPr>
                </pic:pic>
              </a:graphicData>
            </a:graphic>
          </wp:anchor>
        </w:drawing>
      </w:r>
    </w:p>
    <w:p>
      <w:pPr>
        <w:spacing w:after="0" w:line="67" w:lineRule="exact"/>
        <w:rPr>
          <w:sz w:val="20"/>
          <w:szCs w:val="20"/>
          <w:color w:val="auto"/>
        </w:rPr>
      </w:pPr>
    </w:p>
    <w:p>
      <w:pPr>
        <w:ind w:left="1000" w:hanging="557"/>
        <w:spacing w:after="0"/>
        <w:tabs>
          <w:tab w:leader="none" w:pos="1000" w:val="left"/>
        </w:tabs>
        <w:numPr>
          <w:ilvl w:val="0"/>
          <w:numId w:val="11"/>
        </w:numPr>
        <w:rPr>
          <w:rFonts w:ascii="Arial" w:cs="Arial" w:eastAsia="Arial" w:hAnsi="Arial"/>
          <w:sz w:val="18"/>
          <w:szCs w:val="18"/>
          <w:b w:val="1"/>
          <w:bCs w:val="1"/>
          <w:color w:val="BF2115"/>
        </w:rPr>
      </w:pPr>
      <w:r>
        <w:rPr>
          <w:rFonts w:ascii="Arial" w:cs="Arial" w:eastAsia="Arial" w:hAnsi="Arial"/>
          <w:sz w:val="18"/>
          <w:szCs w:val="18"/>
          <w:color w:val="auto"/>
        </w:rPr>
        <w:t>No guaranteed salary increases</w:t>
      </w:r>
    </w:p>
    <w:p>
      <w:pPr>
        <w:spacing w:after="0" w:line="59" w:lineRule="exact"/>
        <w:rPr>
          <w:rFonts w:ascii="Arial" w:cs="Arial" w:eastAsia="Arial" w:hAnsi="Arial"/>
          <w:sz w:val="18"/>
          <w:szCs w:val="18"/>
          <w:b w:val="1"/>
          <w:bCs w:val="1"/>
          <w:color w:val="BF2115"/>
        </w:rPr>
      </w:pPr>
    </w:p>
    <w:p>
      <w:pPr>
        <w:ind w:left="1000" w:hanging="557"/>
        <w:spacing w:after="0"/>
        <w:tabs>
          <w:tab w:leader="none" w:pos="1000" w:val="left"/>
        </w:tabs>
        <w:numPr>
          <w:ilvl w:val="0"/>
          <w:numId w:val="11"/>
        </w:numPr>
        <w:rPr>
          <w:rFonts w:ascii="Arial" w:cs="Arial" w:eastAsia="Arial" w:hAnsi="Arial"/>
          <w:sz w:val="18"/>
          <w:szCs w:val="18"/>
          <w:b w:val="1"/>
          <w:bCs w:val="1"/>
          <w:color w:val="BF2115"/>
        </w:rPr>
      </w:pPr>
      <w:r>
        <w:rPr>
          <w:rFonts w:ascii="Arial" w:cs="Arial" w:eastAsia="Arial" w:hAnsi="Arial"/>
          <w:sz w:val="18"/>
          <w:szCs w:val="18"/>
          <w:color w:val="auto"/>
        </w:rPr>
        <w:t>No guaranteed bonuses</w:t>
      </w:r>
    </w:p>
    <w:p>
      <w:pPr>
        <w:spacing w:after="0" w:line="59" w:lineRule="exact"/>
        <w:rPr>
          <w:rFonts w:ascii="Arial" w:cs="Arial" w:eastAsia="Arial" w:hAnsi="Arial"/>
          <w:sz w:val="18"/>
          <w:szCs w:val="18"/>
          <w:b w:val="1"/>
          <w:bCs w:val="1"/>
          <w:color w:val="BF2115"/>
        </w:rPr>
      </w:pPr>
    </w:p>
    <w:p>
      <w:pPr>
        <w:ind w:left="1000" w:hanging="557"/>
        <w:spacing w:after="0"/>
        <w:tabs>
          <w:tab w:leader="none" w:pos="1000" w:val="left"/>
        </w:tabs>
        <w:numPr>
          <w:ilvl w:val="0"/>
          <w:numId w:val="11"/>
        </w:numPr>
        <w:rPr>
          <w:rFonts w:ascii="Arial" w:cs="Arial" w:eastAsia="Arial" w:hAnsi="Arial"/>
          <w:sz w:val="18"/>
          <w:szCs w:val="18"/>
          <w:b w:val="1"/>
          <w:bCs w:val="1"/>
          <w:color w:val="BF2115"/>
        </w:rPr>
      </w:pPr>
      <w:r>
        <w:rPr>
          <w:rFonts w:ascii="Arial" w:cs="Arial" w:eastAsia="Arial" w:hAnsi="Arial"/>
          <w:sz w:val="18"/>
          <w:szCs w:val="18"/>
          <w:color w:val="auto"/>
        </w:rPr>
        <w:t>No excessive perquisites</w:t>
      </w:r>
    </w:p>
    <w:p>
      <w:pPr>
        <w:spacing w:after="0" w:line="59" w:lineRule="exact"/>
        <w:rPr>
          <w:rFonts w:ascii="Arial" w:cs="Arial" w:eastAsia="Arial" w:hAnsi="Arial"/>
          <w:sz w:val="18"/>
          <w:szCs w:val="18"/>
          <w:b w:val="1"/>
          <w:bCs w:val="1"/>
          <w:color w:val="BF2115"/>
        </w:rPr>
      </w:pPr>
    </w:p>
    <w:p>
      <w:pPr>
        <w:ind w:left="1000" w:hanging="557"/>
        <w:spacing w:after="0"/>
        <w:tabs>
          <w:tab w:leader="none" w:pos="1000" w:val="left"/>
        </w:tabs>
        <w:numPr>
          <w:ilvl w:val="0"/>
          <w:numId w:val="11"/>
        </w:numPr>
        <w:rPr>
          <w:rFonts w:ascii="Arial" w:cs="Arial" w:eastAsia="Arial" w:hAnsi="Arial"/>
          <w:sz w:val="18"/>
          <w:szCs w:val="18"/>
          <w:b w:val="1"/>
          <w:bCs w:val="1"/>
          <w:color w:val="BF2115"/>
        </w:rPr>
      </w:pPr>
      <w:r>
        <w:rPr>
          <w:rFonts w:ascii="Arial" w:cs="Arial" w:eastAsia="Arial" w:hAnsi="Arial"/>
          <w:sz w:val="18"/>
          <w:szCs w:val="18"/>
          <w:color w:val="auto"/>
        </w:rPr>
        <w:t>No individual executive employment agreements</w:t>
      </w:r>
    </w:p>
    <w:p>
      <w:pPr>
        <w:spacing w:after="0" w:line="59" w:lineRule="exact"/>
        <w:rPr>
          <w:rFonts w:ascii="Arial" w:cs="Arial" w:eastAsia="Arial" w:hAnsi="Arial"/>
          <w:sz w:val="18"/>
          <w:szCs w:val="18"/>
          <w:b w:val="1"/>
          <w:bCs w:val="1"/>
          <w:color w:val="BF2115"/>
        </w:rPr>
      </w:pPr>
    </w:p>
    <w:p>
      <w:pPr>
        <w:ind w:left="1000" w:hanging="557"/>
        <w:spacing w:after="0"/>
        <w:tabs>
          <w:tab w:leader="none" w:pos="1000" w:val="left"/>
        </w:tabs>
        <w:numPr>
          <w:ilvl w:val="0"/>
          <w:numId w:val="11"/>
        </w:numPr>
        <w:rPr>
          <w:rFonts w:ascii="Arial" w:cs="Arial" w:eastAsia="Arial" w:hAnsi="Arial"/>
          <w:sz w:val="18"/>
          <w:szCs w:val="18"/>
          <w:b w:val="1"/>
          <w:bCs w:val="1"/>
          <w:color w:val="BF2115"/>
        </w:rPr>
      </w:pPr>
      <w:r>
        <w:rPr>
          <w:rFonts w:ascii="Arial" w:cs="Arial" w:eastAsia="Arial" w:hAnsi="Arial"/>
          <w:sz w:val="18"/>
          <w:szCs w:val="18"/>
          <w:color w:val="auto"/>
        </w:rPr>
        <w:t>No gross-up payments</w:t>
      </w:r>
    </w:p>
    <w:p>
      <w:pPr>
        <w:spacing w:after="0" w:line="178" w:lineRule="exact"/>
        <w:rPr>
          <w:sz w:val="20"/>
          <w:szCs w:val="20"/>
          <w:color w:val="auto"/>
        </w:rPr>
      </w:pPr>
    </w:p>
    <w:p>
      <w:pPr>
        <w:jc w:val="center"/>
        <w:ind w:right="1279"/>
        <w:spacing w:after="0"/>
        <w:rPr>
          <w:sz w:val="20"/>
          <w:szCs w:val="20"/>
          <w:color w:val="auto"/>
        </w:rPr>
      </w:pPr>
      <w:r>
        <w:rPr>
          <w:rFonts w:ascii="Arial" w:cs="Arial" w:eastAsia="Arial" w:hAnsi="Arial"/>
          <w:sz w:val="18"/>
          <w:szCs w:val="18"/>
          <w:b w:val="1"/>
          <w:bCs w:val="1"/>
          <w:color w:val="auto"/>
        </w:rPr>
        <w:t>Our fiscal 2024 financial performance resulted in the following:</w:t>
      </w:r>
    </w:p>
    <w:p>
      <w:pPr>
        <w:spacing w:after="0" w:line="4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Annual cash incentives at the corporate level were paid at 39.6% of target.</w:t>
      </w:r>
    </w:p>
    <w:p>
      <w:pPr>
        <w:spacing w:after="0" w:line="47" w:lineRule="exact"/>
        <w:rPr>
          <w:sz w:val="20"/>
          <w:szCs w:val="20"/>
          <w:color w:val="auto"/>
        </w:rPr>
      </w:pPr>
    </w:p>
    <w:p>
      <w:pPr>
        <w:spacing w:after="0"/>
        <w:rPr>
          <w:sz w:val="20"/>
          <w:szCs w:val="20"/>
          <w:color w:val="auto"/>
        </w:rPr>
      </w:pPr>
      <w:r>
        <w:rPr>
          <w:rFonts w:ascii="Arial" w:cs="Arial" w:eastAsia="Arial" w:hAnsi="Arial"/>
          <w:sz w:val="17"/>
          <w:szCs w:val="17"/>
          <w:color w:val="auto"/>
        </w:rPr>
        <w:t>Three-year performance awards for the fiscal 2022 to fiscal 2024 performance period</w:t>
      </w:r>
    </w:p>
    <w:p>
      <w:pPr>
        <w:spacing w:after="0" w:line="21" w:lineRule="exact"/>
        <w:rPr>
          <w:sz w:val="20"/>
          <w:szCs w:val="20"/>
          <w:color w:val="auto"/>
        </w:rPr>
      </w:pPr>
    </w:p>
    <w:p>
      <w:pPr>
        <w:ind w:left="2200"/>
        <w:spacing w:after="0"/>
        <w:rPr>
          <w:sz w:val="20"/>
          <w:szCs w:val="20"/>
          <w:color w:val="auto"/>
        </w:rPr>
      </w:pPr>
      <w:r>
        <w:rPr>
          <w:rFonts w:ascii="Arial" w:cs="Arial" w:eastAsia="Arial" w:hAnsi="Arial"/>
          <w:sz w:val="18"/>
          <w:szCs w:val="18"/>
          <w:color w:val="auto"/>
        </w:rPr>
        <w:t>were paid at 55.3% of target.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3340"/>
        <w:spacing w:after="0"/>
        <w:rPr>
          <w:sz w:val="20"/>
          <w:szCs w:val="20"/>
          <w:color w:val="auto"/>
        </w:rPr>
      </w:pPr>
      <w:r>
        <w:rPr>
          <w:rFonts w:ascii="Arial" w:cs="Arial" w:eastAsia="Arial" w:hAnsi="Arial"/>
          <w:sz w:val="21"/>
          <w:szCs w:val="21"/>
          <w:color w:val="auto"/>
        </w:rPr>
        <w:t>xii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-1391920</wp:posOffset>
            </wp:positionH>
            <wp:positionV relativeFrom="paragraph">
              <wp:posOffset>71120</wp:posOffset>
            </wp:positionV>
            <wp:extent cx="7159625"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2">
            <w:col w:w="980" w:space="580"/>
            <w:col w:w="7959"/>
          </w:cols>
          <w:pgMar w:left="940" w:top="1163" w:right="1440" w:bottom="1440" w:gutter="0" w:footer="0" w:header="0"/>
        </w:sectPr>
      </w:pPr>
    </w:p>
    <w:bookmarkStart w:id="14" w:name="page15"/>
    <w:bookmarkEnd w:id="14"/>
    <w:p>
      <w:pPr>
        <w:jc w:val="center"/>
        <w:spacing w:after="0"/>
        <w:rPr>
          <w:sz w:val="20"/>
          <w:szCs w:val="20"/>
          <w:color w:val="auto"/>
        </w:rPr>
      </w:pPr>
      <w:r>
        <w:rPr>
          <w:rFonts w:ascii="Arial" w:cs="Arial" w:eastAsia="Arial" w:hAnsi="Arial"/>
          <w:sz w:val="25"/>
          <w:szCs w:val="25"/>
          <w:b w:val="1"/>
          <w:bCs w:val="1"/>
          <w:color w:val="C00000"/>
        </w:rPr>
        <w:t>THE TORO COMPANY</w:t>
      </w:r>
    </w:p>
    <w:p>
      <w:pPr>
        <w:jc w:val="center"/>
        <w:spacing w:after="0" w:line="235" w:lineRule="auto"/>
        <w:rPr>
          <w:sz w:val="20"/>
          <w:szCs w:val="20"/>
          <w:color w:val="auto"/>
        </w:rPr>
      </w:pPr>
      <w:r>
        <w:rPr>
          <w:rFonts w:ascii="Arial" w:cs="Arial" w:eastAsia="Arial" w:hAnsi="Arial"/>
          <w:sz w:val="18"/>
          <w:szCs w:val="18"/>
          <w:color w:val="auto"/>
        </w:rPr>
        <w:t>8111 Lyndale Avenue South</w:t>
      </w:r>
    </w:p>
    <w:p>
      <w:pPr>
        <w:jc w:val="center"/>
        <w:spacing w:after="0"/>
        <w:rPr>
          <w:sz w:val="20"/>
          <w:szCs w:val="20"/>
          <w:color w:val="auto"/>
        </w:rPr>
      </w:pPr>
      <w:r>
        <w:rPr>
          <w:rFonts w:ascii="Arial" w:cs="Arial" w:eastAsia="Arial" w:hAnsi="Arial"/>
          <w:sz w:val="18"/>
          <w:szCs w:val="18"/>
          <w:color w:val="auto"/>
        </w:rPr>
        <w:t>Bloomington, Minnesota 55420-1196</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C00000"/>
        </w:rPr>
        <w:t>PROXY STATEMENT</w:t>
      </w:r>
    </w:p>
    <w:p>
      <w:pPr>
        <w:jc w:val="center"/>
        <w:spacing w:after="0" w:line="235" w:lineRule="auto"/>
        <w:rPr>
          <w:sz w:val="20"/>
          <w:szCs w:val="20"/>
          <w:color w:val="auto"/>
        </w:rPr>
      </w:pPr>
      <w:r>
        <w:rPr>
          <w:rFonts w:ascii="Arial" w:cs="Arial" w:eastAsia="Arial" w:hAnsi="Arial"/>
          <w:sz w:val="18"/>
          <w:szCs w:val="18"/>
          <w:color w:val="auto"/>
        </w:rPr>
        <w:t>2025 ANNUAL MEETING OF SHAREHOLDERS</w:t>
      </w:r>
    </w:p>
    <w:p>
      <w:pPr>
        <w:jc w:val="center"/>
        <w:spacing w:after="0" w:line="232" w:lineRule="auto"/>
        <w:rPr>
          <w:sz w:val="20"/>
          <w:szCs w:val="20"/>
          <w:color w:val="auto"/>
        </w:rPr>
      </w:pPr>
      <w:r>
        <w:rPr>
          <w:rFonts w:ascii="Arial" w:cs="Arial" w:eastAsia="Arial" w:hAnsi="Arial"/>
          <w:sz w:val="18"/>
          <w:szCs w:val="18"/>
          <w:color w:val="auto"/>
        </w:rPr>
        <w:t>TUESDAY, MARCH 18, 2025</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2:00 p.m. Central Daylight Time</w:t>
      </w:r>
    </w:p>
    <w:p>
      <w:pPr>
        <w:spacing w:after="0" w:line="151" w:lineRule="exact"/>
        <w:rPr>
          <w:sz w:val="20"/>
          <w:szCs w:val="20"/>
          <w:color w:val="auto"/>
        </w:rPr>
      </w:pPr>
    </w:p>
    <w:p>
      <w:pPr>
        <w:ind w:firstLine="320"/>
        <w:spacing w:after="0" w:line="233" w:lineRule="auto"/>
        <w:rPr>
          <w:sz w:val="20"/>
          <w:szCs w:val="20"/>
          <w:color w:val="auto"/>
        </w:rPr>
      </w:pPr>
      <w:r>
        <w:rPr>
          <w:rFonts w:ascii="Arial" w:cs="Arial" w:eastAsia="Arial" w:hAnsi="Arial"/>
          <w:sz w:val="18"/>
          <w:szCs w:val="18"/>
          <w:color w:val="auto"/>
        </w:rPr>
        <w:t>The Toro Company Board of Directors is using this proxy statement to solicit your proxy for use at The Toro Company 2025 Annual Meeting of Shareholders. We intend to send a Notice Regarding the Availability of Proxy Materials for the annual meeting and make proxy</w:t>
      </w:r>
    </w:p>
    <w:p>
      <w:pPr>
        <w:spacing w:after="0" w:line="1" w:lineRule="exact"/>
        <w:rPr>
          <w:sz w:val="20"/>
          <w:szCs w:val="20"/>
          <w:color w:val="auto"/>
        </w:rPr>
      </w:pPr>
    </w:p>
    <w:p>
      <w:pPr>
        <w:spacing w:after="0" w:line="243" w:lineRule="auto"/>
        <w:rPr>
          <w:sz w:val="20"/>
          <w:szCs w:val="20"/>
          <w:color w:val="auto"/>
        </w:rPr>
      </w:pPr>
      <w:r>
        <w:rPr>
          <w:rFonts w:ascii="Arial" w:cs="Arial" w:eastAsia="Arial" w:hAnsi="Arial"/>
          <w:sz w:val="18"/>
          <w:szCs w:val="18"/>
          <w:color w:val="auto"/>
        </w:rPr>
        <w:t>materials available to shareholders (or for certain shareholders and for those who request, a paper version of this proxy statement and the form of proxy) on or about February 4, 2025.</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FFFFFF"/>
        </w:rPr>
        <w:t>GENERAL INFORMATION ABOUT THE 2025 ANNUAL MEETING AND VOTING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63500</wp:posOffset>
            </wp:positionH>
            <wp:positionV relativeFrom="paragraph">
              <wp:posOffset>-151765</wp:posOffset>
            </wp:positionV>
            <wp:extent cx="7015480" cy="1866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015480" cy="186690"/>
                    </a:xfrm>
                    <a:prstGeom prst="rect">
                      <a:avLst/>
                    </a:prstGeom>
                    <a:noFill/>
                  </pic:spPr>
                </pic:pic>
              </a:graphicData>
            </a:graphic>
          </wp:anchor>
        </w:drawing>
      </w:r>
    </w:p>
    <w:p>
      <w:pPr>
        <w:spacing w:after="0" w:line="317" w:lineRule="exact"/>
        <w:rPr>
          <w:sz w:val="20"/>
          <w:szCs w:val="20"/>
          <w:color w:val="auto"/>
        </w:rPr>
      </w:pPr>
    </w:p>
    <w:p>
      <w:pPr>
        <w:ind w:right="620"/>
        <w:spacing w:after="0" w:line="263" w:lineRule="auto"/>
        <w:rPr>
          <w:sz w:val="20"/>
          <w:szCs w:val="20"/>
          <w:color w:val="auto"/>
        </w:rPr>
      </w:pPr>
      <w:r>
        <w:rPr>
          <w:rFonts w:ascii="Arial" w:cs="Arial" w:eastAsia="Arial" w:hAnsi="Arial"/>
          <w:sz w:val="20"/>
          <w:szCs w:val="20"/>
          <w:b w:val="1"/>
          <w:bCs w:val="1"/>
          <w:color w:val="C00000"/>
        </w:rPr>
        <w:t>Important Notice Regarding the Availability of Proxy Materials for the Shareholder Meeting To Be Held on Tuesday, March 18, 2025</w:t>
      </w:r>
    </w:p>
    <w:p>
      <w:pPr>
        <w:spacing w:after="0" w:line="23" w:lineRule="exact"/>
        <w:rPr>
          <w:sz w:val="20"/>
          <w:szCs w:val="20"/>
          <w:color w:val="auto"/>
        </w:rPr>
      </w:pPr>
    </w:p>
    <w:p>
      <w:pPr>
        <w:ind w:firstLine="320"/>
        <w:spacing w:after="0" w:line="262" w:lineRule="auto"/>
        <w:rPr>
          <w:sz w:val="20"/>
          <w:szCs w:val="20"/>
          <w:color w:val="auto"/>
        </w:rPr>
      </w:pPr>
      <w:r>
        <w:rPr>
          <w:rFonts w:ascii="Arial" w:cs="Arial" w:eastAsia="Arial" w:hAnsi="Arial"/>
          <w:sz w:val="18"/>
          <w:szCs w:val="18"/>
          <w:color w:val="auto"/>
        </w:rPr>
        <w:t>This proxy statement and our 2024 Annual Report, which includes our Annual Report on Form 10-K for the fiscal year ended October 31, 2024, or fiscal 2024, are available at www.thetorocompany.com/proxy.</w:t>
      </w:r>
    </w:p>
    <w:p>
      <w:pPr>
        <w:spacing w:after="0" w:line="55" w:lineRule="exact"/>
        <w:rPr>
          <w:sz w:val="20"/>
          <w:szCs w:val="20"/>
          <w:color w:val="auto"/>
        </w:rPr>
      </w:pPr>
    </w:p>
    <w:p>
      <w:pPr>
        <w:ind w:firstLine="320"/>
        <w:spacing w:after="0" w:line="233" w:lineRule="auto"/>
        <w:rPr>
          <w:sz w:val="20"/>
          <w:szCs w:val="20"/>
          <w:color w:val="auto"/>
        </w:rPr>
      </w:pPr>
      <w:r>
        <w:rPr>
          <w:rFonts w:ascii="Arial" w:cs="Arial" w:eastAsia="Arial" w:hAnsi="Arial"/>
          <w:sz w:val="18"/>
          <w:szCs w:val="18"/>
          <w:color w:val="auto"/>
        </w:rPr>
        <w:t>Pursuant to rules adopted by the SEC, we have elected to provide access to our proxy materials over the Internet. Accordingly, we are sending a Notice Regarding the Availability of Proxy Materials to some of our shareholders. Shareholders have the ability to access our proxy</w:t>
      </w:r>
    </w:p>
    <w:p>
      <w:pPr>
        <w:spacing w:after="0" w:line="1" w:lineRule="exact"/>
        <w:rPr>
          <w:sz w:val="20"/>
          <w:szCs w:val="20"/>
          <w:color w:val="auto"/>
        </w:rPr>
      </w:pPr>
    </w:p>
    <w:p>
      <w:pPr>
        <w:spacing w:after="0" w:line="224" w:lineRule="auto"/>
        <w:rPr>
          <w:sz w:val="20"/>
          <w:szCs w:val="20"/>
          <w:color w:val="auto"/>
        </w:rPr>
      </w:pPr>
      <w:r>
        <w:rPr>
          <w:rFonts w:ascii="Arial" w:cs="Arial" w:eastAsia="Arial" w:hAnsi="Arial"/>
          <w:sz w:val="18"/>
          <w:szCs w:val="18"/>
          <w:color w:val="auto"/>
        </w:rPr>
        <w:t>materials on the website referred to in the Notice Regarding the Availability of Proxy Materials (www.proxyvote.com) or request to receive printed proxy materials. Instructions on how to access our proxy materials over the Internet or request a printed copy of our proxy materials</w:t>
      </w:r>
    </w:p>
    <w:p>
      <w:pPr>
        <w:spacing w:after="0" w:line="1" w:lineRule="exact"/>
        <w:rPr>
          <w:sz w:val="20"/>
          <w:szCs w:val="20"/>
          <w:color w:val="auto"/>
        </w:rPr>
      </w:pPr>
    </w:p>
    <w:p>
      <w:pPr>
        <w:spacing w:after="0" w:line="243" w:lineRule="auto"/>
        <w:rPr>
          <w:sz w:val="20"/>
          <w:szCs w:val="20"/>
          <w:color w:val="auto"/>
        </w:rPr>
      </w:pPr>
      <w:r>
        <w:rPr>
          <w:rFonts w:ascii="Arial" w:cs="Arial" w:eastAsia="Arial" w:hAnsi="Arial"/>
          <w:sz w:val="18"/>
          <w:szCs w:val="18"/>
          <w:color w:val="auto"/>
        </w:rPr>
        <w:t>may be found in the Notice Regarding the Availability of Proxy Materials. In addition, shareholders may request to receive proxy materials in printed form by mail or electronically by e-mail on an ongoing basis.</w:t>
      </w:r>
    </w:p>
    <w:p>
      <w:pPr>
        <w:spacing w:after="0" w:line="119" w:lineRule="exact"/>
        <w:rPr>
          <w:sz w:val="20"/>
          <w:szCs w:val="20"/>
          <w:color w:val="auto"/>
        </w:rPr>
      </w:pPr>
    </w:p>
    <w:p>
      <w:pPr>
        <w:spacing w:after="0"/>
        <w:rPr>
          <w:sz w:val="20"/>
          <w:szCs w:val="20"/>
          <w:color w:val="auto"/>
        </w:rPr>
      </w:pPr>
      <w:r>
        <w:rPr>
          <w:rFonts w:ascii="Arial" w:cs="Arial" w:eastAsia="Arial" w:hAnsi="Arial"/>
          <w:sz w:val="20"/>
          <w:szCs w:val="20"/>
          <w:b w:val="1"/>
          <w:bCs w:val="1"/>
          <w:color w:val="C00000"/>
        </w:rPr>
        <w:t>When and Where Will the Annual Meeting Be Held?</w:t>
      </w:r>
    </w:p>
    <w:p>
      <w:pPr>
        <w:spacing w:after="0" w:line="97" w:lineRule="exact"/>
        <w:rPr>
          <w:sz w:val="20"/>
          <w:szCs w:val="20"/>
          <w:color w:val="auto"/>
        </w:rPr>
      </w:pPr>
    </w:p>
    <w:p>
      <w:pPr>
        <w:ind w:firstLine="388"/>
        <w:spacing w:after="0" w:line="246" w:lineRule="auto"/>
        <w:rPr>
          <w:sz w:val="20"/>
          <w:szCs w:val="20"/>
          <w:color w:val="auto"/>
        </w:rPr>
      </w:pPr>
      <w:r>
        <w:rPr>
          <w:rFonts w:ascii="Arial" w:cs="Arial" w:eastAsia="Arial" w:hAnsi="Arial"/>
          <w:sz w:val="18"/>
          <w:szCs w:val="18"/>
          <w:color w:val="auto"/>
        </w:rPr>
        <w:t>The annual meeting will be held virtually on Tuesday, March 18, 2025 at 2:00 p.m. Central Daylight Time at www.virtualshareholdermeeting.com/TTC2025.</w:t>
      </w:r>
    </w:p>
    <w:p>
      <w:pPr>
        <w:spacing w:after="0" w:line="129" w:lineRule="exact"/>
        <w:rPr>
          <w:sz w:val="20"/>
          <w:szCs w:val="20"/>
          <w:color w:val="auto"/>
        </w:rPr>
      </w:pPr>
    </w:p>
    <w:p>
      <w:pPr>
        <w:spacing w:after="0"/>
        <w:rPr>
          <w:sz w:val="20"/>
          <w:szCs w:val="20"/>
          <w:color w:val="auto"/>
        </w:rPr>
      </w:pPr>
      <w:r>
        <w:rPr>
          <w:rFonts w:ascii="Arial" w:cs="Arial" w:eastAsia="Arial" w:hAnsi="Arial"/>
          <w:sz w:val="20"/>
          <w:szCs w:val="20"/>
          <w:b w:val="1"/>
          <w:bCs w:val="1"/>
          <w:color w:val="C00000"/>
        </w:rPr>
        <w:t>Why is the Annual Meeting Being Held Virtually?</w:t>
      </w:r>
    </w:p>
    <w:p>
      <w:pPr>
        <w:spacing w:after="0" w:line="13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We believe a virtual meeting will facilitate expanded shareholder access and participation and provide a consistent experience to</w:t>
      </w:r>
    </w:p>
    <w:p>
      <w:pPr>
        <w:spacing w:after="0" w:line="9" w:lineRule="exact"/>
        <w:rPr>
          <w:sz w:val="20"/>
          <w:szCs w:val="20"/>
          <w:color w:val="auto"/>
        </w:rPr>
      </w:pPr>
    </w:p>
    <w:p>
      <w:pPr>
        <w:spacing w:after="0" w:line="237" w:lineRule="auto"/>
        <w:rPr>
          <w:sz w:val="20"/>
          <w:szCs w:val="20"/>
          <w:color w:val="auto"/>
        </w:rPr>
      </w:pPr>
      <w:r>
        <w:rPr>
          <w:rFonts w:ascii="Arial" w:cs="Arial" w:eastAsia="Arial" w:hAnsi="Arial"/>
          <w:sz w:val="17"/>
          <w:szCs w:val="17"/>
          <w:color w:val="auto"/>
        </w:rPr>
        <w:t>shareholders, regardless of location. You will be able to join the Annual Meeting and vote and submit questions online during the Annual Meeting by visiting www.virtualshareholdermeeting.com/TTC2025 and using the 16-digit control number included on the Notice, on your proxy</w:t>
      </w:r>
    </w:p>
    <w:p>
      <w:pPr>
        <w:spacing w:after="0" w:line="1" w:lineRule="exact"/>
        <w:rPr>
          <w:sz w:val="20"/>
          <w:szCs w:val="20"/>
          <w:color w:val="auto"/>
        </w:rPr>
      </w:pPr>
    </w:p>
    <w:p>
      <w:pPr>
        <w:spacing w:after="0" w:line="243" w:lineRule="auto"/>
        <w:rPr>
          <w:sz w:val="20"/>
          <w:szCs w:val="20"/>
          <w:color w:val="auto"/>
        </w:rPr>
      </w:pPr>
      <w:r>
        <w:rPr>
          <w:rFonts w:ascii="Arial" w:cs="Arial" w:eastAsia="Arial" w:hAnsi="Arial"/>
          <w:sz w:val="18"/>
          <w:szCs w:val="18"/>
          <w:color w:val="auto"/>
        </w:rPr>
        <w:t>card, or on your voting instruction form provided by your broker, bank or other nominee. Online check-in will be available at the virtual meeting site approximately 15 minutes prior to the beginning of the Annual Meeting</w:t>
      </w:r>
    </w:p>
    <w:p>
      <w:pPr>
        <w:spacing w:after="0" w:line="119" w:lineRule="exact"/>
        <w:rPr>
          <w:sz w:val="20"/>
          <w:szCs w:val="20"/>
          <w:color w:val="auto"/>
        </w:rPr>
      </w:pPr>
    </w:p>
    <w:p>
      <w:pPr>
        <w:spacing w:after="0"/>
        <w:rPr>
          <w:sz w:val="20"/>
          <w:szCs w:val="20"/>
          <w:color w:val="auto"/>
        </w:rPr>
      </w:pPr>
      <w:r>
        <w:rPr>
          <w:rFonts w:ascii="Arial" w:cs="Arial" w:eastAsia="Arial" w:hAnsi="Arial"/>
          <w:sz w:val="20"/>
          <w:szCs w:val="20"/>
          <w:b w:val="1"/>
          <w:bCs w:val="1"/>
          <w:color w:val="C00000"/>
        </w:rPr>
        <w:t>How Can I Attend the Virtual Annual Meeting?</w:t>
      </w:r>
    </w:p>
    <w:p>
      <w:pPr>
        <w:spacing w:after="0" w:line="84" w:lineRule="exact"/>
        <w:rPr>
          <w:sz w:val="20"/>
          <w:szCs w:val="20"/>
          <w:color w:val="auto"/>
        </w:rPr>
      </w:pPr>
    </w:p>
    <w:p>
      <w:pPr>
        <w:ind w:firstLine="320"/>
        <w:spacing w:after="0" w:line="241" w:lineRule="auto"/>
        <w:rPr>
          <w:sz w:val="20"/>
          <w:szCs w:val="20"/>
          <w:color w:val="auto"/>
        </w:rPr>
      </w:pPr>
      <w:r>
        <w:rPr>
          <w:rFonts w:ascii="Arial" w:cs="Arial" w:eastAsia="Arial" w:hAnsi="Arial"/>
          <w:sz w:val="18"/>
          <w:szCs w:val="18"/>
          <w:color w:val="auto"/>
        </w:rPr>
        <w:t>Shareholders at the close of business on the record date may attend the annual meeting by visiting www.virtualshareholdermeeting.com/TTC2025 and logging in with the 16-digit control number included on your proxy card, voting instruction</w:t>
      </w:r>
    </w:p>
    <w:p>
      <w:pPr>
        <w:spacing w:after="0" w:line="1" w:lineRule="exact"/>
        <w:rPr>
          <w:sz w:val="20"/>
          <w:szCs w:val="20"/>
          <w:color w:val="auto"/>
        </w:rPr>
      </w:pPr>
    </w:p>
    <w:p>
      <w:pPr>
        <w:spacing w:after="0" w:line="224" w:lineRule="auto"/>
        <w:rPr>
          <w:sz w:val="20"/>
          <w:szCs w:val="20"/>
          <w:color w:val="auto"/>
        </w:rPr>
      </w:pPr>
      <w:r>
        <w:rPr>
          <w:rFonts w:ascii="Arial" w:cs="Arial" w:eastAsia="Arial" w:hAnsi="Arial"/>
          <w:sz w:val="18"/>
          <w:szCs w:val="18"/>
          <w:color w:val="auto"/>
        </w:rPr>
        <w:t>form or Notice Regarding the Availability of Proxy Materials. On the day of our annual meeting, we recommend that you log into our virtual meeting at least 15 minutes before the scheduled start time to ensure that you can access the meeting. If you encounter any difficulties while</w:t>
      </w:r>
    </w:p>
    <w:p>
      <w:pPr>
        <w:spacing w:after="0" w:line="232" w:lineRule="auto"/>
        <w:rPr>
          <w:sz w:val="20"/>
          <w:szCs w:val="20"/>
          <w:color w:val="auto"/>
        </w:rPr>
      </w:pPr>
      <w:r>
        <w:rPr>
          <w:rFonts w:ascii="Arial" w:cs="Arial" w:eastAsia="Arial" w:hAnsi="Arial"/>
          <w:sz w:val="18"/>
          <w:szCs w:val="18"/>
          <w:color w:val="auto"/>
        </w:rPr>
        <w:t>accessing the virtual meeting during the check-in or meeting time, a technical assistance phone number will be made available on the virtual</w:t>
      </w:r>
    </w:p>
    <w:p>
      <w:pPr>
        <w:spacing w:after="0" w:line="1" w:lineRule="exact"/>
        <w:rPr>
          <w:sz w:val="20"/>
          <w:szCs w:val="20"/>
          <w:color w:val="auto"/>
        </w:rPr>
      </w:pPr>
    </w:p>
    <w:p>
      <w:pPr>
        <w:ind w:right="20"/>
        <w:spacing w:after="0" w:line="234" w:lineRule="auto"/>
        <w:rPr>
          <w:sz w:val="20"/>
          <w:szCs w:val="20"/>
          <w:color w:val="auto"/>
        </w:rPr>
      </w:pPr>
      <w:r>
        <w:rPr>
          <w:rFonts w:ascii="Arial" w:cs="Arial" w:eastAsia="Arial" w:hAnsi="Arial"/>
          <w:sz w:val="18"/>
          <w:szCs w:val="18"/>
          <w:color w:val="auto"/>
        </w:rPr>
        <w:t>meeting registration page 15 minutes prior to the start time of the meeting. Rules governing the conduct of the annual meeting will be posted on the virtual meeting platform along with an agenda.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15" w:name="page16"/>
    <w:bookmarkEnd w:id="15"/>
    <w:p>
      <w:pPr>
        <w:spacing w:after="0"/>
        <w:rPr>
          <w:sz w:val="20"/>
          <w:szCs w:val="20"/>
          <w:color w:val="auto"/>
        </w:rPr>
      </w:pPr>
      <w:r>
        <w:rPr>
          <w:rFonts w:ascii="Arial" w:cs="Arial" w:eastAsia="Arial" w:hAnsi="Arial"/>
          <w:sz w:val="20"/>
          <w:szCs w:val="20"/>
          <w:b w:val="1"/>
          <w:bCs w:val="1"/>
          <w:color w:val="C00000"/>
        </w:rPr>
        <w:t>What Are the Purposes of the Annual Meeting?</w:t>
      </w:r>
    </w:p>
    <w:p>
      <w:pPr>
        <w:spacing w:after="0" w:line="84"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purposes of the 2025 Annual Meeting of Shareholders are to vote on the following items described in this proxy statement:</w:t>
      </w:r>
    </w:p>
    <w:p>
      <w:pPr>
        <w:spacing w:after="0" w:line="50" w:lineRule="exact"/>
        <w:rPr>
          <w:sz w:val="20"/>
          <w:szCs w:val="20"/>
          <w:color w:val="auto"/>
        </w:rPr>
      </w:pPr>
    </w:p>
    <w:tbl>
      <w:tblPr>
        <w:tblLayout w:type="fixed"/>
        <w:tblInd w:w="120" w:type="dxa"/>
        <w:tblCellMar>
          <w:top w:w="0" w:type="dxa"/>
          <w:left w:w="0" w:type="dxa"/>
          <w:bottom w:w="0" w:type="dxa"/>
          <w:right w:w="0" w:type="dxa"/>
        </w:tblCellMar>
      </w:tblPr>
      <w:tr>
        <w:trPr>
          <w:trHeight w:val="254"/>
        </w:trPr>
        <w:tc>
          <w:tcPr>
            <w:tcW w:w="1460" w:type="dxa"/>
            <w:vAlign w:val="bottom"/>
            <w:shd w:val="clear" w:color="auto" w:fill="DBDBDB"/>
          </w:tcPr>
          <w:p>
            <w:pPr>
              <w:ind w:left="20"/>
              <w:spacing w:after="0"/>
              <w:rPr>
                <w:sz w:val="20"/>
                <w:szCs w:val="20"/>
                <w:color w:val="auto"/>
              </w:rPr>
            </w:pPr>
            <w:r>
              <w:rPr>
                <w:rFonts w:ascii="Arial" w:cs="Arial" w:eastAsia="Arial" w:hAnsi="Arial"/>
                <w:sz w:val="18"/>
                <w:szCs w:val="18"/>
                <w:color w:val="auto"/>
              </w:rPr>
              <w:t>Proposal One</w:t>
            </w:r>
          </w:p>
        </w:tc>
        <w:tc>
          <w:tcPr>
            <w:tcW w:w="9560" w:type="dxa"/>
            <w:vAlign w:val="bottom"/>
            <w:shd w:val="clear" w:color="auto" w:fill="DBDBDB"/>
          </w:tcPr>
          <w:p>
            <w:pPr>
              <w:ind w:left="220"/>
              <w:spacing w:after="0"/>
              <w:rPr>
                <w:sz w:val="20"/>
                <w:szCs w:val="20"/>
                <w:color w:val="auto"/>
              </w:rPr>
            </w:pPr>
            <w:r>
              <w:rPr>
                <w:rFonts w:ascii="Arial" w:cs="Arial" w:eastAsia="Arial" w:hAnsi="Arial"/>
                <w:sz w:val="18"/>
                <w:szCs w:val="18"/>
                <w:color w:val="auto"/>
              </w:rPr>
              <w:t>Election of Directors</w:t>
            </w:r>
          </w:p>
        </w:tc>
      </w:tr>
      <w:tr>
        <w:trPr>
          <w:trHeight w:val="248"/>
        </w:trPr>
        <w:tc>
          <w:tcPr>
            <w:tcW w:w="1460" w:type="dxa"/>
            <w:vAlign w:val="bottom"/>
          </w:tcPr>
          <w:p>
            <w:pPr>
              <w:ind w:left="20"/>
              <w:spacing w:after="0"/>
              <w:rPr>
                <w:sz w:val="20"/>
                <w:szCs w:val="20"/>
                <w:color w:val="auto"/>
              </w:rPr>
            </w:pPr>
            <w:r>
              <w:rPr>
                <w:rFonts w:ascii="Arial" w:cs="Arial" w:eastAsia="Arial" w:hAnsi="Arial"/>
                <w:sz w:val="18"/>
                <w:szCs w:val="18"/>
                <w:color w:val="auto"/>
              </w:rPr>
              <w:t>Proposal Two</w:t>
            </w:r>
          </w:p>
        </w:tc>
        <w:tc>
          <w:tcPr>
            <w:tcW w:w="9560" w:type="dxa"/>
            <w:vAlign w:val="bottom"/>
          </w:tcPr>
          <w:p>
            <w:pPr>
              <w:ind w:left="220"/>
              <w:spacing w:after="0"/>
              <w:rPr>
                <w:sz w:val="20"/>
                <w:szCs w:val="20"/>
                <w:color w:val="auto"/>
              </w:rPr>
            </w:pPr>
            <w:r>
              <w:rPr>
                <w:rFonts w:ascii="Arial" w:cs="Arial" w:eastAsia="Arial" w:hAnsi="Arial"/>
                <w:sz w:val="18"/>
                <w:szCs w:val="18"/>
                <w:color w:val="auto"/>
              </w:rPr>
              <w:t>Ratification of Selection of Independent Registered Public Accounting Firm</w:t>
            </w:r>
          </w:p>
        </w:tc>
      </w:tr>
      <w:tr>
        <w:trPr>
          <w:trHeight w:val="259"/>
        </w:trPr>
        <w:tc>
          <w:tcPr>
            <w:tcW w:w="1460" w:type="dxa"/>
            <w:vAlign w:val="bottom"/>
            <w:shd w:val="clear" w:color="auto" w:fill="DBDBDB"/>
          </w:tcPr>
          <w:p>
            <w:pPr>
              <w:ind w:left="20"/>
              <w:spacing w:after="0"/>
              <w:rPr>
                <w:sz w:val="20"/>
                <w:szCs w:val="20"/>
                <w:color w:val="auto"/>
              </w:rPr>
            </w:pPr>
            <w:r>
              <w:rPr>
                <w:rFonts w:ascii="Arial" w:cs="Arial" w:eastAsia="Arial" w:hAnsi="Arial"/>
                <w:sz w:val="18"/>
                <w:szCs w:val="18"/>
                <w:color w:val="auto"/>
              </w:rPr>
              <w:t>Proposal Three</w:t>
            </w:r>
          </w:p>
        </w:tc>
        <w:tc>
          <w:tcPr>
            <w:tcW w:w="9560" w:type="dxa"/>
            <w:vAlign w:val="bottom"/>
            <w:shd w:val="clear" w:color="auto" w:fill="DBDBDB"/>
          </w:tcPr>
          <w:p>
            <w:pPr>
              <w:ind w:left="220"/>
              <w:spacing w:after="0"/>
              <w:rPr>
                <w:sz w:val="20"/>
                <w:szCs w:val="20"/>
                <w:color w:val="auto"/>
              </w:rPr>
            </w:pPr>
            <w:r>
              <w:rPr>
                <w:rFonts w:ascii="Arial" w:cs="Arial" w:eastAsia="Arial" w:hAnsi="Arial"/>
                <w:sz w:val="18"/>
                <w:szCs w:val="18"/>
                <w:color w:val="auto"/>
              </w:rPr>
              <w:t>Advisory Approval of our Executive Compensation</w:t>
            </w:r>
          </w:p>
        </w:tc>
      </w:tr>
    </w:tbl>
    <w:p>
      <w:pPr>
        <w:spacing w:after="0" w:line="217" w:lineRule="exact"/>
        <w:rPr>
          <w:sz w:val="20"/>
          <w:szCs w:val="20"/>
          <w:color w:val="auto"/>
        </w:rPr>
      </w:pPr>
    </w:p>
    <w:p>
      <w:pPr>
        <w:spacing w:after="0"/>
        <w:rPr>
          <w:sz w:val="20"/>
          <w:szCs w:val="20"/>
          <w:color w:val="auto"/>
        </w:rPr>
      </w:pPr>
      <w:r>
        <w:rPr>
          <w:rFonts w:ascii="Arial" w:cs="Arial" w:eastAsia="Arial" w:hAnsi="Arial"/>
          <w:sz w:val="20"/>
          <w:szCs w:val="20"/>
          <w:b w:val="1"/>
          <w:bCs w:val="1"/>
          <w:color w:val="C00000"/>
        </w:rPr>
        <w:t>Are There Any Matters To Be Voted On at the Annual Meeting that Are Not Included in this Proxy Statement?</w:t>
      </w:r>
    </w:p>
    <w:p>
      <w:pPr>
        <w:spacing w:after="0" w:line="97" w:lineRule="exact"/>
        <w:rPr>
          <w:sz w:val="20"/>
          <w:szCs w:val="20"/>
          <w:color w:val="auto"/>
        </w:rPr>
      </w:pPr>
    </w:p>
    <w:p>
      <w:pPr>
        <w:ind w:firstLine="320"/>
        <w:spacing w:after="0" w:line="233" w:lineRule="auto"/>
        <w:rPr>
          <w:sz w:val="20"/>
          <w:szCs w:val="20"/>
          <w:color w:val="auto"/>
        </w:rPr>
      </w:pPr>
      <w:r>
        <w:rPr>
          <w:rFonts w:ascii="Arial" w:cs="Arial" w:eastAsia="Arial" w:hAnsi="Arial"/>
          <w:sz w:val="18"/>
          <w:szCs w:val="18"/>
          <w:color w:val="auto"/>
        </w:rPr>
        <w:t>We currently are not aware of any business to be acted upon at the annual meeting other than as described in this proxy statement. If, however, other matters are properly brought before the annual meeting, or any adjournment or postponement of the annual meeting, your</w:t>
      </w:r>
    </w:p>
    <w:p>
      <w:pPr>
        <w:spacing w:after="0" w:line="1" w:lineRule="exact"/>
        <w:rPr>
          <w:sz w:val="20"/>
          <w:szCs w:val="20"/>
          <w:color w:val="auto"/>
        </w:rPr>
      </w:pPr>
    </w:p>
    <w:p>
      <w:pPr>
        <w:spacing w:after="0" w:line="243" w:lineRule="auto"/>
        <w:rPr>
          <w:sz w:val="20"/>
          <w:szCs w:val="20"/>
          <w:color w:val="auto"/>
        </w:rPr>
      </w:pPr>
      <w:r>
        <w:rPr>
          <w:rFonts w:ascii="Arial" w:cs="Arial" w:eastAsia="Arial" w:hAnsi="Arial"/>
          <w:sz w:val="18"/>
          <w:szCs w:val="18"/>
          <w:color w:val="auto"/>
        </w:rPr>
        <w:t>proxy includes discretionary authority on the part of the individuals appointed to vote your shares or act on those matters according to their best judgment.</w:t>
      </w:r>
    </w:p>
    <w:p>
      <w:pPr>
        <w:spacing w:after="0" w:line="119" w:lineRule="exact"/>
        <w:rPr>
          <w:sz w:val="20"/>
          <w:szCs w:val="20"/>
          <w:color w:val="auto"/>
        </w:rPr>
      </w:pPr>
    </w:p>
    <w:p>
      <w:pPr>
        <w:spacing w:after="0"/>
        <w:rPr>
          <w:sz w:val="20"/>
          <w:szCs w:val="20"/>
          <w:color w:val="auto"/>
        </w:rPr>
      </w:pPr>
      <w:r>
        <w:rPr>
          <w:rFonts w:ascii="Arial" w:cs="Arial" w:eastAsia="Arial" w:hAnsi="Arial"/>
          <w:sz w:val="20"/>
          <w:szCs w:val="20"/>
          <w:b w:val="1"/>
          <w:bCs w:val="1"/>
          <w:color w:val="C00000"/>
        </w:rPr>
        <w:t>Who Is Entitled to Vote and How Many Shares Must Be Present to Hold the Annual Meeting?</w:t>
      </w:r>
    </w:p>
    <w:p>
      <w:pPr>
        <w:spacing w:after="0" w:line="84" w:lineRule="exact"/>
        <w:rPr>
          <w:sz w:val="20"/>
          <w:szCs w:val="20"/>
          <w:color w:val="auto"/>
        </w:rPr>
      </w:pPr>
    </w:p>
    <w:p>
      <w:pPr>
        <w:ind w:firstLine="320"/>
        <w:spacing w:after="0" w:line="241" w:lineRule="auto"/>
        <w:rPr>
          <w:sz w:val="20"/>
          <w:szCs w:val="20"/>
          <w:color w:val="auto"/>
        </w:rPr>
      </w:pPr>
      <w:r>
        <w:rPr>
          <w:rFonts w:ascii="Arial" w:cs="Arial" w:eastAsia="Arial" w:hAnsi="Arial"/>
          <w:sz w:val="18"/>
          <w:szCs w:val="18"/>
          <w:color w:val="auto"/>
        </w:rPr>
        <w:t>Shareholders of record at the close of business on January 21, 2025, the record date, will be entitled to vote at the annual meeting or any adjournment or postponement of the annual meeting. As of January 21, 2025, there were 100,625,924 outstanding shares of our common</w:t>
      </w:r>
    </w:p>
    <w:p>
      <w:pPr>
        <w:spacing w:after="0" w:line="1" w:lineRule="exact"/>
        <w:rPr>
          <w:sz w:val="20"/>
          <w:szCs w:val="20"/>
          <w:color w:val="auto"/>
        </w:rPr>
      </w:pPr>
    </w:p>
    <w:p>
      <w:pPr>
        <w:spacing w:after="0" w:line="234" w:lineRule="auto"/>
        <w:rPr>
          <w:sz w:val="20"/>
          <w:szCs w:val="20"/>
          <w:color w:val="auto"/>
        </w:rPr>
      </w:pPr>
      <w:r>
        <w:rPr>
          <w:rFonts w:ascii="Arial" w:cs="Arial" w:eastAsia="Arial" w:hAnsi="Arial"/>
          <w:sz w:val="18"/>
          <w:szCs w:val="18"/>
          <w:color w:val="auto"/>
        </w:rPr>
        <w:t>stock. Each share of our common stock is entitled to one vote on each matter to be voted on at the annual meeting. Shares of our common stock that are held by us in our treasury are not counted as outstanding shares and will not be voted.</w:t>
      </w:r>
    </w:p>
    <w:p>
      <w:pPr>
        <w:spacing w:after="0" w:line="74" w:lineRule="exact"/>
        <w:rPr>
          <w:sz w:val="20"/>
          <w:szCs w:val="20"/>
          <w:color w:val="auto"/>
        </w:rPr>
      </w:pPr>
    </w:p>
    <w:p>
      <w:pPr>
        <w:ind w:left="320"/>
        <w:spacing w:after="0"/>
        <w:rPr>
          <w:sz w:val="20"/>
          <w:szCs w:val="20"/>
          <w:color w:val="auto"/>
        </w:rPr>
      </w:pPr>
      <w:r>
        <w:rPr>
          <w:rFonts w:ascii="Arial" w:cs="Arial" w:eastAsia="Arial" w:hAnsi="Arial"/>
          <w:sz w:val="18"/>
          <w:szCs w:val="18"/>
          <w:color w:val="auto"/>
        </w:rPr>
        <w:t>Shareholders holding a majority of the voting power of the outstanding shares of our common stock must be present at the virtual annual</w:t>
      </w:r>
    </w:p>
    <w:p>
      <w:pPr>
        <w:spacing w:after="0" w:line="9" w:lineRule="exact"/>
        <w:rPr>
          <w:sz w:val="20"/>
          <w:szCs w:val="20"/>
          <w:color w:val="auto"/>
        </w:rPr>
      </w:pPr>
    </w:p>
    <w:p>
      <w:pPr>
        <w:spacing w:after="0" w:line="237" w:lineRule="auto"/>
        <w:rPr>
          <w:sz w:val="20"/>
          <w:szCs w:val="20"/>
          <w:color w:val="auto"/>
        </w:rPr>
      </w:pPr>
      <w:r>
        <w:rPr>
          <w:rFonts w:ascii="Arial" w:cs="Arial" w:eastAsia="Arial" w:hAnsi="Arial"/>
          <w:sz w:val="17"/>
          <w:szCs w:val="17"/>
          <w:color w:val="auto"/>
        </w:rPr>
        <w:t>meeting or by proxy in order for us to have a quorum for the transaction of business at the annual meeting. Your shares will be counted toward the quorum if you submit a proxy or vote at the annual meeting. Shares represented by proxies marked "abstain" and "broker non-votes" also</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are counted in determining whether a quorum is present.</w:t>
      </w:r>
    </w:p>
    <w:p>
      <w:pPr>
        <w:spacing w:after="0" w:line="144" w:lineRule="exact"/>
        <w:rPr>
          <w:sz w:val="20"/>
          <w:szCs w:val="20"/>
          <w:color w:val="auto"/>
        </w:rPr>
      </w:pPr>
    </w:p>
    <w:p>
      <w:pPr>
        <w:spacing w:after="0"/>
        <w:rPr>
          <w:sz w:val="20"/>
          <w:szCs w:val="20"/>
          <w:color w:val="auto"/>
        </w:rPr>
      </w:pPr>
      <w:r>
        <w:rPr>
          <w:rFonts w:ascii="Arial" w:cs="Arial" w:eastAsia="Arial" w:hAnsi="Arial"/>
          <w:sz w:val="20"/>
          <w:szCs w:val="20"/>
          <w:b w:val="1"/>
          <w:bCs w:val="1"/>
          <w:color w:val="C00000"/>
        </w:rPr>
        <w:t>How Do I Vote My Shares?</w:t>
      </w:r>
    </w:p>
    <w:p>
      <w:pPr>
        <w:spacing w:after="0" w:line="84" w:lineRule="exact"/>
        <w:rPr>
          <w:sz w:val="20"/>
          <w:szCs w:val="20"/>
          <w:color w:val="auto"/>
        </w:rPr>
      </w:pPr>
    </w:p>
    <w:p>
      <w:pPr>
        <w:ind w:left="320"/>
        <w:spacing w:after="0"/>
        <w:rPr>
          <w:sz w:val="20"/>
          <w:szCs w:val="20"/>
          <w:color w:val="auto"/>
        </w:rPr>
      </w:pPr>
      <w:r>
        <w:rPr>
          <w:rFonts w:ascii="Arial" w:cs="Arial" w:eastAsia="Arial" w:hAnsi="Arial"/>
          <w:sz w:val="18"/>
          <w:szCs w:val="18"/>
          <w:color w:val="auto"/>
        </w:rPr>
        <w:t>If your shares are registered in your name, you may vote your shares by one of the five following methods: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23495</wp:posOffset>
            </wp:positionV>
            <wp:extent cx="7117080" cy="6864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17080" cy="686435"/>
                    </a:xfrm>
                    <a:prstGeom prst="rect">
                      <a:avLst/>
                    </a:prstGeom>
                    <a:noFill/>
                  </pic:spPr>
                </pic:pic>
              </a:graphicData>
            </a:graphic>
          </wp:anchor>
        </w:drawing>
      </w:r>
    </w:p>
    <w:p>
      <w:pPr>
        <w:sectPr>
          <w:pgSz w:w="11900" w:h="16838" w:orient="portrait"/>
          <w:cols w:equalWidth="0" w:num="1">
            <w:col w:w="11240"/>
          </w:cols>
          <w:pgMar w:left="320" w:top="1157" w:right="339" w:bottom="1440" w:gutter="0" w:footer="0" w:header="0"/>
        </w:sectPr>
      </w:pPr>
    </w:p>
    <w:p>
      <w:pPr>
        <w:spacing w:after="0" w:line="169" w:lineRule="exact"/>
        <w:rPr>
          <w:sz w:val="20"/>
          <w:szCs w:val="20"/>
          <w:color w:val="auto"/>
        </w:rPr>
      </w:pPr>
    </w:p>
    <w:p>
      <w:pPr>
        <w:ind w:left="40"/>
        <w:spacing w:after="0"/>
        <w:rPr>
          <w:sz w:val="20"/>
          <w:szCs w:val="20"/>
          <w:color w:val="auto"/>
        </w:rPr>
      </w:pPr>
      <w:r>
        <w:rPr>
          <w:rFonts w:ascii="Arial" w:cs="Arial" w:eastAsia="Arial" w:hAnsi="Arial"/>
          <w:sz w:val="16"/>
          <w:szCs w:val="16"/>
          <w:color w:val="auto"/>
        </w:rPr>
        <w:t>Vote by Internet</w:t>
      </w:r>
    </w:p>
    <w:p>
      <w:pPr>
        <w:spacing w:after="0" w:line="200" w:lineRule="exact"/>
        <w:rPr>
          <w:sz w:val="20"/>
          <w:szCs w:val="20"/>
          <w:color w:val="auto"/>
        </w:rPr>
      </w:pPr>
    </w:p>
    <w:p>
      <w:pPr>
        <w:spacing w:after="0" w:line="203" w:lineRule="exact"/>
        <w:rPr>
          <w:sz w:val="20"/>
          <w:szCs w:val="20"/>
          <w:color w:val="auto"/>
        </w:rPr>
      </w:pPr>
    </w:p>
    <w:p>
      <w:pPr>
        <w:ind w:left="40"/>
        <w:spacing w:after="0"/>
        <w:rPr>
          <w:sz w:val="20"/>
          <w:szCs w:val="20"/>
          <w:color w:val="auto"/>
        </w:rPr>
      </w:pPr>
      <w:r>
        <w:rPr>
          <w:rFonts w:ascii="Arial" w:cs="Arial" w:eastAsia="Arial" w:hAnsi="Arial"/>
          <w:sz w:val="16"/>
          <w:szCs w:val="16"/>
          <w:color w:val="auto"/>
        </w:rPr>
        <w:t>Vote by Telephone</w:t>
      </w:r>
    </w:p>
    <w:p>
      <w:pPr>
        <w:spacing w:after="0" w:line="200" w:lineRule="exact"/>
        <w:rPr>
          <w:sz w:val="20"/>
          <w:szCs w:val="20"/>
          <w:color w:val="auto"/>
        </w:rPr>
      </w:pPr>
    </w:p>
    <w:p>
      <w:pPr>
        <w:spacing w:after="0" w:line="216" w:lineRule="exact"/>
        <w:rPr>
          <w:sz w:val="20"/>
          <w:szCs w:val="20"/>
          <w:color w:val="auto"/>
        </w:rPr>
      </w:pPr>
    </w:p>
    <w:p>
      <w:pPr>
        <w:ind w:left="40"/>
        <w:spacing w:after="0"/>
        <w:rPr>
          <w:sz w:val="20"/>
          <w:szCs w:val="20"/>
          <w:color w:val="auto"/>
        </w:rPr>
      </w:pPr>
      <w:r>
        <w:rPr>
          <w:rFonts w:ascii="Arial" w:cs="Arial" w:eastAsia="Arial" w:hAnsi="Arial"/>
          <w:sz w:val="16"/>
          <w:szCs w:val="16"/>
          <w:color w:val="auto"/>
        </w:rPr>
        <w:t>Vote by Mail</w:t>
      </w:r>
    </w:p>
    <w:p>
      <w:pPr>
        <w:spacing w:after="0" w:line="310" w:lineRule="exact"/>
        <w:rPr>
          <w:sz w:val="20"/>
          <w:szCs w:val="20"/>
          <w:color w:val="auto"/>
        </w:rPr>
      </w:pPr>
    </w:p>
    <w:p>
      <w:pPr>
        <w:ind w:left="40"/>
        <w:spacing w:after="0"/>
        <w:rPr>
          <w:sz w:val="20"/>
          <w:szCs w:val="20"/>
          <w:color w:val="auto"/>
        </w:rPr>
      </w:pPr>
      <w:r>
        <w:rPr>
          <w:rFonts w:ascii="Arial" w:cs="Arial" w:eastAsia="Arial" w:hAnsi="Arial"/>
          <w:sz w:val="16"/>
          <w:szCs w:val="16"/>
          <w:color w:val="auto"/>
        </w:rPr>
        <w:t>Vote by Mobile Device</w:t>
      </w:r>
    </w:p>
    <w:p>
      <w:pPr>
        <w:spacing w:after="0" w:line="350" w:lineRule="exact"/>
        <w:rPr>
          <w:sz w:val="20"/>
          <w:szCs w:val="20"/>
          <w:color w:val="auto"/>
        </w:rPr>
      </w:pPr>
    </w:p>
    <w:p>
      <w:pPr>
        <w:ind w:left="40"/>
        <w:spacing w:after="0"/>
        <w:rPr>
          <w:sz w:val="20"/>
          <w:szCs w:val="20"/>
          <w:color w:val="auto"/>
        </w:rPr>
      </w:pPr>
      <w:r>
        <w:rPr>
          <w:rFonts w:ascii="Arial" w:cs="Arial" w:eastAsia="Arial" w:hAnsi="Arial"/>
          <w:sz w:val="15"/>
          <w:szCs w:val="15"/>
          <w:color w:val="auto"/>
        </w:rPr>
        <w:t>Vote at the Virtual Meeting</w:t>
      </w:r>
    </w:p>
    <w:p>
      <w:pPr>
        <w:spacing w:after="0" w:line="20" w:lineRule="exact"/>
        <w:rPr>
          <w:sz w:val="20"/>
          <w:szCs w:val="20"/>
          <w:color w:val="auto"/>
        </w:rPr>
      </w:pPr>
      <w:r>
        <w:rPr>
          <w:sz w:val="20"/>
          <w:szCs w:val="20"/>
          <w:color w:val="auto"/>
        </w:rPr>
        <w:br w:type="column"/>
      </w:r>
    </w:p>
    <w:p>
      <w:pPr>
        <w:spacing w:after="0" w:line="83" w:lineRule="exact"/>
        <w:rPr>
          <w:sz w:val="20"/>
          <w:szCs w:val="20"/>
          <w:color w:val="auto"/>
        </w:rPr>
      </w:pPr>
    </w:p>
    <w:p>
      <w:pPr>
        <w:ind w:right="340"/>
        <w:spacing w:after="0" w:line="243" w:lineRule="auto"/>
        <w:rPr>
          <w:sz w:val="20"/>
          <w:szCs w:val="20"/>
          <w:color w:val="auto"/>
        </w:rPr>
      </w:pPr>
      <w:r>
        <w:rPr>
          <w:rFonts w:ascii="Arial" w:cs="Arial" w:eastAsia="Arial" w:hAnsi="Arial"/>
          <w:sz w:val="16"/>
          <w:szCs w:val="16"/>
          <w:color w:val="auto"/>
        </w:rPr>
        <w:t>Go to www.proxyvote.com and follow the instructions for Internet voting shown on your Notice Regarding the Availability of Proxy Materials or proxy card.</w:t>
      </w:r>
    </w:p>
    <w:p>
      <w:pPr>
        <w:spacing w:after="0" w:line="295" w:lineRule="exact"/>
        <w:rPr>
          <w:sz w:val="20"/>
          <w:szCs w:val="20"/>
          <w:color w:val="auto"/>
        </w:rPr>
      </w:pPr>
    </w:p>
    <w:p>
      <w:pPr>
        <w:spacing w:after="0"/>
        <w:rPr>
          <w:sz w:val="20"/>
          <w:szCs w:val="20"/>
          <w:color w:val="auto"/>
        </w:rPr>
      </w:pPr>
      <w:r>
        <w:rPr>
          <w:rFonts w:ascii="Arial" w:cs="Arial" w:eastAsia="Arial" w:hAnsi="Arial"/>
          <w:sz w:val="16"/>
          <w:szCs w:val="16"/>
          <w:color w:val="auto"/>
        </w:rPr>
        <w:t>Call 800-690-6903 and follow the instructions for telephone voting shown on your proxy card.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-2031365</wp:posOffset>
            </wp:positionH>
            <wp:positionV relativeFrom="paragraph">
              <wp:posOffset>163195</wp:posOffset>
            </wp:positionV>
            <wp:extent cx="7117080" cy="3390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17080" cy="339090"/>
                    </a:xfrm>
                    <a:prstGeom prst="rect">
                      <a:avLst/>
                    </a:prstGeom>
                    <a:noFill/>
                  </pic:spPr>
                </pic:pic>
              </a:graphicData>
            </a:graphic>
          </wp:anchor>
        </w:drawing>
      </w:r>
    </w:p>
    <w:p>
      <w:pPr>
        <w:spacing w:after="0" w:line="316" w:lineRule="exact"/>
        <w:rPr>
          <w:sz w:val="20"/>
          <w:szCs w:val="20"/>
          <w:color w:val="auto"/>
        </w:rPr>
      </w:pPr>
    </w:p>
    <w:p>
      <w:pPr>
        <w:ind w:right="120"/>
        <w:spacing w:after="0" w:line="243" w:lineRule="auto"/>
        <w:rPr>
          <w:sz w:val="20"/>
          <w:szCs w:val="20"/>
          <w:color w:val="auto"/>
        </w:rPr>
      </w:pPr>
      <w:r>
        <w:rPr>
          <w:rFonts w:ascii="Arial" w:cs="Arial" w:eastAsia="Arial" w:hAnsi="Arial"/>
          <w:sz w:val="16"/>
          <w:szCs w:val="16"/>
          <w:color w:val="auto"/>
        </w:rPr>
        <w:t>Complete, sign, date and mail your proxy card in the envelope provided if you received paper proxy materials. If you vote by Internet, telephone or mobile device, please do not mail your proxy card.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-328295</wp:posOffset>
            </wp:positionH>
            <wp:positionV relativeFrom="paragraph">
              <wp:posOffset>52070</wp:posOffset>
            </wp:positionV>
            <wp:extent cx="237490" cy="2374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237490" cy="237490"/>
                    </a:xfrm>
                    <a:prstGeom prst="rect">
                      <a:avLst/>
                    </a:prstGeom>
                    <a:noFill/>
                  </pic:spPr>
                </pic:pic>
              </a:graphicData>
            </a:graphic>
          </wp:anchor>
        </w:drawing>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color w:val="auto"/>
        </w:rPr>
        <w:t>Scan the QR code on your Notice Regarding the Availability of Proxy Materials or proxy card and follow the links.</w:t>
      </w:r>
    </w:p>
    <w:p>
      <w:pPr>
        <w:spacing w:after="0" w:line="163" w:lineRule="exact"/>
        <w:rPr>
          <w:sz w:val="20"/>
          <w:szCs w:val="20"/>
          <w:color w:val="auto"/>
        </w:rPr>
      </w:pPr>
    </w:p>
    <w:p>
      <w:pPr>
        <w:ind w:right="100"/>
        <w:spacing w:after="0" w:line="286" w:lineRule="auto"/>
        <w:rPr>
          <w:sz w:val="20"/>
          <w:szCs w:val="20"/>
          <w:color w:val="auto"/>
        </w:rPr>
      </w:pPr>
      <w:r>
        <w:rPr>
          <w:rFonts w:ascii="Arial" w:cs="Arial" w:eastAsia="Arial" w:hAnsi="Arial"/>
          <w:sz w:val="15"/>
          <w:szCs w:val="15"/>
          <w:color w:val="auto"/>
        </w:rPr>
        <w:t>Attend our virtual meeting and vote your shares electronically by visiting www.virtualshareholdermeeting.com/TTC2025. You will need the 16-digit control number included on your proxy card voting instruction form or Notice Regarding the Availability of Proxy Materials to enter the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-2031365</wp:posOffset>
            </wp:positionH>
            <wp:positionV relativeFrom="paragraph">
              <wp:posOffset>-390525</wp:posOffset>
            </wp:positionV>
            <wp:extent cx="7117080" cy="3810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17080" cy="381000"/>
                    </a:xfrm>
                    <a:prstGeom prst="rect">
                      <a:avLst/>
                    </a:prstGeom>
                    <a:noFill/>
                  </pic:spPr>
                </pic:pic>
              </a:graphicData>
            </a:graphic>
          </wp:anchor>
        </w:drawing>
      </w:r>
    </w:p>
    <w:p>
      <w:pPr>
        <w:spacing w:after="0" w:line="48" w:lineRule="exact"/>
        <w:rPr>
          <w:sz w:val="20"/>
          <w:szCs w:val="20"/>
          <w:color w:val="auto"/>
        </w:rPr>
      </w:pPr>
    </w:p>
    <w:p>
      <w:pPr>
        <w:sectPr>
          <w:pgSz w:w="11900" w:h="16838" w:orient="portrait"/>
          <w:cols w:equalWidth="0" w:num="2">
            <w:col w:w="2500" w:space="720"/>
            <w:col w:w="8020"/>
          </w:cols>
          <w:pgMar w:left="320" w:top="1157" w:right="339" w:bottom="1440" w:gutter="0" w:footer="0" w:header="0"/>
          <w:type w:val="continuous"/>
        </w:sectPr>
      </w:pPr>
    </w:p>
    <w:p>
      <w:pPr>
        <w:ind w:left="320"/>
        <w:spacing w:after="0"/>
        <w:rPr>
          <w:sz w:val="20"/>
          <w:szCs w:val="20"/>
          <w:color w:val="auto"/>
        </w:rPr>
      </w:pPr>
      <w:r>
        <w:rPr>
          <w:rFonts w:ascii="Arial" w:cs="Arial" w:eastAsia="Arial" w:hAnsi="Arial"/>
          <w:sz w:val="18"/>
          <w:szCs w:val="18"/>
          <w:color w:val="auto"/>
        </w:rPr>
        <w:t>If you hold shares as a participant in certain TTC employee benefit plans, you may vote your shares by one of the five methods noted</w:t>
      </w:r>
    </w:p>
    <w:p>
      <w:pPr>
        <w:spacing w:after="0" w:line="9" w:lineRule="exact"/>
        <w:rPr>
          <w:sz w:val="20"/>
          <w:szCs w:val="20"/>
          <w:color w:val="auto"/>
        </w:rPr>
      </w:pPr>
    </w:p>
    <w:p>
      <w:pPr>
        <w:spacing w:after="0" w:line="237" w:lineRule="auto"/>
        <w:rPr>
          <w:sz w:val="20"/>
          <w:szCs w:val="20"/>
          <w:color w:val="auto"/>
        </w:rPr>
      </w:pPr>
      <w:r>
        <w:rPr>
          <w:rFonts w:ascii="Arial" w:cs="Arial" w:eastAsia="Arial" w:hAnsi="Arial"/>
          <w:sz w:val="17"/>
          <w:szCs w:val="17"/>
          <w:color w:val="auto"/>
        </w:rPr>
        <w:t>above. If your shares are held in "street name," you may receive a separate voting instruction form with this proxy statement or you may need to contact your broker, bank or other nominee to determine whether you will be able to vote electronically using the Internet, telephone or</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mobile device. On the day of the annual meeting, you may go to www.virtualshareholdermeeting.com/TTC2025, and log in by entering the 16-</w:t>
      </w:r>
    </w:p>
    <w:p>
      <w:pPr>
        <w:spacing w:after="0" w:line="5" w:lineRule="exact"/>
        <w:rPr>
          <w:sz w:val="20"/>
          <w:szCs w:val="20"/>
          <w:color w:val="auto"/>
        </w:rPr>
      </w:pPr>
    </w:p>
    <w:p>
      <w:pPr>
        <w:spacing w:after="0" w:line="234" w:lineRule="auto"/>
        <w:rPr>
          <w:sz w:val="20"/>
          <w:szCs w:val="20"/>
          <w:color w:val="auto"/>
        </w:rPr>
      </w:pPr>
      <w:r>
        <w:rPr>
          <w:rFonts w:ascii="Arial" w:cs="Arial" w:eastAsia="Arial" w:hAnsi="Arial"/>
          <w:sz w:val="18"/>
          <w:szCs w:val="18"/>
          <w:color w:val="auto"/>
        </w:rPr>
        <w:t>digit control number found on your voting instruction form. If you do not have your control number, you will be able register as a guest; however, you will not be able to vote or submit questions during the meeting.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157" w:right="339" w:bottom="1440" w:gutter="0" w:footer="0" w:header="0"/>
          <w:type w:val="continuous"/>
        </w:sectPr>
      </w:pPr>
    </w:p>
    <w:bookmarkStart w:id="16" w:name="page17"/>
    <w:bookmarkEnd w:id="16"/>
    <w:p>
      <w:pPr>
        <w:spacing w:after="0"/>
        <w:rPr>
          <w:sz w:val="20"/>
          <w:szCs w:val="20"/>
          <w:color w:val="auto"/>
        </w:rPr>
      </w:pPr>
      <w:r>
        <w:rPr>
          <w:rFonts w:ascii="Arial" w:cs="Arial" w:eastAsia="Arial" w:hAnsi="Arial"/>
          <w:sz w:val="20"/>
          <w:szCs w:val="20"/>
          <w:b w:val="1"/>
          <w:bCs w:val="1"/>
          <w:color w:val="C00000"/>
        </w:rPr>
        <w:t>How Does the Board Recommend that I Vote and What Vote is Required for Each Proposal?</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1840" w:type="dxa"/>
            <w:vAlign w:val="bottom"/>
            <w:shd w:val="clear" w:color="auto" w:fill="BF2115"/>
          </w:tcPr>
          <w:p>
            <w:pPr>
              <w:spacing w:after="0"/>
              <w:rPr>
                <w:sz w:val="17"/>
                <w:szCs w:val="17"/>
                <w:color w:val="auto"/>
              </w:rPr>
            </w:pPr>
          </w:p>
        </w:tc>
        <w:tc>
          <w:tcPr>
            <w:tcW w:w="2620" w:type="dxa"/>
            <w:vAlign w:val="bottom"/>
            <w:vMerge w:val="restart"/>
            <w:shd w:val="clear" w:color="auto" w:fill="BF2115"/>
          </w:tcPr>
          <w:p>
            <w:pPr>
              <w:ind w:left="1200"/>
              <w:spacing w:after="0"/>
              <w:rPr>
                <w:sz w:val="20"/>
                <w:szCs w:val="20"/>
                <w:color w:val="auto"/>
              </w:rPr>
            </w:pPr>
            <w:r>
              <w:rPr>
                <w:rFonts w:ascii="Arial" w:cs="Arial" w:eastAsia="Arial" w:hAnsi="Arial"/>
                <w:sz w:val="14"/>
                <w:szCs w:val="14"/>
                <w:b w:val="1"/>
                <w:bCs w:val="1"/>
                <w:color w:val="FFFFFF"/>
              </w:rPr>
              <w:t>Board</w:t>
            </w:r>
          </w:p>
        </w:tc>
        <w:tc>
          <w:tcPr>
            <w:tcW w:w="1740" w:type="dxa"/>
            <w:vAlign w:val="bottom"/>
            <w:vMerge w:val="restart"/>
            <w:shd w:val="clear" w:color="auto" w:fill="BF2115"/>
          </w:tcPr>
          <w:p>
            <w:pPr>
              <w:ind w:left="220"/>
              <w:spacing w:after="0"/>
              <w:rPr>
                <w:sz w:val="20"/>
                <w:szCs w:val="20"/>
                <w:color w:val="auto"/>
              </w:rPr>
            </w:pPr>
            <w:r>
              <w:rPr>
                <w:rFonts w:ascii="Arial" w:cs="Arial" w:eastAsia="Arial" w:hAnsi="Arial"/>
                <w:sz w:val="14"/>
                <w:szCs w:val="14"/>
                <w:b w:val="1"/>
                <w:bCs w:val="1"/>
                <w:color w:val="FFFFFF"/>
              </w:rPr>
              <w:t>Available Voting</w:t>
            </w:r>
          </w:p>
        </w:tc>
        <w:tc>
          <w:tcPr>
            <w:tcW w:w="1820" w:type="dxa"/>
            <w:vAlign w:val="bottom"/>
            <w:vMerge w:val="restart"/>
            <w:shd w:val="clear" w:color="auto" w:fill="BF2115"/>
          </w:tcPr>
          <w:p>
            <w:pPr>
              <w:ind w:left="420"/>
              <w:spacing w:after="0"/>
              <w:rPr>
                <w:sz w:val="20"/>
                <w:szCs w:val="20"/>
                <w:color w:val="auto"/>
              </w:rPr>
            </w:pPr>
            <w:r>
              <w:rPr>
                <w:rFonts w:ascii="Arial" w:cs="Arial" w:eastAsia="Arial" w:hAnsi="Arial"/>
                <w:sz w:val="14"/>
                <w:szCs w:val="14"/>
                <w:b w:val="1"/>
                <w:bCs w:val="1"/>
                <w:color w:val="FFFFFF"/>
              </w:rPr>
              <w:t>Voting Approval</w:t>
            </w:r>
          </w:p>
        </w:tc>
        <w:tc>
          <w:tcPr>
            <w:tcW w:w="1400" w:type="dxa"/>
            <w:vAlign w:val="bottom"/>
            <w:shd w:val="clear" w:color="auto" w:fill="BF2115"/>
          </w:tcPr>
          <w:p>
            <w:pPr>
              <w:ind w:left="300"/>
              <w:spacing w:after="0"/>
              <w:rPr>
                <w:sz w:val="20"/>
                <w:szCs w:val="20"/>
                <w:color w:val="auto"/>
              </w:rPr>
            </w:pPr>
            <w:r>
              <w:rPr>
                <w:rFonts w:ascii="Arial" w:cs="Arial" w:eastAsia="Arial" w:hAnsi="Arial"/>
                <w:sz w:val="14"/>
                <w:szCs w:val="14"/>
                <w:b w:val="1"/>
                <w:bCs w:val="1"/>
                <w:color w:val="FFFFFF"/>
              </w:rPr>
              <w:t>Effect of</w:t>
            </w:r>
          </w:p>
        </w:tc>
        <w:tc>
          <w:tcPr>
            <w:tcW w:w="1520" w:type="dxa"/>
            <w:vAlign w:val="bottom"/>
            <w:shd w:val="clear" w:color="auto" w:fill="BF2115"/>
          </w:tcPr>
          <w:p>
            <w:pPr>
              <w:ind w:left="300"/>
              <w:spacing w:after="0"/>
              <w:rPr>
                <w:sz w:val="20"/>
                <w:szCs w:val="20"/>
                <w:color w:val="auto"/>
              </w:rPr>
            </w:pPr>
            <w:r>
              <w:rPr>
                <w:rFonts w:ascii="Arial" w:cs="Arial" w:eastAsia="Arial" w:hAnsi="Arial"/>
                <w:sz w:val="14"/>
                <w:szCs w:val="14"/>
                <w:b w:val="1"/>
                <w:bCs w:val="1"/>
                <w:color w:val="FFFFFF"/>
              </w:rPr>
              <w:t>Effect of</w:t>
            </w:r>
          </w:p>
        </w:tc>
        <w:tc>
          <w:tcPr>
            <w:tcW w:w="0" w:type="dxa"/>
            <w:vAlign w:val="bottom"/>
          </w:tcPr>
          <w:p>
            <w:pPr>
              <w:spacing w:after="0"/>
              <w:rPr>
                <w:sz w:val="1"/>
                <w:szCs w:val="1"/>
                <w:color w:val="auto"/>
              </w:rPr>
            </w:pPr>
          </w:p>
        </w:tc>
      </w:tr>
      <w:tr>
        <w:trPr>
          <w:trHeight w:val="173"/>
        </w:trPr>
        <w:tc>
          <w:tcPr>
            <w:tcW w:w="1840" w:type="dxa"/>
            <w:vAlign w:val="bottom"/>
            <w:shd w:val="clear" w:color="auto" w:fill="BF2115"/>
          </w:tcPr>
          <w:p>
            <w:pPr>
              <w:spacing w:after="0"/>
              <w:rPr>
                <w:sz w:val="15"/>
                <w:szCs w:val="15"/>
                <w:color w:val="auto"/>
              </w:rPr>
            </w:pPr>
          </w:p>
        </w:tc>
        <w:tc>
          <w:tcPr>
            <w:tcW w:w="2620" w:type="dxa"/>
            <w:vAlign w:val="bottom"/>
            <w:vMerge w:val="continue"/>
            <w:shd w:val="clear" w:color="auto" w:fill="BF2115"/>
          </w:tcPr>
          <w:p>
            <w:pPr>
              <w:spacing w:after="0"/>
              <w:rPr>
                <w:sz w:val="15"/>
                <w:szCs w:val="15"/>
                <w:color w:val="auto"/>
              </w:rPr>
            </w:pPr>
          </w:p>
        </w:tc>
        <w:tc>
          <w:tcPr>
            <w:tcW w:w="1740" w:type="dxa"/>
            <w:vAlign w:val="bottom"/>
            <w:vMerge w:val="continue"/>
            <w:shd w:val="clear" w:color="auto" w:fill="BF2115"/>
          </w:tcPr>
          <w:p>
            <w:pPr>
              <w:spacing w:after="0"/>
              <w:rPr>
                <w:sz w:val="15"/>
                <w:szCs w:val="15"/>
                <w:color w:val="auto"/>
              </w:rPr>
            </w:pPr>
          </w:p>
        </w:tc>
        <w:tc>
          <w:tcPr>
            <w:tcW w:w="1820" w:type="dxa"/>
            <w:vAlign w:val="bottom"/>
            <w:vMerge w:val="continue"/>
            <w:shd w:val="clear" w:color="auto" w:fill="BF2115"/>
          </w:tcPr>
          <w:p>
            <w:pPr>
              <w:spacing w:after="0"/>
              <w:rPr>
                <w:sz w:val="15"/>
                <w:szCs w:val="15"/>
                <w:color w:val="auto"/>
              </w:rPr>
            </w:pPr>
          </w:p>
        </w:tc>
        <w:tc>
          <w:tcPr>
            <w:tcW w:w="1400" w:type="dxa"/>
            <w:vAlign w:val="bottom"/>
            <w:shd w:val="clear" w:color="auto" w:fill="BF2115"/>
          </w:tcPr>
          <w:p>
            <w:pPr>
              <w:ind w:left="300"/>
              <w:spacing w:after="0"/>
              <w:rPr>
                <w:sz w:val="20"/>
                <w:szCs w:val="20"/>
                <w:color w:val="auto"/>
              </w:rPr>
            </w:pPr>
            <w:r>
              <w:rPr>
                <w:rFonts w:ascii="Arial" w:cs="Arial" w:eastAsia="Arial" w:hAnsi="Arial"/>
                <w:sz w:val="14"/>
                <w:szCs w:val="14"/>
                <w:b w:val="1"/>
                <w:bCs w:val="1"/>
                <w:color w:val="FFFFFF"/>
              </w:rPr>
              <w:t>Withhold or</w:t>
            </w:r>
          </w:p>
        </w:tc>
        <w:tc>
          <w:tcPr>
            <w:tcW w:w="1520" w:type="dxa"/>
            <w:vAlign w:val="bottom"/>
            <w:shd w:val="clear" w:color="auto" w:fill="BF2115"/>
          </w:tcPr>
          <w:p>
            <w:pPr>
              <w:ind w:left="300"/>
              <w:spacing w:after="0"/>
              <w:rPr>
                <w:sz w:val="20"/>
                <w:szCs w:val="20"/>
                <w:color w:val="auto"/>
              </w:rPr>
            </w:pPr>
            <w:r>
              <w:rPr>
                <w:rFonts w:ascii="Arial" w:cs="Arial" w:eastAsia="Arial" w:hAnsi="Arial"/>
                <w:sz w:val="14"/>
                <w:szCs w:val="14"/>
                <w:b w:val="1"/>
                <w:bCs w:val="1"/>
                <w:color w:val="FFFFFF"/>
              </w:rPr>
              <w:t>Broker Non-</w:t>
            </w:r>
          </w:p>
        </w:tc>
        <w:tc>
          <w:tcPr>
            <w:tcW w:w="0" w:type="dxa"/>
            <w:vAlign w:val="bottom"/>
          </w:tcPr>
          <w:p>
            <w:pPr>
              <w:spacing w:after="0"/>
              <w:rPr>
                <w:sz w:val="1"/>
                <w:szCs w:val="1"/>
                <w:color w:val="auto"/>
              </w:rPr>
            </w:pPr>
          </w:p>
        </w:tc>
      </w:tr>
      <w:tr>
        <w:trPr>
          <w:trHeight w:val="223"/>
        </w:trPr>
        <w:tc>
          <w:tcPr>
            <w:tcW w:w="1840" w:type="dxa"/>
            <w:vAlign w:val="bottom"/>
            <w:shd w:val="clear" w:color="auto" w:fill="BF2115"/>
          </w:tcPr>
          <w:p>
            <w:pPr>
              <w:ind w:left="20"/>
              <w:spacing w:after="0"/>
              <w:rPr>
                <w:sz w:val="20"/>
                <w:szCs w:val="20"/>
                <w:color w:val="auto"/>
              </w:rPr>
            </w:pPr>
            <w:r>
              <w:rPr>
                <w:rFonts w:ascii="Arial" w:cs="Arial" w:eastAsia="Arial" w:hAnsi="Arial"/>
                <w:sz w:val="14"/>
                <w:szCs w:val="14"/>
                <w:b w:val="1"/>
                <w:bCs w:val="1"/>
                <w:color w:val="FFFFFF"/>
              </w:rPr>
              <w:t>Proposal</w:t>
            </w:r>
          </w:p>
        </w:tc>
        <w:tc>
          <w:tcPr>
            <w:tcW w:w="2620" w:type="dxa"/>
            <w:vAlign w:val="bottom"/>
            <w:shd w:val="clear" w:color="auto" w:fill="BF2115"/>
          </w:tcPr>
          <w:p>
            <w:pPr>
              <w:ind w:left="1200"/>
              <w:spacing w:after="0"/>
              <w:rPr>
                <w:sz w:val="20"/>
                <w:szCs w:val="20"/>
                <w:color w:val="auto"/>
              </w:rPr>
            </w:pPr>
            <w:r>
              <w:rPr>
                <w:rFonts w:ascii="Arial" w:cs="Arial" w:eastAsia="Arial" w:hAnsi="Arial"/>
                <w:sz w:val="14"/>
                <w:szCs w:val="14"/>
                <w:b w:val="1"/>
                <w:bCs w:val="1"/>
                <w:color w:val="FFFFFF"/>
              </w:rPr>
              <w:t>Recommendation</w:t>
            </w:r>
          </w:p>
        </w:tc>
        <w:tc>
          <w:tcPr>
            <w:tcW w:w="1740" w:type="dxa"/>
            <w:vAlign w:val="bottom"/>
            <w:shd w:val="clear" w:color="auto" w:fill="BF2115"/>
          </w:tcPr>
          <w:p>
            <w:pPr>
              <w:ind w:left="220"/>
              <w:spacing w:after="0"/>
              <w:rPr>
                <w:sz w:val="20"/>
                <w:szCs w:val="20"/>
                <w:color w:val="auto"/>
              </w:rPr>
            </w:pPr>
            <w:r>
              <w:rPr>
                <w:rFonts w:ascii="Arial" w:cs="Arial" w:eastAsia="Arial" w:hAnsi="Arial"/>
                <w:sz w:val="14"/>
                <w:szCs w:val="14"/>
                <w:b w:val="1"/>
                <w:bCs w:val="1"/>
                <w:color w:val="FFFFFF"/>
              </w:rPr>
              <w:t>Selections</w:t>
            </w:r>
          </w:p>
        </w:tc>
        <w:tc>
          <w:tcPr>
            <w:tcW w:w="1820" w:type="dxa"/>
            <w:vAlign w:val="bottom"/>
            <w:shd w:val="clear" w:color="auto" w:fill="BF2115"/>
          </w:tcPr>
          <w:p>
            <w:pPr>
              <w:ind w:left="420"/>
              <w:spacing w:after="0"/>
              <w:rPr>
                <w:sz w:val="20"/>
                <w:szCs w:val="20"/>
                <w:color w:val="auto"/>
              </w:rPr>
            </w:pPr>
            <w:r>
              <w:rPr>
                <w:rFonts w:ascii="Arial" w:cs="Arial" w:eastAsia="Arial" w:hAnsi="Arial"/>
                <w:sz w:val="14"/>
                <w:szCs w:val="14"/>
                <w:b w:val="1"/>
                <w:bCs w:val="1"/>
                <w:color w:val="FFFFFF"/>
              </w:rPr>
              <w:t>Standard</w:t>
            </w:r>
          </w:p>
        </w:tc>
        <w:tc>
          <w:tcPr>
            <w:tcW w:w="1400" w:type="dxa"/>
            <w:vAlign w:val="bottom"/>
            <w:shd w:val="clear" w:color="auto" w:fill="BF2115"/>
          </w:tcPr>
          <w:p>
            <w:pPr>
              <w:ind w:left="300"/>
              <w:spacing w:after="0"/>
              <w:rPr>
                <w:sz w:val="20"/>
                <w:szCs w:val="20"/>
                <w:color w:val="auto"/>
              </w:rPr>
            </w:pPr>
            <w:r>
              <w:rPr>
                <w:rFonts w:ascii="Arial" w:cs="Arial" w:eastAsia="Arial" w:hAnsi="Arial"/>
                <w:sz w:val="14"/>
                <w:szCs w:val="14"/>
                <w:b w:val="1"/>
                <w:bCs w:val="1"/>
                <w:color w:val="FFFFFF"/>
              </w:rPr>
              <w:t>Abstention</w:t>
            </w:r>
          </w:p>
        </w:tc>
        <w:tc>
          <w:tcPr>
            <w:tcW w:w="1520" w:type="dxa"/>
            <w:vAlign w:val="bottom"/>
            <w:shd w:val="clear" w:color="auto" w:fill="BF2115"/>
          </w:tcPr>
          <w:p>
            <w:pPr>
              <w:ind w:left="300"/>
              <w:spacing w:after="0"/>
              <w:rPr>
                <w:sz w:val="20"/>
                <w:szCs w:val="20"/>
                <w:color w:val="auto"/>
              </w:rPr>
            </w:pPr>
            <w:r>
              <w:rPr>
                <w:rFonts w:ascii="Arial" w:cs="Arial" w:eastAsia="Arial" w:hAnsi="Arial"/>
                <w:sz w:val="14"/>
                <w:szCs w:val="14"/>
                <w:b w:val="1"/>
                <w:bCs w:val="1"/>
                <w:color w:val="FFFFFF"/>
              </w:rPr>
              <w:t>Vote</w:t>
            </w: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1">
            <w:col w:w="11240"/>
          </w:cols>
          <w:pgMar w:left="320" w:top="1103" w:right="339" w:bottom="1440" w:gutter="0" w:footer="0" w:header="0"/>
        </w:sectPr>
      </w:pPr>
    </w:p>
    <w:p>
      <w:pPr>
        <w:spacing w:after="0" w:line="12" w:lineRule="exact"/>
        <w:rPr>
          <w:sz w:val="20"/>
          <w:szCs w:val="20"/>
          <w:color w:val="auto"/>
        </w:rPr>
      </w:pPr>
    </w:p>
    <w:p>
      <w:pPr>
        <w:ind w:left="20"/>
        <w:spacing w:after="0"/>
        <w:tabs>
          <w:tab w:leader="none" w:pos="320" w:val="left"/>
          <w:tab w:leader="none" w:pos="3020" w:val="left"/>
        </w:tabs>
        <w:rPr>
          <w:sz w:val="20"/>
          <w:szCs w:val="20"/>
          <w:color w:val="auto"/>
        </w:rPr>
      </w:pPr>
      <w:r>
        <w:rPr>
          <w:rFonts w:ascii="Arial" w:cs="Arial" w:eastAsia="Arial" w:hAnsi="Arial"/>
          <w:sz w:val="16"/>
          <w:szCs w:val="16"/>
          <w:color w:val="auto"/>
        </w:rPr>
        <w:t>1.</w:t>
        <w:tab/>
        <w:t>Election of four directors</w:t>
      </w:r>
      <w:r>
        <w:rPr>
          <w:sz w:val="20"/>
          <w:szCs w:val="20"/>
          <w:color w:val="auto"/>
        </w:rPr>
        <w:tab/>
      </w:r>
      <w:r>
        <w:rPr>
          <w:rFonts w:ascii="Arial" w:cs="Arial" w:eastAsia="Arial" w:hAnsi="Arial"/>
          <w:sz w:val="15"/>
          <w:szCs w:val="15"/>
          <w:b w:val="1"/>
          <w:bCs w:val="1"/>
          <w:color w:val="auto"/>
        </w:rPr>
        <w:t xml:space="preserve">FOR </w:t>
      </w:r>
      <w:r>
        <w:rPr>
          <w:rFonts w:ascii="Arial" w:cs="Arial" w:eastAsia="Arial" w:hAnsi="Arial"/>
          <w:sz w:val="15"/>
          <w:szCs w:val="15"/>
          <w:color w:val="auto"/>
        </w:rPr>
        <w:t>each nominee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340" w:right="1060" w:hanging="316"/>
        <w:spacing w:after="0" w:line="244" w:lineRule="auto"/>
        <w:tabs>
          <w:tab w:leader="none" w:pos="340" w:val="left"/>
        </w:tabs>
        <w:numPr>
          <w:ilvl w:val="0"/>
          <w:numId w:val="12"/>
        </w:numPr>
        <w:rPr>
          <w:rFonts w:ascii="Arial" w:cs="Arial" w:eastAsia="Arial" w:hAnsi="Arial"/>
          <w:sz w:val="16"/>
          <w:szCs w:val="16"/>
          <w:color w:val="auto"/>
        </w:rPr>
      </w:pPr>
      <w:r>
        <w:rPr>
          <w:rFonts w:ascii="Arial" w:cs="Arial" w:eastAsia="Arial" w:hAnsi="Arial"/>
          <w:sz w:val="16"/>
          <w:szCs w:val="16"/>
          <w:color w:val="auto"/>
        </w:rPr>
        <w:t xml:space="preserve">Ratification of the selection of KPMG </w:t>
      </w:r>
      <w:r>
        <w:rPr>
          <w:rFonts w:ascii="Arial" w:cs="Arial" w:eastAsia="Arial" w:hAnsi="Arial"/>
          <w:sz w:val="16"/>
          <w:szCs w:val="16"/>
          <w:b w:val="1"/>
          <w:bCs w:val="1"/>
          <w:color w:val="auto"/>
        </w:rPr>
        <w:t>FOR</w:t>
      </w:r>
      <w:r>
        <w:rPr>
          <w:rFonts w:ascii="Arial" w:cs="Arial" w:eastAsia="Arial" w:hAnsi="Arial"/>
          <w:sz w:val="16"/>
          <w:szCs w:val="16"/>
          <w:color w:val="auto"/>
        </w:rPr>
        <w:t xml:space="preserve"> LLP as our independent registered public accounting firm for our fiscal</w:t>
      </w:r>
    </w:p>
    <w:p>
      <w:pPr>
        <w:spacing w:after="0" w:line="1" w:lineRule="exact"/>
        <w:rPr>
          <w:rFonts w:ascii="Arial" w:cs="Arial" w:eastAsia="Arial" w:hAnsi="Arial"/>
          <w:sz w:val="16"/>
          <w:szCs w:val="16"/>
          <w:color w:val="auto"/>
        </w:rPr>
      </w:pPr>
    </w:p>
    <w:p>
      <w:pPr>
        <w:ind w:left="340"/>
        <w:spacing w:after="0"/>
        <w:rPr>
          <w:rFonts w:ascii="Arial" w:cs="Arial" w:eastAsia="Arial" w:hAnsi="Arial"/>
          <w:sz w:val="16"/>
          <w:szCs w:val="16"/>
          <w:color w:val="auto"/>
        </w:rPr>
      </w:pPr>
      <w:r>
        <w:rPr>
          <w:rFonts w:ascii="Arial" w:cs="Arial" w:eastAsia="Arial" w:hAnsi="Arial"/>
          <w:sz w:val="16"/>
          <w:szCs w:val="16"/>
          <w:color w:val="auto"/>
        </w:rPr>
        <w:t>year ending October 31, 2025</w:t>
      </w:r>
    </w:p>
    <w:p>
      <w:pPr>
        <w:spacing w:after="0" w:line="40" w:lineRule="exact"/>
        <w:rPr>
          <w:sz w:val="20"/>
          <w:szCs w:val="20"/>
          <w:color w:val="auto"/>
        </w:rPr>
      </w:pPr>
    </w:p>
    <w:p>
      <w:pPr>
        <w:ind w:left="340" w:right="1060" w:hanging="319"/>
        <w:spacing w:after="0" w:line="309" w:lineRule="auto"/>
        <w:tabs>
          <w:tab w:leader="none" w:pos="320" w:val="left"/>
        </w:tabs>
        <w:rPr>
          <w:sz w:val="20"/>
          <w:szCs w:val="20"/>
          <w:color w:val="auto"/>
        </w:rPr>
      </w:pPr>
      <w:r>
        <w:rPr>
          <w:rFonts w:ascii="Arial" w:cs="Arial" w:eastAsia="Arial" w:hAnsi="Arial"/>
          <w:sz w:val="16"/>
          <w:szCs w:val="16"/>
          <w:color w:val="auto"/>
        </w:rPr>
        <w:t>3.</w:t>
        <w:tab/>
        <w:t xml:space="preserve">Approval of, on an advisory basis, </w:t>
      </w:r>
      <w:r>
        <w:rPr>
          <w:rFonts w:ascii="Arial" w:cs="Arial" w:eastAsia="Arial" w:hAnsi="Arial"/>
          <w:sz w:val="16"/>
          <w:szCs w:val="16"/>
          <w:b w:val="1"/>
          <w:bCs w:val="1"/>
          <w:color w:val="auto"/>
        </w:rPr>
        <w:t>FOR</w:t>
      </w:r>
      <w:r>
        <w:rPr>
          <w:rFonts w:ascii="Arial" w:cs="Arial" w:eastAsia="Arial" w:hAnsi="Arial"/>
          <w:sz w:val="16"/>
          <w:szCs w:val="16"/>
          <w:color w:val="auto"/>
        </w:rPr>
        <w:t xml:space="preserve"> our executive compensation</w:t>
      </w:r>
      <w:r>
        <w:rPr>
          <w:rFonts w:ascii="Arial" w:cs="Arial" w:eastAsia="Arial" w:hAnsi="Arial"/>
          <w:sz w:val="20"/>
          <w:szCs w:val="20"/>
          <w:color w:val="auto"/>
          <w:vertAlign w:val="superscript"/>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77470</wp:posOffset>
            </wp:positionV>
            <wp:extent cx="2465705"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246570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6"/>
        </w:trPr>
        <w:tc>
          <w:tcPr>
            <w:tcW w:w="1840" w:type="dxa"/>
            <w:vAlign w:val="bottom"/>
          </w:tcPr>
          <w:p>
            <w:pPr>
              <w:spacing w:after="0"/>
              <w:rPr>
                <w:sz w:val="20"/>
                <w:szCs w:val="20"/>
                <w:color w:val="auto"/>
              </w:rPr>
            </w:pPr>
            <w:r>
              <w:rPr>
                <w:rFonts w:ascii="Arial" w:cs="Arial" w:eastAsia="Arial" w:hAnsi="Arial"/>
                <w:sz w:val="16"/>
                <w:szCs w:val="16"/>
                <w:color w:val="auto"/>
              </w:rPr>
              <w:t>FOR each nominee;</w:t>
            </w:r>
          </w:p>
        </w:tc>
        <w:tc>
          <w:tcPr>
            <w:tcW w:w="1780" w:type="dxa"/>
            <w:vAlign w:val="bottom"/>
          </w:tcPr>
          <w:p>
            <w:pPr>
              <w:ind w:left="100"/>
              <w:spacing w:after="0"/>
              <w:rPr>
                <w:sz w:val="20"/>
                <w:szCs w:val="20"/>
                <w:color w:val="auto"/>
              </w:rPr>
            </w:pPr>
            <w:r>
              <w:rPr>
                <w:rFonts w:ascii="Arial" w:cs="Arial" w:eastAsia="Arial" w:hAnsi="Arial"/>
                <w:sz w:val="16"/>
                <w:szCs w:val="16"/>
                <w:color w:val="auto"/>
              </w:rPr>
              <w:t>Plurality: the four</w:t>
            </w:r>
          </w:p>
        </w:tc>
        <w:tc>
          <w:tcPr>
            <w:tcW w:w="1040" w:type="dxa"/>
            <w:vAlign w:val="bottom"/>
          </w:tcPr>
          <w:p>
            <w:pPr>
              <w:ind w:left="20"/>
              <w:spacing w:after="0"/>
              <w:rPr>
                <w:sz w:val="20"/>
                <w:szCs w:val="20"/>
                <w:color w:val="auto"/>
              </w:rPr>
            </w:pPr>
            <w:r>
              <w:rPr>
                <w:rFonts w:ascii="Arial" w:cs="Arial" w:eastAsia="Arial" w:hAnsi="Arial"/>
                <w:sz w:val="16"/>
                <w:szCs w:val="16"/>
                <w:color w:val="auto"/>
              </w:rPr>
              <w:t>No effect</w:t>
            </w:r>
          </w:p>
        </w:tc>
        <w:tc>
          <w:tcPr>
            <w:tcW w:w="1440" w:type="dxa"/>
            <w:vAlign w:val="bottom"/>
          </w:tcPr>
          <w:p>
            <w:pPr>
              <w:ind w:left="380"/>
              <w:spacing w:after="0"/>
              <w:rPr>
                <w:sz w:val="20"/>
                <w:szCs w:val="20"/>
                <w:color w:val="auto"/>
              </w:rPr>
            </w:pPr>
            <w:r>
              <w:rPr>
                <w:rFonts w:ascii="Arial" w:cs="Arial" w:eastAsia="Arial" w:hAnsi="Arial"/>
                <w:sz w:val="16"/>
                <w:szCs w:val="16"/>
                <w:color w:val="auto"/>
              </w:rPr>
              <w:t>No effect</w:t>
            </w:r>
          </w:p>
        </w:tc>
      </w:tr>
      <w:tr>
        <w:trPr>
          <w:trHeight w:val="174"/>
        </w:trPr>
        <w:tc>
          <w:tcPr>
            <w:tcW w:w="1840" w:type="dxa"/>
            <w:vAlign w:val="bottom"/>
          </w:tcPr>
          <w:p>
            <w:pPr>
              <w:spacing w:after="0" w:line="175" w:lineRule="exact"/>
              <w:rPr>
                <w:sz w:val="20"/>
                <w:szCs w:val="20"/>
                <w:color w:val="auto"/>
              </w:rPr>
            </w:pPr>
            <w:r>
              <w:rPr>
                <w:rFonts w:ascii="Arial" w:cs="Arial" w:eastAsia="Arial" w:hAnsi="Arial"/>
                <w:sz w:val="16"/>
                <w:szCs w:val="16"/>
                <w:color w:val="auto"/>
              </w:rPr>
              <w:t>WITHHOLD from each</w:t>
            </w:r>
          </w:p>
        </w:tc>
        <w:tc>
          <w:tcPr>
            <w:tcW w:w="1780" w:type="dxa"/>
            <w:vAlign w:val="bottom"/>
          </w:tcPr>
          <w:p>
            <w:pPr>
              <w:ind w:left="100"/>
              <w:spacing w:after="0" w:line="175" w:lineRule="exact"/>
              <w:rPr>
                <w:sz w:val="20"/>
                <w:szCs w:val="20"/>
                <w:color w:val="auto"/>
              </w:rPr>
            </w:pPr>
            <w:r>
              <w:rPr>
                <w:rFonts w:ascii="Arial" w:cs="Arial" w:eastAsia="Arial" w:hAnsi="Arial"/>
                <w:sz w:val="16"/>
                <w:szCs w:val="16"/>
                <w:color w:val="auto"/>
              </w:rPr>
              <w:t>individuals who receive</w:t>
            </w:r>
          </w:p>
        </w:tc>
        <w:tc>
          <w:tcPr>
            <w:tcW w:w="1040" w:type="dxa"/>
            <w:vAlign w:val="bottom"/>
          </w:tcPr>
          <w:p>
            <w:pPr>
              <w:spacing w:after="0"/>
              <w:rPr>
                <w:sz w:val="15"/>
                <w:szCs w:val="15"/>
                <w:color w:val="auto"/>
              </w:rPr>
            </w:pPr>
          </w:p>
        </w:tc>
        <w:tc>
          <w:tcPr>
            <w:tcW w:w="1440" w:type="dxa"/>
            <w:vAlign w:val="bottom"/>
          </w:tcPr>
          <w:p>
            <w:pPr>
              <w:spacing w:after="0"/>
              <w:rPr>
                <w:sz w:val="15"/>
                <w:szCs w:val="15"/>
                <w:color w:val="auto"/>
              </w:rPr>
            </w:pPr>
          </w:p>
        </w:tc>
      </w:tr>
      <w:tr>
        <w:trPr>
          <w:trHeight w:val="187"/>
        </w:trPr>
        <w:tc>
          <w:tcPr>
            <w:tcW w:w="1840" w:type="dxa"/>
            <w:vAlign w:val="bottom"/>
          </w:tcPr>
          <w:p>
            <w:pPr>
              <w:spacing w:after="0"/>
              <w:rPr>
                <w:sz w:val="20"/>
                <w:szCs w:val="20"/>
                <w:color w:val="auto"/>
              </w:rPr>
            </w:pPr>
            <w:r>
              <w:rPr>
                <w:rFonts w:ascii="Arial" w:cs="Arial" w:eastAsia="Arial" w:hAnsi="Arial"/>
                <w:sz w:val="16"/>
                <w:szCs w:val="16"/>
                <w:color w:val="auto"/>
              </w:rPr>
              <w:t>nominee; or WITHHOLD</w:t>
            </w:r>
          </w:p>
        </w:tc>
        <w:tc>
          <w:tcPr>
            <w:tcW w:w="1780" w:type="dxa"/>
            <w:vAlign w:val="bottom"/>
          </w:tcPr>
          <w:p>
            <w:pPr>
              <w:ind w:left="100"/>
              <w:spacing w:after="0"/>
              <w:rPr>
                <w:sz w:val="20"/>
                <w:szCs w:val="20"/>
                <w:color w:val="auto"/>
              </w:rPr>
            </w:pPr>
            <w:r>
              <w:rPr>
                <w:rFonts w:ascii="Arial" w:cs="Arial" w:eastAsia="Arial" w:hAnsi="Arial"/>
                <w:sz w:val="16"/>
                <w:szCs w:val="16"/>
                <w:color w:val="auto"/>
              </w:rPr>
              <w:t>the greatest number of</w:t>
            </w:r>
          </w:p>
        </w:tc>
        <w:tc>
          <w:tcPr>
            <w:tcW w:w="1040" w:type="dxa"/>
            <w:vAlign w:val="bottom"/>
          </w:tcPr>
          <w:p>
            <w:pPr>
              <w:spacing w:after="0"/>
              <w:rPr>
                <w:sz w:val="16"/>
                <w:szCs w:val="16"/>
                <w:color w:val="auto"/>
              </w:rPr>
            </w:pPr>
          </w:p>
        </w:tc>
        <w:tc>
          <w:tcPr>
            <w:tcW w:w="1440" w:type="dxa"/>
            <w:vAlign w:val="bottom"/>
          </w:tcPr>
          <w:p>
            <w:pPr>
              <w:spacing w:after="0"/>
              <w:rPr>
                <w:sz w:val="16"/>
                <w:szCs w:val="16"/>
                <w:color w:val="auto"/>
              </w:rPr>
            </w:pPr>
          </w:p>
        </w:tc>
      </w:tr>
      <w:tr>
        <w:trPr>
          <w:trHeight w:val="187"/>
        </w:trPr>
        <w:tc>
          <w:tcPr>
            <w:tcW w:w="1840" w:type="dxa"/>
            <w:vAlign w:val="bottom"/>
          </w:tcPr>
          <w:p>
            <w:pPr>
              <w:spacing w:after="0"/>
              <w:rPr>
                <w:sz w:val="20"/>
                <w:szCs w:val="20"/>
                <w:color w:val="auto"/>
              </w:rPr>
            </w:pPr>
            <w:r>
              <w:rPr>
                <w:rFonts w:ascii="Arial" w:cs="Arial" w:eastAsia="Arial" w:hAnsi="Arial"/>
                <w:sz w:val="16"/>
                <w:szCs w:val="16"/>
                <w:color w:val="auto"/>
              </w:rPr>
              <w:t>from one or more of the</w:t>
            </w:r>
          </w:p>
        </w:tc>
        <w:tc>
          <w:tcPr>
            <w:tcW w:w="1780" w:type="dxa"/>
            <w:vAlign w:val="bottom"/>
          </w:tcPr>
          <w:p>
            <w:pPr>
              <w:ind w:left="100"/>
              <w:spacing w:after="0"/>
              <w:rPr>
                <w:sz w:val="20"/>
                <w:szCs w:val="20"/>
                <w:color w:val="auto"/>
              </w:rPr>
            </w:pPr>
            <w:r>
              <w:rPr>
                <w:rFonts w:ascii="Arial" w:cs="Arial" w:eastAsia="Arial" w:hAnsi="Arial"/>
                <w:sz w:val="16"/>
                <w:szCs w:val="16"/>
                <w:color w:val="auto"/>
              </w:rPr>
              <w:t>votes cast "for" are</w:t>
            </w:r>
          </w:p>
        </w:tc>
        <w:tc>
          <w:tcPr>
            <w:tcW w:w="1040" w:type="dxa"/>
            <w:vAlign w:val="bottom"/>
          </w:tcPr>
          <w:p>
            <w:pPr>
              <w:spacing w:after="0"/>
              <w:rPr>
                <w:sz w:val="16"/>
                <w:szCs w:val="16"/>
                <w:color w:val="auto"/>
              </w:rPr>
            </w:pPr>
          </w:p>
        </w:tc>
        <w:tc>
          <w:tcPr>
            <w:tcW w:w="1440" w:type="dxa"/>
            <w:vAlign w:val="bottom"/>
          </w:tcPr>
          <w:p>
            <w:pPr>
              <w:spacing w:after="0"/>
              <w:rPr>
                <w:sz w:val="16"/>
                <w:szCs w:val="16"/>
                <w:color w:val="auto"/>
              </w:rPr>
            </w:pPr>
          </w:p>
        </w:tc>
      </w:tr>
      <w:tr>
        <w:trPr>
          <w:trHeight w:val="279"/>
        </w:trPr>
        <w:tc>
          <w:tcPr>
            <w:tcW w:w="1840" w:type="dxa"/>
            <w:vAlign w:val="bottom"/>
          </w:tcPr>
          <w:p>
            <w:pPr>
              <w:spacing w:after="0"/>
              <w:rPr>
                <w:sz w:val="20"/>
                <w:szCs w:val="20"/>
                <w:color w:val="auto"/>
              </w:rPr>
            </w:pPr>
            <w:r>
              <w:rPr>
                <w:rFonts w:ascii="Arial" w:cs="Arial" w:eastAsia="Arial" w:hAnsi="Arial"/>
                <w:sz w:val="16"/>
                <w:szCs w:val="16"/>
                <w:color w:val="auto"/>
              </w:rPr>
              <w:t>four nominees</w:t>
            </w:r>
          </w:p>
        </w:tc>
        <w:tc>
          <w:tcPr>
            <w:tcW w:w="1780" w:type="dxa"/>
            <w:vAlign w:val="bottom"/>
          </w:tcPr>
          <w:p>
            <w:pPr>
              <w:ind w:left="100"/>
              <w:spacing w:after="0"/>
              <w:rPr>
                <w:sz w:val="20"/>
                <w:szCs w:val="20"/>
                <w:color w:val="auto"/>
              </w:rPr>
            </w:pPr>
            <w:r>
              <w:rPr>
                <w:rFonts w:ascii="Arial" w:cs="Arial" w:eastAsia="Arial" w:hAnsi="Arial"/>
                <w:sz w:val="16"/>
                <w:szCs w:val="16"/>
                <w:color w:val="auto"/>
              </w:rPr>
              <w:t>elected as directors</w:t>
            </w:r>
            <w:r>
              <w:rPr>
                <w:rFonts w:ascii="Arial" w:cs="Arial" w:eastAsia="Arial" w:hAnsi="Arial"/>
                <w:sz w:val="20"/>
                <w:szCs w:val="20"/>
                <w:color w:val="auto"/>
                <w:vertAlign w:val="superscript"/>
              </w:rPr>
              <w:t>1</w:t>
            </w:r>
          </w:p>
        </w:tc>
        <w:tc>
          <w:tcPr>
            <w:tcW w:w="1040" w:type="dxa"/>
            <w:vAlign w:val="bottom"/>
          </w:tcPr>
          <w:p>
            <w:pPr>
              <w:spacing w:after="0"/>
              <w:rPr>
                <w:sz w:val="24"/>
                <w:szCs w:val="24"/>
                <w:color w:val="auto"/>
              </w:rPr>
            </w:pPr>
          </w:p>
        </w:tc>
        <w:tc>
          <w:tcPr>
            <w:tcW w:w="1440" w:type="dxa"/>
            <w:vAlign w:val="bottom"/>
          </w:tcPr>
          <w:p>
            <w:pPr>
              <w:spacing w:after="0"/>
              <w:rPr>
                <w:sz w:val="24"/>
                <w:szCs w:val="24"/>
                <w:color w:val="auto"/>
              </w:rPr>
            </w:pPr>
          </w:p>
        </w:tc>
      </w:tr>
      <w:tr>
        <w:trPr>
          <w:trHeight w:val="213"/>
        </w:trPr>
        <w:tc>
          <w:tcPr>
            <w:tcW w:w="1840" w:type="dxa"/>
            <w:vAlign w:val="bottom"/>
          </w:tcPr>
          <w:p>
            <w:pPr>
              <w:spacing w:after="0"/>
              <w:rPr>
                <w:sz w:val="20"/>
                <w:szCs w:val="20"/>
                <w:color w:val="auto"/>
              </w:rPr>
            </w:pPr>
            <w:r>
              <w:rPr>
                <w:rFonts w:ascii="Arial" w:cs="Arial" w:eastAsia="Arial" w:hAnsi="Arial"/>
                <w:sz w:val="16"/>
                <w:szCs w:val="16"/>
                <w:color w:val="auto"/>
              </w:rPr>
              <w:t>FOR; AGAINST;</w:t>
            </w:r>
          </w:p>
        </w:tc>
        <w:tc>
          <w:tcPr>
            <w:tcW w:w="1780" w:type="dxa"/>
            <w:vAlign w:val="bottom"/>
          </w:tcPr>
          <w:p>
            <w:pPr>
              <w:ind w:left="100"/>
              <w:spacing w:after="0"/>
              <w:rPr>
                <w:sz w:val="20"/>
                <w:szCs w:val="20"/>
                <w:color w:val="auto"/>
              </w:rPr>
            </w:pPr>
            <w:r>
              <w:rPr>
                <w:rFonts w:ascii="Arial" w:cs="Arial" w:eastAsia="Arial" w:hAnsi="Arial"/>
                <w:sz w:val="16"/>
                <w:szCs w:val="16"/>
                <w:color w:val="auto"/>
              </w:rPr>
              <w:t>Majority of votes cast</w:t>
            </w:r>
          </w:p>
        </w:tc>
        <w:tc>
          <w:tcPr>
            <w:tcW w:w="1040" w:type="dxa"/>
            <w:vAlign w:val="bottom"/>
          </w:tcPr>
          <w:p>
            <w:pPr>
              <w:ind w:left="20"/>
              <w:spacing w:after="0"/>
              <w:rPr>
                <w:sz w:val="20"/>
                <w:szCs w:val="20"/>
                <w:color w:val="auto"/>
              </w:rPr>
            </w:pPr>
            <w:r>
              <w:rPr>
                <w:rFonts w:ascii="Arial" w:cs="Arial" w:eastAsia="Arial" w:hAnsi="Arial"/>
                <w:sz w:val="16"/>
                <w:szCs w:val="16"/>
                <w:color w:val="auto"/>
              </w:rPr>
              <w:t>No effect</w:t>
            </w:r>
          </w:p>
        </w:tc>
        <w:tc>
          <w:tcPr>
            <w:tcW w:w="1440" w:type="dxa"/>
            <w:vAlign w:val="bottom"/>
          </w:tcPr>
          <w:p>
            <w:pPr>
              <w:ind w:left="380"/>
              <w:spacing w:after="0" w:line="213" w:lineRule="exact"/>
              <w:rPr>
                <w:sz w:val="20"/>
                <w:szCs w:val="20"/>
                <w:color w:val="auto"/>
              </w:rPr>
            </w:pPr>
            <w:r>
              <w:rPr>
                <w:rFonts w:ascii="Arial" w:cs="Arial" w:eastAsia="Arial" w:hAnsi="Arial"/>
                <w:sz w:val="16"/>
                <w:szCs w:val="16"/>
                <w:color w:val="auto"/>
                <w:w w:val="95"/>
              </w:rPr>
              <w:t>Not applicable</w:t>
            </w:r>
            <w:r>
              <w:rPr>
                <w:rFonts w:ascii="Arial" w:cs="Arial" w:eastAsia="Arial" w:hAnsi="Arial"/>
                <w:sz w:val="20"/>
                <w:szCs w:val="20"/>
                <w:color w:val="auto"/>
                <w:w w:val="95"/>
                <w:vertAlign w:val="superscript"/>
              </w:rPr>
              <w:t>2</w:t>
            </w:r>
          </w:p>
        </w:tc>
      </w:tr>
      <w:tr>
        <w:trPr>
          <w:trHeight w:val="211"/>
        </w:trPr>
        <w:tc>
          <w:tcPr>
            <w:tcW w:w="1840" w:type="dxa"/>
            <w:vAlign w:val="bottom"/>
          </w:tcPr>
          <w:p>
            <w:pPr>
              <w:spacing w:after="0"/>
              <w:rPr>
                <w:sz w:val="20"/>
                <w:szCs w:val="20"/>
                <w:color w:val="auto"/>
              </w:rPr>
            </w:pPr>
            <w:r>
              <w:rPr>
                <w:rFonts w:ascii="Arial" w:cs="Arial" w:eastAsia="Arial" w:hAnsi="Arial"/>
                <w:sz w:val="16"/>
                <w:szCs w:val="16"/>
                <w:color w:val="auto"/>
              </w:rPr>
              <w:t>or ABSTAIN</w:t>
            </w:r>
          </w:p>
        </w:tc>
        <w:tc>
          <w:tcPr>
            <w:tcW w:w="17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40" w:type="dxa"/>
            <w:vAlign w:val="bottom"/>
          </w:tcPr>
          <w:p>
            <w:pPr>
              <w:spacing w:after="0"/>
              <w:rPr>
                <w:sz w:val="18"/>
                <w:szCs w:val="18"/>
                <w:color w:val="auto"/>
              </w:rPr>
            </w:pPr>
          </w:p>
        </w:tc>
      </w:tr>
      <w:tr>
        <w:trPr>
          <w:trHeight w:val="576"/>
        </w:trPr>
        <w:tc>
          <w:tcPr>
            <w:tcW w:w="1840" w:type="dxa"/>
            <w:vAlign w:val="bottom"/>
          </w:tcPr>
          <w:p>
            <w:pPr>
              <w:spacing w:after="0"/>
              <w:rPr>
                <w:sz w:val="20"/>
                <w:szCs w:val="20"/>
                <w:color w:val="auto"/>
              </w:rPr>
            </w:pPr>
            <w:r>
              <w:rPr>
                <w:rFonts w:ascii="Arial" w:cs="Arial" w:eastAsia="Arial" w:hAnsi="Arial"/>
                <w:sz w:val="16"/>
                <w:szCs w:val="16"/>
                <w:color w:val="auto"/>
              </w:rPr>
              <w:t>FOR; AGAINST;</w:t>
            </w:r>
          </w:p>
        </w:tc>
        <w:tc>
          <w:tcPr>
            <w:tcW w:w="1780" w:type="dxa"/>
            <w:vAlign w:val="bottom"/>
          </w:tcPr>
          <w:p>
            <w:pPr>
              <w:ind w:left="100"/>
              <w:spacing w:after="0"/>
              <w:rPr>
                <w:sz w:val="20"/>
                <w:szCs w:val="20"/>
                <w:color w:val="auto"/>
              </w:rPr>
            </w:pPr>
            <w:r>
              <w:rPr>
                <w:rFonts w:ascii="Arial" w:cs="Arial" w:eastAsia="Arial" w:hAnsi="Arial"/>
                <w:sz w:val="16"/>
                <w:szCs w:val="16"/>
                <w:color w:val="auto"/>
              </w:rPr>
              <w:t>Majority of votes cast</w:t>
            </w:r>
          </w:p>
        </w:tc>
        <w:tc>
          <w:tcPr>
            <w:tcW w:w="1040" w:type="dxa"/>
            <w:vAlign w:val="bottom"/>
          </w:tcPr>
          <w:p>
            <w:pPr>
              <w:ind w:left="20"/>
              <w:spacing w:after="0"/>
              <w:rPr>
                <w:sz w:val="20"/>
                <w:szCs w:val="20"/>
                <w:color w:val="auto"/>
              </w:rPr>
            </w:pPr>
            <w:r>
              <w:rPr>
                <w:rFonts w:ascii="Arial" w:cs="Arial" w:eastAsia="Arial" w:hAnsi="Arial"/>
                <w:sz w:val="16"/>
                <w:szCs w:val="16"/>
                <w:color w:val="auto"/>
              </w:rPr>
              <w:t>No effect</w:t>
            </w:r>
          </w:p>
        </w:tc>
        <w:tc>
          <w:tcPr>
            <w:tcW w:w="1440" w:type="dxa"/>
            <w:vAlign w:val="bottom"/>
          </w:tcPr>
          <w:p>
            <w:pPr>
              <w:ind w:left="380"/>
              <w:spacing w:after="0"/>
              <w:rPr>
                <w:sz w:val="20"/>
                <w:szCs w:val="20"/>
                <w:color w:val="auto"/>
              </w:rPr>
            </w:pPr>
            <w:r>
              <w:rPr>
                <w:rFonts w:ascii="Arial" w:cs="Arial" w:eastAsia="Arial" w:hAnsi="Arial"/>
                <w:sz w:val="16"/>
                <w:szCs w:val="16"/>
                <w:color w:val="auto"/>
              </w:rPr>
              <w:t>No effect</w:t>
            </w:r>
          </w:p>
        </w:tc>
      </w:tr>
      <w:tr>
        <w:trPr>
          <w:trHeight w:val="211"/>
        </w:trPr>
        <w:tc>
          <w:tcPr>
            <w:tcW w:w="1840" w:type="dxa"/>
            <w:vAlign w:val="bottom"/>
          </w:tcPr>
          <w:p>
            <w:pPr>
              <w:spacing w:after="0"/>
              <w:rPr>
                <w:sz w:val="20"/>
                <w:szCs w:val="20"/>
                <w:color w:val="auto"/>
              </w:rPr>
            </w:pPr>
            <w:r>
              <w:rPr>
                <w:rFonts w:ascii="Arial" w:cs="Arial" w:eastAsia="Arial" w:hAnsi="Arial"/>
                <w:sz w:val="16"/>
                <w:szCs w:val="16"/>
                <w:color w:val="auto"/>
              </w:rPr>
              <w:t>or ABSTAIN</w:t>
            </w:r>
          </w:p>
        </w:tc>
        <w:tc>
          <w:tcPr>
            <w:tcW w:w="17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40" w:type="dxa"/>
            <w:vAlign w:val="bottom"/>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-2966720</wp:posOffset>
            </wp:positionH>
            <wp:positionV relativeFrom="paragraph">
              <wp:posOffset>-768350</wp:posOffset>
            </wp:positionV>
            <wp:extent cx="6939280" cy="4997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939280" cy="499745"/>
                    </a:xfrm>
                    <a:prstGeom prst="rect">
                      <a:avLst/>
                    </a:prstGeom>
                    <a:noFill/>
                  </pic:spPr>
                </pic:pic>
              </a:graphicData>
            </a:graphic>
          </wp:anchor>
        </w:drawing>
      </w:r>
    </w:p>
    <w:p>
      <w:pPr>
        <w:spacing w:after="0" w:line="308" w:lineRule="exact"/>
        <w:rPr>
          <w:sz w:val="20"/>
          <w:szCs w:val="20"/>
          <w:color w:val="auto"/>
        </w:rPr>
      </w:pPr>
    </w:p>
    <w:p>
      <w:pPr>
        <w:sectPr>
          <w:pgSz w:w="11900" w:h="16838" w:orient="portrait"/>
          <w:cols w:equalWidth="0" w:num="2">
            <w:col w:w="4420" w:space="260"/>
            <w:col w:w="6560"/>
          </w:cols>
          <w:pgMar w:left="320" w:top="1103" w:right="339" w:bottom="1440" w:gutter="0" w:footer="0" w:header="0"/>
          <w:type w:val="continuous"/>
        </w:sectPr>
      </w:pPr>
    </w:p>
    <w:p>
      <w:pPr>
        <w:spacing w:after="0" w:line="78" w:lineRule="exact"/>
        <w:rPr>
          <w:sz w:val="20"/>
          <w:szCs w:val="20"/>
          <w:color w:val="auto"/>
        </w:rPr>
      </w:pPr>
    </w:p>
    <w:p>
      <w:pPr>
        <w:jc w:val="both"/>
        <w:ind w:left="320" w:hanging="313"/>
        <w:spacing w:after="0" w:line="236" w:lineRule="auto"/>
        <w:tabs>
          <w:tab w:leader="none" w:pos="308" w:val="left"/>
        </w:tabs>
        <w:numPr>
          <w:ilvl w:val="0"/>
          <w:numId w:val="13"/>
        </w:numPr>
        <w:rPr>
          <w:rFonts w:ascii="Arial" w:cs="Arial" w:eastAsia="Arial" w:hAnsi="Arial"/>
          <w:sz w:val="18"/>
          <w:szCs w:val="18"/>
          <w:color w:val="auto"/>
        </w:rPr>
      </w:pPr>
      <w:r>
        <w:rPr>
          <w:rFonts w:ascii="Arial" w:cs="Arial" w:eastAsia="Arial" w:hAnsi="Arial"/>
          <w:sz w:val="18"/>
          <w:szCs w:val="18"/>
          <w:color w:val="auto"/>
        </w:rPr>
        <w:t>Under our Amended and Restated Bylaws, if any nominee for director in an uncontested election as to whom a majority of the votes of the shares present at the virtual meeting or represented by proxy at the annual meeting and entitled to vote on the election of directors are designated to be “withheld” from or are voted “against,” that director must tender a resignation for consideration by our Nominating &amp; Governance Committee. Our Nominating &amp; Governance Committee then must evaluate the best interests of our Company and shareholders and recommend the action to be taken by the Board with respect to such tendered resignation.</w:t>
      </w:r>
    </w:p>
    <w:p>
      <w:pPr>
        <w:spacing w:after="0" w:line="9" w:lineRule="exact"/>
        <w:rPr>
          <w:rFonts w:ascii="Arial" w:cs="Arial" w:eastAsia="Arial" w:hAnsi="Arial"/>
          <w:sz w:val="18"/>
          <w:szCs w:val="18"/>
          <w:color w:val="auto"/>
        </w:rPr>
      </w:pPr>
    </w:p>
    <w:p>
      <w:pPr>
        <w:jc w:val="both"/>
        <w:ind w:left="320" w:right="20" w:hanging="313"/>
        <w:spacing w:after="0" w:line="247" w:lineRule="auto"/>
        <w:tabs>
          <w:tab w:leader="none" w:pos="308" w:val="left"/>
        </w:tabs>
        <w:numPr>
          <w:ilvl w:val="0"/>
          <w:numId w:val="13"/>
        </w:numPr>
        <w:rPr>
          <w:rFonts w:ascii="Arial" w:cs="Arial" w:eastAsia="Arial" w:hAnsi="Arial"/>
          <w:sz w:val="18"/>
          <w:szCs w:val="18"/>
          <w:color w:val="auto"/>
        </w:rPr>
      </w:pPr>
      <w:r>
        <w:rPr>
          <w:rFonts w:ascii="Arial" w:cs="Arial" w:eastAsia="Arial" w:hAnsi="Arial"/>
          <w:sz w:val="18"/>
          <w:szCs w:val="18"/>
          <w:color w:val="auto"/>
        </w:rPr>
        <w:t>Under applicable New York Stock Exchange, or NYSE, rules, brokers and custodians may vote on the ratification of KPMG LLP as our independent registered public accounting firm for fiscal 2025 in their discretion, and, therefore, we do not expect any broker non-votes on this matter.</w:t>
      </w:r>
    </w:p>
    <w:p>
      <w:pPr>
        <w:spacing w:after="0" w:line="1" w:lineRule="exact"/>
        <w:rPr>
          <w:rFonts w:ascii="Arial" w:cs="Arial" w:eastAsia="Arial" w:hAnsi="Arial"/>
          <w:sz w:val="18"/>
          <w:szCs w:val="18"/>
          <w:color w:val="auto"/>
        </w:rPr>
      </w:pPr>
    </w:p>
    <w:p>
      <w:pPr>
        <w:ind w:left="320" w:hanging="313"/>
        <w:spacing w:after="0" w:line="262" w:lineRule="auto"/>
        <w:tabs>
          <w:tab w:leader="none" w:pos="308" w:val="left"/>
        </w:tabs>
        <w:numPr>
          <w:ilvl w:val="0"/>
          <w:numId w:val="13"/>
        </w:numPr>
        <w:rPr>
          <w:rFonts w:ascii="Arial" w:cs="Arial" w:eastAsia="Arial" w:hAnsi="Arial"/>
          <w:sz w:val="18"/>
          <w:szCs w:val="18"/>
          <w:color w:val="auto"/>
        </w:rPr>
      </w:pPr>
      <w:r>
        <w:rPr>
          <w:rFonts w:ascii="Arial" w:cs="Arial" w:eastAsia="Arial" w:hAnsi="Arial"/>
          <w:sz w:val="18"/>
          <w:szCs w:val="18"/>
          <w:color w:val="auto"/>
        </w:rPr>
        <w:t>While an advisory vote, our Compensation &amp; Human Resources Committee and Board expect to take into account the outcome of this vote when considering future executive compensation.</w:t>
      </w:r>
    </w:p>
    <w:p>
      <w:pPr>
        <w:spacing w:after="0" w:line="115" w:lineRule="exact"/>
        <w:rPr>
          <w:sz w:val="20"/>
          <w:szCs w:val="20"/>
          <w:color w:val="auto"/>
        </w:rPr>
      </w:pPr>
    </w:p>
    <w:p>
      <w:pPr>
        <w:spacing w:after="0"/>
        <w:rPr>
          <w:sz w:val="20"/>
          <w:szCs w:val="20"/>
          <w:color w:val="auto"/>
        </w:rPr>
      </w:pPr>
      <w:r>
        <w:rPr>
          <w:rFonts w:ascii="Arial" w:cs="Arial" w:eastAsia="Arial" w:hAnsi="Arial"/>
          <w:sz w:val="20"/>
          <w:szCs w:val="20"/>
          <w:b w:val="1"/>
          <w:bCs w:val="1"/>
          <w:color w:val="C00000"/>
        </w:rPr>
        <w:t>How Will My Shares Be Voted?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55245</wp:posOffset>
            </wp:positionH>
            <wp:positionV relativeFrom="paragraph">
              <wp:posOffset>97790</wp:posOffset>
            </wp:positionV>
            <wp:extent cx="7040880" cy="2794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040880" cy="279400"/>
                    </a:xfrm>
                    <a:prstGeom prst="rect">
                      <a:avLst/>
                    </a:prstGeom>
                    <a:noFill/>
                  </pic:spPr>
                </pic:pic>
              </a:graphicData>
            </a:graphic>
          </wp:anchor>
        </w:drawing>
      </w:r>
    </w:p>
    <w:p>
      <w:pPr>
        <w:sectPr>
          <w:pgSz w:w="11900" w:h="16838" w:orient="portrait"/>
          <w:cols w:equalWidth="0" w:num="1">
            <w:col w:w="11240"/>
          </w:cols>
          <w:pgMar w:left="320" w:top="1103" w:right="339" w:bottom="1440" w:gutter="0" w:footer="0" w:header="0"/>
          <w:type w:val="continuous"/>
        </w:sectPr>
      </w:pPr>
    </w:p>
    <w:p>
      <w:pPr>
        <w:spacing w:after="0" w:line="185" w:lineRule="exact"/>
        <w:rPr>
          <w:sz w:val="20"/>
          <w:szCs w:val="20"/>
          <w:color w:val="auto"/>
        </w:rPr>
      </w:pPr>
    </w:p>
    <w:p>
      <w:pPr>
        <w:ind w:left="2760"/>
        <w:spacing w:after="0"/>
        <w:rPr>
          <w:sz w:val="20"/>
          <w:szCs w:val="20"/>
          <w:color w:val="auto"/>
        </w:rPr>
      </w:pPr>
      <w:r>
        <w:rPr>
          <w:rFonts w:ascii="Arial" w:cs="Arial" w:eastAsia="Arial" w:hAnsi="Arial"/>
          <w:sz w:val="14"/>
          <w:szCs w:val="14"/>
          <w:b w:val="1"/>
          <w:bCs w:val="1"/>
          <w:color w:val="FFFFFF"/>
        </w:rPr>
        <w:t>How Your Shares will be Voted If You</w:t>
      </w:r>
    </w:p>
    <w:p>
      <w:pPr>
        <w:spacing w:after="0" w:line="34" w:lineRule="exact"/>
        <w:rPr>
          <w:sz w:val="20"/>
          <w:szCs w:val="20"/>
          <w:color w:val="auto"/>
        </w:rPr>
      </w:pPr>
    </w:p>
    <w:p>
      <w:pPr>
        <w:ind w:left="140"/>
        <w:spacing w:after="0"/>
        <w:tabs>
          <w:tab w:leader="none" w:pos="2740" w:val="left"/>
        </w:tabs>
        <w:rPr>
          <w:sz w:val="20"/>
          <w:szCs w:val="20"/>
          <w:color w:val="auto"/>
        </w:rPr>
      </w:pPr>
      <w:r>
        <w:rPr>
          <w:rFonts w:ascii="Arial" w:cs="Arial" w:eastAsia="Arial" w:hAnsi="Arial"/>
          <w:sz w:val="14"/>
          <w:szCs w:val="14"/>
          <w:b w:val="1"/>
          <w:bCs w:val="1"/>
          <w:color w:val="FFFFFF"/>
        </w:rPr>
        <w:t>How Your Shares are Held</w:t>
      </w:r>
      <w:r>
        <w:rPr>
          <w:sz w:val="20"/>
          <w:szCs w:val="20"/>
          <w:color w:val="auto"/>
        </w:rPr>
        <w:tab/>
      </w:r>
      <w:r>
        <w:rPr>
          <w:rFonts w:ascii="Arial" w:cs="Arial" w:eastAsia="Arial" w:hAnsi="Arial"/>
          <w:sz w:val="14"/>
          <w:szCs w:val="14"/>
          <w:b w:val="1"/>
          <w:bCs w:val="1"/>
          <w:color w:val="FFFFFF"/>
        </w:rPr>
        <w:t>Specify How to Vote</w:t>
      </w:r>
    </w:p>
    <w:p>
      <w:pPr>
        <w:spacing w:after="0" w:line="20" w:lineRule="exact"/>
        <w:rPr>
          <w:sz w:val="20"/>
          <w:szCs w:val="20"/>
          <w:color w:val="auto"/>
        </w:rPr>
      </w:pPr>
      <w:r>
        <w:rPr>
          <w:sz w:val="20"/>
          <w:szCs w:val="20"/>
          <w:color w:val="auto"/>
        </w:rPr>
        <w:br w:type="column"/>
      </w:r>
    </w:p>
    <w:p>
      <w:pPr>
        <w:spacing w:after="0" w:line="165" w:lineRule="exact"/>
        <w:rPr>
          <w:sz w:val="20"/>
          <w:szCs w:val="20"/>
          <w:color w:val="auto"/>
        </w:rPr>
      </w:pPr>
    </w:p>
    <w:p>
      <w:pPr>
        <w:spacing w:after="0"/>
        <w:rPr>
          <w:sz w:val="20"/>
          <w:szCs w:val="20"/>
          <w:color w:val="auto"/>
        </w:rPr>
      </w:pPr>
      <w:r>
        <w:rPr>
          <w:rFonts w:ascii="Arial" w:cs="Arial" w:eastAsia="Arial" w:hAnsi="Arial"/>
          <w:sz w:val="14"/>
          <w:szCs w:val="14"/>
          <w:b w:val="1"/>
          <w:bCs w:val="1"/>
          <w:color w:val="FFFFFF"/>
        </w:rPr>
        <w:t>How Your Shares will be Voted If You</w:t>
      </w:r>
    </w:p>
    <w:p>
      <w:pPr>
        <w:spacing w:after="0" w:line="34" w:lineRule="exact"/>
        <w:rPr>
          <w:sz w:val="20"/>
          <w:szCs w:val="20"/>
          <w:color w:val="auto"/>
        </w:rPr>
      </w:pPr>
    </w:p>
    <w:p>
      <w:pPr>
        <w:spacing w:after="0"/>
        <w:rPr>
          <w:sz w:val="20"/>
          <w:szCs w:val="20"/>
          <w:color w:val="auto"/>
        </w:rPr>
      </w:pPr>
      <w:r>
        <w:rPr>
          <w:rFonts w:ascii="Arial" w:cs="Arial" w:eastAsia="Arial" w:hAnsi="Arial"/>
          <w:sz w:val="14"/>
          <w:szCs w:val="14"/>
          <w:b w:val="1"/>
          <w:bCs w:val="1"/>
          <w:color w:val="FFFFFF"/>
        </w:rPr>
        <w:t>Do Not Specify How to Vote</w:t>
      </w:r>
    </w:p>
    <w:p>
      <w:pPr>
        <w:spacing w:after="0" w:line="53" w:lineRule="exact"/>
        <w:rPr>
          <w:sz w:val="20"/>
          <w:szCs w:val="20"/>
          <w:color w:val="auto"/>
        </w:rPr>
      </w:pPr>
    </w:p>
    <w:p>
      <w:pPr>
        <w:sectPr>
          <w:pgSz w:w="11900" w:h="16838" w:orient="portrait"/>
          <w:cols w:equalWidth="0" w:num="2">
            <w:col w:w="6240" w:space="720"/>
            <w:col w:w="4280"/>
          </w:cols>
          <w:pgMar w:left="320" w:top="1103" w:right="339" w:bottom="1440" w:gutter="0" w:footer="0" w:header="0"/>
          <w:type w:val="continuous"/>
        </w:sectPr>
      </w:pPr>
    </w:p>
    <w:tbl>
      <w:tblPr>
        <w:tblLayout w:type="fixed"/>
        <w:tblInd w:w="80" w:type="dxa"/>
        <w:tblCellMar>
          <w:top w:w="0" w:type="dxa"/>
          <w:left w:w="0" w:type="dxa"/>
          <w:bottom w:w="0" w:type="dxa"/>
          <w:right w:w="0" w:type="dxa"/>
        </w:tblCellMar>
      </w:tblPr>
      <w:tr>
        <w:trPr>
          <w:trHeight w:val="234"/>
        </w:trPr>
        <w:tc>
          <w:tcPr>
            <w:tcW w:w="2460" w:type="dxa"/>
            <w:vAlign w:val="bottom"/>
          </w:tcPr>
          <w:p>
            <w:pPr>
              <w:ind w:left="20"/>
              <w:spacing w:after="0"/>
              <w:rPr>
                <w:sz w:val="20"/>
                <w:szCs w:val="20"/>
                <w:color w:val="auto"/>
              </w:rPr>
            </w:pPr>
            <w:r>
              <w:rPr>
                <w:rFonts w:ascii="Arial" w:cs="Arial" w:eastAsia="Arial" w:hAnsi="Arial"/>
                <w:sz w:val="16"/>
                <w:szCs w:val="16"/>
                <w:color w:val="auto"/>
              </w:rPr>
              <w:t>Shares registered in your name</w:t>
            </w:r>
          </w:p>
        </w:tc>
        <w:tc>
          <w:tcPr>
            <w:tcW w:w="4240" w:type="dxa"/>
            <w:vAlign w:val="bottom"/>
          </w:tcPr>
          <w:p>
            <w:pPr>
              <w:ind w:left="220"/>
              <w:spacing w:after="0"/>
              <w:rPr>
                <w:sz w:val="20"/>
                <w:szCs w:val="20"/>
                <w:color w:val="auto"/>
              </w:rPr>
            </w:pPr>
            <w:r>
              <w:rPr>
                <w:rFonts w:ascii="Arial" w:cs="Arial" w:eastAsia="Arial" w:hAnsi="Arial"/>
                <w:sz w:val="16"/>
                <w:szCs w:val="16"/>
                <w:color w:val="auto"/>
              </w:rPr>
              <w:t>The named proxies will vote your shares as you direct</w:t>
            </w:r>
          </w:p>
        </w:tc>
        <w:tc>
          <w:tcPr>
            <w:tcW w:w="4400" w:type="dxa"/>
            <w:vAlign w:val="bottom"/>
          </w:tcPr>
          <w:p>
            <w:pPr>
              <w:ind w:left="180"/>
              <w:spacing w:after="0"/>
              <w:rPr>
                <w:sz w:val="20"/>
                <w:szCs w:val="20"/>
                <w:color w:val="auto"/>
              </w:rPr>
            </w:pPr>
            <w:r>
              <w:rPr>
                <w:rFonts w:ascii="Arial" w:cs="Arial" w:eastAsia="Arial" w:hAnsi="Arial"/>
                <w:sz w:val="16"/>
                <w:szCs w:val="16"/>
                <w:color w:val="auto"/>
              </w:rPr>
              <w:t xml:space="preserve">The named proxies will vote </w:t>
            </w:r>
            <w:r>
              <w:rPr>
                <w:rFonts w:ascii="Arial" w:cs="Arial" w:eastAsia="Arial" w:hAnsi="Arial"/>
                <w:sz w:val="16"/>
                <w:szCs w:val="16"/>
                <w:b w:val="1"/>
                <w:bCs w:val="1"/>
                <w:color w:val="auto"/>
              </w:rPr>
              <w:t>FOR</w:t>
            </w:r>
            <w:r>
              <w:rPr>
                <w:rFonts w:ascii="Arial" w:cs="Arial" w:eastAsia="Arial" w:hAnsi="Arial"/>
                <w:sz w:val="16"/>
                <w:szCs w:val="16"/>
                <w:color w:val="auto"/>
              </w:rPr>
              <w:t xml:space="preserve"> all proposals</w:t>
            </w:r>
          </w:p>
        </w:tc>
      </w:tr>
      <w:tr>
        <w:trPr>
          <w:trHeight w:val="33"/>
        </w:trPr>
        <w:tc>
          <w:tcPr>
            <w:tcW w:w="2460" w:type="dxa"/>
            <w:vAlign w:val="bottom"/>
          </w:tcPr>
          <w:p>
            <w:pPr>
              <w:spacing w:after="0"/>
              <w:rPr>
                <w:sz w:val="2"/>
                <w:szCs w:val="2"/>
                <w:color w:val="auto"/>
              </w:rPr>
            </w:pPr>
          </w:p>
        </w:tc>
        <w:tc>
          <w:tcPr>
            <w:tcW w:w="4240" w:type="dxa"/>
            <w:vAlign w:val="bottom"/>
          </w:tcPr>
          <w:p>
            <w:pPr>
              <w:spacing w:after="0"/>
              <w:rPr>
                <w:sz w:val="2"/>
                <w:szCs w:val="2"/>
                <w:color w:val="auto"/>
              </w:rPr>
            </w:pPr>
          </w:p>
        </w:tc>
        <w:tc>
          <w:tcPr>
            <w:tcW w:w="4400" w:type="dxa"/>
            <w:vAlign w:val="bottom"/>
          </w:tcPr>
          <w:p>
            <w:pPr>
              <w:spacing w:after="0"/>
              <w:rPr>
                <w:sz w:val="2"/>
                <w:szCs w:val="2"/>
                <w:color w:val="auto"/>
              </w:rPr>
            </w:pPr>
          </w:p>
        </w:tc>
      </w:tr>
      <w:tr>
        <w:trPr>
          <w:trHeight w:val="173"/>
        </w:trPr>
        <w:tc>
          <w:tcPr>
            <w:tcW w:w="2460" w:type="dxa"/>
            <w:vAlign w:val="bottom"/>
            <w:shd w:val="clear" w:color="auto" w:fill="DBDBDB"/>
          </w:tcPr>
          <w:p>
            <w:pPr>
              <w:ind w:left="20"/>
              <w:spacing w:after="0" w:line="174" w:lineRule="exact"/>
              <w:rPr>
                <w:sz w:val="20"/>
                <w:szCs w:val="20"/>
                <w:color w:val="auto"/>
              </w:rPr>
            </w:pPr>
            <w:r>
              <w:rPr>
                <w:rFonts w:ascii="Arial" w:cs="Arial" w:eastAsia="Arial" w:hAnsi="Arial"/>
                <w:sz w:val="16"/>
                <w:szCs w:val="16"/>
                <w:color w:val="auto"/>
              </w:rPr>
              <w:t>Shares held in street name</w:t>
            </w:r>
          </w:p>
        </w:tc>
        <w:tc>
          <w:tcPr>
            <w:tcW w:w="4240" w:type="dxa"/>
            <w:vAlign w:val="bottom"/>
            <w:shd w:val="clear" w:color="auto" w:fill="DBDBDB"/>
          </w:tcPr>
          <w:p>
            <w:pPr>
              <w:ind w:left="220"/>
              <w:spacing w:after="0" w:line="174" w:lineRule="exact"/>
              <w:rPr>
                <w:sz w:val="20"/>
                <w:szCs w:val="20"/>
                <w:color w:val="auto"/>
              </w:rPr>
            </w:pPr>
            <w:r>
              <w:rPr>
                <w:rFonts w:ascii="Arial" w:cs="Arial" w:eastAsia="Arial" w:hAnsi="Arial"/>
                <w:sz w:val="16"/>
                <w:szCs w:val="16"/>
                <w:color w:val="auto"/>
              </w:rPr>
              <w:t>Your broker will vote your shares as you direct</w:t>
            </w:r>
          </w:p>
        </w:tc>
        <w:tc>
          <w:tcPr>
            <w:tcW w:w="4400" w:type="dxa"/>
            <w:vAlign w:val="bottom"/>
            <w:shd w:val="clear" w:color="auto" w:fill="DBDBDB"/>
          </w:tcPr>
          <w:p>
            <w:pPr>
              <w:ind w:left="180"/>
              <w:spacing w:after="0" w:line="174" w:lineRule="exact"/>
              <w:rPr>
                <w:sz w:val="20"/>
                <w:szCs w:val="20"/>
                <w:color w:val="auto"/>
              </w:rPr>
            </w:pPr>
            <w:r>
              <w:rPr>
                <w:rFonts w:ascii="Arial" w:cs="Arial" w:eastAsia="Arial" w:hAnsi="Arial"/>
                <w:sz w:val="16"/>
                <w:szCs w:val="16"/>
                <w:color w:val="auto"/>
              </w:rPr>
              <w:t>Your broker may vote only on routine items in the absence</w:t>
            </w:r>
          </w:p>
        </w:tc>
      </w:tr>
      <w:tr>
        <w:trPr>
          <w:trHeight w:val="280"/>
        </w:trPr>
        <w:tc>
          <w:tcPr>
            <w:tcW w:w="2460" w:type="dxa"/>
            <w:vAlign w:val="bottom"/>
            <w:shd w:val="clear" w:color="auto" w:fill="DBDBDB"/>
          </w:tcPr>
          <w:p>
            <w:pPr>
              <w:spacing w:after="0"/>
              <w:rPr>
                <w:sz w:val="24"/>
                <w:szCs w:val="24"/>
                <w:color w:val="auto"/>
              </w:rPr>
            </w:pPr>
          </w:p>
        </w:tc>
        <w:tc>
          <w:tcPr>
            <w:tcW w:w="4240" w:type="dxa"/>
            <w:vAlign w:val="bottom"/>
            <w:shd w:val="clear" w:color="auto" w:fill="DBDBDB"/>
          </w:tcPr>
          <w:p>
            <w:pPr>
              <w:spacing w:after="0"/>
              <w:rPr>
                <w:sz w:val="24"/>
                <w:szCs w:val="24"/>
                <w:color w:val="auto"/>
              </w:rPr>
            </w:pPr>
          </w:p>
        </w:tc>
        <w:tc>
          <w:tcPr>
            <w:tcW w:w="4400" w:type="dxa"/>
            <w:vAlign w:val="bottom"/>
            <w:shd w:val="clear" w:color="auto" w:fill="DBDBDB"/>
          </w:tcPr>
          <w:p>
            <w:pPr>
              <w:ind w:left="180"/>
              <w:spacing w:after="0" w:line="280" w:lineRule="exact"/>
              <w:rPr>
                <w:sz w:val="20"/>
                <w:szCs w:val="20"/>
                <w:color w:val="auto"/>
              </w:rPr>
            </w:pPr>
            <w:r>
              <w:rPr>
                <w:rFonts w:ascii="Arial" w:cs="Arial" w:eastAsia="Arial" w:hAnsi="Arial"/>
                <w:sz w:val="16"/>
                <w:szCs w:val="16"/>
                <w:color w:val="auto"/>
              </w:rPr>
              <w:t>of your instruction how to vote</w:t>
            </w:r>
            <w:r>
              <w:rPr>
                <w:rFonts w:ascii="Arial" w:cs="Arial" w:eastAsia="Arial" w:hAnsi="Arial"/>
                <w:sz w:val="27"/>
                <w:szCs w:val="27"/>
                <w:color w:val="auto"/>
                <w:vertAlign w:val="superscript"/>
              </w:rPr>
              <w:t>1</w:t>
            </w:r>
          </w:p>
        </w:tc>
      </w:tr>
    </w:tbl>
    <w:p>
      <w:pPr>
        <w:spacing w:after="0" w:line="1" w:lineRule="exact"/>
        <w:rPr>
          <w:sz w:val="20"/>
          <w:szCs w:val="20"/>
          <w:color w:val="auto"/>
        </w:rPr>
      </w:pPr>
    </w:p>
    <w:p>
      <w:pPr>
        <w:sectPr>
          <w:pgSz w:w="11900" w:h="16838" w:orient="portrait"/>
          <w:cols w:equalWidth="0" w:num="1">
            <w:col w:w="11240"/>
          </w:cols>
          <w:pgMar w:left="320" w:top="1103" w:right="339" w:bottom="1440" w:gutter="0" w:footer="0" w:header="0"/>
          <w:type w:val="continuous"/>
        </w:sectPr>
      </w:pPr>
    </w:p>
    <w:p>
      <w:pPr>
        <w:ind w:left="100" w:right="40"/>
        <w:spacing w:after="0" w:line="293" w:lineRule="auto"/>
        <w:rPr>
          <w:sz w:val="20"/>
          <w:szCs w:val="20"/>
          <w:color w:val="auto"/>
        </w:rPr>
      </w:pPr>
      <w:r>
        <w:rPr>
          <w:rFonts w:ascii="Arial" w:cs="Arial" w:eastAsia="Arial" w:hAnsi="Arial"/>
          <w:sz w:val="15"/>
          <w:szCs w:val="15"/>
          <w:color w:val="auto"/>
        </w:rPr>
        <w:t>Shares held in certain TTC employee benefit plans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97155</wp:posOffset>
            </wp:positionV>
            <wp:extent cx="2465705"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246570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60" w:lineRule="auto"/>
        <w:rPr>
          <w:sz w:val="20"/>
          <w:szCs w:val="20"/>
          <w:color w:val="auto"/>
        </w:rPr>
      </w:pPr>
      <w:r>
        <w:rPr>
          <w:rFonts w:ascii="Arial" w:cs="Arial" w:eastAsia="Arial" w:hAnsi="Arial"/>
          <w:sz w:val="16"/>
          <w:szCs w:val="16"/>
          <w:color w:val="auto"/>
        </w:rPr>
        <w:t>The plan trustee will vote your shares confidentially as you direct</w:t>
      </w:r>
    </w:p>
    <w:p>
      <w:pPr>
        <w:spacing w:after="0" w:line="20" w:lineRule="exact"/>
        <w:rPr>
          <w:sz w:val="20"/>
          <w:szCs w:val="20"/>
          <w:color w:val="auto"/>
        </w:rPr>
      </w:pPr>
      <w:r>
        <w:rPr>
          <w:sz w:val="20"/>
          <w:szCs w:val="20"/>
          <w:color w:val="auto"/>
        </w:rPr>
        <w:br w:type="column"/>
      </w:r>
    </w:p>
    <w:p>
      <w:pPr>
        <w:ind w:right="640"/>
        <w:spacing w:after="0" w:line="260" w:lineRule="auto"/>
        <w:rPr>
          <w:sz w:val="20"/>
          <w:szCs w:val="20"/>
          <w:color w:val="auto"/>
        </w:rPr>
      </w:pPr>
      <w:r>
        <w:rPr>
          <w:rFonts w:ascii="Arial" w:cs="Arial" w:eastAsia="Arial" w:hAnsi="Arial"/>
          <w:sz w:val="16"/>
          <w:szCs w:val="16"/>
          <w:color w:val="auto"/>
        </w:rPr>
        <w:t>The plan trustee will vote your shares in the same proportion as the votes actually cast by participants</w:t>
      </w:r>
    </w:p>
    <w:p>
      <w:pPr>
        <w:spacing w:after="0" w:line="222" w:lineRule="exact"/>
        <w:rPr>
          <w:sz w:val="20"/>
          <w:szCs w:val="20"/>
          <w:color w:val="auto"/>
        </w:rPr>
      </w:pPr>
    </w:p>
    <w:p>
      <w:pPr>
        <w:sectPr>
          <w:pgSz w:w="11900" w:h="16838" w:orient="portrait"/>
          <w:cols w:equalWidth="0" w:num="3">
            <w:col w:w="2040" w:space="720"/>
            <w:col w:w="4140" w:space="60"/>
            <w:col w:w="4280"/>
          </w:cols>
          <w:pgMar w:left="320" w:top="1103" w:right="339" w:bottom="1440" w:gutter="0" w:footer="0" w:header="0"/>
          <w:type w:val="continuous"/>
        </w:sectPr>
      </w:pPr>
    </w:p>
    <w:p>
      <w:pPr>
        <w:spacing w:after="0" w:line="123" w:lineRule="exact"/>
        <w:rPr>
          <w:sz w:val="20"/>
          <w:szCs w:val="20"/>
          <w:color w:val="auto"/>
        </w:rPr>
      </w:pPr>
    </w:p>
    <w:p>
      <w:pPr>
        <w:jc w:val="both"/>
        <w:ind w:left="320" w:hanging="313"/>
        <w:spacing w:after="0" w:line="231" w:lineRule="auto"/>
        <w:tabs>
          <w:tab w:leader="none" w:pos="308" w:val="left"/>
        </w:tabs>
        <w:numPr>
          <w:ilvl w:val="0"/>
          <w:numId w:val="14"/>
        </w:numPr>
        <w:rPr>
          <w:rFonts w:ascii="Arial" w:cs="Arial" w:eastAsia="Arial" w:hAnsi="Arial"/>
          <w:sz w:val="18"/>
          <w:szCs w:val="18"/>
          <w:color w:val="auto"/>
        </w:rPr>
      </w:pPr>
      <w:r>
        <w:rPr>
          <w:rFonts w:ascii="Arial" w:cs="Arial" w:eastAsia="Arial" w:hAnsi="Arial"/>
          <w:sz w:val="18"/>
          <w:szCs w:val="18"/>
          <w:color w:val="auto"/>
        </w:rPr>
        <w:t>If your shares are held in “street name” and you do not indicate how you wish to vote, under NYSE rules your broker is permitted to exercise its discretion to vote your shares only on certain “routine” matters. Proposal One—Election of Directors and Proposal Three— Advisory Approval of our Executive Compensation are not “routine” matters. Accordingly, if you do not direct your broker how to vote on those proposals, your broker may not exercise discretionary voting authority and may not vote your shares on these proposals. This is called a “broker non-vote” and although your shares will be considered to be represented by proxy at the annual meeting for purposes of establishing quorum, as discussed on page 2, they are not considered to be votes cast at the annual meeting and will not be counted as having been voted on the applicable proposal. Proposal Two—Ratification of Selection of Independent Registered Public Accounting Firm is a “routine” matter, and your broker is permitted to exercise discretionary voting authority to vote your shares “for” or “against” the proposal in the absence of your instruction.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79375</wp:posOffset>
            </wp:positionV>
            <wp:extent cx="7159625"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103" w:right="339" w:bottom="1440" w:gutter="0" w:footer="0" w:header="0"/>
          <w:type w:val="continuous"/>
        </w:sectPr>
      </w:pPr>
    </w:p>
    <w:bookmarkStart w:id="17" w:name="page18"/>
    <w:bookmarkEnd w:id="17"/>
    <w:p>
      <w:pPr>
        <w:spacing w:after="0"/>
        <w:rPr>
          <w:sz w:val="20"/>
          <w:szCs w:val="20"/>
          <w:color w:val="auto"/>
        </w:rPr>
      </w:pPr>
      <w:r>
        <w:rPr>
          <w:rFonts w:ascii="Arial" w:cs="Arial" w:eastAsia="Arial" w:hAnsi="Arial"/>
          <w:sz w:val="20"/>
          <w:szCs w:val="20"/>
          <w:b w:val="1"/>
          <w:bCs w:val="1"/>
          <w:color w:val="C00000"/>
        </w:rPr>
        <w:t>What Does It Mean If I Receive More Than One Notice or Set of Proxy Materials?</w:t>
      </w:r>
    </w:p>
    <w:p>
      <w:pPr>
        <w:spacing w:after="0" w:line="97" w:lineRule="exact"/>
        <w:rPr>
          <w:sz w:val="20"/>
          <w:szCs w:val="20"/>
          <w:color w:val="auto"/>
        </w:rPr>
      </w:pPr>
    </w:p>
    <w:p>
      <w:pPr>
        <w:ind w:left="320"/>
        <w:spacing w:after="0"/>
        <w:rPr>
          <w:sz w:val="20"/>
          <w:szCs w:val="20"/>
          <w:color w:val="auto"/>
        </w:rPr>
      </w:pPr>
      <w:r>
        <w:rPr>
          <w:rFonts w:ascii="Arial" w:cs="Arial" w:eastAsia="Arial" w:hAnsi="Arial"/>
          <w:sz w:val="18"/>
          <w:szCs w:val="18"/>
          <w:color w:val="auto"/>
        </w:rPr>
        <w:t>If you hold your shares in more than one account, you may receive multiple copies of the Notice Regarding the Availability of Proxy</w:t>
      </w:r>
    </w:p>
    <w:p>
      <w:pPr>
        <w:spacing w:after="0" w:line="9" w:lineRule="exact"/>
        <w:rPr>
          <w:sz w:val="20"/>
          <w:szCs w:val="20"/>
          <w:color w:val="auto"/>
        </w:rPr>
      </w:pPr>
    </w:p>
    <w:p>
      <w:pPr>
        <w:spacing w:after="0" w:line="224" w:lineRule="auto"/>
        <w:rPr>
          <w:sz w:val="20"/>
          <w:szCs w:val="20"/>
          <w:color w:val="auto"/>
        </w:rPr>
      </w:pPr>
      <w:r>
        <w:rPr>
          <w:rFonts w:ascii="Arial" w:cs="Arial" w:eastAsia="Arial" w:hAnsi="Arial"/>
          <w:sz w:val="18"/>
          <w:szCs w:val="18"/>
          <w:color w:val="auto"/>
        </w:rPr>
        <w:t>Materials and/or electronic or paper copies of our proxy materials. If you are a participant in the dividend reinvestment feature of our Direct Stock Purchase Plan, shares registered in your name are combined with shares you hold in that plan. Similarly, where possible, shares</w:t>
      </w:r>
    </w:p>
    <w:p>
      <w:pPr>
        <w:spacing w:after="0" w:line="1" w:lineRule="exact"/>
        <w:rPr>
          <w:sz w:val="20"/>
          <w:szCs w:val="20"/>
          <w:color w:val="auto"/>
        </w:rPr>
      </w:pPr>
    </w:p>
    <w:p>
      <w:pPr>
        <w:spacing w:after="0" w:line="224" w:lineRule="auto"/>
        <w:rPr>
          <w:sz w:val="20"/>
          <w:szCs w:val="20"/>
          <w:color w:val="auto"/>
        </w:rPr>
      </w:pPr>
      <w:r>
        <w:rPr>
          <w:rFonts w:ascii="Arial" w:cs="Arial" w:eastAsia="Arial" w:hAnsi="Arial"/>
          <w:sz w:val="18"/>
          <w:szCs w:val="18"/>
          <w:color w:val="auto"/>
        </w:rPr>
        <w:t>registered in your name are combined with shares you hold, if any, as a participant in certain TTC employee benefit plans. However, shares you hold in "street name" (through a broker, bank or other nominee) are not combined with shares registered in your name or held as a</w:t>
      </w:r>
    </w:p>
    <w:p>
      <w:pPr>
        <w:spacing w:after="0" w:line="232" w:lineRule="auto"/>
        <w:rPr>
          <w:sz w:val="20"/>
          <w:szCs w:val="20"/>
          <w:color w:val="auto"/>
        </w:rPr>
      </w:pPr>
      <w:r>
        <w:rPr>
          <w:rFonts w:ascii="Arial" w:cs="Arial" w:eastAsia="Arial" w:hAnsi="Arial"/>
          <w:sz w:val="18"/>
          <w:szCs w:val="18"/>
          <w:color w:val="auto"/>
        </w:rPr>
        <w:t>participant in TTC employee benefit plans. If you receive more than one Notice Regarding the Availability of Proxy Materials and/or electronic</w:t>
      </w:r>
    </w:p>
    <w:p>
      <w:pPr>
        <w:spacing w:after="0" w:line="1" w:lineRule="exact"/>
        <w:rPr>
          <w:sz w:val="20"/>
          <w:szCs w:val="20"/>
          <w:color w:val="auto"/>
        </w:rPr>
      </w:pPr>
    </w:p>
    <w:p>
      <w:pPr>
        <w:spacing w:after="0" w:line="234" w:lineRule="auto"/>
        <w:rPr>
          <w:sz w:val="20"/>
          <w:szCs w:val="20"/>
          <w:color w:val="auto"/>
        </w:rPr>
      </w:pPr>
      <w:r>
        <w:rPr>
          <w:rFonts w:ascii="Arial" w:cs="Arial" w:eastAsia="Arial" w:hAnsi="Arial"/>
          <w:sz w:val="18"/>
          <w:szCs w:val="18"/>
          <w:color w:val="auto"/>
        </w:rPr>
        <w:t>or paper copies of our proxy materials, you must vote separately for each notice, e-mail notification or proxy and/or voting instruction card having a unique control number to ensure that all of your shares are voted.</w:t>
      </w:r>
    </w:p>
    <w:p>
      <w:pPr>
        <w:spacing w:after="0" w:line="134" w:lineRule="exact"/>
        <w:rPr>
          <w:sz w:val="20"/>
          <w:szCs w:val="20"/>
          <w:color w:val="auto"/>
        </w:rPr>
      </w:pPr>
    </w:p>
    <w:p>
      <w:pPr>
        <w:spacing w:after="0"/>
        <w:rPr>
          <w:sz w:val="20"/>
          <w:szCs w:val="20"/>
          <w:color w:val="auto"/>
        </w:rPr>
      </w:pPr>
      <w:r>
        <w:rPr>
          <w:rFonts w:ascii="Arial" w:cs="Arial" w:eastAsia="Arial" w:hAnsi="Arial"/>
          <w:sz w:val="20"/>
          <w:szCs w:val="20"/>
          <w:b w:val="1"/>
          <w:bCs w:val="1"/>
          <w:color w:val="C00000"/>
        </w:rPr>
        <w:t>How Can I Revoke or Change My Vote?</w:t>
      </w:r>
    </w:p>
    <w:p>
      <w:pPr>
        <w:spacing w:after="0" w:line="97" w:lineRule="exact"/>
        <w:rPr>
          <w:sz w:val="20"/>
          <w:szCs w:val="20"/>
          <w:color w:val="auto"/>
        </w:rPr>
      </w:pPr>
    </w:p>
    <w:p>
      <w:pPr>
        <w:ind w:right="320" w:firstLine="320"/>
        <w:spacing w:after="0" w:line="262" w:lineRule="auto"/>
        <w:rPr>
          <w:sz w:val="20"/>
          <w:szCs w:val="20"/>
          <w:color w:val="auto"/>
        </w:rPr>
      </w:pPr>
      <w:r>
        <w:rPr>
          <w:rFonts w:ascii="Arial" w:cs="Arial" w:eastAsia="Arial" w:hAnsi="Arial"/>
          <w:sz w:val="18"/>
          <w:szCs w:val="18"/>
          <w:color w:val="auto"/>
        </w:rPr>
        <w:t>You may revoke your proxy or change your vote at any time before your shares are voted at the annual meeting by one of the following methods:</w:t>
      </w:r>
    </w:p>
    <w:p>
      <w:pPr>
        <w:spacing w:after="0" w:line="1" w:lineRule="exact"/>
        <w:rPr>
          <w:sz w:val="20"/>
          <w:szCs w:val="20"/>
          <w:color w:val="auto"/>
        </w:rPr>
      </w:pPr>
    </w:p>
    <w:tbl>
      <w:tblPr>
        <w:tblLayout w:type="fixed"/>
        <w:tblInd w:w="80" w:type="dxa"/>
        <w:tblCellMar>
          <w:top w:w="0" w:type="dxa"/>
          <w:left w:w="0" w:type="dxa"/>
          <w:bottom w:w="0" w:type="dxa"/>
          <w:right w:w="0" w:type="dxa"/>
        </w:tblCellMar>
      </w:tblPr>
      <w:tr>
        <w:trPr>
          <w:trHeight w:val="204"/>
        </w:trPr>
        <w:tc>
          <w:tcPr>
            <w:tcW w:w="2460" w:type="dxa"/>
            <w:vAlign w:val="bottom"/>
            <w:shd w:val="clear" w:color="auto" w:fill="BF2115"/>
          </w:tcPr>
          <w:p>
            <w:pPr>
              <w:ind w:left="20"/>
              <w:spacing w:after="0"/>
              <w:rPr>
                <w:sz w:val="20"/>
                <w:szCs w:val="20"/>
                <w:color w:val="auto"/>
              </w:rPr>
            </w:pPr>
            <w:r>
              <w:rPr>
                <w:rFonts w:ascii="Arial" w:cs="Arial" w:eastAsia="Arial" w:hAnsi="Arial"/>
                <w:sz w:val="14"/>
                <w:szCs w:val="14"/>
                <w:b w:val="1"/>
                <w:bCs w:val="1"/>
                <w:color w:val="FFFFFF"/>
              </w:rPr>
              <w:t>How Your Shares are Held</w:t>
            </w:r>
          </w:p>
        </w:tc>
        <w:tc>
          <w:tcPr>
            <w:tcW w:w="8640" w:type="dxa"/>
            <w:vAlign w:val="bottom"/>
            <w:gridSpan w:val="2"/>
            <w:shd w:val="clear" w:color="auto" w:fill="BF2115"/>
          </w:tcPr>
          <w:p>
            <w:pPr>
              <w:ind w:left="220"/>
              <w:spacing w:after="0"/>
              <w:rPr>
                <w:sz w:val="20"/>
                <w:szCs w:val="20"/>
                <w:color w:val="auto"/>
              </w:rPr>
            </w:pPr>
            <w:r>
              <w:rPr>
                <w:rFonts w:ascii="Arial" w:cs="Arial" w:eastAsia="Arial" w:hAnsi="Arial"/>
                <w:sz w:val="14"/>
                <w:szCs w:val="14"/>
                <w:b w:val="1"/>
                <w:bCs w:val="1"/>
                <w:color w:val="FFFFFF"/>
              </w:rPr>
              <w:t>Method to Revoke or Change Your Vote</w:t>
            </w:r>
          </w:p>
        </w:tc>
      </w:tr>
      <w:tr>
        <w:trPr>
          <w:trHeight w:val="199"/>
        </w:trPr>
        <w:tc>
          <w:tcPr>
            <w:tcW w:w="2460" w:type="dxa"/>
            <w:vAlign w:val="bottom"/>
          </w:tcPr>
          <w:p>
            <w:pPr>
              <w:ind w:left="20"/>
              <w:spacing w:after="0"/>
              <w:rPr>
                <w:sz w:val="20"/>
                <w:szCs w:val="20"/>
                <w:color w:val="auto"/>
              </w:rPr>
            </w:pPr>
            <w:r>
              <w:rPr>
                <w:rFonts w:ascii="Arial" w:cs="Arial" w:eastAsia="Arial" w:hAnsi="Arial"/>
                <w:sz w:val="16"/>
                <w:szCs w:val="16"/>
                <w:color w:val="auto"/>
              </w:rPr>
              <w:t>Shares registered in your name</w:t>
            </w:r>
          </w:p>
        </w:tc>
        <w:tc>
          <w:tcPr>
            <w:tcW w:w="320" w:type="dxa"/>
            <w:vAlign w:val="bottom"/>
          </w:tcPr>
          <w:p>
            <w:pPr>
              <w:ind w:left="220"/>
              <w:spacing w:after="0"/>
              <w:rPr>
                <w:sz w:val="20"/>
                <w:szCs w:val="20"/>
                <w:color w:val="auto"/>
              </w:rPr>
            </w:pPr>
            <w:r>
              <w:rPr>
                <w:rFonts w:ascii="Arial" w:cs="Arial" w:eastAsia="Arial" w:hAnsi="Arial"/>
                <w:sz w:val="16"/>
                <w:szCs w:val="16"/>
                <w:color w:val="auto"/>
              </w:rPr>
              <w:t>•</w:t>
            </w:r>
          </w:p>
        </w:tc>
        <w:tc>
          <w:tcPr>
            <w:tcW w:w="8320" w:type="dxa"/>
            <w:vAlign w:val="bottom"/>
          </w:tcPr>
          <w:p>
            <w:pPr>
              <w:ind w:left="60"/>
              <w:spacing w:after="0"/>
              <w:rPr>
                <w:sz w:val="20"/>
                <w:szCs w:val="20"/>
                <w:color w:val="auto"/>
              </w:rPr>
            </w:pPr>
            <w:r>
              <w:rPr>
                <w:rFonts w:ascii="Arial" w:cs="Arial" w:eastAsia="Arial" w:hAnsi="Arial"/>
                <w:sz w:val="16"/>
                <w:szCs w:val="16"/>
                <w:color w:val="auto"/>
              </w:rPr>
              <w:t>Submit another proper proxy with a more recent date than that of the proxy first given by following the Internet,</w:t>
            </w:r>
          </w:p>
        </w:tc>
      </w:tr>
      <w:tr>
        <w:trPr>
          <w:trHeight w:val="211"/>
        </w:trPr>
        <w:tc>
          <w:tcPr>
            <w:tcW w:w="24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320" w:type="dxa"/>
            <w:vAlign w:val="bottom"/>
          </w:tcPr>
          <w:p>
            <w:pPr>
              <w:ind w:left="60"/>
              <w:spacing w:after="0"/>
              <w:rPr>
                <w:sz w:val="20"/>
                <w:szCs w:val="20"/>
                <w:color w:val="auto"/>
              </w:rPr>
            </w:pPr>
            <w:r>
              <w:rPr>
                <w:rFonts w:ascii="Arial" w:cs="Arial" w:eastAsia="Arial" w:hAnsi="Arial"/>
                <w:sz w:val="16"/>
                <w:szCs w:val="16"/>
                <w:color w:val="auto"/>
              </w:rPr>
              <w:t>telephone or mobile device voting instructions or complete, sign, date and mail a proxy card;</w:t>
            </w:r>
          </w:p>
        </w:tc>
      </w:tr>
      <w:tr>
        <w:trPr>
          <w:trHeight w:val="203"/>
        </w:trPr>
        <w:tc>
          <w:tcPr>
            <w:tcW w:w="2460" w:type="dxa"/>
            <w:vAlign w:val="bottom"/>
          </w:tcPr>
          <w:p>
            <w:pPr>
              <w:spacing w:after="0"/>
              <w:rPr>
                <w:sz w:val="17"/>
                <w:szCs w:val="17"/>
                <w:color w:val="auto"/>
              </w:rPr>
            </w:pPr>
          </w:p>
        </w:tc>
        <w:tc>
          <w:tcPr>
            <w:tcW w:w="320" w:type="dxa"/>
            <w:vAlign w:val="bottom"/>
          </w:tcPr>
          <w:p>
            <w:pPr>
              <w:ind w:left="220"/>
              <w:spacing w:after="0"/>
              <w:rPr>
                <w:sz w:val="20"/>
                <w:szCs w:val="20"/>
                <w:color w:val="auto"/>
              </w:rPr>
            </w:pPr>
            <w:r>
              <w:rPr>
                <w:rFonts w:ascii="Arial" w:cs="Arial" w:eastAsia="Arial" w:hAnsi="Arial"/>
                <w:sz w:val="16"/>
                <w:szCs w:val="16"/>
                <w:color w:val="auto"/>
              </w:rPr>
              <w:t>•</w:t>
            </w:r>
          </w:p>
        </w:tc>
        <w:tc>
          <w:tcPr>
            <w:tcW w:w="8320" w:type="dxa"/>
            <w:vAlign w:val="bottom"/>
          </w:tcPr>
          <w:p>
            <w:pPr>
              <w:ind w:left="60"/>
              <w:spacing w:after="0"/>
              <w:rPr>
                <w:sz w:val="20"/>
                <w:szCs w:val="20"/>
                <w:color w:val="auto"/>
              </w:rPr>
            </w:pPr>
            <w:r>
              <w:rPr>
                <w:rFonts w:ascii="Arial" w:cs="Arial" w:eastAsia="Arial" w:hAnsi="Arial"/>
                <w:sz w:val="16"/>
                <w:szCs w:val="16"/>
                <w:color w:val="auto"/>
              </w:rPr>
              <w:t>Attend the annual meeting virtually and vote electronically at the meeting; or</w:t>
            </w:r>
          </w:p>
        </w:tc>
      </w:tr>
      <w:tr>
        <w:trPr>
          <w:trHeight w:val="211"/>
        </w:trPr>
        <w:tc>
          <w:tcPr>
            <w:tcW w:w="2460" w:type="dxa"/>
            <w:vAlign w:val="bottom"/>
          </w:tcPr>
          <w:p>
            <w:pPr>
              <w:spacing w:after="0"/>
              <w:rPr>
                <w:sz w:val="18"/>
                <w:szCs w:val="18"/>
                <w:color w:val="auto"/>
              </w:rPr>
            </w:pPr>
          </w:p>
        </w:tc>
        <w:tc>
          <w:tcPr>
            <w:tcW w:w="320" w:type="dxa"/>
            <w:vAlign w:val="bottom"/>
          </w:tcPr>
          <w:p>
            <w:pPr>
              <w:ind w:left="220"/>
              <w:spacing w:after="0"/>
              <w:rPr>
                <w:sz w:val="20"/>
                <w:szCs w:val="20"/>
                <w:color w:val="auto"/>
              </w:rPr>
            </w:pPr>
            <w:r>
              <w:rPr>
                <w:rFonts w:ascii="Arial" w:cs="Arial" w:eastAsia="Arial" w:hAnsi="Arial"/>
                <w:sz w:val="16"/>
                <w:szCs w:val="16"/>
                <w:color w:val="auto"/>
              </w:rPr>
              <w:t>•</w:t>
            </w:r>
          </w:p>
        </w:tc>
        <w:tc>
          <w:tcPr>
            <w:tcW w:w="8320" w:type="dxa"/>
            <w:vAlign w:val="bottom"/>
          </w:tcPr>
          <w:p>
            <w:pPr>
              <w:ind w:left="60"/>
              <w:spacing w:after="0"/>
              <w:rPr>
                <w:sz w:val="20"/>
                <w:szCs w:val="20"/>
                <w:color w:val="auto"/>
              </w:rPr>
            </w:pPr>
            <w:r>
              <w:rPr>
                <w:rFonts w:ascii="Arial" w:cs="Arial" w:eastAsia="Arial" w:hAnsi="Arial"/>
                <w:sz w:val="16"/>
                <w:szCs w:val="16"/>
                <w:color w:val="auto"/>
              </w:rPr>
              <w:t>Send written notice of revocation to our General Counsel.</w:t>
            </w:r>
          </w:p>
        </w:tc>
      </w:tr>
      <w:tr>
        <w:trPr>
          <w:trHeight w:val="43"/>
        </w:trPr>
        <w:tc>
          <w:tcPr>
            <w:tcW w:w="2460" w:type="dxa"/>
            <w:vAlign w:val="bottom"/>
          </w:tcPr>
          <w:p>
            <w:pPr>
              <w:spacing w:after="0"/>
              <w:rPr>
                <w:sz w:val="3"/>
                <w:szCs w:val="3"/>
                <w:color w:val="auto"/>
              </w:rPr>
            </w:pPr>
          </w:p>
        </w:tc>
        <w:tc>
          <w:tcPr>
            <w:tcW w:w="8640" w:type="dxa"/>
            <w:vAlign w:val="bottom"/>
            <w:gridSpan w:val="2"/>
          </w:tcPr>
          <w:p>
            <w:pPr>
              <w:spacing w:after="0"/>
              <w:rPr>
                <w:sz w:val="3"/>
                <w:szCs w:val="3"/>
                <w:color w:val="auto"/>
              </w:rPr>
            </w:pPr>
          </w:p>
        </w:tc>
      </w:tr>
      <w:tr>
        <w:trPr>
          <w:trHeight w:val="220"/>
        </w:trPr>
        <w:tc>
          <w:tcPr>
            <w:tcW w:w="246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6"/>
                <w:szCs w:val="16"/>
                <w:color w:val="auto"/>
              </w:rPr>
              <w:t>Shares held in street name</w:t>
            </w:r>
          </w:p>
        </w:tc>
        <w:tc>
          <w:tcPr>
            <w:tcW w:w="8640" w:type="dxa"/>
            <w:vAlign w:val="bottom"/>
            <w:tcBorders>
              <w:bottom w:val="single" w:sz="8" w:color="DBDBDB"/>
            </w:tcBorders>
            <w:gridSpan w:val="2"/>
            <w:shd w:val="clear" w:color="auto" w:fill="DBDBDB"/>
          </w:tcPr>
          <w:p>
            <w:pPr>
              <w:ind w:left="220"/>
              <w:spacing w:after="0"/>
              <w:rPr>
                <w:sz w:val="20"/>
                <w:szCs w:val="20"/>
                <w:color w:val="auto"/>
              </w:rPr>
            </w:pPr>
            <w:r>
              <w:rPr>
                <w:rFonts w:ascii="Arial" w:cs="Arial" w:eastAsia="Arial" w:hAnsi="Arial"/>
                <w:sz w:val="16"/>
                <w:szCs w:val="16"/>
                <w:color w:val="auto"/>
              </w:rPr>
              <w:t>Follow instructions provided by your broker, bank or other nominee.</w:t>
            </w:r>
          </w:p>
        </w:tc>
      </w:tr>
      <w:tr>
        <w:trPr>
          <w:trHeight w:val="186"/>
        </w:trPr>
        <w:tc>
          <w:tcPr>
            <w:tcW w:w="2460" w:type="dxa"/>
            <w:vAlign w:val="bottom"/>
          </w:tcPr>
          <w:p>
            <w:pPr>
              <w:ind w:left="20"/>
              <w:spacing w:after="0"/>
              <w:rPr>
                <w:sz w:val="20"/>
                <w:szCs w:val="20"/>
                <w:color w:val="auto"/>
              </w:rPr>
            </w:pPr>
            <w:r>
              <w:rPr>
                <w:rFonts w:ascii="Arial" w:cs="Arial" w:eastAsia="Arial" w:hAnsi="Arial"/>
                <w:sz w:val="16"/>
                <w:szCs w:val="16"/>
                <w:color w:val="auto"/>
              </w:rPr>
              <w:t>Shares held in certain TTC</w:t>
            </w:r>
          </w:p>
        </w:tc>
        <w:tc>
          <w:tcPr>
            <w:tcW w:w="8640" w:type="dxa"/>
            <w:vAlign w:val="bottom"/>
            <w:gridSpan w:val="2"/>
          </w:tcPr>
          <w:p>
            <w:pPr>
              <w:ind w:left="220"/>
              <w:spacing w:after="0"/>
              <w:rPr>
                <w:sz w:val="20"/>
                <w:szCs w:val="20"/>
                <w:color w:val="auto"/>
              </w:rPr>
            </w:pPr>
            <w:r>
              <w:rPr>
                <w:rFonts w:ascii="Arial" w:cs="Arial" w:eastAsia="Arial" w:hAnsi="Arial"/>
                <w:sz w:val="16"/>
                <w:szCs w:val="16"/>
                <w:color w:val="auto"/>
              </w:rPr>
              <w:t>Submit another proper proxy with a more recent date than that of the proxy first given by following the Internet,</w:t>
            </w:r>
          </w:p>
        </w:tc>
      </w:tr>
      <w:tr>
        <w:trPr>
          <w:trHeight w:val="211"/>
        </w:trPr>
        <w:tc>
          <w:tcPr>
            <w:tcW w:w="2460" w:type="dxa"/>
            <w:vAlign w:val="bottom"/>
          </w:tcPr>
          <w:p>
            <w:pPr>
              <w:ind w:left="20"/>
              <w:spacing w:after="0"/>
              <w:rPr>
                <w:sz w:val="20"/>
                <w:szCs w:val="20"/>
                <w:color w:val="auto"/>
              </w:rPr>
            </w:pPr>
            <w:r>
              <w:rPr>
                <w:rFonts w:ascii="Arial" w:cs="Arial" w:eastAsia="Arial" w:hAnsi="Arial"/>
                <w:sz w:val="16"/>
                <w:szCs w:val="16"/>
                <w:color w:val="auto"/>
              </w:rPr>
              <w:t>employee benefit plans</w:t>
            </w:r>
          </w:p>
        </w:tc>
        <w:tc>
          <w:tcPr>
            <w:tcW w:w="8640" w:type="dxa"/>
            <w:vAlign w:val="bottom"/>
            <w:gridSpan w:val="2"/>
          </w:tcPr>
          <w:p>
            <w:pPr>
              <w:ind w:left="220"/>
              <w:spacing w:after="0"/>
              <w:rPr>
                <w:sz w:val="20"/>
                <w:szCs w:val="20"/>
                <w:color w:val="auto"/>
              </w:rPr>
            </w:pPr>
            <w:r>
              <w:rPr>
                <w:rFonts w:ascii="Arial" w:cs="Arial" w:eastAsia="Arial" w:hAnsi="Arial"/>
                <w:sz w:val="16"/>
                <w:szCs w:val="16"/>
                <w:color w:val="auto"/>
              </w:rPr>
              <w:t>telephone or mobile device voting instructions or complete, sign, date and mail a proxy card.</w:t>
            </w:r>
          </w:p>
        </w:tc>
      </w:tr>
    </w:tbl>
    <w:p>
      <w:pPr>
        <w:spacing w:after="0" w:line="247" w:lineRule="exact"/>
        <w:rPr>
          <w:sz w:val="20"/>
          <w:szCs w:val="20"/>
          <w:color w:val="auto"/>
        </w:rPr>
      </w:pPr>
    </w:p>
    <w:p>
      <w:pPr>
        <w:spacing w:after="0"/>
        <w:rPr>
          <w:sz w:val="20"/>
          <w:szCs w:val="20"/>
          <w:color w:val="auto"/>
        </w:rPr>
      </w:pPr>
      <w:r>
        <w:rPr>
          <w:rFonts w:ascii="Arial" w:cs="Arial" w:eastAsia="Arial" w:hAnsi="Arial"/>
          <w:sz w:val="20"/>
          <w:szCs w:val="20"/>
          <w:b w:val="1"/>
          <w:bCs w:val="1"/>
          <w:color w:val="C00000"/>
        </w:rPr>
        <w:t>Who Will Count the Votes?</w:t>
      </w:r>
    </w:p>
    <w:p>
      <w:pPr>
        <w:spacing w:after="0" w:line="84" w:lineRule="exact"/>
        <w:rPr>
          <w:sz w:val="20"/>
          <w:szCs w:val="20"/>
          <w:color w:val="auto"/>
        </w:rPr>
      </w:pPr>
    </w:p>
    <w:p>
      <w:pPr>
        <w:ind w:firstLine="320"/>
        <w:spacing w:after="0" w:line="262" w:lineRule="auto"/>
        <w:rPr>
          <w:sz w:val="20"/>
          <w:szCs w:val="20"/>
          <w:color w:val="auto"/>
        </w:rPr>
      </w:pPr>
      <w:r>
        <w:rPr>
          <w:rFonts w:ascii="Arial" w:cs="Arial" w:eastAsia="Arial" w:hAnsi="Arial"/>
          <w:sz w:val="18"/>
          <w:szCs w:val="18"/>
          <w:color w:val="auto"/>
        </w:rPr>
        <w:t>Broadridge Financial Solutions, Inc. has been engaged to tabulate shareholder votes. An agent of Broadridge Financial Solutions, Inc. will act as our independent inspector of elections for the annual meeting.</w:t>
      </w:r>
    </w:p>
    <w:p>
      <w:pPr>
        <w:spacing w:after="0" w:line="102" w:lineRule="exact"/>
        <w:rPr>
          <w:sz w:val="20"/>
          <w:szCs w:val="20"/>
          <w:color w:val="auto"/>
        </w:rPr>
      </w:pPr>
    </w:p>
    <w:p>
      <w:pPr>
        <w:spacing w:after="0"/>
        <w:rPr>
          <w:sz w:val="20"/>
          <w:szCs w:val="20"/>
          <w:color w:val="auto"/>
        </w:rPr>
      </w:pPr>
      <w:r>
        <w:rPr>
          <w:rFonts w:ascii="Arial" w:cs="Arial" w:eastAsia="Arial" w:hAnsi="Arial"/>
          <w:sz w:val="20"/>
          <w:szCs w:val="20"/>
          <w:b w:val="1"/>
          <w:bCs w:val="1"/>
          <w:color w:val="C00000"/>
        </w:rPr>
        <w:t>How Will Business Be Conducted at the Annual Meeting?</w:t>
      </w:r>
    </w:p>
    <w:p>
      <w:pPr>
        <w:spacing w:after="0" w:line="97" w:lineRule="exact"/>
        <w:rPr>
          <w:sz w:val="20"/>
          <w:szCs w:val="20"/>
          <w:color w:val="auto"/>
        </w:rPr>
      </w:pPr>
    </w:p>
    <w:p>
      <w:pPr>
        <w:ind w:firstLine="320"/>
        <w:spacing w:after="0" w:line="233" w:lineRule="auto"/>
        <w:rPr>
          <w:sz w:val="20"/>
          <w:szCs w:val="20"/>
          <w:color w:val="auto"/>
        </w:rPr>
      </w:pPr>
      <w:r>
        <w:rPr>
          <w:rFonts w:ascii="Arial" w:cs="Arial" w:eastAsia="Arial" w:hAnsi="Arial"/>
          <w:sz w:val="18"/>
          <w:szCs w:val="18"/>
          <w:color w:val="auto"/>
        </w:rPr>
        <w:t>The presiding officer at the annual meeting will determine how business at the meeting will be conducted. Only nominations and other proposals brought before the annual meeting in accordance with the advance notice and information requirements of our Amended and</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Restated Bylaws will be considered, and no such nominations or other proposals were received.</w:t>
      </w:r>
    </w:p>
    <w:p>
      <w:pPr>
        <w:spacing w:after="0" w:line="131" w:lineRule="exact"/>
        <w:rPr>
          <w:sz w:val="20"/>
          <w:szCs w:val="20"/>
          <w:color w:val="auto"/>
        </w:rPr>
      </w:pPr>
    </w:p>
    <w:p>
      <w:pPr>
        <w:spacing w:after="0"/>
        <w:rPr>
          <w:sz w:val="20"/>
          <w:szCs w:val="20"/>
          <w:color w:val="auto"/>
        </w:rPr>
      </w:pPr>
      <w:r>
        <w:rPr>
          <w:rFonts w:ascii="Arial" w:cs="Arial" w:eastAsia="Arial" w:hAnsi="Arial"/>
          <w:sz w:val="20"/>
          <w:szCs w:val="20"/>
          <w:b w:val="1"/>
          <w:bCs w:val="1"/>
          <w:color w:val="C00000"/>
        </w:rPr>
        <w:t>How Can I Ask Questions in Advance of and During the Annual Meeting?</w:t>
      </w:r>
    </w:p>
    <w:p>
      <w:pPr>
        <w:spacing w:after="0" w:line="97" w:lineRule="exact"/>
        <w:rPr>
          <w:sz w:val="20"/>
          <w:szCs w:val="20"/>
          <w:color w:val="auto"/>
        </w:rPr>
      </w:pPr>
    </w:p>
    <w:p>
      <w:pPr>
        <w:ind w:firstLine="320"/>
        <w:spacing w:after="0" w:line="233" w:lineRule="auto"/>
        <w:rPr>
          <w:sz w:val="20"/>
          <w:szCs w:val="20"/>
          <w:color w:val="auto"/>
        </w:rPr>
      </w:pPr>
      <w:r>
        <w:rPr>
          <w:rFonts w:ascii="Arial" w:cs="Arial" w:eastAsia="Arial" w:hAnsi="Arial"/>
          <w:sz w:val="18"/>
          <w:szCs w:val="18"/>
          <w:color w:val="auto"/>
        </w:rPr>
        <w:t>We are committed to ensuring that our shareholders have substantially the same opportunities to participate in the virtual annual meeting as they would at an in-person meeting. To submit a question at the annual meeting, you will need your 16-digit control number that is printed</w:t>
      </w:r>
    </w:p>
    <w:p>
      <w:pPr>
        <w:spacing w:after="0" w:line="233" w:lineRule="auto"/>
        <w:rPr>
          <w:sz w:val="20"/>
          <w:szCs w:val="20"/>
          <w:color w:val="auto"/>
        </w:rPr>
      </w:pPr>
      <w:r>
        <w:rPr>
          <w:rFonts w:ascii="Arial" w:cs="Arial" w:eastAsia="Arial" w:hAnsi="Arial"/>
          <w:sz w:val="18"/>
          <w:szCs w:val="18"/>
          <w:color w:val="auto"/>
        </w:rPr>
        <w:t>on your proxy card, voting instruction form or Notice Regarding the Availability of Proxy Materials. Shareholders may submit questions in</w:t>
      </w:r>
    </w:p>
    <w:p>
      <w:pPr>
        <w:spacing w:after="0" w:line="237" w:lineRule="auto"/>
        <w:rPr>
          <w:sz w:val="20"/>
          <w:szCs w:val="20"/>
          <w:color w:val="auto"/>
        </w:rPr>
      </w:pPr>
      <w:r>
        <w:rPr>
          <w:rFonts w:ascii="Arial" w:cs="Arial" w:eastAsia="Arial" w:hAnsi="Arial"/>
          <w:sz w:val="17"/>
          <w:szCs w:val="17"/>
          <w:color w:val="auto"/>
        </w:rPr>
        <w:t>advance of the annual meeting, from February 4, 2025 to March 17, 2025, and during a portion of the annual meeting. If you wish to submit a question in advance of the annual meeting, you may log into www.proxyvote.com using your 16-digit control number and follow the instructions</w:t>
      </w:r>
    </w:p>
    <w:p>
      <w:pPr>
        <w:spacing w:after="0" w:line="233" w:lineRule="auto"/>
        <w:rPr>
          <w:sz w:val="20"/>
          <w:szCs w:val="20"/>
          <w:color w:val="auto"/>
        </w:rPr>
      </w:pPr>
      <w:r>
        <w:rPr>
          <w:rFonts w:ascii="Arial" w:cs="Arial" w:eastAsia="Arial" w:hAnsi="Arial"/>
          <w:sz w:val="18"/>
          <w:szCs w:val="18"/>
          <w:color w:val="auto"/>
        </w:rPr>
        <w:t>to  submit  a  question.  If  you  wish  to  submit  a  question  during  the  annual  meeting,  log  into  the  virtual  meeting  platform  at</w:t>
      </w:r>
    </w:p>
    <w:p>
      <w:pPr>
        <w:spacing w:after="0" w:line="237" w:lineRule="auto"/>
        <w:rPr>
          <w:sz w:val="20"/>
          <w:szCs w:val="20"/>
          <w:color w:val="auto"/>
        </w:rPr>
      </w:pPr>
      <w:r>
        <w:rPr>
          <w:rFonts w:ascii="Arial" w:cs="Arial" w:eastAsia="Arial" w:hAnsi="Arial"/>
          <w:sz w:val="17"/>
          <w:szCs w:val="17"/>
          <w:color w:val="auto"/>
        </w:rPr>
        <w:t>www.virtualshareholdermeeting.com/TTC2025 using the 16-digit control number included on your proxy card, voting instruction form or Notice Regarding the Availability of Proxy Materials and follow the instructions to submit a question. Questions pertinent to meeting matters will be</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answered during the annual meeting, subject to time limitations.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79375</wp:posOffset>
            </wp:positionV>
            <wp:extent cx="7159625"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157" w:right="339" w:bottom="1440" w:gutter="0" w:footer="0" w:header="0"/>
        </w:sectPr>
      </w:pPr>
    </w:p>
    <w:bookmarkStart w:id="18" w:name="page19"/>
    <w:bookmarkEnd w:id="18"/>
    <w:p>
      <w:pPr>
        <w:jc w:val="center"/>
        <w:spacing w:after="0"/>
        <w:rPr>
          <w:sz w:val="20"/>
          <w:szCs w:val="20"/>
          <w:color w:val="auto"/>
        </w:rPr>
      </w:pPr>
      <w:r>
        <w:rPr>
          <w:rFonts w:ascii="Arial" w:cs="Arial" w:eastAsia="Arial" w:hAnsi="Arial"/>
          <w:sz w:val="21"/>
          <w:szCs w:val="21"/>
          <w:b w:val="1"/>
          <w:bCs w:val="1"/>
          <w:color w:val="FFFFFF"/>
        </w:rPr>
        <w:t>PROPOSAL ONE—ELECTION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-151765</wp:posOffset>
            </wp:positionV>
            <wp:extent cx="7134225" cy="1866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4225" cy="186690"/>
                    </a:xfrm>
                    <a:prstGeom prst="rect">
                      <a:avLst/>
                    </a:prstGeom>
                    <a:noFill/>
                  </pic:spPr>
                </pic:pic>
              </a:graphicData>
            </a:graphic>
          </wp:anchor>
        </w:drawing>
      </w:r>
    </w:p>
    <w:p>
      <w:pPr>
        <w:spacing w:after="0" w:line="317" w:lineRule="exact"/>
        <w:rPr>
          <w:sz w:val="20"/>
          <w:szCs w:val="20"/>
          <w:color w:val="auto"/>
        </w:rPr>
      </w:pPr>
    </w:p>
    <w:p>
      <w:pPr>
        <w:spacing w:after="0"/>
        <w:rPr>
          <w:sz w:val="20"/>
          <w:szCs w:val="20"/>
          <w:color w:val="auto"/>
        </w:rPr>
      </w:pPr>
      <w:r>
        <w:rPr>
          <w:rFonts w:ascii="Arial" w:cs="Arial" w:eastAsia="Arial" w:hAnsi="Arial"/>
          <w:sz w:val="20"/>
          <w:szCs w:val="20"/>
          <w:b w:val="1"/>
          <w:bCs w:val="1"/>
          <w:color w:val="C00000"/>
        </w:rPr>
        <w:t>Current Board Size and Structure</w:t>
      </w:r>
    </w:p>
    <w:p>
      <w:pPr>
        <w:spacing w:after="0" w:line="84" w:lineRule="exact"/>
        <w:rPr>
          <w:sz w:val="20"/>
          <w:szCs w:val="20"/>
          <w:color w:val="auto"/>
        </w:rPr>
      </w:pPr>
    </w:p>
    <w:p>
      <w:pPr>
        <w:jc w:val="both"/>
        <w:ind w:firstLine="320"/>
        <w:spacing w:after="0" w:line="247" w:lineRule="auto"/>
        <w:rPr>
          <w:sz w:val="20"/>
          <w:szCs w:val="20"/>
          <w:color w:val="auto"/>
        </w:rPr>
      </w:pPr>
      <w:r>
        <w:rPr>
          <w:rFonts w:ascii="Arial" w:cs="Arial" w:eastAsia="Arial" w:hAnsi="Arial"/>
          <w:sz w:val="17"/>
          <w:szCs w:val="17"/>
          <w:color w:val="auto"/>
        </w:rPr>
        <w:t>Our Restated Certificate of Incorporation provides that our Board of Directors may be comprised of between eight and twelve directors. As provided in our Restated Certificate of Incorporation, our Board is divided into three staggered classes of directors of the same or nearly the</w:t>
      </w:r>
    </w:p>
    <w:p>
      <w:pPr>
        <w:spacing w:after="0" w:line="1" w:lineRule="exact"/>
        <w:rPr>
          <w:sz w:val="20"/>
          <w:szCs w:val="20"/>
          <w:color w:val="auto"/>
        </w:rPr>
      </w:pPr>
    </w:p>
    <w:p>
      <w:pPr>
        <w:jc w:val="both"/>
        <w:spacing w:after="0" w:line="243" w:lineRule="auto"/>
        <w:rPr>
          <w:sz w:val="20"/>
          <w:szCs w:val="20"/>
          <w:color w:val="auto"/>
        </w:rPr>
      </w:pPr>
      <w:r>
        <w:rPr>
          <w:rFonts w:ascii="Arial" w:cs="Arial" w:eastAsia="Arial" w:hAnsi="Arial"/>
          <w:sz w:val="18"/>
          <w:szCs w:val="18"/>
          <w:color w:val="auto"/>
        </w:rPr>
        <w:t>same number, with each class elected in a different year for a term of three years. Our current directors and their respective current terms are as follows:</w:t>
      </w:r>
    </w:p>
    <w:p>
      <w:pPr>
        <w:spacing w:after="0" w:line="115" w:lineRule="exact"/>
        <w:rPr>
          <w:sz w:val="20"/>
          <w:szCs w:val="20"/>
          <w:color w:val="auto"/>
        </w:rPr>
      </w:pPr>
    </w:p>
    <w:tbl>
      <w:tblPr>
        <w:tblLayout w:type="fixed"/>
        <w:tblInd w:w="120" w:type="dxa"/>
        <w:tblCellMar>
          <w:top w:w="0" w:type="dxa"/>
          <w:left w:w="0" w:type="dxa"/>
          <w:bottom w:w="0" w:type="dxa"/>
          <w:right w:w="0" w:type="dxa"/>
        </w:tblCellMar>
      </w:tblPr>
      <w:tr>
        <w:trPr>
          <w:trHeight w:val="260"/>
        </w:trPr>
        <w:tc>
          <w:tcPr>
            <w:tcW w:w="3660" w:type="dxa"/>
            <w:vAlign w:val="bottom"/>
            <w:shd w:val="clear" w:color="auto" w:fill="BF2115"/>
          </w:tcPr>
          <w:p>
            <w:pPr>
              <w:jc w:val="center"/>
              <w:spacing w:after="0"/>
              <w:rPr>
                <w:sz w:val="20"/>
                <w:szCs w:val="20"/>
                <w:color w:val="auto"/>
              </w:rPr>
            </w:pPr>
            <w:r>
              <w:rPr>
                <w:rFonts w:ascii="Arial" w:cs="Arial" w:eastAsia="Arial" w:hAnsi="Arial"/>
                <w:sz w:val="16"/>
                <w:szCs w:val="16"/>
                <w:b w:val="1"/>
                <w:bCs w:val="1"/>
                <w:color w:val="FFFFFF"/>
                <w:w w:val="99"/>
              </w:rPr>
              <w:t>Current Term Ending at</w:t>
            </w:r>
          </w:p>
        </w:tc>
        <w:tc>
          <w:tcPr>
            <w:tcW w:w="3680" w:type="dxa"/>
            <w:vAlign w:val="bottom"/>
            <w:shd w:val="clear" w:color="auto" w:fill="BF2115"/>
          </w:tcPr>
          <w:p>
            <w:pPr>
              <w:jc w:val="center"/>
              <w:spacing w:after="0"/>
              <w:rPr>
                <w:sz w:val="20"/>
                <w:szCs w:val="20"/>
                <w:color w:val="auto"/>
              </w:rPr>
            </w:pPr>
            <w:r>
              <w:rPr>
                <w:rFonts w:ascii="Arial" w:cs="Arial" w:eastAsia="Arial" w:hAnsi="Arial"/>
                <w:sz w:val="16"/>
                <w:szCs w:val="16"/>
                <w:b w:val="1"/>
                <w:bCs w:val="1"/>
                <w:color w:val="FFFFFF"/>
                <w:w w:val="99"/>
              </w:rPr>
              <w:t>Current Term Ending at</w:t>
            </w:r>
          </w:p>
        </w:tc>
        <w:tc>
          <w:tcPr>
            <w:tcW w:w="3680" w:type="dxa"/>
            <w:vAlign w:val="bottom"/>
            <w:shd w:val="clear" w:color="auto" w:fill="BF2115"/>
          </w:tcPr>
          <w:p>
            <w:pPr>
              <w:jc w:val="center"/>
              <w:spacing w:after="0"/>
              <w:rPr>
                <w:sz w:val="20"/>
                <w:szCs w:val="20"/>
                <w:color w:val="auto"/>
              </w:rPr>
            </w:pPr>
            <w:r>
              <w:rPr>
                <w:rFonts w:ascii="Arial" w:cs="Arial" w:eastAsia="Arial" w:hAnsi="Arial"/>
                <w:sz w:val="16"/>
                <w:szCs w:val="16"/>
                <w:b w:val="1"/>
                <w:bCs w:val="1"/>
                <w:color w:val="FFFFFF"/>
                <w:w w:val="99"/>
              </w:rPr>
              <w:t>Current Term Ending at</w:t>
            </w:r>
          </w:p>
        </w:tc>
      </w:tr>
      <w:tr>
        <w:trPr>
          <w:trHeight w:val="254"/>
        </w:trPr>
        <w:tc>
          <w:tcPr>
            <w:tcW w:w="3660" w:type="dxa"/>
            <w:vAlign w:val="bottom"/>
            <w:tcBorders>
              <w:bottom w:val="single" w:sz="8" w:color="BF2115"/>
            </w:tcBorders>
            <w:shd w:val="clear" w:color="auto" w:fill="BF2115"/>
          </w:tcPr>
          <w:p>
            <w:pPr>
              <w:jc w:val="center"/>
              <w:spacing w:after="0"/>
              <w:rPr>
                <w:sz w:val="20"/>
                <w:szCs w:val="20"/>
                <w:color w:val="auto"/>
              </w:rPr>
            </w:pPr>
            <w:r>
              <w:rPr>
                <w:rFonts w:ascii="Arial" w:cs="Arial" w:eastAsia="Arial" w:hAnsi="Arial"/>
                <w:sz w:val="16"/>
                <w:szCs w:val="16"/>
                <w:b w:val="1"/>
                <w:bCs w:val="1"/>
                <w:color w:val="FFFFFF"/>
                <w:w w:val="99"/>
              </w:rPr>
              <w:t>2025 Annual Meeting</w:t>
            </w:r>
          </w:p>
        </w:tc>
        <w:tc>
          <w:tcPr>
            <w:tcW w:w="3680" w:type="dxa"/>
            <w:vAlign w:val="bottom"/>
            <w:tcBorders>
              <w:bottom w:val="single" w:sz="8" w:color="BF2115"/>
            </w:tcBorders>
            <w:shd w:val="clear" w:color="auto" w:fill="BF2115"/>
          </w:tcPr>
          <w:p>
            <w:pPr>
              <w:jc w:val="center"/>
              <w:spacing w:after="0"/>
              <w:rPr>
                <w:sz w:val="20"/>
                <w:szCs w:val="20"/>
                <w:color w:val="auto"/>
              </w:rPr>
            </w:pPr>
            <w:r>
              <w:rPr>
                <w:rFonts w:ascii="Arial" w:cs="Arial" w:eastAsia="Arial" w:hAnsi="Arial"/>
                <w:sz w:val="16"/>
                <w:szCs w:val="16"/>
                <w:b w:val="1"/>
                <w:bCs w:val="1"/>
                <w:color w:val="FFFFFF"/>
              </w:rPr>
              <w:t>2026 Annual Meeting</w:t>
            </w:r>
          </w:p>
        </w:tc>
        <w:tc>
          <w:tcPr>
            <w:tcW w:w="3680" w:type="dxa"/>
            <w:vAlign w:val="bottom"/>
            <w:tcBorders>
              <w:bottom w:val="single" w:sz="8" w:color="BF2115"/>
            </w:tcBorders>
            <w:shd w:val="clear" w:color="auto" w:fill="BF2115"/>
          </w:tcPr>
          <w:p>
            <w:pPr>
              <w:jc w:val="center"/>
              <w:spacing w:after="0"/>
              <w:rPr>
                <w:sz w:val="20"/>
                <w:szCs w:val="20"/>
                <w:color w:val="auto"/>
              </w:rPr>
            </w:pPr>
            <w:r>
              <w:rPr>
                <w:rFonts w:ascii="Arial" w:cs="Arial" w:eastAsia="Arial" w:hAnsi="Arial"/>
                <w:sz w:val="16"/>
                <w:szCs w:val="16"/>
                <w:b w:val="1"/>
                <w:bCs w:val="1"/>
                <w:color w:val="FFFFFF"/>
                <w:w w:val="99"/>
              </w:rPr>
              <w:t>2027 Annual Meeting</w:t>
            </w:r>
          </w:p>
        </w:tc>
      </w:tr>
      <w:tr>
        <w:trPr>
          <w:trHeight w:val="243"/>
        </w:trPr>
        <w:tc>
          <w:tcPr>
            <w:tcW w:w="3660" w:type="dxa"/>
            <w:vAlign w:val="bottom"/>
            <w:shd w:val="clear" w:color="auto" w:fill="DBDBDB"/>
          </w:tcPr>
          <w:p>
            <w:pPr>
              <w:jc w:val="center"/>
              <w:spacing w:after="0"/>
              <w:rPr>
                <w:sz w:val="20"/>
                <w:szCs w:val="20"/>
                <w:color w:val="auto"/>
              </w:rPr>
            </w:pPr>
            <w:r>
              <w:rPr>
                <w:rFonts w:ascii="Arial" w:cs="Arial" w:eastAsia="Arial" w:hAnsi="Arial"/>
                <w:sz w:val="18"/>
                <w:szCs w:val="18"/>
                <w:color w:val="auto"/>
                <w:w w:val="99"/>
              </w:rPr>
              <w:t>Jeffrey L. Harmening</w:t>
            </w:r>
          </w:p>
        </w:tc>
        <w:tc>
          <w:tcPr>
            <w:tcW w:w="3680" w:type="dxa"/>
            <w:vAlign w:val="bottom"/>
          </w:tcPr>
          <w:p>
            <w:pPr>
              <w:jc w:val="center"/>
              <w:spacing w:after="0"/>
              <w:rPr>
                <w:sz w:val="20"/>
                <w:szCs w:val="20"/>
                <w:color w:val="auto"/>
              </w:rPr>
            </w:pPr>
            <w:r>
              <w:rPr>
                <w:rFonts w:ascii="Arial" w:cs="Arial" w:eastAsia="Arial" w:hAnsi="Arial"/>
                <w:sz w:val="18"/>
                <w:szCs w:val="18"/>
                <w:color w:val="auto"/>
                <w:w w:val="99"/>
              </w:rPr>
              <w:t>Dianne C. Craig</w:t>
            </w:r>
          </w:p>
        </w:tc>
        <w:tc>
          <w:tcPr>
            <w:tcW w:w="3680" w:type="dxa"/>
            <w:vAlign w:val="bottom"/>
            <w:shd w:val="clear" w:color="auto" w:fill="DBDBDB"/>
          </w:tcPr>
          <w:p>
            <w:pPr>
              <w:jc w:val="center"/>
              <w:spacing w:after="0"/>
              <w:rPr>
                <w:sz w:val="20"/>
                <w:szCs w:val="20"/>
                <w:color w:val="auto"/>
              </w:rPr>
            </w:pPr>
            <w:r>
              <w:rPr>
                <w:rFonts w:ascii="Arial" w:cs="Arial" w:eastAsia="Arial" w:hAnsi="Arial"/>
                <w:sz w:val="18"/>
                <w:szCs w:val="18"/>
                <w:color w:val="auto"/>
                <w:w w:val="98"/>
              </w:rPr>
              <w:t>Gary L. Ellis</w:t>
            </w:r>
          </w:p>
        </w:tc>
      </w:tr>
      <w:tr>
        <w:trPr>
          <w:trHeight w:val="254"/>
        </w:trPr>
        <w:tc>
          <w:tcPr>
            <w:tcW w:w="3660" w:type="dxa"/>
            <w:vAlign w:val="bottom"/>
            <w:shd w:val="clear" w:color="auto" w:fill="DBDBDB"/>
          </w:tcPr>
          <w:p>
            <w:pPr>
              <w:jc w:val="center"/>
              <w:spacing w:after="0"/>
              <w:rPr>
                <w:sz w:val="20"/>
                <w:szCs w:val="20"/>
                <w:color w:val="auto"/>
              </w:rPr>
            </w:pPr>
            <w:r>
              <w:rPr>
                <w:rFonts w:ascii="Arial" w:cs="Arial" w:eastAsia="Arial" w:hAnsi="Arial"/>
                <w:sz w:val="18"/>
                <w:szCs w:val="18"/>
                <w:color w:val="auto"/>
                <w:w w:val="99"/>
              </w:rPr>
              <w:t>Joyce A. Mullen</w:t>
            </w:r>
          </w:p>
        </w:tc>
        <w:tc>
          <w:tcPr>
            <w:tcW w:w="3680" w:type="dxa"/>
            <w:vAlign w:val="bottom"/>
          </w:tcPr>
          <w:p>
            <w:pPr>
              <w:jc w:val="center"/>
              <w:spacing w:after="0"/>
              <w:rPr>
                <w:sz w:val="20"/>
                <w:szCs w:val="20"/>
                <w:color w:val="auto"/>
              </w:rPr>
            </w:pPr>
            <w:r>
              <w:rPr>
                <w:rFonts w:ascii="Arial" w:cs="Arial" w:eastAsia="Arial" w:hAnsi="Arial"/>
                <w:sz w:val="18"/>
                <w:szCs w:val="18"/>
                <w:color w:val="auto"/>
                <w:w w:val="96"/>
              </w:rPr>
              <w:t>Eric P. Hansotia</w:t>
            </w:r>
          </w:p>
        </w:tc>
        <w:tc>
          <w:tcPr>
            <w:tcW w:w="3680" w:type="dxa"/>
            <w:vAlign w:val="bottom"/>
            <w:shd w:val="clear" w:color="auto" w:fill="DBDBDB"/>
          </w:tcPr>
          <w:p>
            <w:pPr>
              <w:jc w:val="center"/>
              <w:spacing w:after="0"/>
              <w:rPr>
                <w:sz w:val="20"/>
                <w:szCs w:val="20"/>
                <w:color w:val="auto"/>
              </w:rPr>
            </w:pPr>
            <w:r>
              <w:rPr>
                <w:rFonts w:ascii="Arial" w:cs="Arial" w:eastAsia="Arial" w:hAnsi="Arial"/>
                <w:sz w:val="18"/>
                <w:szCs w:val="18"/>
                <w:color w:val="auto"/>
                <w:w w:val="99"/>
              </w:rPr>
              <w:t>Jill M. Pemberton</w:t>
            </w:r>
          </w:p>
        </w:tc>
      </w:tr>
      <w:tr>
        <w:trPr>
          <w:trHeight w:val="254"/>
        </w:trPr>
        <w:tc>
          <w:tcPr>
            <w:tcW w:w="3660" w:type="dxa"/>
            <w:vAlign w:val="bottom"/>
            <w:shd w:val="clear" w:color="auto" w:fill="DBDBDB"/>
          </w:tcPr>
          <w:p>
            <w:pPr>
              <w:jc w:val="center"/>
              <w:spacing w:after="0"/>
              <w:rPr>
                <w:sz w:val="20"/>
                <w:szCs w:val="20"/>
                <w:color w:val="auto"/>
              </w:rPr>
            </w:pPr>
            <w:r>
              <w:rPr>
                <w:rFonts w:ascii="Arial" w:cs="Arial" w:eastAsia="Arial" w:hAnsi="Arial"/>
                <w:sz w:val="18"/>
                <w:szCs w:val="18"/>
                <w:color w:val="auto"/>
                <w:w w:val="99"/>
              </w:rPr>
              <w:t>Richard M. Olson</w:t>
            </w:r>
          </w:p>
        </w:tc>
        <w:tc>
          <w:tcPr>
            <w:tcW w:w="3680" w:type="dxa"/>
            <w:vAlign w:val="bottom"/>
          </w:tcPr>
          <w:p>
            <w:pPr>
              <w:jc w:val="center"/>
              <w:spacing w:after="0"/>
              <w:rPr>
                <w:sz w:val="20"/>
                <w:szCs w:val="20"/>
                <w:color w:val="auto"/>
              </w:rPr>
            </w:pPr>
            <w:r>
              <w:rPr>
                <w:rFonts w:ascii="Arial" w:cs="Arial" w:eastAsia="Arial" w:hAnsi="Arial"/>
                <w:sz w:val="18"/>
                <w:szCs w:val="18"/>
                <w:color w:val="auto"/>
                <w:w w:val="98"/>
              </w:rPr>
              <w:t>D. Christian Koch</w:t>
            </w:r>
          </w:p>
        </w:tc>
        <w:tc>
          <w:tcPr>
            <w:tcW w:w="3680" w:type="dxa"/>
            <w:vAlign w:val="bottom"/>
            <w:shd w:val="clear" w:color="auto" w:fill="DBDBDB"/>
          </w:tcPr>
          <w:p>
            <w:pPr>
              <w:spacing w:after="0"/>
              <w:rPr>
                <w:sz w:val="22"/>
                <w:szCs w:val="22"/>
                <w:color w:val="auto"/>
              </w:rPr>
            </w:pPr>
          </w:p>
        </w:tc>
      </w:tr>
      <w:tr>
        <w:trPr>
          <w:trHeight w:val="264"/>
        </w:trPr>
        <w:tc>
          <w:tcPr>
            <w:tcW w:w="3660" w:type="dxa"/>
            <w:vAlign w:val="bottom"/>
            <w:shd w:val="clear" w:color="auto" w:fill="DBDBDB"/>
          </w:tcPr>
          <w:p>
            <w:pPr>
              <w:jc w:val="center"/>
              <w:spacing w:after="0"/>
              <w:rPr>
                <w:sz w:val="20"/>
                <w:szCs w:val="20"/>
                <w:color w:val="auto"/>
              </w:rPr>
            </w:pPr>
            <w:r>
              <w:rPr>
                <w:rFonts w:ascii="Arial" w:cs="Arial" w:eastAsia="Arial" w:hAnsi="Arial"/>
                <w:sz w:val="18"/>
                <w:szCs w:val="18"/>
                <w:color w:val="auto"/>
                <w:w w:val="98"/>
              </w:rPr>
              <w:t>James C. O'Rourke</w:t>
            </w:r>
          </w:p>
        </w:tc>
        <w:tc>
          <w:tcPr>
            <w:tcW w:w="3680" w:type="dxa"/>
            <w:vAlign w:val="bottom"/>
          </w:tcPr>
          <w:p>
            <w:pPr>
              <w:spacing w:after="0"/>
              <w:rPr>
                <w:sz w:val="22"/>
                <w:szCs w:val="22"/>
                <w:color w:val="auto"/>
              </w:rPr>
            </w:pPr>
          </w:p>
        </w:tc>
        <w:tc>
          <w:tcPr>
            <w:tcW w:w="3680" w:type="dxa"/>
            <w:vAlign w:val="bottom"/>
            <w:shd w:val="clear" w:color="auto" w:fill="DBDBDB"/>
          </w:tcPr>
          <w:p>
            <w:pPr>
              <w:spacing w:after="0"/>
              <w:rPr>
                <w:sz w:val="22"/>
                <w:szCs w:val="22"/>
                <w:color w:val="auto"/>
              </w:rPr>
            </w:pPr>
          </w:p>
        </w:tc>
      </w:tr>
    </w:tbl>
    <w:p>
      <w:pPr>
        <w:spacing w:after="0" w:line="303" w:lineRule="exact"/>
        <w:rPr>
          <w:sz w:val="20"/>
          <w:szCs w:val="20"/>
          <w:color w:val="auto"/>
        </w:rPr>
      </w:pPr>
    </w:p>
    <w:p>
      <w:pPr>
        <w:jc w:val="both"/>
        <w:ind w:firstLine="320"/>
        <w:spacing w:after="0" w:line="242" w:lineRule="auto"/>
        <w:rPr>
          <w:sz w:val="20"/>
          <w:szCs w:val="20"/>
          <w:color w:val="auto"/>
        </w:rPr>
      </w:pPr>
      <w:r>
        <w:rPr>
          <w:rFonts w:ascii="Arial" w:cs="Arial" w:eastAsia="Arial" w:hAnsi="Arial"/>
          <w:sz w:val="18"/>
          <w:szCs w:val="18"/>
          <w:color w:val="auto"/>
        </w:rPr>
        <w:t>Our Board is comprised of nine directors until the Board determines to change the number. Since our Restated Certificate of Incorporation requires our three classes of directors to be of the same or nearly the same number, the Board intends to rebalance the classes as described below. In seeking new directors, the Board intends to continue to prioritize diverse cultures and backgrounds, including gender, race and ethnicity.</w:t>
      </w:r>
    </w:p>
    <w:p>
      <w:pPr>
        <w:spacing w:after="0" w:line="132" w:lineRule="exact"/>
        <w:rPr>
          <w:sz w:val="20"/>
          <w:szCs w:val="20"/>
          <w:color w:val="auto"/>
        </w:rPr>
      </w:pPr>
    </w:p>
    <w:p>
      <w:pPr>
        <w:spacing w:after="0"/>
        <w:rPr>
          <w:sz w:val="20"/>
          <w:szCs w:val="20"/>
          <w:color w:val="auto"/>
        </w:rPr>
      </w:pPr>
      <w:r>
        <w:rPr>
          <w:rFonts w:ascii="Arial" w:cs="Arial" w:eastAsia="Arial" w:hAnsi="Arial"/>
          <w:sz w:val="20"/>
          <w:szCs w:val="20"/>
          <w:b w:val="1"/>
          <w:bCs w:val="1"/>
          <w:color w:val="C00000"/>
        </w:rPr>
        <w:t>Nominees for Director</w:t>
      </w:r>
    </w:p>
    <w:p>
      <w:pPr>
        <w:spacing w:after="0" w:line="84" w:lineRule="exact"/>
        <w:rPr>
          <w:sz w:val="20"/>
          <w:szCs w:val="20"/>
          <w:color w:val="auto"/>
        </w:rPr>
      </w:pPr>
    </w:p>
    <w:p>
      <w:pPr>
        <w:ind w:left="320"/>
        <w:spacing w:after="0"/>
        <w:rPr>
          <w:sz w:val="20"/>
          <w:szCs w:val="20"/>
          <w:color w:val="auto"/>
        </w:rPr>
      </w:pPr>
      <w:r>
        <w:rPr>
          <w:rFonts w:ascii="Arial" w:cs="Arial" w:eastAsia="Arial" w:hAnsi="Arial"/>
          <w:sz w:val="17"/>
          <w:szCs w:val="17"/>
          <w:color w:val="auto"/>
        </w:rPr>
        <w:t>As a result of the departure of directors over the past several years, the number of directors serving in the three classes of our Board is no</w:t>
      </w:r>
    </w:p>
    <w:p>
      <w:pPr>
        <w:spacing w:after="0" w:line="21" w:lineRule="exact"/>
        <w:rPr>
          <w:sz w:val="20"/>
          <w:szCs w:val="20"/>
          <w:color w:val="auto"/>
        </w:rPr>
      </w:pPr>
    </w:p>
    <w:p>
      <w:pPr>
        <w:jc w:val="both"/>
        <w:spacing w:after="0" w:line="224" w:lineRule="auto"/>
        <w:rPr>
          <w:sz w:val="20"/>
          <w:szCs w:val="20"/>
          <w:color w:val="auto"/>
        </w:rPr>
      </w:pPr>
      <w:r>
        <w:rPr>
          <w:rFonts w:ascii="Arial" w:cs="Arial" w:eastAsia="Arial" w:hAnsi="Arial"/>
          <w:sz w:val="18"/>
          <w:szCs w:val="18"/>
          <w:color w:val="auto"/>
        </w:rPr>
        <w:t>longer equal. At the annual meeting, we are seeking to rebalance the classes of directors to achieve a more equal distribution of directors among classes. To avoid extending any director’s term beyond a three-year period, we believe it is appropriate to realign the classes through</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the election of directors for two different terms by the shareholders at the annual meeting. As such, Jeffrey L. Harmening, Joyce A. Mullen, and</w:t>
      </w:r>
    </w:p>
    <w:p>
      <w:pPr>
        <w:spacing w:after="0" w:line="5" w:lineRule="exact"/>
        <w:rPr>
          <w:sz w:val="20"/>
          <w:szCs w:val="20"/>
          <w:color w:val="auto"/>
        </w:rPr>
      </w:pPr>
    </w:p>
    <w:p>
      <w:pPr>
        <w:jc w:val="both"/>
        <w:ind w:right="20"/>
        <w:spacing w:after="0" w:line="234" w:lineRule="auto"/>
        <w:rPr>
          <w:sz w:val="20"/>
          <w:szCs w:val="20"/>
          <w:color w:val="auto"/>
        </w:rPr>
      </w:pPr>
      <w:r>
        <w:rPr>
          <w:rFonts w:ascii="Arial" w:cs="Arial" w:eastAsia="Arial" w:hAnsi="Arial"/>
          <w:sz w:val="18"/>
          <w:szCs w:val="18"/>
          <w:color w:val="auto"/>
        </w:rPr>
        <w:t>James C. O'Rourke have been nominated to serve three-year terms expiring at the 2028 annual meeting and Richard M. Olson has been nominated to serve a two-year term expiring at the 2027 annual meeting.</w:t>
      </w:r>
    </w:p>
    <w:p>
      <w:pPr>
        <w:spacing w:after="0" w:line="131" w:lineRule="exact"/>
        <w:rPr>
          <w:sz w:val="20"/>
          <w:szCs w:val="20"/>
          <w:color w:val="auto"/>
        </w:rPr>
      </w:pPr>
    </w:p>
    <w:tbl>
      <w:tblPr>
        <w:tblLayout w:type="fixed"/>
        <w:tblInd w:w="320" w:type="dxa"/>
        <w:tblCellMar>
          <w:top w:w="0" w:type="dxa"/>
          <w:left w:w="0" w:type="dxa"/>
          <w:bottom w:w="0" w:type="dxa"/>
          <w:right w:w="0" w:type="dxa"/>
        </w:tblCellMar>
      </w:tblPr>
      <w:tr>
        <w:trPr>
          <w:trHeight w:val="208"/>
        </w:trPr>
        <w:tc>
          <w:tcPr>
            <w:tcW w:w="5440" w:type="dxa"/>
            <w:vAlign w:val="bottom"/>
            <w:shd w:val="clear" w:color="auto" w:fill="BF2115"/>
          </w:tcPr>
          <w:p>
            <w:pPr>
              <w:jc w:val="center"/>
              <w:spacing w:after="0"/>
              <w:rPr>
                <w:sz w:val="20"/>
                <w:szCs w:val="20"/>
                <w:color w:val="auto"/>
              </w:rPr>
            </w:pPr>
            <w:r>
              <w:rPr>
                <w:rFonts w:ascii="Arial" w:cs="Arial" w:eastAsia="Arial" w:hAnsi="Arial"/>
                <w:sz w:val="18"/>
                <w:szCs w:val="18"/>
                <w:b w:val="1"/>
                <w:bCs w:val="1"/>
                <w:color w:val="FFFFFF"/>
                <w:w w:val="98"/>
              </w:rPr>
              <w:t>Proposed Three-Year Term Ending at</w:t>
            </w:r>
          </w:p>
        </w:tc>
        <w:tc>
          <w:tcPr>
            <w:tcW w:w="5380" w:type="dxa"/>
            <w:vAlign w:val="bottom"/>
            <w:shd w:val="clear" w:color="auto" w:fill="BF2115"/>
          </w:tcPr>
          <w:p>
            <w:pPr>
              <w:jc w:val="center"/>
              <w:spacing w:after="0"/>
              <w:rPr>
                <w:sz w:val="20"/>
                <w:szCs w:val="20"/>
                <w:color w:val="auto"/>
              </w:rPr>
            </w:pPr>
            <w:r>
              <w:rPr>
                <w:rFonts w:ascii="Arial" w:cs="Arial" w:eastAsia="Arial" w:hAnsi="Arial"/>
                <w:sz w:val="18"/>
                <w:szCs w:val="18"/>
                <w:b w:val="1"/>
                <w:bCs w:val="1"/>
                <w:color w:val="FFFFFF"/>
                <w:w w:val="97"/>
              </w:rPr>
              <w:t>Proposed Two-Year Term Ending at</w:t>
            </w:r>
          </w:p>
        </w:tc>
      </w:tr>
      <w:tr>
        <w:trPr>
          <w:trHeight w:val="246"/>
        </w:trPr>
        <w:tc>
          <w:tcPr>
            <w:tcW w:w="5440" w:type="dxa"/>
            <w:vAlign w:val="bottom"/>
            <w:shd w:val="clear" w:color="auto" w:fill="BF2115"/>
          </w:tcPr>
          <w:p>
            <w:pPr>
              <w:jc w:val="center"/>
              <w:spacing w:after="0"/>
              <w:rPr>
                <w:sz w:val="20"/>
                <w:szCs w:val="20"/>
                <w:color w:val="auto"/>
              </w:rPr>
            </w:pPr>
            <w:r>
              <w:rPr>
                <w:rFonts w:ascii="Arial" w:cs="Arial" w:eastAsia="Arial" w:hAnsi="Arial"/>
                <w:sz w:val="18"/>
                <w:szCs w:val="18"/>
                <w:b w:val="1"/>
                <w:bCs w:val="1"/>
                <w:color w:val="FFFFFF"/>
                <w:w w:val="99"/>
              </w:rPr>
              <w:t>2028 Annual Meeting</w:t>
            </w:r>
          </w:p>
        </w:tc>
        <w:tc>
          <w:tcPr>
            <w:tcW w:w="5380" w:type="dxa"/>
            <w:vAlign w:val="bottom"/>
            <w:shd w:val="clear" w:color="auto" w:fill="BF2115"/>
          </w:tcPr>
          <w:p>
            <w:pPr>
              <w:jc w:val="center"/>
              <w:spacing w:after="0"/>
              <w:rPr>
                <w:sz w:val="20"/>
                <w:szCs w:val="20"/>
                <w:color w:val="auto"/>
              </w:rPr>
            </w:pPr>
            <w:r>
              <w:rPr>
                <w:rFonts w:ascii="Arial" w:cs="Arial" w:eastAsia="Arial" w:hAnsi="Arial"/>
                <w:sz w:val="18"/>
                <w:szCs w:val="18"/>
                <w:b w:val="1"/>
                <w:bCs w:val="1"/>
                <w:color w:val="FFFFFF"/>
                <w:w w:val="98"/>
              </w:rPr>
              <w:t>2027 Annual Meeting</w:t>
            </w:r>
          </w:p>
        </w:tc>
      </w:tr>
      <w:tr>
        <w:trPr>
          <w:trHeight w:val="223"/>
        </w:trPr>
        <w:tc>
          <w:tcPr>
            <w:tcW w:w="5440" w:type="dxa"/>
            <w:vAlign w:val="bottom"/>
          </w:tcPr>
          <w:p>
            <w:pPr>
              <w:jc w:val="center"/>
              <w:spacing w:after="0"/>
              <w:rPr>
                <w:sz w:val="20"/>
                <w:szCs w:val="20"/>
                <w:color w:val="auto"/>
              </w:rPr>
            </w:pPr>
            <w:r>
              <w:rPr>
                <w:rFonts w:ascii="Arial" w:cs="Arial" w:eastAsia="Arial" w:hAnsi="Arial"/>
                <w:sz w:val="18"/>
                <w:szCs w:val="18"/>
                <w:color w:val="auto"/>
                <w:w w:val="99"/>
              </w:rPr>
              <w:t>Jeffrey L. Harmening</w:t>
            </w:r>
          </w:p>
        </w:tc>
        <w:tc>
          <w:tcPr>
            <w:tcW w:w="5380" w:type="dxa"/>
            <w:vAlign w:val="bottom"/>
          </w:tcPr>
          <w:p>
            <w:pPr>
              <w:jc w:val="center"/>
              <w:spacing w:after="0"/>
              <w:rPr>
                <w:sz w:val="20"/>
                <w:szCs w:val="20"/>
                <w:color w:val="auto"/>
              </w:rPr>
            </w:pPr>
            <w:r>
              <w:rPr>
                <w:rFonts w:ascii="Arial" w:cs="Arial" w:eastAsia="Arial" w:hAnsi="Arial"/>
                <w:sz w:val="18"/>
                <w:szCs w:val="18"/>
                <w:color w:val="auto"/>
                <w:w w:val="97"/>
              </w:rPr>
              <w:t>Richard M. Olson</w:t>
            </w:r>
          </w:p>
        </w:tc>
      </w:tr>
      <w:tr>
        <w:trPr>
          <w:trHeight w:val="227"/>
        </w:trPr>
        <w:tc>
          <w:tcPr>
            <w:tcW w:w="5440" w:type="dxa"/>
            <w:vAlign w:val="bottom"/>
          </w:tcPr>
          <w:p>
            <w:pPr>
              <w:jc w:val="center"/>
              <w:spacing w:after="0"/>
              <w:rPr>
                <w:sz w:val="20"/>
                <w:szCs w:val="20"/>
                <w:color w:val="auto"/>
              </w:rPr>
            </w:pPr>
            <w:r>
              <w:rPr>
                <w:rFonts w:ascii="Arial" w:cs="Arial" w:eastAsia="Arial" w:hAnsi="Arial"/>
                <w:sz w:val="18"/>
                <w:szCs w:val="18"/>
                <w:color w:val="auto"/>
                <w:w w:val="99"/>
              </w:rPr>
              <w:t>Joyce A. Mullen</w:t>
            </w:r>
          </w:p>
        </w:tc>
        <w:tc>
          <w:tcPr>
            <w:tcW w:w="5380" w:type="dxa"/>
            <w:vAlign w:val="bottom"/>
          </w:tcPr>
          <w:p>
            <w:pPr>
              <w:spacing w:after="0"/>
              <w:rPr>
                <w:sz w:val="19"/>
                <w:szCs w:val="19"/>
                <w:color w:val="auto"/>
              </w:rPr>
            </w:pPr>
          </w:p>
        </w:tc>
      </w:tr>
      <w:tr>
        <w:trPr>
          <w:trHeight w:val="233"/>
        </w:trPr>
        <w:tc>
          <w:tcPr>
            <w:tcW w:w="5440" w:type="dxa"/>
            <w:vAlign w:val="bottom"/>
          </w:tcPr>
          <w:p>
            <w:pPr>
              <w:jc w:val="center"/>
              <w:spacing w:after="0"/>
              <w:rPr>
                <w:sz w:val="20"/>
                <w:szCs w:val="20"/>
                <w:color w:val="auto"/>
              </w:rPr>
            </w:pPr>
            <w:r>
              <w:rPr>
                <w:rFonts w:ascii="Arial" w:cs="Arial" w:eastAsia="Arial" w:hAnsi="Arial"/>
                <w:sz w:val="18"/>
                <w:szCs w:val="18"/>
                <w:color w:val="auto"/>
                <w:w w:val="98"/>
              </w:rPr>
              <w:t>James C. O'Rourke</w:t>
            </w:r>
          </w:p>
        </w:tc>
        <w:tc>
          <w:tcPr>
            <w:tcW w:w="5380" w:type="dxa"/>
            <w:vAlign w:val="bottom"/>
          </w:tcPr>
          <w:p>
            <w:pPr>
              <w:spacing w:after="0"/>
              <w:rPr>
                <w:sz w:val="20"/>
                <w:szCs w:val="20"/>
                <w:color w:val="auto"/>
              </w:rPr>
            </w:pPr>
          </w:p>
        </w:tc>
      </w:tr>
    </w:tbl>
    <w:p>
      <w:pPr>
        <w:spacing w:after="0" w:line="154" w:lineRule="exact"/>
        <w:rPr>
          <w:sz w:val="20"/>
          <w:szCs w:val="20"/>
          <w:color w:val="auto"/>
        </w:rPr>
      </w:pPr>
    </w:p>
    <w:p>
      <w:pPr>
        <w:ind w:firstLine="320"/>
        <w:spacing w:after="0" w:line="262" w:lineRule="auto"/>
        <w:rPr>
          <w:sz w:val="20"/>
          <w:szCs w:val="20"/>
          <w:color w:val="auto"/>
        </w:rPr>
      </w:pPr>
      <w:r>
        <w:rPr>
          <w:rFonts w:ascii="Arial" w:cs="Arial" w:eastAsia="Arial" w:hAnsi="Arial"/>
          <w:sz w:val="18"/>
          <w:szCs w:val="18"/>
          <w:color w:val="auto"/>
        </w:rPr>
        <w:t>Each of the four director nominees are current members of the Board and have consented to serve if elected. Proxies only can be voted for the number of persons named as nominees in this proxy statement, which is four.</w:t>
      </w:r>
    </w:p>
    <w:p>
      <w:pPr>
        <w:spacing w:after="0" w:line="55" w:lineRule="exact"/>
        <w:rPr>
          <w:sz w:val="20"/>
          <w:szCs w:val="20"/>
          <w:color w:val="auto"/>
        </w:rPr>
      </w:pPr>
    </w:p>
    <w:p>
      <w:pPr>
        <w:ind w:firstLine="320"/>
        <w:spacing w:after="0" w:line="233" w:lineRule="auto"/>
        <w:rPr>
          <w:sz w:val="20"/>
          <w:szCs w:val="20"/>
          <w:color w:val="auto"/>
        </w:rPr>
      </w:pPr>
      <w:r>
        <w:rPr>
          <w:rFonts w:ascii="Arial" w:cs="Arial" w:eastAsia="Arial" w:hAnsi="Arial"/>
          <w:sz w:val="18"/>
          <w:szCs w:val="18"/>
          <w:color w:val="auto"/>
        </w:rPr>
        <w:t>If prior to the annual meeting the Board learns that any nominee will be unable to serve for any reason, the proxies that otherwise would have been voted for that nominee will be voted for a substitute nominee as selected by the Board. Alternatively, at the Board's discretion, the</w:t>
      </w:r>
    </w:p>
    <w:p>
      <w:pPr>
        <w:spacing w:after="0" w:line="1" w:lineRule="exact"/>
        <w:rPr>
          <w:sz w:val="20"/>
          <w:szCs w:val="20"/>
          <w:color w:val="auto"/>
        </w:rPr>
      </w:pPr>
    </w:p>
    <w:p>
      <w:pPr>
        <w:spacing w:after="0" w:line="243" w:lineRule="auto"/>
        <w:rPr>
          <w:sz w:val="20"/>
          <w:szCs w:val="20"/>
          <w:color w:val="auto"/>
        </w:rPr>
      </w:pPr>
      <w:r>
        <w:rPr>
          <w:rFonts w:ascii="Arial" w:cs="Arial" w:eastAsia="Arial" w:hAnsi="Arial"/>
          <w:sz w:val="18"/>
          <w:szCs w:val="18"/>
          <w:color w:val="auto"/>
        </w:rPr>
        <w:t>proxies may be voted for that fewer number of nominees as results from the inability of any nominee to serve. The Board has no reason to believe that any of the four nominees will be unable to serve.</w:t>
      </w:r>
    </w:p>
    <w:p>
      <w:pPr>
        <w:spacing w:after="0" w:line="172" w:lineRule="exact"/>
        <w:rPr>
          <w:sz w:val="20"/>
          <w:szCs w:val="20"/>
          <w:color w:val="auto"/>
        </w:rPr>
      </w:pPr>
    </w:p>
    <w:p>
      <w:pPr>
        <w:spacing w:after="0"/>
        <w:rPr>
          <w:sz w:val="20"/>
          <w:szCs w:val="20"/>
          <w:color w:val="auto"/>
        </w:rPr>
      </w:pPr>
      <w:r>
        <w:rPr>
          <w:rFonts w:ascii="Arial" w:cs="Arial" w:eastAsia="Arial" w:hAnsi="Arial"/>
          <w:sz w:val="20"/>
          <w:szCs w:val="20"/>
          <w:b w:val="1"/>
          <w:bCs w:val="1"/>
          <w:color w:val="C00000"/>
        </w:rPr>
        <w:t>Board Size and Structure After Annual Meeting</w:t>
      </w:r>
    </w:p>
    <w:p>
      <w:pPr>
        <w:spacing w:after="0" w:line="150" w:lineRule="exact"/>
        <w:rPr>
          <w:sz w:val="20"/>
          <w:szCs w:val="20"/>
          <w:color w:val="auto"/>
        </w:rPr>
      </w:pPr>
    </w:p>
    <w:p>
      <w:pPr>
        <w:ind w:firstLine="640"/>
        <w:spacing w:after="0" w:line="233" w:lineRule="auto"/>
        <w:rPr>
          <w:sz w:val="20"/>
          <w:szCs w:val="20"/>
          <w:color w:val="auto"/>
        </w:rPr>
      </w:pPr>
      <w:r>
        <w:rPr>
          <w:rFonts w:ascii="Arial" w:cs="Arial" w:eastAsia="Arial" w:hAnsi="Arial"/>
          <w:sz w:val="18"/>
          <w:szCs w:val="18"/>
          <w:color w:val="auto"/>
        </w:rPr>
        <w:t>If all four director nominees are reelected for the terms as proposed, the effect following the annual meeting will be that the Company once again will have a balanced Board of three classes of directors, each class consisting of three directors with terms expiring over the next</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three years.</w:t>
      </w:r>
    </w:p>
    <w:p>
      <w:pPr>
        <w:spacing w:after="0" w:line="194" w:lineRule="exact"/>
        <w:rPr>
          <w:sz w:val="20"/>
          <w:szCs w:val="20"/>
          <w:color w:val="auto"/>
        </w:rPr>
      </w:pPr>
    </w:p>
    <w:tbl>
      <w:tblPr>
        <w:tblLayout w:type="fixed"/>
        <w:tblInd w:w="640" w:type="dxa"/>
        <w:tblCellMar>
          <w:top w:w="0" w:type="dxa"/>
          <w:left w:w="0" w:type="dxa"/>
          <w:bottom w:w="0" w:type="dxa"/>
          <w:right w:w="0" w:type="dxa"/>
        </w:tblCellMar>
      </w:tblPr>
      <w:tr>
        <w:trPr>
          <w:trHeight w:val="208"/>
        </w:trPr>
        <w:tc>
          <w:tcPr>
            <w:tcW w:w="3480" w:type="dxa"/>
            <w:vAlign w:val="bottom"/>
            <w:vMerge w:val="restart"/>
            <w:shd w:val="clear" w:color="auto" w:fill="BF2115"/>
          </w:tcPr>
          <w:p>
            <w:pPr>
              <w:jc w:val="center"/>
              <w:spacing w:after="0"/>
              <w:rPr>
                <w:sz w:val="20"/>
                <w:szCs w:val="20"/>
                <w:color w:val="auto"/>
              </w:rPr>
            </w:pPr>
            <w:r>
              <w:rPr>
                <w:rFonts w:ascii="Arial" w:cs="Arial" w:eastAsia="Arial" w:hAnsi="Arial"/>
                <w:sz w:val="18"/>
                <w:szCs w:val="18"/>
                <w:b w:val="1"/>
                <w:bCs w:val="1"/>
                <w:color w:val="FFFFFF"/>
                <w:w w:val="98"/>
              </w:rPr>
              <w:t>Term Ending at 2026 Annual Meeting</w:t>
            </w:r>
          </w:p>
        </w:tc>
        <w:tc>
          <w:tcPr>
            <w:tcW w:w="3480" w:type="dxa"/>
            <w:vAlign w:val="bottom"/>
            <w:vMerge w:val="restart"/>
            <w:shd w:val="clear" w:color="auto" w:fill="BF2115"/>
          </w:tcPr>
          <w:p>
            <w:pPr>
              <w:jc w:val="center"/>
              <w:spacing w:after="0"/>
              <w:rPr>
                <w:sz w:val="20"/>
                <w:szCs w:val="20"/>
                <w:color w:val="auto"/>
              </w:rPr>
            </w:pPr>
            <w:r>
              <w:rPr>
                <w:rFonts w:ascii="Arial" w:cs="Arial" w:eastAsia="Arial" w:hAnsi="Arial"/>
                <w:sz w:val="18"/>
                <w:szCs w:val="18"/>
                <w:b w:val="1"/>
                <w:bCs w:val="1"/>
                <w:color w:val="FFFFFF"/>
                <w:w w:val="98"/>
              </w:rPr>
              <w:t>Term Ending at 2027 Annual Meeting</w:t>
            </w:r>
          </w:p>
        </w:tc>
        <w:tc>
          <w:tcPr>
            <w:tcW w:w="3460" w:type="dxa"/>
            <w:vAlign w:val="bottom"/>
            <w:shd w:val="clear" w:color="auto" w:fill="BF2115"/>
          </w:tcPr>
          <w:p>
            <w:pPr>
              <w:jc w:val="center"/>
              <w:spacing w:after="0"/>
              <w:rPr>
                <w:sz w:val="20"/>
                <w:szCs w:val="20"/>
                <w:color w:val="auto"/>
              </w:rPr>
            </w:pPr>
            <w:r>
              <w:rPr>
                <w:rFonts w:ascii="Arial" w:cs="Arial" w:eastAsia="Arial" w:hAnsi="Arial"/>
                <w:sz w:val="18"/>
                <w:szCs w:val="18"/>
                <w:b w:val="1"/>
                <w:bCs w:val="1"/>
                <w:color w:val="FFFFFF"/>
                <w:w w:val="98"/>
              </w:rPr>
              <w:t>Current Term Ending at 2028 Annual</w:t>
            </w:r>
          </w:p>
        </w:tc>
        <w:tc>
          <w:tcPr>
            <w:tcW w:w="0" w:type="dxa"/>
            <w:vAlign w:val="bottom"/>
          </w:tcPr>
          <w:p>
            <w:pPr>
              <w:spacing w:after="0"/>
              <w:rPr>
                <w:sz w:val="1"/>
                <w:szCs w:val="1"/>
                <w:color w:val="auto"/>
              </w:rPr>
            </w:pPr>
          </w:p>
        </w:tc>
      </w:tr>
      <w:tr>
        <w:trPr>
          <w:trHeight w:val="138"/>
        </w:trPr>
        <w:tc>
          <w:tcPr>
            <w:tcW w:w="3480" w:type="dxa"/>
            <w:vAlign w:val="bottom"/>
            <w:vMerge w:val="continue"/>
            <w:shd w:val="clear" w:color="auto" w:fill="BF2115"/>
          </w:tcPr>
          <w:p>
            <w:pPr>
              <w:spacing w:after="0"/>
              <w:rPr>
                <w:sz w:val="12"/>
                <w:szCs w:val="12"/>
                <w:color w:val="auto"/>
              </w:rPr>
            </w:pPr>
          </w:p>
        </w:tc>
        <w:tc>
          <w:tcPr>
            <w:tcW w:w="3480" w:type="dxa"/>
            <w:vAlign w:val="bottom"/>
            <w:vMerge w:val="continue"/>
            <w:shd w:val="clear" w:color="auto" w:fill="BF2115"/>
          </w:tcPr>
          <w:p>
            <w:pPr>
              <w:spacing w:after="0"/>
              <w:rPr>
                <w:sz w:val="12"/>
                <w:szCs w:val="12"/>
                <w:color w:val="auto"/>
              </w:rPr>
            </w:pPr>
          </w:p>
        </w:tc>
        <w:tc>
          <w:tcPr>
            <w:tcW w:w="3460" w:type="dxa"/>
            <w:vAlign w:val="bottom"/>
            <w:vMerge w:val="restart"/>
            <w:shd w:val="clear" w:color="auto" w:fill="BF2115"/>
          </w:tcPr>
          <w:p>
            <w:pPr>
              <w:jc w:val="center"/>
              <w:spacing w:after="0"/>
              <w:rPr>
                <w:sz w:val="20"/>
                <w:szCs w:val="20"/>
                <w:color w:val="auto"/>
              </w:rPr>
            </w:pPr>
            <w:r>
              <w:rPr>
                <w:rFonts w:ascii="Arial" w:cs="Arial" w:eastAsia="Arial" w:hAnsi="Arial"/>
                <w:sz w:val="18"/>
                <w:szCs w:val="18"/>
                <w:b w:val="1"/>
                <w:bCs w:val="1"/>
                <w:color w:val="FFFFFF"/>
                <w:w w:val="96"/>
              </w:rPr>
              <w:t>Meeting</w:t>
            </w:r>
          </w:p>
        </w:tc>
        <w:tc>
          <w:tcPr>
            <w:tcW w:w="0" w:type="dxa"/>
            <w:vAlign w:val="bottom"/>
          </w:tcPr>
          <w:p>
            <w:pPr>
              <w:spacing w:after="0"/>
              <w:rPr>
                <w:sz w:val="1"/>
                <w:szCs w:val="1"/>
                <w:color w:val="auto"/>
              </w:rPr>
            </w:pPr>
          </w:p>
        </w:tc>
      </w:tr>
      <w:tr>
        <w:trPr>
          <w:trHeight w:val="107"/>
        </w:trPr>
        <w:tc>
          <w:tcPr>
            <w:tcW w:w="3480" w:type="dxa"/>
            <w:vAlign w:val="bottom"/>
            <w:shd w:val="clear" w:color="auto" w:fill="BF2115"/>
          </w:tcPr>
          <w:p>
            <w:pPr>
              <w:spacing w:after="0"/>
              <w:rPr>
                <w:sz w:val="9"/>
                <w:szCs w:val="9"/>
                <w:color w:val="auto"/>
              </w:rPr>
            </w:pPr>
          </w:p>
        </w:tc>
        <w:tc>
          <w:tcPr>
            <w:tcW w:w="3480" w:type="dxa"/>
            <w:vAlign w:val="bottom"/>
            <w:shd w:val="clear" w:color="auto" w:fill="BF2115"/>
          </w:tcPr>
          <w:p>
            <w:pPr>
              <w:spacing w:after="0"/>
              <w:rPr>
                <w:sz w:val="9"/>
                <w:szCs w:val="9"/>
                <w:color w:val="auto"/>
              </w:rPr>
            </w:pPr>
          </w:p>
        </w:tc>
        <w:tc>
          <w:tcPr>
            <w:tcW w:w="3460" w:type="dxa"/>
            <w:vAlign w:val="bottom"/>
            <w:vMerge w:val="continue"/>
            <w:shd w:val="clear" w:color="auto" w:fill="BF2115"/>
          </w:tcPr>
          <w:p>
            <w:pPr>
              <w:spacing w:after="0"/>
              <w:rPr>
                <w:sz w:val="9"/>
                <w:szCs w:val="9"/>
                <w:color w:val="auto"/>
              </w:rPr>
            </w:pPr>
          </w:p>
        </w:tc>
        <w:tc>
          <w:tcPr>
            <w:tcW w:w="0" w:type="dxa"/>
            <w:vAlign w:val="bottom"/>
          </w:tcPr>
          <w:p>
            <w:pPr>
              <w:spacing w:after="0"/>
              <w:rPr>
                <w:sz w:val="1"/>
                <w:szCs w:val="1"/>
                <w:color w:val="auto"/>
              </w:rPr>
            </w:pPr>
          </w:p>
        </w:tc>
      </w:tr>
      <w:tr>
        <w:trPr>
          <w:trHeight w:val="223"/>
        </w:trPr>
        <w:tc>
          <w:tcPr>
            <w:tcW w:w="3480" w:type="dxa"/>
            <w:vAlign w:val="bottom"/>
          </w:tcPr>
          <w:p>
            <w:pPr>
              <w:jc w:val="center"/>
              <w:spacing w:after="0"/>
              <w:rPr>
                <w:sz w:val="20"/>
                <w:szCs w:val="20"/>
                <w:color w:val="auto"/>
              </w:rPr>
            </w:pPr>
            <w:r>
              <w:rPr>
                <w:rFonts w:ascii="Arial" w:cs="Arial" w:eastAsia="Arial" w:hAnsi="Arial"/>
                <w:sz w:val="18"/>
                <w:szCs w:val="18"/>
                <w:color w:val="auto"/>
                <w:w w:val="98"/>
              </w:rPr>
              <w:t>Dianne C. Craig</w:t>
            </w:r>
          </w:p>
        </w:tc>
        <w:tc>
          <w:tcPr>
            <w:tcW w:w="3480" w:type="dxa"/>
            <w:vAlign w:val="bottom"/>
          </w:tcPr>
          <w:p>
            <w:pPr>
              <w:jc w:val="center"/>
              <w:spacing w:after="0"/>
              <w:rPr>
                <w:sz w:val="20"/>
                <w:szCs w:val="20"/>
                <w:color w:val="auto"/>
              </w:rPr>
            </w:pPr>
            <w:r>
              <w:rPr>
                <w:rFonts w:ascii="Arial" w:cs="Arial" w:eastAsia="Arial" w:hAnsi="Arial"/>
                <w:sz w:val="18"/>
                <w:szCs w:val="18"/>
                <w:color w:val="auto"/>
                <w:w w:val="98"/>
              </w:rPr>
              <w:t>Gary L. Ellis</w:t>
            </w:r>
          </w:p>
        </w:tc>
        <w:tc>
          <w:tcPr>
            <w:tcW w:w="3460" w:type="dxa"/>
            <w:vAlign w:val="bottom"/>
          </w:tcPr>
          <w:p>
            <w:pPr>
              <w:jc w:val="center"/>
              <w:spacing w:after="0"/>
              <w:rPr>
                <w:sz w:val="20"/>
                <w:szCs w:val="20"/>
                <w:color w:val="auto"/>
              </w:rPr>
            </w:pPr>
            <w:r>
              <w:rPr>
                <w:rFonts w:ascii="Arial" w:cs="Arial" w:eastAsia="Arial" w:hAnsi="Arial"/>
                <w:sz w:val="18"/>
                <w:szCs w:val="18"/>
                <w:color w:val="auto"/>
                <w:w w:val="99"/>
              </w:rPr>
              <w:t>Jeffrey L. Harmening</w:t>
            </w:r>
          </w:p>
        </w:tc>
        <w:tc>
          <w:tcPr>
            <w:tcW w:w="0" w:type="dxa"/>
            <w:vAlign w:val="bottom"/>
          </w:tcPr>
          <w:p>
            <w:pPr>
              <w:spacing w:after="0"/>
              <w:rPr>
                <w:sz w:val="1"/>
                <w:szCs w:val="1"/>
                <w:color w:val="auto"/>
              </w:rPr>
            </w:pPr>
          </w:p>
        </w:tc>
      </w:tr>
      <w:tr>
        <w:trPr>
          <w:trHeight w:val="227"/>
        </w:trPr>
        <w:tc>
          <w:tcPr>
            <w:tcW w:w="3480" w:type="dxa"/>
            <w:vAlign w:val="bottom"/>
          </w:tcPr>
          <w:p>
            <w:pPr>
              <w:jc w:val="center"/>
              <w:spacing w:after="0"/>
              <w:rPr>
                <w:sz w:val="20"/>
                <w:szCs w:val="20"/>
                <w:color w:val="auto"/>
              </w:rPr>
            </w:pPr>
            <w:r>
              <w:rPr>
                <w:rFonts w:ascii="Arial" w:cs="Arial" w:eastAsia="Arial" w:hAnsi="Arial"/>
                <w:sz w:val="18"/>
                <w:szCs w:val="18"/>
                <w:color w:val="auto"/>
                <w:w w:val="97"/>
              </w:rPr>
              <w:t>Eric P. Hansotia</w:t>
            </w:r>
          </w:p>
        </w:tc>
        <w:tc>
          <w:tcPr>
            <w:tcW w:w="3480" w:type="dxa"/>
            <w:vAlign w:val="bottom"/>
          </w:tcPr>
          <w:p>
            <w:pPr>
              <w:jc w:val="center"/>
              <w:spacing w:after="0"/>
              <w:rPr>
                <w:sz w:val="20"/>
                <w:szCs w:val="20"/>
                <w:color w:val="auto"/>
              </w:rPr>
            </w:pPr>
            <w:r>
              <w:rPr>
                <w:rFonts w:ascii="Arial" w:cs="Arial" w:eastAsia="Arial" w:hAnsi="Arial"/>
                <w:sz w:val="18"/>
                <w:szCs w:val="18"/>
                <w:color w:val="auto"/>
                <w:w w:val="99"/>
              </w:rPr>
              <w:t>Richard M. Olson</w:t>
            </w:r>
          </w:p>
        </w:tc>
        <w:tc>
          <w:tcPr>
            <w:tcW w:w="3460" w:type="dxa"/>
            <w:vAlign w:val="bottom"/>
          </w:tcPr>
          <w:p>
            <w:pPr>
              <w:jc w:val="center"/>
              <w:spacing w:after="0"/>
              <w:rPr>
                <w:sz w:val="20"/>
                <w:szCs w:val="20"/>
                <w:color w:val="auto"/>
              </w:rPr>
            </w:pPr>
            <w:r>
              <w:rPr>
                <w:rFonts w:ascii="Arial" w:cs="Arial" w:eastAsia="Arial" w:hAnsi="Arial"/>
                <w:sz w:val="18"/>
                <w:szCs w:val="18"/>
                <w:color w:val="auto"/>
                <w:w w:val="99"/>
              </w:rPr>
              <w:t>Joyce A. Mullen</w:t>
            </w:r>
          </w:p>
        </w:tc>
        <w:tc>
          <w:tcPr>
            <w:tcW w:w="0" w:type="dxa"/>
            <w:vAlign w:val="bottom"/>
          </w:tcPr>
          <w:p>
            <w:pPr>
              <w:spacing w:after="0"/>
              <w:rPr>
                <w:sz w:val="1"/>
                <w:szCs w:val="1"/>
                <w:color w:val="auto"/>
              </w:rPr>
            </w:pPr>
          </w:p>
        </w:tc>
      </w:tr>
      <w:tr>
        <w:trPr>
          <w:trHeight w:val="233"/>
        </w:trPr>
        <w:tc>
          <w:tcPr>
            <w:tcW w:w="3480" w:type="dxa"/>
            <w:vAlign w:val="bottom"/>
          </w:tcPr>
          <w:p>
            <w:pPr>
              <w:jc w:val="center"/>
              <w:spacing w:after="0"/>
              <w:rPr>
                <w:sz w:val="20"/>
                <w:szCs w:val="20"/>
                <w:color w:val="auto"/>
              </w:rPr>
            </w:pPr>
            <w:r>
              <w:rPr>
                <w:rFonts w:ascii="Arial" w:cs="Arial" w:eastAsia="Arial" w:hAnsi="Arial"/>
                <w:sz w:val="18"/>
                <w:szCs w:val="18"/>
                <w:color w:val="auto"/>
                <w:w w:val="98"/>
              </w:rPr>
              <w:t>D. Christian Koch</w:t>
            </w:r>
          </w:p>
        </w:tc>
        <w:tc>
          <w:tcPr>
            <w:tcW w:w="3480" w:type="dxa"/>
            <w:vAlign w:val="bottom"/>
          </w:tcPr>
          <w:p>
            <w:pPr>
              <w:jc w:val="center"/>
              <w:spacing w:after="0"/>
              <w:rPr>
                <w:sz w:val="20"/>
                <w:szCs w:val="20"/>
                <w:color w:val="auto"/>
              </w:rPr>
            </w:pPr>
            <w:r>
              <w:rPr>
                <w:rFonts w:ascii="Arial" w:cs="Arial" w:eastAsia="Arial" w:hAnsi="Arial"/>
                <w:sz w:val="18"/>
                <w:szCs w:val="18"/>
                <w:color w:val="auto"/>
                <w:w w:val="99"/>
              </w:rPr>
              <w:t>Jill M. Pemberton</w:t>
            </w:r>
          </w:p>
        </w:tc>
        <w:tc>
          <w:tcPr>
            <w:tcW w:w="3460" w:type="dxa"/>
            <w:vAlign w:val="bottom"/>
          </w:tcPr>
          <w:p>
            <w:pPr>
              <w:jc w:val="center"/>
              <w:spacing w:after="0"/>
              <w:rPr>
                <w:sz w:val="20"/>
                <w:szCs w:val="20"/>
                <w:color w:val="auto"/>
              </w:rPr>
            </w:pPr>
            <w:r>
              <w:rPr>
                <w:rFonts w:ascii="Arial" w:cs="Arial" w:eastAsia="Arial" w:hAnsi="Arial"/>
                <w:sz w:val="18"/>
                <w:szCs w:val="18"/>
                <w:color w:val="auto"/>
                <w:w w:val="98"/>
              </w:rPr>
              <w:t>James C. O'Rourke</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152"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152" w:right="339" w:bottom="1440" w:gutter="0" w:footer="0" w:header="0"/>
          <w:type w:val="continuous"/>
        </w:sectPr>
      </w:pPr>
    </w:p>
    <w:bookmarkStart w:id="19" w:name="page20"/>
    <w:bookmarkEnd w:id="19"/>
    <w:tbl>
      <w:tblPr>
        <w:tblLayout w:type="fixed"/>
        <w:tblInd w:w="0" w:type="dxa"/>
        <w:tblCellMar>
          <w:top w:w="0" w:type="dxa"/>
          <w:left w:w="0" w:type="dxa"/>
          <w:bottom w:w="0" w:type="dxa"/>
          <w:right w:w="0" w:type="dxa"/>
        </w:tblCellMar>
      </w:tblPr>
      <w:tr>
        <w:trPr>
          <w:trHeight w:val="500"/>
        </w:trPr>
        <w:tc>
          <w:tcPr>
            <w:tcW w:w="9800" w:type="dxa"/>
            <w:vAlign w:val="bottom"/>
            <w:vMerge w:val="restart"/>
            <w:shd w:val="clear" w:color="auto" w:fill="BF2115"/>
          </w:tcPr>
          <w:p>
            <w:pPr>
              <w:ind w:left="1320"/>
              <w:spacing w:after="0"/>
              <w:rPr>
                <w:sz w:val="20"/>
                <w:szCs w:val="20"/>
                <w:color w:val="auto"/>
              </w:rPr>
            </w:pPr>
            <w:r>
              <w:rPr>
                <w:rFonts w:ascii="Arial" w:cs="Arial" w:eastAsia="Arial" w:hAnsi="Arial"/>
                <w:sz w:val="21"/>
                <w:szCs w:val="21"/>
                <w:b w:val="1"/>
                <w:bCs w:val="1"/>
                <w:color w:val="FFFFFF"/>
              </w:rPr>
              <w:t>The Board of Directors Recommends a Vote FOR Each Nominee for Director</w:t>
            </w:r>
          </w:p>
        </w:tc>
        <w:tc>
          <w:tcPr>
            <w:tcW w:w="1440" w:type="dxa"/>
            <w:vAlign w:val="bottom"/>
            <w:shd w:val="clear" w:color="auto" w:fill="BF2115"/>
          </w:tcPr>
          <w:p>
            <w:pPr>
              <w:ind w:left="760"/>
              <w:spacing w:after="0" w:line="501" w:lineRule="exact"/>
              <w:rPr>
                <w:sz w:val="20"/>
                <w:szCs w:val="20"/>
                <w:color w:val="auto"/>
              </w:rPr>
            </w:pPr>
            <w:r>
              <w:rPr>
                <w:rFonts w:ascii="MS PGothic" w:cs="MS PGothic" w:eastAsia="MS PGothic" w:hAnsi="MS PGothic"/>
                <w:sz w:val="50"/>
                <w:szCs w:val="50"/>
                <w:color w:val="auto"/>
                <w:highlight w:val="white"/>
              </w:rPr>
              <w:t>☑</w:t>
            </w:r>
          </w:p>
        </w:tc>
        <w:tc>
          <w:tcPr>
            <w:tcW w:w="0" w:type="dxa"/>
            <w:vAlign w:val="bottom"/>
          </w:tcPr>
          <w:p>
            <w:pPr>
              <w:spacing w:after="0"/>
              <w:rPr>
                <w:sz w:val="1"/>
                <w:szCs w:val="1"/>
                <w:color w:val="auto"/>
              </w:rPr>
            </w:pPr>
          </w:p>
        </w:tc>
      </w:tr>
      <w:tr>
        <w:trPr>
          <w:trHeight w:val="80"/>
        </w:trPr>
        <w:tc>
          <w:tcPr>
            <w:tcW w:w="9800" w:type="dxa"/>
            <w:vAlign w:val="bottom"/>
            <w:vMerge w:val="continue"/>
            <w:shd w:val="clear" w:color="auto" w:fill="BF2115"/>
          </w:tcPr>
          <w:p>
            <w:pPr>
              <w:spacing w:after="0"/>
              <w:rPr>
                <w:sz w:val="6"/>
                <w:szCs w:val="6"/>
                <w:color w:val="auto"/>
              </w:rPr>
            </w:pPr>
          </w:p>
        </w:tc>
        <w:tc>
          <w:tcPr>
            <w:tcW w:w="1440" w:type="dxa"/>
            <w:vAlign w:val="bottom"/>
            <w:shd w:val="clear" w:color="auto" w:fill="BF2115"/>
          </w:tcPr>
          <w:p>
            <w:pPr>
              <w:spacing w:after="0"/>
              <w:rPr>
                <w:sz w:val="6"/>
                <w:szCs w:val="6"/>
                <w:color w:val="auto"/>
              </w:rPr>
            </w:pPr>
          </w:p>
        </w:tc>
        <w:tc>
          <w:tcPr>
            <w:tcW w:w="0" w:type="dxa"/>
            <w:vAlign w:val="bottom"/>
          </w:tcPr>
          <w:p>
            <w:pPr>
              <w:spacing w:after="0"/>
              <w:rPr>
                <w:sz w:val="1"/>
                <w:szCs w:val="1"/>
                <w:color w:val="auto"/>
              </w:rPr>
            </w:pPr>
          </w:p>
        </w:tc>
      </w:tr>
      <w:tr>
        <w:trPr>
          <w:trHeight w:val="174"/>
        </w:trPr>
        <w:tc>
          <w:tcPr>
            <w:tcW w:w="9800" w:type="dxa"/>
            <w:vAlign w:val="bottom"/>
            <w:shd w:val="clear" w:color="auto" w:fill="BF2115"/>
          </w:tcPr>
          <w:p>
            <w:pPr>
              <w:spacing w:after="0"/>
              <w:rPr>
                <w:sz w:val="15"/>
                <w:szCs w:val="15"/>
                <w:color w:val="auto"/>
              </w:rPr>
            </w:pPr>
          </w:p>
        </w:tc>
        <w:tc>
          <w:tcPr>
            <w:tcW w:w="1440" w:type="dxa"/>
            <w:vAlign w:val="bottom"/>
            <w:shd w:val="clear" w:color="auto" w:fill="BF2115"/>
          </w:tcPr>
          <w:p>
            <w:pPr>
              <w:spacing w:after="0"/>
              <w:rPr>
                <w:sz w:val="15"/>
                <w:szCs w:val="15"/>
                <w:color w:val="auto"/>
              </w:rPr>
            </w:pPr>
          </w:p>
        </w:tc>
        <w:tc>
          <w:tcPr>
            <w:tcW w:w="0" w:type="dxa"/>
            <w:vAlign w:val="bottom"/>
          </w:tcPr>
          <w:p>
            <w:pPr>
              <w:spacing w:after="0"/>
              <w:rPr>
                <w:sz w:val="1"/>
                <w:szCs w:val="1"/>
                <w:color w:val="auto"/>
              </w:rPr>
            </w:pPr>
          </w:p>
        </w:tc>
      </w:tr>
    </w:tbl>
    <w:p>
      <w:pPr>
        <w:spacing w:after="0" w:line="283" w:lineRule="exact"/>
        <w:rPr>
          <w:sz w:val="20"/>
          <w:szCs w:val="20"/>
          <w:color w:val="auto"/>
        </w:rPr>
      </w:pPr>
    </w:p>
    <w:p>
      <w:pPr>
        <w:spacing w:after="0"/>
        <w:rPr>
          <w:sz w:val="20"/>
          <w:szCs w:val="20"/>
          <w:color w:val="auto"/>
        </w:rPr>
      </w:pPr>
      <w:r>
        <w:rPr>
          <w:rFonts w:ascii="Arial" w:cs="Arial" w:eastAsia="Arial" w:hAnsi="Arial"/>
          <w:sz w:val="20"/>
          <w:szCs w:val="20"/>
          <w:b w:val="1"/>
          <w:bCs w:val="1"/>
          <w:color w:val="C00000"/>
        </w:rPr>
        <w:t>Information About Director Nominees and Continuing Directors</w:t>
      </w:r>
    </w:p>
    <w:p>
      <w:pPr>
        <w:spacing w:after="0" w:line="84" w:lineRule="exact"/>
        <w:rPr>
          <w:sz w:val="20"/>
          <w:szCs w:val="20"/>
          <w:color w:val="auto"/>
        </w:rPr>
      </w:pPr>
    </w:p>
    <w:p>
      <w:pPr>
        <w:jc w:val="both"/>
        <w:ind w:right="60" w:firstLine="388"/>
        <w:spacing w:after="0" w:line="247" w:lineRule="auto"/>
        <w:rPr>
          <w:sz w:val="20"/>
          <w:szCs w:val="20"/>
          <w:color w:val="auto"/>
        </w:rPr>
      </w:pPr>
      <w:r>
        <w:rPr>
          <w:rFonts w:ascii="Arial" w:cs="Arial" w:eastAsia="Arial" w:hAnsi="Arial"/>
          <w:sz w:val="17"/>
          <w:szCs w:val="17"/>
          <w:color w:val="auto"/>
        </w:rPr>
        <w:t>The following pages provide information about the nominees for election to the Board at the annual meeting, each of whom are current Board members, and each of the other continuing members of the Board. We believe that all of our director nominees and continuing directors</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display:</w:t>
      </w:r>
    </w:p>
    <w:p>
      <w:pPr>
        <w:spacing w:after="0" w:line="31" w:lineRule="exact"/>
        <w:rPr>
          <w:sz w:val="20"/>
          <w:szCs w:val="20"/>
          <w:color w:val="auto"/>
        </w:rPr>
      </w:pPr>
    </w:p>
    <w:p>
      <w:pPr>
        <w:ind w:left="640" w:hanging="313"/>
        <w:spacing w:after="0"/>
        <w:tabs>
          <w:tab w:leader="none" w:pos="6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personal and professional integrity;</w:t>
      </w:r>
    </w:p>
    <w:p>
      <w:pPr>
        <w:spacing w:after="0" w:line="33" w:lineRule="exact"/>
        <w:rPr>
          <w:rFonts w:ascii="Arial" w:cs="Arial" w:eastAsia="Arial" w:hAnsi="Arial"/>
          <w:sz w:val="18"/>
          <w:szCs w:val="18"/>
          <w:color w:val="auto"/>
        </w:rPr>
      </w:pPr>
    </w:p>
    <w:p>
      <w:pPr>
        <w:ind w:left="640" w:hanging="313"/>
        <w:spacing w:after="0"/>
        <w:tabs>
          <w:tab w:leader="none" w:pos="6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appropriate levels of education and business experience;</w:t>
      </w:r>
    </w:p>
    <w:p>
      <w:pPr>
        <w:spacing w:after="0" w:line="46" w:lineRule="exact"/>
        <w:rPr>
          <w:rFonts w:ascii="Arial" w:cs="Arial" w:eastAsia="Arial" w:hAnsi="Arial"/>
          <w:sz w:val="18"/>
          <w:szCs w:val="18"/>
          <w:color w:val="auto"/>
        </w:rPr>
      </w:pPr>
    </w:p>
    <w:p>
      <w:pPr>
        <w:ind w:left="640" w:hanging="313"/>
        <w:spacing w:after="0"/>
        <w:tabs>
          <w:tab w:leader="none" w:pos="6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strong business acumen;</w:t>
      </w:r>
    </w:p>
    <w:p>
      <w:pPr>
        <w:spacing w:after="0" w:line="46" w:lineRule="exact"/>
        <w:rPr>
          <w:rFonts w:ascii="Arial" w:cs="Arial" w:eastAsia="Arial" w:hAnsi="Arial"/>
          <w:sz w:val="18"/>
          <w:szCs w:val="18"/>
          <w:color w:val="auto"/>
        </w:rPr>
      </w:pPr>
    </w:p>
    <w:p>
      <w:pPr>
        <w:ind w:left="640" w:hanging="313"/>
        <w:spacing w:after="0"/>
        <w:tabs>
          <w:tab w:leader="none" w:pos="6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an appropriate level of understanding of our business, industries and other relevant industries;</w:t>
      </w:r>
    </w:p>
    <w:p>
      <w:pPr>
        <w:spacing w:after="0" w:line="33" w:lineRule="exact"/>
        <w:rPr>
          <w:rFonts w:ascii="Arial" w:cs="Arial" w:eastAsia="Arial" w:hAnsi="Arial"/>
          <w:sz w:val="18"/>
          <w:szCs w:val="18"/>
          <w:color w:val="auto"/>
        </w:rPr>
      </w:pPr>
    </w:p>
    <w:p>
      <w:pPr>
        <w:ind w:left="640" w:hanging="313"/>
        <w:spacing w:after="0"/>
        <w:tabs>
          <w:tab w:leader="none" w:pos="6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ability and willingness to devote adequate time to the work of our Board and its committees;</w:t>
      </w:r>
    </w:p>
    <w:p>
      <w:pPr>
        <w:spacing w:after="0" w:line="46" w:lineRule="exact"/>
        <w:rPr>
          <w:rFonts w:ascii="Arial" w:cs="Arial" w:eastAsia="Arial" w:hAnsi="Arial"/>
          <w:sz w:val="18"/>
          <w:szCs w:val="18"/>
          <w:color w:val="auto"/>
        </w:rPr>
      </w:pPr>
    </w:p>
    <w:p>
      <w:pPr>
        <w:ind w:left="640" w:right="60" w:hanging="313"/>
        <w:spacing w:after="0" w:line="255" w:lineRule="auto"/>
        <w:tabs>
          <w:tab w:leader="none" w:pos="635" w:val="left"/>
        </w:tabs>
        <w:numPr>
          <w:ilvl w:val="0"/>
          <w:numId w:val="15"/>
        </w:numPr>
        <w:rPr>
          <w:rFonts w:ascii="Arial" w:cs="Arial" w:eastAsia="Arial" w:hAnsi="Arial"/>
          <w:sz w:val="18"/>
          <w:szCs w:val="18"/>
          <w:color w:val="auto"/>
        </w:rPr>
      </w:pPr>
      <w:r>
        <w:rPr>
          <w:rFonts w:ascii="Arial" w:cs="Arial" w:eastAsia="Arial" w:hAnsi="Arial"/>
          <w:sz w:val="18"/>
          <w:szCs w:val="18"/>
          <w:color w:val="auto"/>
        </w:rPr>
        <w:t>a fit of skills and personality with those of our other directors that helps build a Board that is effective, collegial and responsive to the needs of our Company;</w:t>
      </w:r>
    </w:p>
    <w:p>
      <w:pPr>
        <w:ind w:left="640" w:hanging="313"/>
        <w:spacing w:after="0"/>
        <w:tabs>
          <w:tab w:leader="none" w:pos="6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strategic thinking acumen and a willingness to share ideas;</w:t>
      </w:r>
    </w:p>
    <w:p>
      <w:pPr>
        <w:spacing w:after="0" w:line="46" w:lineRule="exact"/>
        <w:rPr>
          <w:rFonts w:ascii="Arial" w:cs="Arial" w:eastAsia="Arial" w:hAnsi="Arial"/>
          <w:sz w:val="18"/>
          <w:szCs w:val="18"/>
          <w:color w:val="auto"/>
        </w:rPr>
      </w:pPr>
    </w:p>
    <w:p>
      <w:pPr>
        <w:ind w:left="640" w:hanging="313"/>
        <w:spacing w:after="0"/>
        <w:tabs>
          <w:tab w:leader="none" w:pos="6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 diversity of experiences, expertise, cultures and backgrounds, including race, ethnicity and gender; and</w:t>
      </w:r>
    </w:p>
    <w:p>
      <w:pPr>
        <w:spacing w:after="0" w:line="46" w:lineRule="exact"/>
        <w:rPr>
          <w:rFonts w:ascii="Arial" w:cs="Arial" w:eastAsia="Arial" w:hAnsi="Arial"/>
          <w:sz w:val="18"/>
          <w:szCs w:val="18"/>
          <w:color w:val="auto"/>
        </w:rPr>
      </w:pPr>
    </w:p>
    <w:p>
      <w:pPr>
        <w:ind w:left="640" w:hanging="313"/>
        <w:spacing w:after="0"/>
        <w:tabs>
          <w:tab w:leader="none" w:pos="6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ability to represent the interests of all of our shareholders.</w:t>
      </w:r>
    </w:p>
    <w:p>
      <w:pPr>
        <w:spacing w:after="0" w:line="87" w:lineRule="exact"/>
        <w:rPr>
          <w:sz w:val="20"/>
          <w:szCs w:val="20"/>
          <w:color w:val="auto"/>
        </w:rPr>
      </w:pPr>
    </w:p>
    <w:p>
      <w:pPr>
        <w:ind w:right="60" w:firstLine="320"/>
        <w:spacing w:after="0" w:line="262" w:lineRule="auto"/>
        <w:rPr>
          <w:sz w:val="20"/>
          <w:szCs w:val="20"/>
          <w:color w:val="auto"/>
        </w:rPr>
      </w:pPr>
      <w:r>
        <w:rPr>
          <w:rFonts w:ascii="Arial" w:cs="Arial" w:eastAsia="Arial" w:hAnsi="Arial"/>
          <w:sz w:val="18"/>
          <w:szCs w:val="18"/>
          <w:color w:val="auto"/>
        </w:rPr>
        <w:t>All of our director nominees and continuing directors bring to our Board a wealth of executive leadership experience. The Board considers the following skills and experience to be integral to the success of our Company:</w:t>
      </w:r>
    </w:p>
    <w:p>
      <w:pPr>
        <w:sectPr>
          <w:pgSz w:w="11900" w:h="16838" w:orient="portrait"/>
          <w:cols w:equalWidth="0" w:num="1">
            <w:col w:w="11300"/>
          </w:cols>
          <w:pgMar w:left="320" w:top="1027" w:right="279" w:bottom="1440" w:gutter="0" w:footer="0" w:header="0"/>
        </w:sectPr>
      </w:pPr>
    </w:p>
    <w:p>
      <w:pPr>
        <w:spacing w:after="0" w:line="106" w:lineRule="exact"/>
        <w:rPr>
          <w:sz w:val="20"/>
          <w:szCs w:val="20"/>
          <w:color w:val="auto"/>
        </w:rPr>
      </w:pPr>
    </w:p>
    <w:p>
      <w:pPr>
        <w:jc w:val="both"/>
        <w:ind w:left="340"/>
        <w:spacing w:after="0" w:line="234" w:lineRule="auto"/>
        <w:rPr>
          <w:sz w:val="20"/>
          <w:szCs w:val="20"/>
          <w:color w:val="auto"/>
        </w:rPr>
      </w:pPr>
      <w:r>
        <w:rPr>
          <w:rFonts w:ascii="Arial" w:cs="Arial" w:eastAsia="Arial" w:hAnsi="Arial"/>
          <w:sz w:val="18"/>
          <w:szCs w:val="18"/>
          <w:b w:val="1"/>
          <w:bCs w:val="1"/>
          <w:color w:val="C00000"/>
        </w:rPr>
        <w:t xml:space="preserve">Current/Former CEO. </w:t>
      </w:r>
      <w:r>
        <w:rPr>
          <w:rFonts w:ascii="Arial" w:cs="Arial" w:eastAsia="Arial" w:hAnsi="Arial"/>
          <w:sz w:val="18"/>
          <w:szCs w:val="18"/>
          <w:color w:val="000000"/>
        </w:rPr>
        <w:t>Current or former experience as a chief</w:t>
      </w:r>
      <w:r>
        <w:rPr>
          <w:rFonts w:ascii="Arial" w:cs="Arial" w:eastAsia="Arial" w:hAnsi="Arial"/>
          <w:sz w:val="18"/>
          <w:szCs w:val="18"/>
          <w:b w:val="1"/>
          <w:bCs w:val="1"/>
          <w:color w:val="C00000"/>
        </w:rPr>
        <w:t xml:space="preserve"> </w:t>
      </w:r>
      <w:r>
        <w:rPr>
          <w:rFonts w:ascii="Arial" w:cs="Arial" w:eastAsia="Arial" w:hAnsi="Arial"/>
          <w:sz w:val="18"/>
          <w:szCs w:val="18"/>
          <w:color w:val="000000"/>
        </w:rPr>
        <w:t>executive officer is important for providing unique insights on complex</w:t>
      </w:r>
    </w:p>
    <w:p>
      <w:pPr>
        <w:spacing w:after="0" w:line="1" w:lineRule="exact"/>
        <w:rPr>
          <w:sz w:val="20"/>
          <w:szCs w:val="20"/>
          <w:color w:val="auto"/>
        </w:rPr>
      </w:pPr>
    </w:p>
    <w:p>
      <w:pPr>
        <w:jc w:val="both"/>
        <w:ind w:left="340"/>
        <w:spacing w:after="0" w:line="243" w:lineRule="auto"/>
        <w:rPr>
          <w:sz w:val="20"/>
          <w:szCs w:val="20"/>
          <w:color w:val="auto"/>
        </w:rPr>
      </w:pPr>
      <w:r>
        <w:rPr>
          <w:rFonts w:ascii="Arial" w:cs="Arial" w:eastAsia="Arial" w:hAnsi="Arial"/>
          <w:sz w:val="18"/>
          <w:szCs w:val="18"/>
          <w:color w:val="auto"/>
        </w:rPr>
        <w:t>global organizations, strategy, risk management, and how to drive change and growth.</w:t>
      </w:r>
    </w:p>
    <w:p>
      <w:pPr>
        <w:spacing w:after="0" w:line="3" w:lineRule="exact"/>
        <w:rPr>
          <w:sz w:val="20"/>
          <w:szCs w:val="20"/>
          <w:color w:val="auto"/>
        </w:rPr>
      </w:pPr>
    </w:p>
    <w:p>
      <w:pPr>
        <w:jc w:val="both"/>
        <w:ind w:left="340"/>
        <w:spacing w:after="0" w:line="247" w:lineRule="auto"/>
        <w:rPr>
          <w:sz w:val="20"/>
          <w:szCs w:val="20"/>
          <w:color w:val="auto"/>
        </w:rPr>
      </w:pPr>
      <w:r>
        <w:rPr>
          <w:rFonts w:ascii="Arial" w:cs="Arial" w:eastAsia="Arial" w:hAnsi="Arial"/>
          <w:sz w:val="18"/>
          <w:szCs w:val="18"/>
          <w:b w:val="1"/>
          <w:bCs w:val="1"/>
          <w:color w:val="C00000"/>
        </w:rPr>
        <w:t xml:space="preserve">Finance/Financial Oversight. </w:t>
      </w:r>
      <w:r>
        <w:rPr>
          <w:rFonts w:ascii="Arial" w:cs="Arial" w:eastAsia="Arial" w:hAnsi="Arial"/>
          <w:sz w:val="18"/>
          <w:szCs w:val="18"/>
          <w:color w:val="000000"/>
        </w:rPr>
        <w:t>A strong understanding of accounting</w:t>
      </w:r>
      <w:r>
        <w:rPr>
          <w:rFonts w:ascii="Arial" w:cs="Arial" w:eastAsia="Arial" w:hAnsi="Arial"/>
          <w:sz w:val="18"/>
          <w:szCs w:val="18"/>
          <w:b w:val="1"/>
          <w:bCs w:val="1"/>
          <w:color w:val="C00000"/>
        </w:rPr>
        <w:t xml:space="preserve"> </w:t>
      </w:r>
      <w:r>
        <w:rPr>
          <w:rFonts w:ascii="Arial" w:cs="Arial" w:eastAsia="Arial" w:hAnsi="Arial"/>
          <w:sz w:val="18"/>
          <w:szCs w:val="18"/>
          <w:color w:val="000000"/>
        </w:rPr>
        <w:t>and finance is important in critically evaluating our performance and overseeing the integrity of our financial reporting.</w:t>
      </w:r>
    </w:p>
    <w:p>
      <w:pPr>
        <w:spacing w:after="0" w:line="1" w:lineRule="exact"/>
        <w:rPr>
          <w:sz w:val="20"/>
          <w:szCs w:val="20"/>
          <w:color w:val="auto"/>
        </w:rPr>
      </w:pPr>
    </w:p>
    <w:p>
      <w:pPr>
        <w:jc w:val="both"/>
        <w:ind w:left="340"/>
        <w:spacing w:after="0" w:line="242" w:lineRule="auto"/>
        <w:rPr>
          <w:sz w:val="20"/>
          <w:szCs w:val="20"/>
          <w:color w:val="auto"/>
        </w:rPr>
      </w:pPr>
      <w:r>
        <w:rPr>
          <w:rFonts w:ascii="Arial" w:cs="Arial" w:eastAsia="Arial" w:hAnsi="Arial"/>
          <w:sz w:val="18"/>
          <w:szCs w:val="18"/>
          <w:b w:val="1"/>
          <w:bCs w:val="1"/>
          <w:color w:val="C00000"/>
        </w:rPr>
        <w:t xml:space="preserve">Public Company Boards. </w:t>
      </w:r>
      <w:r>
        <w:rPr>
          <w:rFonts w:ascii="Arial" w:cs="Arial" w:eastAsia="Arial" w:hAnsi="Arial"/>
          <w:sz w:val="18"/>
          <w:szCs w:val="18"/>
          <w:color w:val="000000"/>
        </w:rPr>
        <w:t>Service on other public company boards</w:t>
      </w:r>
      <w:r>
        <w:rPr>
          <w:rFonts w:ascii="Arial" w:cs="Arial" w:eastAsia="Arial" w:hAnsi="Arial"/>
          <w:sz w:val="18"/>
          <w:szCs w:val="18"/>
          <w:b w:val="1"/>
          <w:bCs w:val="1"/>
          <w:color w:val="C00000"/>
        </w:rPr>
        <w:t xml:space="preserve"> </w:t>
      </w:r>
      <w:r>
        <w:rPr>
          <w:rFonts w:ascii="Arial" w:cs="Arial" w:eastAsia="Arial" w:hAnsi="Arial"/>
          <w:sz w:val="18"/>
          <w:szCs w:val="18"/>
          <w:color w:val="000000"/>
        </w:rPr>
        <w:t>leads to a deep understanding of the duties and responsibilities of a</w:t>
      </w:r>
    </w:p>
    <w:p>
      <w:pPr>
        <w:spacing w:after="0" w:line="1" w:lineRule="exact"/>
        <w:rPr>
          <w:sz w:val="20"/>
          <w:szCs w:val="20"/>
          <w:color w:val="auto"/>
        </w:rPr>
      </w:pPr>
    </w:p>
    <w:p>
      <w:pPr>
        <w:jc w:val="both"/>
        <w:ind w:left="340"/>
        <w:spacing w:after="0" w:line="224" w:lineRule="auto"/>
        <w:rPr>
          <w:sz w:val="20"/>
          <w:szCs w:val="20"/>
          <w:color w:val="auto"/>
        </w:rPr>
      </w:pPr>
      <w:r>
        <w:rPr>
          <w:rFonts w:ascii="Arial" w:cs="Arial" w:eastAsia="Arial" w:hAnsi="Arial"/>
          <w:sz w:val="18"/>
          <w:szCs w:val="18"/>
          <w:color w:val="auto"/>
        </w:rPr>
        <w:t>public company board of directors, promotes efficient and effective board processes, enhances board effectiveness and reinforces</w:t>
      </w:r>
    </w:p>
    <w:p>
      <w:pPr>
        <w:spacing w:after="0" w:line="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independent oversight that is aligned with shareholder interests.</w:t>
      </w:r>
    </w:p>
    <w:p>
      <w:pPr>
        <w:spacing w:after="0" w:line="29" w:lineRule="exact"/>
        <w:rPr>
          <w:sz w:val="20"/>
          <w:szCs w:val="20"/>
          <w:color w:val="auto"/>
        </w:rPr>
      </w:pPr>
    </w:p>
    <w:p>
      <w:pPr>
        <w:jc w:val="both"/>
        <w:ind w:left="340"/>
        <w:spacing w:after="0" w:line="234" w:lineRule="auto"/>
        <w:rPr>
          <w:sz w:val="20"/>
          <w:szCs w:val="20"/>
          <w:color w:val="auto"/>
        </w:rPr>
      </w:pPr>
      <w:r>
        <w:rPr>
          <w:rFonts w:ascii="Arial" w:cs="Arial" w:eastAsia="Arial" w:hAnsi="Arial"/>
          <w:sz w:val="18"/>
          <w:szCs w:val="18"/>
          <w:b w:val="1"/>
          <w:bCs w:val="1"/>
          <w:color w:val="C00000"/>
        </w:rPr>
        <w:t xml:space="preserve">Manufacturing/Supply Chain/Operations. </w:t>
      </w:r>
      <w:r>
        <w:rPr>
          <w:rFonts w:ascii="Arial" w:cs="Arial" w:eastAsia="Arial" w:hAnsi="Arial"/>
          <w:sz w:val="18"/>
          <w:szCs w:val="18"/>
          <w:color w:val="000000"/>
        </w:rPr>
        <w:t>Experience in</w:t>
      </w:r>
      <w:r>
        <w:rPr>
          <w:rFonts w:ascii="Arial" w:cs="Arial" w:eastAsia="Arial" w:hAnsi="Arial"/>
          <w:sz w:val="18"/>
          <w:szCs w:val="18"/>
          <w:b w:val="1"/>
          <w:bCs w:val="1"/>
          <w:color w:val="C00000"/>
        </w:rPr>
        <w:t xml:space="preserve"> </w:t>
      </w:r>
      <w:r>
        <w:rPr>
          <w:rFonts w:ascii="Arial" w:cs="Arial" w:eastAsia="Arial" w:hAnsi="Arial"/>
          <w:sz w:val="18"/>
          <w:szCs w:val="18"/>
          <w:color w:val="000000"/>
        </w:rPr>
        <w:t>manufacturing, supply chain and operations is important for providing</w:t>
      </w:r>
    </w:p>
    <w:p>
      <w:pPr>
        <w:spacing w:after="0" w:line="1" w:lineRule="exact"/>
        <w:rPr>
          <w:sz w:val="20"/>
          <w:szCs w:val="20"/>
          <w:color w:val="auto"/>
        </w:rPr>
      </w:pPr>
    </w:p>
    <w:p>
      <w:pPr>
        <w:jc w:val="both"/>
        <w:ind w:left="340"/>
        <w:spacing w:after="0" w:line="234" w:lineRule="auto"/>
        <w:rPr>
          <w:sz w:val="20"/>
          <w:szCs w:val="20"/>
          <w:color w:val="auto"/>
        </w:rPr>
      </w:pPr>
      <w:r>
        <w:rPr>
          <w:rFonts w:ascii="Arial" w:cs="Arial" w:eastAsia="Arial" w:hAnsi="Arial"/>
          <w:sz w:val="18"/>
          <w:szCs w:val="18"/>
          <w:color w:val="auto"/>
        </w:rPr>
        <w:t>oversight of optimal manufacturing processes, supplier relationships and the capital needs of the Company.</w:t>
      </w:r>
    </w:p>
    <w:p>
      <w:pPr>
        <w:spacing w:after="0" w:line="19" w:lineRule="exact"/>
        <w:rPr>
          <w:sz w:val="20"/>
          <w:szCs w:val="20"/>
          <w:color w:val="auto"/>
        </w:rPr>
      </w:pPr>
    </w:p>
    <w:p>
      <w:pPr>
        <w:jc w:val="center"/>
        <w:ind w:left="340"/>
        <w:spacing w:after="0"/>
        <w:rPr>
          <w:sz w:val="20"/>
          <w:szCs w:val="20"/>
          <w:color w:val="auto"/>
        </w:rPr>
      </w:pPr>
      <w:r>
        <w:rPr>
          <w:rFonts w:ascii="Arial" w:cs="Arial" w:eastAsia="Arial" w:hAnsi="Arial"/>
          <w:sz w:val="17"/>
          <w:szCs w:val="17"/>
          <w:b w:val="1"/>
          <w:bCs w:val="1"/>
          <w:color w:val="C00000"/>
        </w:rPr>
        <w:t xml:space="preserve">Distribution Channel. </w:t>
      </w:r>
      <w:r>
        <w:rPr>
          <w:rFonts w:ascii="Arial" w:cs="Arial" w:eastAsia="Arial" w:hAnsi="Arial"/>
          <w:sz w:val="17"/>
          <w:szCs w:val="17"/>
          <w:color w:val="000000"/>
        </w:rPr>
        <w:t>Understanding our distribution channel is key to</w:t>
      </w:r>
    </w:p>
    <w:p>
      <w:pPr>
        <w:spacing w:after="0" w:line="23" w:lineRule="exact"/>
        <w:rPr>
          <w:sz w:val="20"/>
          <w:szCs w:val="20"/>
          <w:color w:val="auto"/>
        </w:rPr>
      </w:pPr>
    </w:p>
    <w:p>
      <w:pPr>
        <w:jc w:val="both"/>
        <w:ind w:left="340"/>
        <w:spacing w:after="0" w:line="234" w:lineRule="auto"/>
        <w:rPr>
          <w:sz w:val="20"/>
          <w:szCs w:val="20"/>
          <w:color w:val="auto"/>
        </w:rPr>
      </w:pPr>
      <w:r>
        <w:rPr>
          <w:rFonts w:ascii="Arial" w:cs="Arial" w:eastAsia="Arial" w:hAnsi="Arial"/>
          <w:sz w:val="18"/>
          <w:szCs w:val="18"/>
          <w:color w:val="auto"/>
        </w:rPr>
        <w:t>providing important perspectives on our relationships with our distribution partners.</w:t>
      </w:r>
    </w:p>
    <w:p>
      <w:pPr>
        <w:spacing w:after="0" w:line="19" w:lineRule="exact"/>
        <w:rPr>
          <w:sz w:val="20"/>
          <w:szCs w:val="20"/>
          <w:color w:val="auto"/>
        </w:rPr>
      </w:pPr>
    </w:p>
    <w:p>
      <w:pPr>
        <w:jc w:val="center"/>
        <w:ind w:left="340"/>
        <w:spacing w:after="0"/>
        <w:rPr>
          <w:sz w:val="20"/>
          <w:szCs w:val="20"/>
          <w:color w:val="auto"/>
        </w:rPr>
      </w:pPr>
      <w:r>
        <w:rPr>
          <w:rFonts w:ascii="Arial" w:cs="Arial" w:eastAsia="Arial" w:hAnsi="Arial"/>
          <w:sz w:val="18"/>
          <w:szCs w:val="18"/>
          <w:b w:val="1"/>
          <w:bCs w:val="1"/>
          <w:color w:val="C00000"/>
        </w:rPr>
        <w:t xml:space="preserve">Strategic Planning. </w:t>
      </w:r>
      <w:r>
        <w:rPr>
          <w:rFonts w:ascii="Arial" w:cs="Arial" w:eastAsia="Arial" w:hAnsi="Arial"/>
          <w:sz w:val="18"/>
          <w:szCs w:val="18"/>
          <w:color w:val="000000"/>
        </w:rPr>
        <w:t>Strong strategic planning experience is vital to</w:t>
      </w:r>
    </w:p>
    <w:p>
      <w:pPr>
        <w:spacing w:after="0" w:line="11" w:lineRule="exact"/>
        <w:rPr>
          <w:sz w:val="20"/>
          <w:szCs w:val="20"/>
          <w:color w:val="auto"/>
        </w:rPr>
      </w:pPr>
    </w:p>
    <w:p>
      <w:pPr>
        <w:jc w:val="both"/>
        <w:ind w:left="340"/>
        <w:spacing w:after="0" w:line="234" w:lineRule="auto"/>
        <w:rPr>
          <w:sz w:val="20"/>
          <w:szCs w:val="20"/>
          <w:color w:val="auto"/>
        </w:rPr>
      </w:pPr>
      <w:r>
        <w:rPr>
          <w:rFonts w:ascii="Arial" w:cs="Arial" w:eastAsia="Arial" w:hAnsi="Arial"/>
          <w:sz w:val="18"/>
          <w:szCs w:val="18"/>
          <w:color w:val="auto"/>
        </w:rPr>
        <w:t>assisting us with our short- and long-term strategic planning and key strategic decisions</w:t>
      </w:r>
    </w:p>
    <w:p>
      <w:pPr>
        <w:spacing w:after="0" w:line="19" w:lineRule="exact"/>
        <w:rPr>
          <w:sz w:val="20"/>
          <w:szCs w:val="20"/>
          <w:color w:val="auto"/>
        </w:rPr>
      </w:pPr>
    </w:p>
    <w:p>
      <w:pPr>
        <w:jc w:val="center"/>
        <w:ind w:left="340"/>
        <w:spacing w:after="0"/>
        <w:rPr>
          <w:sz w:val="20"/>
          <w:szCs w:val="20"/>
          <w:color w:val="auto"/>
        </w:rPr>
      </w:pPr>
      <w:r>
        <w:rPr>
          <w:rFonts w:ascii="Arial" w:cs="Arial" w:eastAsia="Arial" w:hAnsi="Arial"/>
          <w:sz w:val="18"/>
          <w:szCs w:val="18"/>
          <w:b w:val="1"/>
          <w:bCs w:val="1"/>
          <w:color w:val="C00000"/>
        </w:rPr>
        <w:t xml:space="preserve">Regulatory/Government. </w:t>
      </w:r>
      <w:r>
        <w:rPr>
          <w:rFonts w:ascii="Arial" w:cs="Arial" w:eastAsia="Arial" w:hAnsi="Arial"/>
          <w:sz w:val="18"/>
          <w:szCs w:val="18"/>
          <w:color w:val="000000"/>
        </w:rPr>
        <w:t>Significant governmental and policymaking</w:t>
      </w:r>
    </w:p>
    <w:p>
      <w:pPr>
        <w:spacing w:after="0" w:line="11" w:lineRule="exact"/>
        <w:rPr>
          <w:sz w:val="20"/>
          <w:szCs w:val="20"/>
          <w:color w:val="auto"/>
        </w:rPr>
      </w:pPr>
    </w:p>
    <w:p>
      <w:pPr>
        <w:jc w:val="both"/>
        <w:ind w:left="340"/>
        <w:spacing w:after="0" w:line="234" w:lineRule="auto"/>
        <w:rPr>
          <w:sz w:val="20"/>
          <w:szCs w:val="20"/>
          <w:color w:val="auto"/>
        </w:rPr>
      </w:pPr>
      <w:r>
        <w:rPr>
          <w:rFonts w:ascii="Arial" w:cs="Arial" w:eastAsia="Arial" w:hAnsi="Arial"/>
          <w:sz w:val="18"/>
          <w:szCs w:val="18"/>
          <w:color w:val="auto"/>
        </w:rPr>
        <w:t>experience play an increasingly important role on our Board as our products become more heavily regulated.</w:t>
      </w:r>
    </w:p>
    <w:p>
      <w:pPr>
        <w:spacing w:after="0" w:line="20" w:lineRule="exact"/>
        <w:rPr>
          <w:sz w:val="20"/>
          <w:szCs w:val="20"/>
          <w:color w:val="auto"/>
        </w:rPr>
      </w:pPr>
      <w:r>
        <w:rPr>
          <w:sz w:val="20"/>
          <w:szCs w:val="20"/>
          <w:color w:val="auto"/>
        </w:rPr>
        <w:br w:type="column"/>
      </w:r>
    </w:p>
    <w:p>
      <w:pPr>
        <w:spacing w:after="0" w:line="86" w:lineRule="exact"/>
        <w:rPr>
          <w:sz w:val="20"/>
          <w:szCs w:val="20"/>
          <w:color w:val="auto"/>
        </w:rPr>
      </w:pPr>
    </w:p>
    <w:p>
      <w:pPr>
        <w:jc w:val="both"/>
        <w:spacing w:after="0" w:line="248" w:lineRule="auto"/>
        <w:rPr>
          <w:sz w:val="20"/>
          <w:szCs w:val="20"/>
          <w:color w:val="auto"/>
        </w:rPr>
      </w:pPr>
      <w:r>
        <w:rPr>
          <w:rFonts w:ascii="Arial" w:cs="Arial" w:eastAsia="Arial" w:hAnsi="Arial"/>
          <w:sz w:val="17"/>
          <w:szCs w:val="17"/>
          <w:b w:val="1"/>
          <w:bCs w:val="1"/>
          <w:color w:val="C00000"/>
        </w:rPr>
        <w:t xml:space="preserve">Health and Safety. </w:t>
      </w:r>
      <w:r>
        <w:rPr>
          <w:rFonts w:ascii="Arial" w:cs="Arial" w:eastAsia="Arial" w:hAnsi="Arial"/>
          <w:sz w:val="17"/>
          <w:szCs w:val="17"/>
          <w:color w:val="000000"/>
        </w:rPr>
        <w:t>Ability to provide oversight of our</w:t>
      </w:r>
      <w:r>
        <w:rPr>
          <w:rFonts w:ascii="Arial" w:cs="Arial" w:eastAsia="Arial" w:hAnsi="Arial"/>
          <w:sz w:val="17"/>
          <w:szCs w:val="17"/>
          <w:b w:val="1"/>
          <w:bCs w:val="1"/>
          <w:color w:val="C00000"/>
        </w:rPr>
        <w:t xml:space="preserve"> </w:t>
      </w:r>
      <w:r>
        <w:rPr>
          <w:rFonts w:ascii="Arial" w:cs="Arial" w:eastAsia="Arial" w:hAnsi="Arial"/>
          <w:sz w:val="17"/>
          <w:szCs w:val="17"/>
          <w:color w:val="000000"/>
        </w:rPr>
        <w:t>manufacturing operations and employee programs supports our</w:t>
      </w:r>
    </w:p>
    <w:p>
      <w:pPr>
        <w:spacing w:after="0" w:line="1" w:lineRule="exact"/>
        <w:rPr>
          <w:sz w:val="20"/>
          <w:szCs w:val="20"/>
          <w:color w:val="auto"/>
        </w:rPr>
      </w:pPr>
    </w:p>
    <w:p>
      <w:pPr>
        <w:jc w:val="both"/>
        <w:spacing w:after="0" w:line="243" w:lineRule="auto"/>
        <w:rPr>
          <w:sz w:val="20"/>
          <w:szCs w:val="20"/>
          <w:color w:val="auto"/>
        </w:rPr>
      </w:pPr>
      <w:r>
        <w:rPr>
          <w:rFonts w:ascii="Arial" w:cs="Arial" w:eastAsia="Arial" w:hAnsi="Arial"/>
          <w:sz w:val="18"/>
          <w:szCs w:val="18"/>
          <w:color w:val="auto"/>
        </w:rPr>
        <w:t>focus on a culture of wellness and safety in our manufacturing facilities and office environments.</w:t>
      </w:r>
    </w:p>
    <w:p>
      <w:pPr>
        <w:spacing w:after="0" w:line="3" w:lineRule="exact"/>
        <w:rPr>
          <w:sz w:val="20"/>
          <w:szCs w:val="20"/>
          <w:color w:val="auto"/>
        </w:rPr>
      </w:pPr>
    </w:p>
    <w:p>
      <w:pPr>
        <w:jc w:val="both"/>
        <w:spacing w:after="0" w:line="247" w:lineRule="auto"/>
        <w:rPr>
          <w:sz w:val="20"/>
          <w:szCs w:val="20"/>
          <w:color w:val="auto"/>
        </w:rPr>
      </w:pPr>
      <w:r>
        <w:rPr>
          <w:rFonts w:ascii="Arial" w:cs="Arial" w:eastAsia="Arial" w:hAnsi="Arial"/>
          <w:sz w:val="18"/>
          <w:szCs w:val="18"/>
          <w:b w:val="1"/>
          <w:bCs w:val="1"/>
          <w:color w:val="C00000"/>
        </w:rPr>
        <w:t xml:space="preserve">Sustainability/Climate. </w:t>
      </w:r>
      <w:r>
        <w:rPr>
          <w:rFonts w:ascii="Arial" w:cs="Arial" w:eastAsia="Arial" w:hAnsi="Arial"/>
          <w:sz w:val="18"/>
          <w:szCs w:val="18"/>
          <w:color w:val="000000"/>
        </w:rPr>
        <w:t>Our commitment to integrating</w:t>
      </w:r>
      <w:r>
        <w:rPr>
          <w:rFonts w:ascii="Arial" w:cs="Arial" w:eastAsia="Arial" w:hAnsi="Arial"/>
          <w:sz w:val="18"/>
          <w:szCs w:val="18"/>
          <w:b w:val="1"/>
          <w:bCs w:val="1"/>
          <w:color w:val="C00000"/>
        </w:rPr>
        <w:t xml:space="preserve"> </w:t>
      </w:r>
      <w:r>
        <w:rPr>
          <w:rFonts w:ascii="Arial" w:cs="Arial" w:eastAsia="Arial" w:hAnsi="Arial"/>
          <w:sz w:val="18"/>
          <w:szCs w:val="18"/>
          <w:color w:val="000000"/>
        </w:rPr>
        <w:t>sustainability considerations across our businesses is enhanced by the Board’s ability to support these efforts.</w:t>
      </w:r>
    </w:p>
    <w:p>
      <w:pPr>
        <w:spacing w:after="0" w:line="1" w:lineRule="exact"/>
        <w:rPr>
          <w:sz w:val="20"/>
          <w:szCs w:val="20"/>
          <w:color w:val="auto"/>
        </w:rPr>
      </w:pPr>
    </w:p>
    <w:p>
      <w:pPr>
        <w:jc w:val="both"/>
        <w:spacing w:after="0" w:line="242" w:lineRule="auto"/>
        <w:rPr>
          <w:sz w:val="20"/>
          <w:szCs w:val="20"/>
          <w:color w:val="auto"/>
        </w:rPr>
      </w:pPr>
      <w:r>
        <w:rPr>
          <w:rFonts w:ascii="Arial" w:cs="Arial" w:eastAsia="Arial" w:hAnsi="Arial"/>
          <w:sz w:val="18"/>
          <w:szCs w:val="18"/>
          <w:b w:val="1"/>
          <w:bCs w:val="1"/>
          <w:color w:val="C00000"/>
        </w:rPr>
        <w:t xml:space="preserve">Mergers and Acquisitions. </w:t>
      </w:r>
      <w:r>
        <w:rPr>
          <w:rFonts w:ascii="Arial" w:cs="Arial" w:eastAsia="Arial" w:hAnsi="Arial"/>
          <w:sz w:val="18"/>
          <w:szCs w:val="18"/>
          <w:color w:val="000000"/>
        </w:rPr>
        <w:t>Experience with mergers and</w:t>
      </w:r>
      <w:r>
        <w:rPr>
          <w:rFonts w:ascii="Arial" w:cs="Arial" w:eastAsia="Arial" w:hAnsi="Arial"/>
          <w:sz w:val="18"/>
          <w:szCs w:val="18"/>
          <w:b w:val="1"/>
          <w:bCs w:val="1"/>
          <w:color w:val="C00000"/>
        </w:rPr>
        <w:t xml:space="preserve"> </w:t>
      </w:r>
      <w:r>
        <w:rPr>
          <w:rFonts w:ascii="Arial" w:cs="Arial" w:eastAsia="Arial" w:hAnsi="Arial"/>
          <w:sz w:val="18"/>
          <w:szCs w:val="18"/>
          <w:color w:val="000000"/>
        </w:rPr>
        <w:t>acquisitions is critical to sound decisions for strategically</w:t>
      </w:r>
    </w:p>
    <w:p>
      <w:pPr>
        <w:spacing w:after="0" w:line="1" w:lineRule="exact"/>
        <w:rPr>
          <w:sz w:val="20"/>
          <w:szCs w:val="20"/>
          <w:color w:val="auto"/>
        </w:rPr>
      </w:pPr>
    </w:p>
    <w:p>
      <w:pPr>
        <w:jc w:val="both"/>
        <w:spacing w:after="0" w:line="255" w:lineRule="auto"/>
        <w:rPr>
          <w:sz w:val="20"/>
          <w:szCs w:val="20"/>
          <w:color w:val="auto"/>
        </w:rPr>
      </w:pPr>
      <w:r>
        <w:rPr>
          <w:rFonts w:ascii="Arial" w:cs="Arial" w:eastAsia="Arial" w:hAnsi="Arial"/>
          <w:sz w:val="17"/>
          <w:szCs w:val="17"/>
          <w:color w:val="auto"/>
        </w:rPr>
        <w:t>pursuing acquisitions that are complementary to our businesses and grow our customer base and geographic penetration.</w:t>
      </w:r>
    </w:p>
    <w:p>
      <w:pPr>
        <w:spacing w:after="0" w:line="7" w:lineRule="exact"/>
        <w:rPr>
          <w:sz w:val="20"/>
          <w:szCs w:val="20"/>
          <w:color w:val="auto"/>
        </w:rPr>
      </w:pPr>
    </w:p>
    <w:p>
      <w:pPr>
        <w:spacing w:after="0"/>
        <w:tabs>
          <w:tab w:leader="none" w:pos="1240" w:val="left"/>
          <w:tab w:leader="none" w:pos="2420" w:val="left"/>
          <w:tab w:leader="none" w:pos="3520" w:val="left"/>
          <w:tab w:leader="none" w:pos="4020" w:val="left"/>
        </w:tabs>
        <w:rPr>
          <w:sz w:val="20"/>
          <w:szCs w:val="20"/>
          <w:color w:val="auto"/>
        </w:rPr>
      </w:pPr>
      <w:r>
        <w:rPr>
          <w:rFonts w:ascii="Arial" w:cs="Arial" w:eastAsia="Arial" w:hAnsi="Arial"/>
          <w:sz w:val="18"/>
          <w:szCs w:val="18"/>
          <w:b w:val="1"/>
          <w:bCs w:val="1"/>
          <w:color w:val="C00000"/>
        </w:rPr>
        <w:t>International</w:t>
        <w:tab/>
        <w:t>Operations.</w:t>
      </w:r>
      <w:r>
        <w:rPr>
          <w:sz w:val="20"/>
          <w:szCs w:val="20"/>
          <w:color w:val="auto"/>
        </w:rPr>
        <w:tab/>
      </w:r>
      <w:r>
        <w:rPr>
          <w:rFonts w:ascii="Arial" w:cs="Arial" w:eastAsia="Arial" w:hAnsi="Arial"/>
          <w:sz w:val="18"/>
          <w:szCs w:val="18"/>
          <w:color w:val="auto"/>
        </w:rPr>
        <w:t>Experience</w:t>
        <w:tab/>
        <w:t>with</w:t>
      </w:r>
      <w:r>
        <w:rPr>
          <w:sz w:val="20"/>
          <w:szCs w:val="20"/>
          <w:color w:val="auto"/>
        </w:rPr>
        <w:tab/>
      </w:r>
      <w:r>
        <w:rPr>
          <w:rFonts w:ascii="Arial" w:cs="Arial" w:eastAsia="Arial" w:hAnsi="Arial"/>
          <w:sz w:val="17"/>
          <w:szCs w:val="17"/>
          <w:color w:val="auto"/>
        </w:rPr>
        <w:t>international</w:t>
      </w:r>
    </w:p>
    <w:p>
      <w:pPr>
        <w:spacing w:after="0" w:line="11" w:lineRule="exact"/>
        <w:rPr>
          <w:sz w:val="20"/>
          <w:szCs w:val="20"/>
          <w:color w:val="auto"/>
        </w:rPr>
      </w:pPr>
    </w:p>
    <w:p>
      <w:pPr>
        <w:jc w:val="both"/>
        <w:spacing w:after="0" w:line="234" w:lineRule="auto"/>
        <w:rPr>
          <w:sz w:val="20"/>
          <w:szCs w:val="20"/>
          <w:color w:val="auto"/>
        </w:rPr>
      </w:pPr>
      <w:r>
        <w:rPr>
          <w:rFonts w:ascii="Arial" w:cs="Arial" w:eastAsia="Arial" w:hAnsi="Arial"/>
          <w:sz w:val="18"/>
          <w:szCs w:val="18"/>
          <w:color w:val="auto"/>
        </w:rPr>
        <w:t>operations is important in light of our global footprint and desire to grow our international business.</w:t>
      </w:r>
    </w:p>
    <w:p>
      <w:pPr>
        <w:spacing w:after="0" w:line="19" w:lineRule="exact"/>
        <w:rPr>
          <w:sz w:val="20"/>
          <w:szCs w:val="20"/>
          <w:color w:val="auto"/>
        </w:rPr>
      </w:pPr>
    </w:p>
    <w:p>
      <w:pPr>
        <w:jc w:val="both"/>
        <w:spacing w:after="0" w:line="234" w:lineRule="auto"/>
        <w:rPr>
          <w:sz w:val="20"/>
          <w:szCs w:val="20"/>
          <w:color w:val="auto"/>
        </w:rPr>
      </w:pPr>
      <w:r>
        <w:rPr>
          <w:rFonts w:ascii="Arial" w:cs="Arial" w:eastAsia="Arial" w:hAnsi="Arial"/>
          <w:sz w:val="18"/>
          <w:szCs w:val="18"/>
          <w:b w:val="1"/>
          <w:bCs w:val="1"/>
          <w:color w:val="C00000"/>
        </w:rPr>
        <w:t xml:space="preserve">Information Systems/Cybersecurity. </w:t>
      </w:r>
      <w:r>
        <w:rPr>
          <w:rFonts w:ascii="Arial" w:cs="Arial" w:eastAsia="Arial" w:hAnsi="Arial"/>
          <w:sz w:val="18"/>
          <w:szCs w:val="18"/>
          <w:color w:val="000000"/>
        </w:rPr>
        <w:t>Board oversight of our</w:t>
      </w:r>
      <w:r>
        <w:rPr>
          <w:rFonts w:ascii="Arial" w:cs="Arial" w:eastAsia="Arial" w:hAnsi="Arial"/>
          <w:sz w:val="18"/>
          <w:szCs w:val="18"/>
          <w:b w:val="1"/>
          <w:bCs w:val="1"/>
          <w:color w:val="C00000"/>
        </w:rPr>
        <w:t xml:space="preserve"> </w:t>
      </w:r>
      <w:r>
        <w:rPr>
          <w:rFonts w:ascii="Arial" w:cs="Arial" w:eastAsia="Arial" w:hAnsi="Arial"/>
          <w:sz w:val="18"/>
          <w:szCs w:val="18"/>
          <w:color w:val="000000"/>
        </w:rPr>
        <w:t>information systems and cybersecurity risk is critical in light of</w:t>
      </w:r>
    </w:p>
    <w:p>
      <w:pPr>
        <w:spacing w:after="0" w:line="1" w:lineRule="exact"/>
        <w:rPr>
          <w:sz w:val="20"/>
          <w:szCs w:val="20"/>
          <w:color w:val="auto"/>
        </w:rPr>
      </w:pPr>
    </w:p>
    <w:p>
      <w:pPr>
        <w:jc w:val="both"/>
        <w:spacing w:after="0" w:line="243" w:lineRule="auto"/>
        <w:rPr>
          <w:sz w:val="20"/>
          <w:szCs w:val="20"/>
          <w:color w:val="auto"/>
        </w:rPr>
      </w:pPr>
      <w:r>
        <w:rPr>
          <w:rFonts w:ascii="Arial" w:cs="Arial" w:eastAsia="Arial" w:hAnsi="Arial"/>
          <w:sz w:val="18"/>
          <w:szCs w:val="18"/>
          <w:color w:val="auto"/>
        </w:rPr>
        <w:t>the increasing prevalence of cyber attacks that could result in reputational, legal, and operational issues for the Company.</w:t>
      </w:r>
    </w:p>
    <w:p>
      <w:pPr>
        <w:spacing w:after="0" w:line="3" w:lineRule="exact"/>
        <w:rPr>
          <w:sz w:val="20"/>
          <w:szCs w:val="20"/>
          <w:color w:val="auto"/>
        </w:rPr>
      </w:pPr>
    </w:p>
    <w:p>
      <w:pPr>
        <w:jc w:val="both"/>
        <w:spacing w:after="0" w:line="248" w:lineRule="auto"/>
        <w:rPr>
          <w:sz w:val="20"/>
          <w:szCs w:val="20"/>
          <w:color w:val="auto"/>
        </w:rPr>
      </w:pPr>
      <w:r>
        <w:rPr>
          <w:rFonts w:ascii="Arial" w:cs="Arial" w:eastAsia="Arial" w:hAnsi="Arial"/>
          <w:sz w:val="18"/>
          <w:szCs w:val="18"/>
          <w:b w:val="1"/>
          <w:bCs w:val="1"/>
          <w:color w:val="C00000"/>
        </w:rPr>
        <w:t xml:space="preserve">Previously Resided Outside the United States. </w:t>
      </w:r>
      <w:r>
        <w:rPr>
          <w:rFonts w:ascii="Arial" w:cs="Arial" w:eastAsia="Arial" w:hAnsi="Arial"/>
          <w:sz w:val="18"/>
          <w:szCs w:val="18"/>
          <w:color w:val="000000"/>
        </w:rPr>
        <w:t>A solid</w:t>
      </w:r>
      <w:r>
        <w:rPr>
          <w:rFonts w:ascii="Arial" w:cs="Arial" w:eastAsia="Arial" w:hAnsi="Arial"/>
          <w:sz w:val="18"/>
          <w:szCs w:val="18"/>
          <w:b w:val="1"/>
          <w:bCs w:val="1"/>
          <w:color w:val="C00000"/>
        </w:rPr>
        <w:t xml:space="preserve"> </w:t>
      </w:r>
      <w:r>
        <w:rPr>
          <w:rFonts w:ascii="Arial" w:cs="Arial" w:eastAsia="Arial" w:hAnsi="Arial"/>
          <w:sz w:val="18"/>
          <w:szCs w:val="18"/>
          <w:color w:val="000000"/>
        </w:rPr>
        <w:t>understanding of our global workforce and customers assists the Company with further developing our international strategy.</w:t>
      </w:r>
    </w:p>
    <w:p>
      <w:pPr>
        <w:spacing w:after="0" w:line="1020" w:lineRule="exact"/>
        <w:rPr>
          <w:sz w:val="20"/>
          <w:szCs w:val="20"/>
          <w:color w:val="auto"/>
        </w:rPr>
      </w:pPr>
    </w:p>
    <w:p>
      <w:pPr>
        <w:sectPr>
          <w:pgSz w:w="11900" w:h="16838" w:orient="portrait"/>
          <w:cols w:equalWidth="0" w:num="2">
            <w:col w:w="5960" w:space="320"/>
            <w:col w:w="5020"/>
          </w:cols>
          <w:pgMar w:left="320" w:top="1027" w:right="27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ind w:right="60"/>
        <w:spacing w:after="0"/>
        <w:rPr>
          <w:sz w:val="20"/>
          <w:szCs w:val="20"/>
          <w:color w:val="auto"/>
        </w:rPr>
      </w:pPr>
      <w:r>
        <w:rPr>
          <w:rFonts w:ascii="Arial" w:cs="Arial" w:eastAsia="Arial" w:hAnsi="Arial"/>
          <w:sz w:val="21"/>
          <w:szCs w:val="21"/>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300"/>
          </w:cols>
          <w:pgMar w:left="320" w:top="1027" w:right="279" w:bottom="1440" w:gutter="0" w:footer="0" w:header="0"/>
          <w:type w:val="continuous"/>
        </w:sectPr>
      </w:pPr>
    </w:p>
    <w:bookmarkStart w:id="20" w:name="page21"/>
    <w:bookmarkEnd w:id="20"/>
    <w:p>
      <w:pPr>
        <w:ind w:right="120" w:firstLine="320"/>
        <w:spacing w:after="0" w:line="262" w:lineRule="auto"/>
        <w:rPr>
          <w:sz w:val="20"/>
          <w:szCs w:val="20"/>
          <w:color w:val="auto"/>
        </w:rPr>
      </w:pPr>
      <w:r>
        <w:rPr>
          <w:rFonts w:ascii="Arial" w:cs="Arial" w:eastAsia="Arial" w:hAnsi="Arial"/>
          <w:sz w:val="18"/>
          <w:szCs w:val="18"/>
          <w:color w:val="auto"/>
        </w:rPr>
        <w:t>The following chart summarizes the key experience of each director nominee and continuing director in these critical areas, and provides certain demographic information:</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460" w:type="dxa"/>
            <w:vAlign w:val="bottom"/>
            <w:shd w:val="clear" w:color="auto" w:fill="BF2115"/>
          </w:tcPr>
          <w:p>
            <w:pPr>
              <w:spacing w:after="0"/>
              <w:rPr>
                <w:sz w:val="16"/>
                <w:szCs w:val="16"/>
                <w:color w:val="auto"/>
              </w:rPr>
            </w:pPr>
          </w:p>
        </w:tc>
        <w:tc>
          <w:tcPr>
            <w:tcW w:w="960" w:type="dxa"/>
            <w:vAlign w:val="bottom"/>
            <w:vMerge w:val="restart"/>
            <w:shd w:val="clear" w:color="auto" w:fill="BF2115"/>
          </w:tcPr>
          <w:p>
            <w:pPr>
              <w:jc w:val="center"/>
              <w:spacing w:after="0"/>
              <w:rPr>
                <w:sz w:val="20"/>
                <w:szCs w:val="20"/>
                <w:color w:val="auto"/>
              </w:rPr>
            </w:pPr>
            <w:r>
              <w:rPr>
                <w:rFonts w:ascii="Arial" w:cs="Arial" w:eastAsia="Arial" w:hAnsi="Arial"/>
                <w:sz w:val="16"/>
                <w:szCs w:val="16"/>
                <w:b w:val="1"/>
                <w:bCs w:val="1"/>
                <w:color w:val="FFFFFF"/>
              </w:rPr>
              <w:t>Dianne</w:t>
            </w:r>
          </w:p>
        </w:tc>
        <w:tc>
          <w:tcPr>
            <w:tcW w:w="700" w:type="dxa"/>
            <w:vAlign w:val="bottom"/>
            <w:vMerge w:val="restart"/>
            <w:shd w:val="clear" w:color="auto" w:fill="BF2115"/>
          </w:tcPr>
          <w:p>
            <w:pPr>
              <w:jc w:val="center"/>
              <w:spacing w:after="0"/>
              <w:rPr>
                <w:sz w:val="20"/>
                <w:szCs w:val="20"/>
                <w:color w:val="auto"/>
              </w:rPr>
            </w:pPr>
            <w:r>
              <w:rPr>
                <w:rFonts w:ascii="Arial" w:cs="Arial" w:eastAsia="Arial" w:hAnsi="Arial"/>
                <w:sz w:val="16"/>
                <w:szCs w:val="16"/>
                <w:b w:val="1"/>
                <w:bCs w:val="1"/>
                <w:color w:val="FFFFFF"/>
                <w:w w:val="98"/>
              </w:rPr>
              <w:t>Gary</w:t>
            </w:r>
          </w:p>
        </w:tc>
        <w:tc>
          <w:tcPr>
            <w:tcW w:w="860" w:type="dxa"/>
            <w:vAlign w:val="bottom"/>
            <w:vMerge w:val="restart"/>
            <w:shd w:val="clear" w:color="auto" w:fill="BF2115"/>
          </w:tcPr>
          <w:p>
            <w:pPr>
              <w:jc w:val="center"/>
              <w:spacing w:after="0"/>
              <w:rPr>
                <w:sz w:val="20"/>
                <w:szCs w:val="20"/>
                <w:color w:val="auto"/>
              </w:rPr>
            </w:pPr>
            <w:r>
              <w:rPr>
                <w:rFonts w:ascii="Arial" w:cs="Arial" w:eastAsia="Arial" w:hAnsi="Arial"/>
                <w:sz w:val="16"/>
                <w:szCs w:val="16"/>
                <w:b w:val="1"/>
                <w:bCs w:val="1"/>
                <w:color w:val="FFFFFF"/>
                <w:w w:val="99"/>
              </w:rPr>
              <w:t>Eric</w:t>
            </w:r>
          </w:p>
        </w:tc>
        <w:tc>
          <w:tcPr>
            <w:tcW w:w="980" w:type="dxa"/>
            <w:vAlign w:val="bottom"/>
            <w:vMerge w:val="restart"/>
            <w:shd w:val="clear" w:color="auto" w:fill="BF2115"/>
          </w:tcPr>
          <w:p>
            <w:pPr>
              <w:jc w:val="center"/>
              <w:spacing w:after="0"/>
              <w:rPr>
                <w:sz w:val="20"/>
                <w:szCs w:val="20"/>
                <w:color w:val="auto"/>
              </w:rPr>
            </w:pPr>
            <w:r>
              <w:rPr>
                <w:rFonts w:ascii="Arial" w:cs="Arial" w:eastAsia="Arial" w:hAnsi="Arial"/>
                <w:sz w:val="16"/>
                <w:szCs w:val="16"/>
                <w:b w:val="1"/>
                <w:bCs w:val="1"/>
                <w:color w:val="FFFFFF"/>
                <w:w w:val="99"/>
              </w:rPr>
              <w:t>Jeffrey</w:t>
            </w:r>
          </w:p>
        </w:tc>
        <w:tc>
          <w:tcPr>
            <w:tcW w:w="860" w:type="dxa"/>
            <w:vAlign w:val="bottom"/>
            <w:shd w:val="clear" w:color="auto" w:fill="BF2115"/>
          </w:tcPr>
          <w:p>
            <w:pPr>
              <w:jc w:val="center"/>
              <w:spacing w:after="0"/>
              <w:rPr>
                <w:sz w:val="20"/>
                <w:szCs w:val="20"/>
                <w:color w:val="auto"/>
              </w:rPr>
            </w:pPr>
            <w:r>
              <w:rPr>
                <w:rFonts w:ascii="Arial" w:cs="Arial" w:eastAsia="Arial" w:hAnsi="Arial"/>
                <w:sz w:val="16"/>
                <w:szCs w:val="16"/>
                <w:b w:val="1"/>
                <w:bCs w:val="1"/>
                <w:color w:val="FFFFFF"/>
                <w:w w:val="99"/>
              </w:rPr>
              <w:t>D.</w:t>
            </w:r>
          </w:p>
        </w:tc>
        <w:tc>
          <w:tcPr>
            <w:tcW w:w="740" w:type="dxa"/>
            <w:vAlign w:val="bottom"/>
            <w:vMerge w:val="restart"/>
            <w:shd w:val="clear" w:color="auto" w:fill="BF2115"/>
          </w:tcPr>
          <w:p>
            <w:pPr>
              <w:jc w:val="center"/>
              <w:spacing w:after="0"/>
              <w:rPr>
                <w:sz w:val="20"/>
                <w:szCs w:val="20"/>
                <w:color w:val="auto"/>
              </w:rPr>
            </w:pPr>
            <w:r>
              <w:rPr>
                <w:rFonts w:ascii="Arial" w:cs="Arial" w:eastAsia="Arial" w:hAnsi="Arial"/>
                <w:sz w:val="16"/>
                <w:szCs w:val="16"/>
                <w:b w:val="1"/>
                <w:bCs w:val="1"/>
                <w:color w:val="FFFFFF"/>
                <w:w w:val="96"/>
              </w:rPr>
              <w:t>Joyce</w:t>
            </w:r>
          </w:p>
        </w:tc>
        <w:tc>
          <w:tcPr>
            <w:tcW w:w="820" w:type="dxa"/>
            <w:vAlign w:val="bottom"/>
            <w:vMerge w:val="restart"/>
            <w:shd w:val="clear" w:color="auto" w:fill="BF2115"/>
          </w:tcPr>
          <w:p>
            <w:pPr>
              <w:jc w:val="center"/>
              <w:spacing w:after="0"/>
              <w:rPr>
                <w:sz w:val="20"/>
                <w:szCs w:val="20"/>
                <w:color w:val="auto"/>
              </w:rPr>
            </w:pPr>
            <w:r>
              <w:rPr>
                <w:rFonts w:ascii="Arial" w:cs="Arial" w:eastAsia="Arial" w:hAnsi="Arial"/>
                <w:sz w:val="16"/>
                <w:szCs w:val="16"/>
                <w:b w:val="1"/>
                <w:bCs w:val="1"/>
                <w:color w:val="FFFFFF"/>
              </w:rPr>
              <w:t>Richard</w:t>
            </w:r>
          </w:p>
        </w:tc>
        <w:tc>
          <w:tcPr>
            <w:tcW w:w="960" w:type="dxa"/>
            <w:vAlign w:val="bottom"/>
            <w:vMerge w:val="restart"/>
            <w:shd w:val="clear" w:color="auto" w:fill="BF2115"/>
          </w:tcPr>
          <w:p>
            <w:pPr>
              <w:jc w:val="center"/>
              <w:spacing w:after="0"/>
              <w:rPr>
                <w:sz w:val="20"/>
                <w:szCs w:val="20"/>
                <w:color w:val="auto"/>
              </w:rPr>
            </w:pPr>
            <w:r>
              <w:rPr>
                <w:rFonts w:ascii="Arial" w:cs="Arial" w:eastAsia="Arial" w:hAnsi="Arial"/>
                <w:sz w:val="16"/>
                <w:szCs w:val="16"/>
                <w:b w:val="1"/>
                <w:bCs w:val="1"/>
                <w:color w:val="FFFFFF"/>
              </w:rPr>
              <w:t>James</w:t>
            </w:r>
          </w:p>
        </w:tc>
        <w:tc>
          <w:tcPr>
            <w:tcW w:w="840" w:type="dxa"/>
            <w:vAlign w:val="bottom"/>
            <w:vMerge w:val="restart"/>
            <w:shd w:val="clear" w:color="auto" w:fill="BF2115"/>
          </w:tcPr>
          <w:p>
            <w:pPr>
              <w:ind w:left="260"/>
              <w:spacing w:after="0"/>
              <w:rPr>
                <w:sz w:val="20"/>
                <w:szCs w:val="20"/>
                <w:color w:val="auto"/>
              </w:rPr>
            </w:pPr>
            <w:r>
              <w:rPr>
                <w:rFonts w:ascii="Arial" w:cs="Arial" w:eastAsia="Arial" w:hAnsi="Arial"/>
                <w:sz w:val="16"/>
                <w:szCs w:val="16"/>
                <w:b w:val="1"/>
                <w:bCs w:val="1"/>
                <w:color w:val="FFFFFF"/>
              </w:rPr>
              <w:t>Jill</w:t>
            </w:r>
          </w:p>
        </w:tc>
        <w:tc>
          <w:tcPr>
            <w:tcW w:w="0" w:type="dxa"/>
            <w:vAlign w:val="bottom"/>
          </w:tcPr>
          <w:p>
            <w:pPr>
              <w:spacing w:after="0"/>
              <w:rPr>
                <w:sz w:val="1"/>
                <w:szCs w:val="1"/>
                <w:color w:val="auto"/>
              </w:rPr>
            </w:pPr>
          </w:p>
        </w:tc>
      </w:tr>
      <w:tr>
        <w:trPr>
          <w:trHeight w:val="80"/>
        </w:trPr>
        <w:tc>
          <w:tcPr>
            <w:tcW w:w="3460" w:type="dxa"/>
            <w:vAlign w:val="bottom"/>
            <w:vMerge w:val="restart"/>
            <w:shd w:val="clear" w:color="auto" w:fill="BF2115"/>
          </w:tcPr>
          <w:p>
            <w:pPr>
              <w:ind w:left="20"/>
              <w:spacing w:after="0"/>
              <w:rPr>
                <w:sz w:val="20"/>
                <w:szCs w:val="20"/>
                <w:color w:val="auto"/>
              </w:rPr>
            </w:pPr>
            <w:r>
              <w:rPr>
                <w:rFonts w:ascii="Arial" w:cs="Arial" w:eastAsia="Arial" w:hAnsi="Arial"/>
                <w:sz w:val="16"/>
                <w:szCs w:val="16"/>
                <w:b w:val="1"/>
                <w:bCs w:val="1"/>
                <w:color w:val="FFFFFF"/>
              </w:rPr>
              <w:t>Experience as an Executive Leader in the</w:t>
            </w:r>
          </w:p>
        </w:tc>
        <w:tc>
          <w:tcPr>
            <w:tcW w:w="960" w:type="dxa"/>
            <w:vAlign w:val="bottom"/>
            <w:vMerge w:val="continue"/>
            <w:shd w:val="clear" w:color="auto" w:fill="BF2115"/>
          </w:tcPr>
          <w:p>
            <w:pPr>
              <w:spacing w:after="0"/>
              <w:rPr>
                <w:sz w:val="6"/>
                <w:szCs w:val="6"/>
                <w:color w:val="auto"/>
              </w:rPr>
            </w:pPr>
          </w:p>
        </w:tc>
        <w:tc>
          <w:tcPr>
            <w:tcW w:w="700" w:type="dxa"/>
            <w:vAlign w:val="bottom"/>
            <w:vMerge w:val="continue"/>
            <w:shd w:val="clear" w:color="auto" w:fill="BF2115"/>
          </w:tcPr>
          <w:p>
            <w:pPr>
              <w:spacing w:after="0"/>
              <w:rPr>
                <w:sz w:val="6"/>
                <w:szCs w:val="6"/>
                <w:color w:val="auto"/>
              </w:rPr>
            </w:pPr>
          </w:p>
        </w:tc>
        <w:tc>
          <w:tcPr>
            <w:tcW w:w="860" w:type="dxa"/>
            <w:vAlign w:val="bottom"/>
            <w:vMerge w:val="continue"/>
            <w:shd w:val="clear" w:color="auto" w:fill="BF2115"/>
          </w:tcPr>
          <w:p>
            <w:pPr>
              <w:spacing w:after="0"/>
              <w:rPr>
                <w:sz w:val="6"/>
                <w:szCs w:val="6"/>
                <w:color w:val="auto"/>
              </w:rPr>
            </w:pPr>
          </w:p>
        </w:tc>
        <w:tc>
          <w:tcPr>
            <w:tcW w:w="980" w:type="dxa"/>
            <w:vAlign w:val="bottom"/>
            <w:vMerge w:val="continue"/>
            <w:shd w:val="clear" w:color="auto" w:fill="BF2115"/>
          </w:tcPr>
          <w:p>
            <w:pPr>
              <w:spacing w:after="0"/>
              <w:rPr>
                <w:sz w:val="6"/>
                <w:szCs w:val="6"/>
                <w:color w:val="auto"/>
              </w:rPr>
            </w:pPr>
          </w:p>
        </w:tc>
        <w:tc>
          <w:tcPr>
            <w:tcW w:w="860" w:type="dxa"/>
            <w:vAlign w:val="bottom"/>
            <w:vMerge w:val="restart"/>
            <w:shd w:val="clear" w:color="auto" w:fill="BF2115"/>
          </w:tcPr>
          <w:p>
            <w:pPr>
              <w:jc w:val="center"/>
              <w:spacing w:after="0"/>
              <w:rPr>
                <w:sz w:val="20"/>
                <w:szCs w:val="20"/>
                <w:color w:val="auto"/>
              </w:rPr>
            </w:pPr>
            <w:r>
              <w:rPr>
                <w:rFonts w:ascii="Arial" w:cs="Arial" w:eastAsia="Arial" w:hAnsi="Arial"/>
                <w:sz w:val="16"/>
                <w:szCs w:val="16"/>
                <w:b w:val="1"/>
                <w:bCs w:val="1"/>
                <w:color w:val="FFFFFF"/>
                <w:w w:val="97"/>
              </w:rPr>
              <w:t>Christian</w:t>
            </w:r>
          </w:p>
        </w:tc>
        <w:tc>
          <w:tcPr>
            <w:tcW w:w="740" w:type="dxa"/>
            <w:vAlign w:val="bottom"/>
            <w:vMerge w:val="continue"/>
            <w:shd w:val="clear" w:color="auto" w:fill="BF2115"/>
          </w:tcPr>
          <w:p>
            <w:pPr>
              <w:spacing w:after="0"/>
              <w:rPr>
                <w:sz w:val="6"/>
                <w:szCs w:val="6"/>
                <w:color w:val="auto"/>
              </w:rPr>
            </w:pPr>
          </w:p>
        </w:tc>
        <w:tc>
          <w:tcPr>
            <w:tcW w:w="820" w:type="dxa"/>
            <w:vAlign w:val="bottom"/>
            <w:vMerge w:val="continue"/>
            <w:shd w:val="clear" w:color="auto" w:fill="BF2115"/>
          </w:tcPr>
          <w:p>
            <w:pPr>
              <w:spacing w:after="0"/>
              <w:rPr>
                <w:sz w:val="6"/>
                <w:szCs w:val="6"/>
                <w:color w:val="auto"/>
              </w:rPr>
            </w:pPr>
          </w:p>
        </w:tc>
        <w:tc>
          <w:tcPr>
            <w:tcW w:w="960" w:type="dxa"/>
            <w:vAlign w:val="bottom"/>
            <w:vMerge w:val="continue"/>
            <w:shd w:val="clear" w:color="auto" w:fill="BF2115"/>
          </w:tcPr>
          <w:p>
            <w:pPr>
              <w:spacing w:after="0"/>
              <w:rPr>
                <w:sz w:val="6"/>
                <w:szCs w:val="6"/>
                <w:color w:val="auto"/>
              </w:rPr>
            </w:pPr>
          </w:p>
        </w:tc>
        <w:tc>
          <w:tcPr>
            <w:tcW w:w="840" w:type="dxa"/>
            <w:vAlign w:val="bottom"/>
            <w:vMerge w:val="continue"/>
            <w:shd w:val="clear" w:color="auto" w:fill="BF2115"/>
          </w:tcPr>
          <w:p>
            <w:pPr>
              <w:spacing w:after="0"/>
              <w:rPr>
                <w:sz w:val="6"/>
                <w:szCs w:val="6"/>
                <w:color w:val="auto"/>
              </w:rPr>
            </w:pPr>
          </w:p>
        </w:tc>
        <w:tc>
          <w:tcPr>
            <w:tcW w:w="0" w:type="dxa"/>
            <w:vAlign w:val="bottom"/>
          </w:tcPr>
          <w:p>
            <w:pPr>
              <w:spacing w:after="0"/>
              <w:rPr>
                <w:sz w:val="1"/>
                <w:szCs w:val="1"/>
                <w:color w:val="auto"/>
              </w:rPr>
            </w:pPr>
          </w:p>
        </w:tc>
      </w:tr>
      <w:tr>
        <w:trPr>
          <w:trHeight w:val="174"/>
        </w:trPr>
        <w:tc>
          <w:tcPr>
            <w:tcW w:w="3460" w:type="dxa"/>
            <w:vAlign w:val="bottom"/>
            <w:vMerge w:val="continue"/>
            <w:shd w:val="clear" w:color="auto" w:fill="BF2115"/>
          </w:tcPr>
          <w:p>
            <w:pPr>
              <w:spacing w:after="0"/>
              <w:rPr>
                <w:sz w:val="15"/>
                <w:szCs w:val="15"/>
                <w:color w:val="auto"/>
              </w:rPr>
            </w:pPr>
          </w:p>
        </w:tc>
        <w:tc>
          <w:tcPr>
            <w:tcW w:w="960" w:type="dxa"/>
            <w:vAlign w:val="bottom"/>
            <w:shd w:val="clear" w:color="auto" w:fill="BF2115"/>
          </w:tcPr>
          <w:p>
            <w:pPr>
              <w:jc w:val="center"/>
              <w:spacing w:after="0" w:line="175" w:lineRule="exact"/>
              <w:rPr>
                <w:sz w:val="20"/>
                <w:szCs w:val="20"/>
                <w:color w:val="auto"/>
              </w:rPr>
            </w:pPr>
            <w:r>
              <w:rPr>
                <w:rFonts w:ascii="Arial" w:cs="Arial" w:eastAsia="Arial" w:hAnsi="Arial"/>
                <w:sz w:val="16"/>
                <w:szCs w:val="16"/>
                <w:b w:val="1"/>
                <w:bCs w:val="1"/>
                <w:color w:val="FFFFFF"/>
                <w:w w:val="97"/>
              </w:rPr>
              <w:t>Craig</w:t>
            </w:r>
          </w:p>
        </w:tc>
        <w:tc>
          <w:tcPr>
            <w:tcW w:w="700" w:type="dxa"/>
            <w:vAlign w:val="bottom"/>
            <w:shd w:val="clear" w:color="auto" w:fill="BF2115"/>
          </w:tcPr>
          <w:p>
            <w:pPr>
              <w:jc w:val="center"/>
              <w:spacing w:after="0" w:line="175" w:lineRule="exact"/>
              <w:rPr>
                <w:sz w:val="20"/>
                <w:szCs w:val="20"/>
                <w:color w:val="auto"/>
              </w:rPr>
            </w:pPr>
            <w:r>
              <w:rPr>
                <w:rFonts w:ascii="Arial" w:cs="Arial" w:eastAsia="Arial" w:hAnsi="Arial"/>
                <w:sz w:val="16"/>
                <w:szCs w:val="16"/>
                <w:b w:val="1"/>
                <w:bCs w:val="1"/>
                <w:color w:val="FFFFFF"/>
                <w:w w:val="97"/>
              </w:rPr>
              <w:t>Ellis</w:t>
            </w:r>
          </w:p>
        </w:tc>
        <w:tc>
          <w:tcPr>
            <w:tcW w:w="1840" w:type="dxa"/>
            <w:vAlign w:val="bottom"/>
            <w:gridSpan w:val="2"/>
            <w:shd w:val="clear" w:color="auto" w:fill="BF2115"/>
          </w:tcPr>
          <w:p>
            <w:pPr>
              <w:ind w:left="140"/>
              <w:spacing w:after="0" w:line="175" w:lineRule="exact"/>
              <w:rPr>
                <w:sz w:val="20"/>
                <w:szCs w:val="20"/>
                <w:color w:val="auto"/>
              </w:rPr>
            </w:pPr>
            <w:r>
              <w:rPr>
                <w:rFonts w:ascii="Arial" w:cs="Arial" w:eastAsia="Arial" w:hAnsi="Arial"/>
                <w:sz w:val="16"/>
                <w:szCs w:val="16"/>
                <w:b w:val="1"/>
                <w:bCs w:val="1"/>
                <w:color w:val="FFFFFF"/>
              </w:rPr>
              <w:t>Hansotia  Harmening</w:t>
            </w:r>
          </w:p>
        </w:tc>
        <w:tc>
          <w:tcPr>
            <w:tcW w:w="860" w:type="dxa"/>
            <w:vAlign w:val="bottom"/>
            <w:vMerge w:val="continue"/>
            <w:shd w:val="clear" w:color="auto" w:fill="BF2115"/>
          </w:tcPr>
          <w:p>
            <w:pPr>
              <w:spacing w:after="0"/>
              <w:rPr>
                <w:sz w:val="15"/>
                <w:szCs w:val="15"/>
                <w:color w:val="auto"/>
              </w:rPr>
            </w:pPr>
          </w:p>
        </w:tc>
        <w:tc>
          <w:tcPr>
            <w:tcW w:w="740" w:type="dxa"/>
            <w:vAlign w:val="bottom"/>
            <w:shd w:val="clear" w:color="auto" w:fill="BF2115"/>
          </w:tcPr>
          <w:p>
            <w:pPr>
              <w:jc w:val="center"/>
              <w:spacing w:after="0" w:line="175" w:lineRule="exact"/>
              <w:rPr>
                <w:sz w:val="20"/>
                <w:szCs w:val="20"/>
                <w:color w:val="auto"/>
              </w:rPr>
            </w:pPr>
            <w:r>
              <w:rPr>
                <w:rFonts w:ascii="Arial" w:cs="Arial" w:eastAsia="Arial" w:hAnsi="Arial"/>
                <w:sz w:val="16"/>
                <w:szCs w:val="16"/>
                <w:b w:val="1"/>
                <w:bCs w:val="1"/>
                <w:color w:val="FFFFFF"/>
              </w:rPr>
              <w:t>Mullen</w:t>
            </w:r>
          </w:p>
        </w:tc>
        <w:tc>
          <w:tcPr>
            <w:tcW w:w="820" w:type="dxa"/>
            <w:vAlign w:val="bottom"/>
            <w:shd w:val="clear" w:color="auto" w:fill="BF2115"/>
          </w:tcPr>
          <w:p>
            <w:pPr>
              <w:jc w:val="center"/>
              <w:spacing w:after="0" w:line="175" w:lineRule="exact"/>
              <w:rPr>
                <w:sz w:val="20"/>
                <w:szCs w:val="20"/>
                <w:color w:val="auto"/>
              </w:rPr>
            </w:pPr>
            <w:r>
              <w:rPr>
                <w:rFonts w:ascii="Arial" w:cs="Arial" w:eastAsia="Arial" w:hAnsi="Arial"/>
                <w:sz w:val="16"/>
                <w:szCs w:val="16"/>
                <w:b w:val="1"/>
                <w:bCs w:val="1"/>
                <w:color w:val="FFFFFF"/>
                <w:w w:val="96"/>
              </w:rPr>
              <w:t>Olson</w:t>
            </w:r>
          </w:p>
        </w:tc>
        <w:tc>
          <w:tcPr>
            <w:tcW w:w="1800" w:type="dxa"/>
            <w:vAlign w:val="bottom"/>
            <w:gridSpan w:val="2"/>
            <w:shd w:val="clear" w:color="auto" w:fill="BF2115"/>
          </w:tcPr>
          <w:p>
            <w:pPr>
              <w:ind w:left="100"/>
              <w:spacing w:after="0" w:line="175" w:lineRule="exact"/>
              <w:rPr>
                <w:sz w:val="20"/>
                <w:szCs w:val="20"/>
                <w:color w:val="auto"/>
              </w:rPr>
            </w:pPr>
            <w:r>
              <w:rPr>
                <w:rFonts w:ascii="Arial" w:cs="Arial" w:eastAsia="Arial" w:hAnsi="Arial"/>
                <w:sz w:val="16"/>
                <w:szCs w:val="16"/>
                <w:b w:val="1"/>
                <w:bCs w:val="1"/>
                <w:color w:val="FFFFFF"/>
              </w:rPr>
              <w:t>O'Rourke Pemberton</w:t>
            </w:r>
          </w:p>
        </w:tc>
        <w:tc>
          <w:tcPr>
            <w:tcW w:w="0" w:type="dxa"/>
            <w:vAlign w:val="bottom"/>
          </w:tcPr>
          <w:p>
            <w:pPr>
              <w:spacing w:after="0"/>
              <w:rPr>
                <w:sz w:val="1"/>
                <w:szCs w:val="1"/>
                <w:color w:val="auto"/>
              </w:rPr>
            </w:pPr>
          </w:p>
        </w:tc>
      </w:tr>
      <w:tr>
        <w:trPr>
          <w:trHeight w:val="160"/>
        </w:trPr>
        <w:tc>
          <w:tcPr>
            <w:tcW w:w="3460" w:type="dxa"/>
            <w:vAlign w:val="bottom"/>
            <w:shd w:val="clear" w:color="auto" w:fill="BF2115"/>
          </w:tcPr>
          <w:p>
            <w:pPr>
              <w:ind w:left="20"/>
              <w:spacing w:after="0" w:line="160" w:lineRule="exact"/>
              <w:rPr>
                <w:sz w:val="20"/>
                <w:szCs w:val="20"/>
                <w:color w:val="auto"/>
              </w:rPr>
            </w:pPr>
            <w:r>
              <w:rPr>
                <w:rFonts w:ascii="Arial" w:cs="Arial" w:eastAsia="Arial" w:hAnsi="Arial"/>
                <w:sz w:val="16"/>
                <w:szCs w:val="16"/>
                <w:b w:val="1"/>
                <w:bCs w:val="1"/>
                <w:color w:val="FFFFFF"/>
              </w:rPr>
              <w:t>Following Areas</w:t>
            </w:r>
          </w:p>
        </w:tc>
        <w:tc>
          <w:tcPr>
            <w:tcW w:w="960" w:type="dxa"/>
            <w:vAlign w:val="bottom"/>
            <w:shd w:val="clear" w:color="auto" w:fill="BF2115"/>
          </w:tcPr>
          <w:p>
            <w:pPr>
              <w:spacing w:after="0"/>
              <w:rPr>
                <w:sz w:val="13"/>
                <w:szCs w:val="13"/>
                <w:color w:val="auto"/>
              </w:rPr>
            </w:pPr>
          </w:p>
        </w:tc>
        <w:tc>
          <w:tcPr>
            <w:tcW w:w="700" w:type="dxa"/>
            <w:vAlign w:val="bottom"/>
            <w:shd w:val="clear" w:color="auto" w:fill="BF2115"/>
          </w:tcPr>
          <w:p>
            <w:pPr>
              <w:spacing w:after="0"/>
              <w:rPr>
                <w:sz w:val="13"/>
                <w:szCs w:val="13"/>
                <w:color w:val="auto"/>
              </w:rPr>
            </w:pPr>
          </w:p>
        </w:tc>
        <w:tc>
          <w:tcPr>
            <w:tcW w:w="860" w:type="dxa"/>
            <w:vAlign w:val="bottom"/>
            <w:shd w:val="clear" w:color="auto" w:fill="BF2115"/>
          </w:tcPr>
          <w:p>
            <w:pPr>
              <w:spacing w:after="0"/>
              <w:rPr>
                <w:sz w:val="13"/>
                <w:szCs w:val="13"/>
                <w:color w:val="auto"/>
              </w:rPr>
            </w:pPr>
          </w:p>
        </w:tc>
        <w:tc>
          <w:tcPr>
            <w:tcW w:w="980" w:type="dxa"/>
            <w:vAlign w:val="bottom"/>
            <w:shd w:val="clear" w:color="auto" w:fill="BF2115"/>
          </w:tcPr>
          <w:p>
            <w:pPr>
              <w:spacing w:after="0"/>
              <w:rPr>
                <w:sz w:val="13"/>
                <w:szCs w:val="13"/>
                <w:color w:val="auto"/>
              </w:rPr>
            </w:pPr>
          </w:p>
        </w:tc>
        <w:tc>
          <w:tcPr>
            <w:tcW w:w="860" w:type="dxa"/>
            <w:vAlign w:val="bottom"/>
            <w:shd w:val="clear" w:color="auto" w:fill="BF2115"/>
          </w:tcPr>
          <w:p>
            <w:pPr>
              <w:jc w:val="center"/>
              <w:spacing w:after="0" w:line="160" w:lineRule="exact"/>
              <w:rPr>
                <w:sz w:val="20"/>
                <w:szCs w:val="20"/>
                <w:color w:val="auto"/>
              </w:rPr>
            </w:pPr>
            <w:r>
              <w:rPr>
                <w:rFonts w:ascii="Arial" w:cs="Arial" w:eastAsia="Arial" w:hAnsi="Arial"/>
                <w:sz w:val="16"/>
                <w:szCs w:val="16"/>
                <w:b w:val="1"/>
                <w:bCs w:val="1"/>
                <w:color w:val="FFFFFF"/>
                <w:w w:val="99"/>
              </w:rPr>
              <w:t>Koch</w:t>
            </w:r>
          </w:p>
        </w:tc>
        <w:tc>
          <w:tcPr>
            <w:tcW w:w="740" w:type="dxa"/>
            <w:vAlign w:val="bottom"/>
            <w:shd w:val="clear" w:color="auto" w:fill="BF2115"/>
          </w:tcPr>
          <w:p>
            <w:pPr>
              <w:spacing w:after="0"/>
              <w:rPr>
                <w:sz w:val="13"/>
                <w:szCs w:val="13"/>
                <w:color w:val="auto"/>
              </w:rPr>
            </w:pPr>
          </w:p>
        </w:tc>
        <w:tc>
          <w:tcPr>
            <w:tcW w:w="820" w:type="dxa"/>
            <w:vAlign w:val="bottom"/>
            <w:shd w:val="clear" w:color="auto" w:fill="BF2115"/>
          </w:tcPr>
          <w:p>
            <w:pPr>
              <w:spacing w:after="0"/>
              <w:rPr>
                <w:sz w:val="13"/>
                <w:szCs w:val="13"/>
                <w:color w:val="auto"/>
              </w:rPr>
            </w:pPr>
          </w:p>
        </w:tc>
        <w:tc>
          <w:tcPr>
            <w:tcW w:w="960" w:type="dxa"/>
            <w:vAlign w:val="bottom"/>
            <w:shd w:val="clear" w:color="auto" w:fill="BF2115"/>
          </w:tcPr>
          <w:p>
            <w:pPr>
              <w:spacing w:after="0"/>
              <w:rPr>
                <w:sz w:val="13"/>
                <w:szCs w:val="13"/>
                <w:color w:val="auto"/>
              </w:rPr>
            </w:pPr>
          </w:p>
        </w:tc>
        <w:tc>
          <w:tcPr>
            <w:tcW w:w="840" w:type="dxa"/>
            <w:vAlign w:val="bottom"/>
            <w:shd w:val="clear" w:color="auto" w:fill="BF2115"/>
          </w:tcPr>
          <w:p>
            <w:pPr>
              <w:spacing w:after="0"/>
              <w:rPr>
                <w:sz w:val="13"/>
                <w:szCs w:val="13"/>
                <w:color w:val="auto"/>
              </w:rPr>
            </w:pPr>
          </w:p>
        </w:tc>
        <w:tc>
          <w:tcPr>
            <w:tcW w:w="0" w:type="dxa"/>
            <w:vAlign w:val="bottom"/>
          </w:tcPr>
          <w:p>
            <w:pPr>
              <w:spacing w:after="0"/>
              <w:rPr>
                <w:sz w:val="1"/>
                <w:szCs w:val="1"/>
                <w:color w:val="auto"/>
              </w:rPr>
            </w:pPr>
          </w:p>
        </w:tc>
      </w:tr>
      <w:tr>
        <w:trPr>
          <w:trHeight w:val="294"/>
        </w:trPr>
        <w:tc>
          <w:tcPr>
            <w:tcW w:w="3460" w:type="dxa"/>
            <w:vAlign w:val="bottom"/>
          </w:tcPr>
          <w:p>
            <w:pPr>
              <w:ind w:left="20"/>
              <w:spacing w:after="0"/>
              <w:rPr>
                <w:sz w:val="20"/>
                <w:szCs w:val="20"/>
                <w:color w:val="auto"/>
              </w:rPr>
            </w:pPr>
            <w:r>
              <w:rPr>
                <w:rFonts w:ascii="Arial" w:cs="Arial" w:eastAsia="Arial" w:hAnsi="Arial"/>
                <w:sz w:val="18"/>
                <w:szCs w:val="18"/>
                <w:color w:val="auto"/>
              </w:rPr>
              <w:t>Current/Former CEO</w:t>
            </w:r>
          </w:p>
        </w:tc>
        <w:tc>
          <w:tcPr>
            <w:tcW w:w="960" w:type="dxa"/>
            <w:vAlign w:val="bottom"/>
          </w:tcPr>
          <w:p>
            <w:pPr>
              <w:jc w:val="center"/>
              <w:spacing w:after="0" w:line="211" w:lineRule="exact"/>
              <w:rPr>
                <w:sz w:val="20"/>
                <w:szCs w:val="20"/>
                <w:color w:val="auto"/>
              </w:rPr>
            </w:pPr>
            <w:r>
              <w:rPr>
                <w:rFonts w:ascii="MS PGothic" w:cs="MS PGothic" w:eastAsia="MS PGothic" w:hAnsi="MS PGothic"/>
                <w:sz w:val="21"/>
                <w:szCs w:val="21"/>
                <w:color w:val="auto"/>
                <w:w w:val="85"/>
                <w:shd w:val="clear" w:color="auto" w:fill="C00000"/>
              </w:rPr>
              <w:t>✓</w:t>
            </w:r>
          </w:p>
        </w:tc>
        <w:tc>
          <w:tcPr>
            <w:tcW w:w="700" w:type="dxa"/>
            <w:vAlign w:val="bottom"/>
          </w:tcPr>
          <w:p>
            <w:pPr>
              <w:spacing w:after="0"/>
              <w:rPr>
                <w:sz w:val="24"/>
                <w:szCs w:val="24"/>
                <w:color w:val="auto"/>
              </w:rPr>
            </w:pPr>
          </w:p>
        </w:tc>
        <w:tc>
          <w:tcPr>
            <w:tcW w:w="860" w:type="dxa"/>
            <w:vAlign w:val="bottom"/>
          </w:tcPr>
          <w:p>
            <w:pPr>
              <w:jc w:val="center"/>
              <w:spacing w:after="0" w:line="211" w:lineRule="exact"/>
              <w:rPr>
                <w:sz w:val="20"/>
                <w:szCs w:val="20"/>
                <w:color w:val="auto"/>
              </w:rPr>
            </w:pPr>
            <w:r>
              <w:rPr>
                <w:rFonts w:ascii="MS PGothic" w:cs="MS PGothic" w:eastAsia="MS PGothic" w:hAnsi="MS PGothic"/>
                <w:sz w:val="21"/>
                <w:szCs w:val="21"/>
                <w:color w:val="auto"/>
                <w:w w:val="75"/>
                <w:shd w:val="clear" w:color="auto" w:fill="C00000"/>
              </w:rPr>
              <w:t>✓</w:t>
            </w:r>
          </w:p>
        </w:tc>
        <w:tc>
          <w:tcPr>
            <w:tcW w:w="980" w:type="dxa"/>
            <w:vAlign w:val="bottom"/>
          </w:tcPr>
          <w:p>
            <w:pPr>
              <w:jc w:val="center"/>
              <w:spacing w:after="0" w:line="211" w:lineRule="exact"/>
              <w:rPr>
                <w:sz w:val="20"/>
                <w:szCs w:val="20"/>
                <w:color w:val="auto"/>
              </w:rPr>
            </w:pPr>
            <w:r>
              <w:rPr>
                <w:rFonts w:ascii="MS PGothic" w:cs="MS PGothic" w:eastAsia="MS PGothic" w:hAnsi="MS PGothic"/>
                <w:sz w:val="21"/>
                <w:szCs w:val="21"/>
                <w:color w:val="auto"/>
                <w:w w:val="85"/>
                <w:shd w:val="clear" w:color="auto" w:fill="C00000"/>
              </w:rPr>
              <w:t>✓</w:t>
            </w:r>
          </w:p>
        </w:tc>
        <w:tc>
          <w:tcPr>
            <w:tcW w:w="860" w:type="dxa"/>
            <w:vAlign w:val="bottom"/>
          </w:tcPr>
          <w:p>
            <w:pPr>
              <w:jc w:val="center"/>
              <w:spacing w:after="0" w:line="211" w:lineRule="exact"/>
              <w:rPr>
                <w:sz w:val="20"/>
                <w:szCs w:val="20"/>
                <w:color w:val="auto"/>
              </w:rPr>
            </w:pPr>
            <w:r>
              <w:rPr>
                <w:rFonts w:ascii="MS PGothic" w:cs="MS PGothic" w:eastAsia="MS PGothic" w:hAnsi="MS PGothic"/>
                <w:sz w:val="21"/>
                <w:szCs w:val="21"/>
                <w:color w:val="auto"/>
                <w:w w:val="85"/>
                <w:shd w:val="clear" w:color="auto" w:fill="C00000"/>
              </w:rPr>
              <w:t>✓</w:t>
            </w:r>
          </w:p>
        </w:tc>
        <w:tc>
          <w:tcPr>
            <w:tcW w:w="740" w:type="dxa"/>
            <w:vAlign w:val="bottom"/>
          </w:tcPr>
          <w:p>
            <w:pPr>
              <w:jc w:val="center"/>
              <w:spacing w:after="0" w:line="211" w:lineRule="exact"/>
              <w:rPr>
                <w:sz w:val="20"/>
                <w:szCs w:val="20"/>
                <w:color w:val="auto"/>
              </w:rPr>
            </w:pPr>
            <w:r>
              <w:rPr>
                <w:rFonts w:ascii="MS PGothic" w:cs="MS PGothic" w:eastAsia="MS PGothic" w:hAnsi="MS PGothic"/>
                <w:sz w:val="21"/>
                <w:szCs w:val="21"/>
                <w:color w:val="auto"/>
                <w:w w:val="85"/>
                <w:shd w:val="clear" w:color="auto" w:fill="C00000"/>
              </w:rPr>
              <w:t>✓</w:t>
            </w:r>
          </w:p>
        </w:tc>
        <w:tc>
          <w:tcPr>
            <w:tcW w:w="820" w:type="dxa"/>
            <w:vAlign w:val="bottom"/>
          </w:tcPr>
          <w:p>
            <w:pPr>
              <w:jc w:val="center"/>
              <w:spacing w:after="0" w:line="211" w:lineRule="exact"/>
              <w:rPr>
                <w:sz w:val="20"/>
                <w:szCs w:val="20"/>
                <w:color w:val="auto"/>
              </w:rPr>
            </w:pPr>
            <w:r>
              <w:rPr>
                <w:rFonts w:ascii="MS PGothic" w:cs="MS PGothic" w:eastAsia="MS PGothic" w:hAnsi="MS PGothic"/>
                <w:sz w:val="21"/>
                <w:szCs w:val="21"/>
                <w:color w:val="auto"/>
                <w:w w:val="85"/>
                <w:shd w:val="clear" w:color="auto" w:fill="C00000"/>
              </w:rPr>
              <w:t>✓</w:t>
            </w:r>
          </w:p>
        </w:tc>
        <w:tc>
          <w:tcPr>
            <w:tcW w:w="960" w:type="dxa"/>
            <w:vAlign w:val="bottom"/>
          </w:tcPr>
          <w:p>
            <w:pPr>
              <w:jc w:val="center"/>
              <w:spacing w:after="0" w:line="211" w:lineRule="exact"/>
              <w:rPr>
                <w:sz w:val="20"/>
                <w:szCs w:val="20"/>
                <w:color w:val="auto"/>
              </w:rPr>
            </w:pPr>
            <w:r>
              <w:rPr>
                <w:rFonts w:ascii="MS PGothic" w:cs="MS PGothic" w:eastAsia="MS PGothic" w:hAnsi="MS PGothic"/>
                <w:sz w:val="21"/>
                <w:szCs w:val="21"/>
                <w:color w:val="auto"/>
                <w:w w:val="85"/>
                <w:shd w:val="clear" w:color="auto" w:fill="C00000"/>
              </w:rPr>
              <w:t>✓</w:t>
            </w: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4"/>
        </w:trPr>
        <w:tc>
          <w:tcPr>
            <w:tcW w:w="3460" w:type="dxa"/>
            <w:vAlign w:val="bottom"/>
            <w:shd w:val="clear" w:color="auto" w:fill="DBDBDB"/>
          </w:tcPr>
          <w:p>
            <w:pPr>
              <w:ind w:left="20"/>
              <w:spacing w:after="0"/>
              <w:rPr>
                <w:sz w:val="20"/>
                <w:szCs w:val="20"/>
                <w:color w:val="auto"/>
              </w:rPr>
            </w:pPr>
            <w:r>
              <w:rPr>
                <w:rFonts w:ascii="Arial" w:cs="Arial" w:eastAsia="Arial" w:hAnsi="Arial"/>
                <w:sz w:val="18"/>
                <w:szCs w:val="18"/>
                <w:color w:val="auto"/>
              </w:rPr>
              <w:t>Finance/Financial Oversight</w:t>
            </w:r>
          </w:p>
        </w:tc>
        <w:tc>
          <w:tcPr>
            <w:tcW w:w="960" w:type="dxa"/>
            <w:vAlign w:val="bottom"/>
            <w:shd w:val="clear" w:color="auto" w:fill="DBDBDB"/>
          </w:tcPr>
          <w:p>
            <w:pPr>
              <w:jc w:val="center"/>
              <w:spacing w:after="0" w:line="211" w:lineRule="exact"/>
              <w:rPr>
                <w:sz w:val="20"/>
                <w:szCs w:val="20"/>
                <w:color w:val="auto"/>
              </w:rPr>
            </w:pPr>
            <w:r>
              <w:rPr>
                <w:rFonts w:ascii="MS PGothic" w:cs="MS PGothic" w:eastAsia="MS PGothic" w:hAnsi="MS PGothic"/>
                <w:sz w:val="21"/>
                <w:szCs w:val="21"/>
                <w:color w:val="auto"/>
                <w:w w:val="85"/>
                <w:shd w:val="clear" w:color="auto" w:fill="C00000"/>
              </w:rPr>
              <w:t>✓</w:t>
            </w:r>
          </w:p>
        </w:tc>
        <w:tc>
          <w:tcPr>
            <w:tcW w:w="700" w:type="dxa"/>
            <w:vAlign w:val="bottom"/>
            <w:shd w:val="clear" w:color="auto" w:fill="DBDBDB"/>
          </w:tcPr>
          <w:p>
            <w:pPr>
              <w:jc w:val="center"/>
              <w:spacing w:after="0" w:line="211" w:lineRule="exact"/>
              <w:rPr>
                <w:sz w:val="20"/>
                <w:szCs w:val="20"/>
                <w:color w:val="auto"/>
              </w:rPr>
            </w:pPr>
            <w:r>
              <w:rPr>
                <w:rFonts w:ascii="MS PGothic" w:cs="MS PGothic" w:eastAsia="MS PGothic" w:hAnsi="MS PGothic"/>
                <w:sz w:val="21"/>
                <w:szCs w:val="21"/>
                <w:color w:val="auto"/>
                <w:w w:val="85"/>
                <w:shd w:val="clear" w:color="auto" w:fill="C00000"/>
              </w:rPr>
              <w:t>✓</w:t>
            </w:r>
          </w:p>
        </w:tc>
        <w:tc>
          <w:tcPr>
            <w:tcW w:w="860" w:type="dxa"/>
            <w:vAlign w:val="bottom"/>
            <w:shd w:val="clear" w:color="auto" w:fill="DBDBDB"/>
          </w:tcPr>
          <w:p>
            <w:pPr>
              <w:jc w:val="center"/>
              <w:spacing w:after="0" w:line="211" w:lineRule="exact"/>
              <w:rPr>
                <w:sz w:val="20"/>
                <w:szCs w:val="20"/>
                <w:color w:val="auto"/>
              </w:rPr>
            </w:pPr>
            <w:r>
              <w:rPr>
                <w:rFonts w:ascii="MS PGothic" w:cs="MS PGothic" w:eastAsia="MS PGothic" w:hAnsi="MS PGothic"/>
                <w:sz w:val="21"/>
                <w:szCs w:val="21"/>
                <w:color w:val="auto"/>
                <w:w w:val="75"/>
                <w:shd w:val="clear" w:color="auto" w:fill="C00000"/>
              </w:rPr>
              <w:t>✓</w:t>
            </w:r>
          </w:p>
        </w:tc>
        <w:tc>
          <w:tcPr>
            <w:tcW w:w="980" w:type="dxa"/>
            <w:vAlign w:val="bottom"/>
            <w:shd w:val="clear" w:color="auto" w:fill="DBDBDB"/>
          </w:tcPr>
          <w:p>
            <w:pPr>
              <w:jc w:val="center"/>
              <w:spacing w:after="0" w:line="211" w:lineRule="exact"/>
              <w:rPr>
                <w:sz w:val="20"/>
                <w:szCs w:val="20"/>
                <w:color w:val="auto"/>
              </w:rPr>
            </w:pPr>
            <w:r>
              <w:rPr>
                <w:rFonts w:ascii="MS PGothic" w:cs="MS PGothic" w:eastAsia="MS PGothic" w:hAnsi="MS PGothic"/>
                <w:sz w:val="21"/>
                <w:szCs w:val="21"/>
                <w:color w:val="auto"/>
                <w:w w:val="85"/>
                <w:shd w:val="clear" w:color="auto" w:fill="C00000"/>
              </w:rPr>
              <w:t>✓</w:t>
            </w:r>
          </w:p>
        </w:tc>
        <w:tc>
          <w:tcPr>
            <w:tcW w:w="860" w:type="dxa"/>
            <w:vAlign w:val="bottom"/>
            <w:shd w:val="clear" w:color="auto" w:fill="DBDBDB"/>
          </w:tcPr>
          <w:p>
            <w:pPr>
              <w:jc w:val="center"/>
              <w:spacing w:after="0" w:line="211" w:lineRule="exact"/>
              <w:rPr>
                <w:sz w:val="20"/>
                <w:szCs w:val="20"/>
                <w:color w:val="auto"/>
              </w:rPr>
            </w:pPr>
            <w:r>
              <w:rPr>
                <w:rFonts w:ascii="MS PGothic" w:cs="MS PGothic" w:eastAsia="MS PGothic" w:hAnsi="MS PGothic"/>
                <w:sz w:val="21"/>
                <w:szCs w:val="21"/>
                <w:color w:val="auto"/>
                <w:w w:val="85"/>
                <w:shd w:val="clear" w:color="auto" w:fill="C00000"/>
              </w:rPr>
              <w:t>✓</w:t>
            </w:r>
          </w:p>
        </w:tc>
        <w:tc>
          <w:tcPr>
            <w:tcW w:w="740" w:type="dxa"/>
            <w:vAlign w:val="bottom"/>
            <w:shd w:val="clear" w:color="auto" w:fill="DBDBDB"/>
          </w:tcPr>
          <w:p>
            <w:pPr>
              <w:jc w:val="center"/>
              <w:spacing w:after="0" w:line="211" w:lineRule="exact"/>
              <w:rPr>
                <w:sz w:val="20"/>
                <w:szCs w:val="20"/>
                <w:color w:val="auto"/>
              </w:rPr>
            </w:pPr>
            <w:r>
              <w:rPr>
                <w:rFonts w:ascii="MS PGothic" w:cs="MS PGothic" w:eastAsia="MS PGothic" w:hAnsi="MS PGothic"/>
                <w:sz w:val="21"/>
                <w:szCs w:val="21"/>
                <w:color w:val="auto"/>
                <w:w w:val="85"/>
                <w:shd w:val="clear" w:color="auto" w:fill="C00000"/>
              </w:rPr>
              <w:t>✓</w:t>
            </w:r>
          </w:p>
        </w:tc>
        <w:tc>
          <w:tcPr>
            <w:tcW w:w="820" w:type="dxa"/>
            <w:vAlign w:val="bottom"/>
            <w:shd w:val="clear" w:color="auto" w:fill="DBDBDB"/>
          </w:tcPr>
          <w:p>
            <w:pPr>
              <w:jc w:val="center"/>
              <w:spacing w:after="0" w:line="211" w:lineRule="exact"/>
              <w:rPr>
                <w:sz w:val="20"/>
                <w:szCs w:val="20"/>
                <w:color w:val="auto"/>
              </w:rPr>
            </w:pPr>
            <w:r>
              <w:rPr>
                <w:rFonts w:ascii="MS PGothic" w:cs="MS PGothic" w:eastAsia="MS PGothic" w:hAnsi="MS PGothic"/>
                <w:sz w:val="21"/>
                <w:szCs w:val="21"/>
                <w:color w:val="auto"/>
                <w:w w:val="85"/>
                <w:shd w:val="clear" w:color="auto" w:fill="C00000"/>
              </w:rPr>
              <w:t>✓</w:t>
            </w:r>
          </w:p>
        </w:tc>
        <w:tc>
          <w:tcPr>
            <w:tcW w:w="960" w:type="dxa"/>
            <w:vAlign w:val="bottom"/>
            <w:shd w:val="clear" w:color="auto" w:fill="DBDBDB"/>
          </w:tcPr>
          <w:p>
            <w:pPr>
              <w:jc w:val="center"/>
              <w:spacing w:after="0" w:line="211" w:lineRule="exact"/>
              <w:rPr>
                <w:sz w:val="20"/>
                <w:szCs w:val="20"/>
                <w:color w:val="auto"/>
              </w:rPr>
            </w:pPr>
            <w:r>
              <w:rPr>
                <w:rFonts w:ascii="MS PGothic" w:cs="MS PGothic" w:eastAsia="MS PGothic" w:hAnsi="MS PGothic"/>
                <w:sz w:val="21"/>
                <w:szCs w:val="21"/>
                <w:color w:val="auto"/>
                <w:w w:val="85"/>
                <w:shd w:val="clear" w:color="auto" w:fill="C00000"/>
              </w:rPr>
              <w:t>✓</w:t>
            </w:r>
          </w:p>
        </w:tc>
        <w:tc>
          <w:tcPr>
            <w:tcW w:w="840" w:type="dxa"/>
            <w:vAlign w:val="bottom"/>
            <w:shd w:val="clear" w:color="auto" w:fill="DBDBDB"/>
          </w:tcPr>
          <w:p>
            <w:pPr>
              <w:ind w:left="300"/>
              <w:spacing w:after="0" w:line="211" w:lineRule="exact"/>
              <w:rPr>
                <w:sz w:val="20"/>
                <w:szCs w:val="20"/>
                <w:color w:val="auto"/>
              </w:rPr>
            </w:pPr>
            <w:r>
              <w:rPr>
                <w:rFonts w:ascii="MS PGothic" w:cs="MS PGothic" w:eastAsia="MS PGothic" w:hAnsi="MS PGothic"/>
                <w:sz w:val="21"/>
                <w:szCs w:val="21"/>
                <w:color w:val="auto"/>
                <w:shd w:val="clear" w:color="auto" w:fill="C00000"/>
              </w:rPr>
              <w:t>✓</w:t>
            </w:r>
          </w:p>
        </w:tc>
        <w:tc>
          <w:tcPr>
            <w:tcW w:w="0" w:type="dxa"/>
            <w:vAlign w:val="bottom"/>
          </w:tcPr>
          <w:p>
            <w:pPr>
              <w:spacing w:after="0"/>
              <w:rPr>
                <w:sz w:val="1"/>
                <w:szCs w:val="1"/>
                <w:color w:val="auto"/>
              </w:rPr>
            </w:pPr>
          </w:p>
        </w:tc>
      </w:tr>
      <w:tr>
        <w:trPr>
          <w:trHeight w:val="294"/>
        </w:trPr>
        <w:tc>
          <w:tcPr>
            <w:tcW w:w="3460" w:type="dxa"/>
            <w:vAlign w:val="bottom"/>
          </w:tcPr>
          <w:p>
            <w:pPr>
              <w:ind w:left="20"/>
              <w:spacing w:after="0"/>
              <w:rPr>
                <w:sz w:val="20"/>
                <w:szCs w:val="20"/>
                <w:color w:val="auto"/>
              </w:rPr>
            </w:pPr>
            <w:r>
              <w:rPr>
                <w:rFonts w:ascii="Arial" w:cs="Arial" w:eastAsia="Arial" w:hAnsi="Arial"/>
                <w:sz w:val="18"/>
                <w:szCs w:val="18"/>
                <w:color w:val="auto"/>
              </w:rPr>
              <w:t>Public Company Boards</w:t>
            </w:r>
          </w:p>
        </w:tc>
        <w:tc>
          <w:tcPr>
            <w:tcW w:w="960" w:type="dxa"/>
            <w:vAlign w:val="bottom"/>
          </w:tcPr>
          <w:p>
            <w:pPr>
              <w:spacing w:after="0"/>
              <w:rPr>
                <w:sz w:val="24"/>
                <w:szCs w:val="24"/>
                <w:color w:val="auto"/>
              </w:rPr>
            </w:pPr>
          </w:p>
        </w:tc>
        <w:tc>
          <w:tcPr>
            <w:tcW w:w="700" w:type="dxa"/>
            <w:vAlign w:val="bottom"/>
          </w:tcPr>
          <w:p>
            <w:pPr>
              <w:jc w:val="center"/>
              <w:spacing w:after="0" w:line="211" w:lineRule="exact"/>
              <w:rPr>
                <w:sz w:val="20"/>
                <w:szCs w:val="20"/>
                <w:color w:val="auto"/>
              </w:rPr>
            </w:pPr>
            <w:r>
              <w:rPr>
                <w:rFonts w:ascii="MS PGothic" w:cs="MS PGothic" w:eastAsia="MS PGothic" w:hAnsi="MS PGothic"/>
                <w:sz w:val="21"/>
                <w:szCs w:val="21"/>
                <w:color w:val="auto"/>
                <w:w w:val="85"/>
                <w:shd w:val="clear" w:color="auto" w:fill="C00000"/>
              </w:rPr>
              <w:t>✓</w:t>
            </w:r>
          </w:p>
        </w:tc>
        <w:tc>
          <w:tcPr>
            <w:tcW w:w="860" w:type="dxa"/>
            <w:vAlign w:val="bottom"/>
          </w:tcPr>
          <w:p>
            <w:pPr>
              <w:jc w:val="center"/>
              <w:spacing w:after="0" w:line="211" w:lineRule="exact"/>
              <w:rPr>
                <w:sz w:val="20"/>
                <w:szCs w:val="20"/>
                <w:color w:val="auto"/>
              </w:rPr>
            </w:pPr>
            <w:r>
              <w:rPr>
                <w:rFonts w:ascii="MS PGothic" w:cs="MS PGothic" w:eastAsia="MS PGothic" w:hAnsi="MS PGothic"/>
                <w:sz w:val="21"/>
                <w:szCs w:val="21"/>
                <w:color w:val="auto"/>
                <w:w w:val="75"/>
                <w:shd w:val="clear" w:color="auto" w:fill="C00000"/>
              </w:rPr>
              <w:t>✓</w:t>
            </w:r>
          </w:p>
        </w:tc>
        <w:tc>
          <w:tcPr>
            <w:tcW w:w="980" w:type="dxa"/>
            <w:vAlign w:val="bottom"/>
          </w:tcPr>
          <w:p>
            <w:pPr>
              <w:jc w:val="center"/>
              <w:spacing w:after="0" w:line="211" w:lineRule="exact"/>
              <w:rPr>
                <w:sz w:val="20"/>
                <w:szCs w:val="20"/>
                <w:color w:val="auto"/>
              </w:rPr>
            </w:pPr>
            <w:r>
              <w:rPr>
                <w:rFonts w:ascii="MS PGothic" w:cs="MS PGothic" w:eastAsia="MS PGothic" w:hAnsi="MS PGothic"/>
                <w:sz w:val="21"/>
                <w:szCs w:val="21"/>
                <w:color w:val="auto"/>
                <w:w w:val="85"/>
                <w:shd w:val="clear" w:color="auto" w:fill="C00000"/>
              </w:rPr>
              <w:t>✓</w:t>
            </w:r>
          </w:p>
        </w:tc>
        <w:tc>
          <w:tcPr>
            <w:tcW w:w="860" w:type="dxa"/>
            <w:vAlign w:val="bottom"/>
          </w:tcPr>
          <w:p>
            <w:pPr>
              <w:jc w:val="center"/>
              <w:spacing w:after="0" w:line="211" w:lineRule="exact"/>
              <w:rPr>
                <w:sz w:val="20"/>
                <w:szCs w:val="20"/>
                <w:color w:val="auto"/>
              </w:rPr>
            </w:pPr>
            <w:r>
              <w:rPr>
                <w:rFonts w:ascii="MS PGothic" w:cs="MS PGothic" w:eastAsia="MS PGothic" w:hAnsi="MS PGothic"/>
                <w:sz w:val="21"/>
                <w:szCs w:val="21"/>
                <w:color w:val="auto"/>
                <w:w w:val="85"/>
                <w:shd w:val="clear" w:color="auto" w:fill="C00000"/>
              </w:rPr>
              <w:t>✓</w:t>
            </w:r>
          </w:p>
        </w:tc>
        <w:tc>
          <w:tcPr>
            <w:tcW w:w="740" w:type="dxa"/>
            <w:vAlign w:val="bottom"/>
          </w:tcPr>
          <w:p>
            <w:pPr>
              <w:jc w:val="center"/>
              <w:spacing w:after="0" w:line="211" w:lineRule="exact"/>
              <w:rPr>
                <w:sz w:val="20"/>
                <w:szCs w:val="20"/>
                <w:color w:val="auto"/>
              </w:rPr>
            </w:pPr>
            <w:r>
              <w:rPr>
                <w:rFonts w:ascii="MS PGothic" w:cs="MS PGothic" w:eastAsia="MS PGothic" w:hAnsi="MS PGothic"/>
                <w:sz w:val="21"/>
                <w:szCs w:val="21"/>
                <w:color w:val="auto"/>
                <w:w w:val="85"/>
                <w:shd w:val="clear" w:color="auto" w:fill="C00000"/>
              </w:rPr>
              <w:t>✓</w:t>
            </w:r>
          </w:p>
        </w:tc>
        <w:tc>
          <w:tcPr>
            <w:tcW w:w="820" w:type="dxa"/>
            <w:vAlign w:val="bottom"/>
          </w:tcPr>
          <w:p>
            <w:pPr>
              <w:jc w:val="center"/>
              <w:spacing w:after="0" w:line="211" w:lineRule="exact"/>
              <w:rPr>
                <w:sz w:val="20"/>
                <w:szCs w:val="20"/>
                <w:color w:val="auto"/>
              </w:rPr>
            </w:pPr>
            <w:r>
              <w:rPr>
                <w:rFonts w:ascii="MS PGothic" w:cs="MS PGothic" w:eastAsia="MS PGothic" w:hAnsi="MS PGothic"/>
                <w:sz w:val="21"/>
                <w:szCs w:val="21"/>
                <w:color w:val="auto"/>
                <w:w w:val="85"/>
                <w:shd w:val="clear" w:color="auto" w:fill="C00000"/>
              </w:rPr>
              <w:t>✓</w:t>
            </w:r>
          </w:p>
        </w:tc>
        <w:tc>
          <w:tcPr>
            <w:tcW w:w="960" w:type="dxa"/>
            <w:vAlign w:val="bottom"/>
          </w:tcPr>
          <w:p>
            <w:pPr>
              <w:jc w:val="center"/>
              <w:spacing w:after="0" w:line="211" w:lineRule="exact"/>
              <w:rPr>
                <w:sz w:val="20"/>
                <w:szCs w:val="20"/>
                <w:color w:val="auto"/>
              </w:rPr>
            </w:pPr>
            <w:r>
              <w:rPr>
                <w:rFonts w:ascii="MS PGothic" w:cs="MS PGothic" w:eastAsia="MS PGothic" w:hAnsi="MS PGothic"/>
                <w:sz w:val="21"/>
                <w:szCs w:val="21"/>
                <w:color w:val="auto"/>
                <w:w w:val="85"/>
                <w:shd w:val="clear" w:color="auto" w:fill="C00000"/>
              </w:rPr>
              <w:t>✓</w:t>
            </w: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4"/>
        </w:trPr>
        <w:tc>
          <w:tcPr>
            <w:tcW w:w="3460" w:type="dxa"/>
            <w:vAlign w:val="bottom"/>
            <w:shd w:val="clear" w:color="auto" w:fill="DBDBDB"/>
          </w:tcPr>
          <w:p>
            <w:pPr>
              <w:ind w:left="20"/>
              <w:spacing w:after="0"/>
              <w:rPr>
                <w:sz w:val="20"/>
                <w:szCs w:val="20"/>
                <w:color w:val="auto"/>
              </w:rPr>
            </w:pPr>
            <w:r>
              <w:rPr>
                <w:rFonts w:ascii="Arial" w:cs="Arial" w:eastAsia="Arial" w:hAnsi="Arial"/>
                <w:sz w:val="18"/>
                <w:szCs w:val="18"/>
                <w:color w:val="auto"/>
              </w:rPr>
              <w:t>Manufacturing/Supply Chain/ Operations</w:t>
            </w:r>
          </w:p>
        </w:tc>
        <w:tc>
          <w:tcPr>
            <w:tcW w:w="960" w:type="dxa"/>
            <w:vAlign w:val="bottom"/>
            <w:shd w:val="clear" w:color="auto" w:fill="DBDBDB"/>
          </w:tcPr>
          <w:p>
            <w:pPr>
              <w:jc w:val="center"/>
              <w:spacing w:after="0" w:line="211" w:lineRule="exact"/>
              <w:rPr>
                <w:sz w:val="20"/>
                <w:szCs w:val="20"/>
                <w:color w:val="auto"/>
              </w:rPr>
            </w:pPr>
            <w:r>
              <w:rPr>
                <w:rFonts w:ascii="MS PGothic" w:cs="MS PGothic" w:eastAsia="MS PGothic" w:hAnsi="MS PGothic"/>
                <w:sz w:val="21"/>
                <w:szCs w:val="21"/>
                <w:color w:val="auto"/>
                <w:w w:val="85"/>
                <w:shd w:val="clear" w:color="auto" w:fill="C00000"/>
              </w:rPr>
              <w:t>✓</w:t>
            </w:r>
          </w:p>
        </w:tc>
        <w:tc>
          <w:tcPr>
            <w:tcW w:w="700" w:type="dxa"/>
            <w:vAlign w:val="bottom"/>
            <w:shd w:val="clear" w:color="auto" w:fill="DBDBDB"/>
          </w:tcPr>
          <w:p>
            <w:pPr>
              <w:spacing w:after="0"/>
              <w:rPr>
                <w:sz w:val="24"/>
                <w:szCs w:val="24"/>
                <w:color w:val="auto"/>
              </w:rPr>
            </w:pPr>
          </w:p>
        </w:tc>
        <w:tc>
          <w:tcPr>
            <w:tcW w:w="860" w:type="dxa"/>
            <w:vAlign w:val="bottom"/>
            <w:shd w:val="clear" w:color="auto" w:fill="DBDBDB"/>
          </w:tcPr>
          <w:p>
            <w:pPr>
              <w:jc w:val="center"/>
              <w:spacing w:after="0" w:line="211" w:lineRule="exact"/>
              <w:rPr>
                <w:sz w:val="20"/>
                <w:szCs w:val="20"/>
                <w:color w:val="auto"/>
              </w:rPr>
            </w:pPr>
            <w:r>
              <w:rPr>
                <w:rFonts w:ascii="MS PGothic" w:cs="MS PGothic" w:eastAsia="MS PGothic" w:hAnsi="MS PGothic"/>
                <w:sz w:val="21"/>
                <w:szCs w:val="21"/>
                <w:color w:val="auto"/>
                <w:w w:val="75"/>
                <w:shd w:val="clear" w:color="auto" w:fill="C00000"/>
              </w:rPr>
              <w:t>✓</w:t>
            </w:r>
          </w:p>
        </w:tc>
        <w:tc>
          <w:tcPr>
            <w:tcW w:w="980" w:type="dxa"/>
            <w:vAlign w:val="bottom"/>
            <w:shd w:val="clear" w:color="auto" w:fill="DBDBDB"/>
          </w:tcPr>
          <w:p>
            <w:pPr>
              <w:jc w:val="center"/>
              <w:spacing w:after="0" w:line="211" w:lineRule="exact"/>
              <w:rPr>
                <w:sz w:val="20"/>
                <w:szCs w:val="20"/>
                <w:color w:val="auto"/>
              </w:rPr>
            </w:pPr>
            <w:r>
              <w:rPr>
                <w:rFonts w:ascii="MS PGothic" w:cs="MS PGothic" w:eastAsia="MS PGothic" w:hAnsi="MS PGothic"/>
                <w:sz w:val="21"/>
                <w:szCs w:val="21"/>
                <w:color w:val="auto"/>
                <w:w w:val="85"/>
                <w:shd w:val="clear" w:color="auto" w:fill="C00000"/>
              </w:rPr>
              <w:t>✓</w:t>
            </w:r>
          </w:p>
        </w:tc>
        <w:tc>
          <w:tcPr>
            <w:tcW w:w="860" w:type="dxa"/>
            <w:vAlign w:val="bottom"/>
            <w:shd w:val="clear" w:color="auto" w:fill="DBDBDB"/>
          </w:tcPr>
          <w:p>
            <w:pPr>
              <w:jc w:val="center"/>
              <w:spacing w:after="0" w:line="211" w:lineRule="exact"/>
              <w:rPr>
                <w:sz w:val="20"/>
                <w:szCs w:val="20"/>
                <w:color w:val="auto"/>
              </w:rPr>
            </w:pPr>
            <w:r>
              <w:rPr>
                <w:rFonts w:ascii="MS PGothic" w:cs="MS PGothic" w:eastAsia="MS PGothic" w:hAnsi="MS PGothic"/>
                <w:sz w:val="21"/>
                <w:szCs w:val="21"/>
                <w:color w:val="auto"/>
                <w:w w:val="85"/>
                <w:shd w:val="clear" w:color="auto" w:fill="C00000"/>
              </w:rPr>
              <w:t>✓</w:t>
            </w:r>
          </w:p>
        </w:tc>
        <w:tc>
          <w:tcPr>
            <w:tcW w:w="740" w:type="dxa"/>
            <w:vAlign w:val="bottom"/>
            <w:shd w:val="clear" w:color="auto" w:fill="DBDBDB"/>
          </w:tcPr>
          <w:p>
            <w:pPr>
              <w:jc w:val="center"/>
              <w:spacing w:after="0" w:line="211" w:lineRule="exact"/>
              <w:rPr>
                <w:sz w:val="20"/>
                <w:szCs w:val="20"/>
                <w:color w:val="auto"/>
              </w:rPr>
            </w:pPr>
            <w:r>
              <w:rPr>
                <w:rFonts w:ascii="MS PGothic" w:cs="MS PGothic" w:eastAsia="MS PGothic" w:hAnsi="MS PGothic"/>
                <w:sz w:val="21"/>
                <w:szCs w:val="21"/>
                <w:color w:val="auto"/>
                <w:w w:val="85"/>
                <w:shd w:val="clear" w:color="auto" w:fill="C00000"/>
              </w:rPr>
              <w:t>✓</w:t>
            </w:r>
          </w:p>
        </w:tc>
        <w:tc>
          <w:tcPr>
            <w:tcW w:w="820" w:type="dxa"/>
            <w:vAlign w:val="bottom"/>
            <w:shd w:val="clear" w:color="auto" w:fill="DBDBDB"/>
          </w:tcPr>
          <w:p>
            <w:pPr>
              <w:jc w:val="center"/>
              <w:spacing w:after="0" w:line="211" w:lineRule="exact"/>
              <w:rPr>
                <w:sz w:val="20"/>
                <w:szCs w:val="20"/>
                <w:color w:val="auto"/>
              </w:rPr>
            </w:pPr>
            <w:r>
              <w:rPr>
                <w:rFonts w:ascii="MS PGothic" w:cs="MS PGothic" w:eastAsia="MS PGothic" w:hAnsi="MS PGothic"/>
                <w:sz w:val="21"/>
                <w:szCs w:val="21"/>
                <w:color w:val="auto"/>
                <w:w w:val="85"/>
                <w:shd w:val="clear" w:color="auto" w:fill="C00000"/>
              </w:rPr>
              <w:t>✓</w:t>
            </w:r>
          </w:p>
        </w:tc>
        <w:tc>
          <w:tcPr>
            <w:tcW w:w="960" w:type="dxa"/>
            <w:vAlign w:val="bottom"/>
            <w:shd w:val="clear" w:color="auto" w:fill="DBDBDB"/>
          </w:tcPr>
          <w:p>
            <w:pPr>
              <w:jc w:val="center"/>
              <w:spacing w:after="0" w:line="211" w:lineRule="exact"/>
              <w:rPr>
                <w:sz w:val="20"/>
                <w:szCs w:val="20"/>
                <w:color w:val="auto"/>
              </w:rPr>
            </w:pPr>
            <w:r>
              <w:rPr>
                <w:rFonts w:ascii="MS PGothic" w:cs="MS PGothic" w:eastAsia="MS PGothic" w:hAnsi="MS PGothic"/>
                <w:sz w:val="21"/>
                <w:szCs w:val="21"/>
                <w:color w:val="auto"/>
                <w:w w:val="85"/>
                <w:shd w:val="clear" w:color="auto" w:fill="C00000"/>
              </w:rPr>
              <w:t>✓</w:t>
            </w:r>
          </w:p>
        </w:tc>
        <w:tc>
          <w:tcPr>
            <w:tcW w:w="840" w:type="dxa"/>
            <w:vAlign w:val="bottom"/>
            <w:shd w:val="clear" w:color="auto" w:fill="DBDBDB"/>
          </w:tcPr>
          <w:p>
            <w:pPr>
              <w:ind w:left="300"/>
              <w:spacing w:after="0" w:line="211" w:lineRule="exact"/>
              <w:rPr>
                <w:sz w:val="20"/>
                <w:szCs w:val="20"/>
                <w:color w:val="auto"/>
              </w:rPr>
            </w:pPr>
            <w:r>
              <w:rPr>
                <w:rFonts w:ascii="MS PGothic" w:cs="MS PGothic" w:eastAsia="MS PGothic" w:hAnsi="MS PGothic"/>
                <w:sz w:val="21"/>
                <w:szCs w:val="21"/>
                <w:color w:val="auto"/>
                <w:shd w:val="clear" w:color="auto" w:fill="C00000"/>
              </w:rPr>
              <w:t>✓</w:t>
            </w:r>
          </w:p>
        </w:tc>
        <w:tc>
          <w:tcPr>
            <w:tcW w:w="0" w:type="dxa"/>
            <w:vAlign w:val="bottom"/>
          </w:tcPr>
          <w:p>
            <w:pPr>
              <w:spacing w:after="0"/>
              <w:rPr>
                <w:sz w:val="1"/>
                <w:szCs w:val="1"/>
                <w:color w:val="auto"/>
              </w:rPr>
            </w:pPr>
          </w:p>
        </w:tc>
      </w:tr>
      <w:tr>
        <w:trPr>
          <w:trHeight w:val="294"/>
        </w:trPr>
        <w:tc>
          <w:tcPr>
            <w:tcW w:w="3460" w:type="dxa"/>
            <w:vAlign w:val="bottom"/>
          </w:tcPr>
          <w:p>
            <w:pPr>
              <w:ind w:left="20"/>
              <w:spacing w:after="0"/>
              <w:rPr>
                <w:sz w:val="20"/>
                <w:szCs w:val="20"/>
                <w:color w:val="auto"/>
              </w:rPr>
            </w:pPr>
            <w:r>
              <w:rPr>
                <w:rFonts w:ascii="Arial" w:cs="Arial" w:eastAsia="Arial" w:hAnsi="Arial"/>
                <w:sz w:val="18"/>
                <w:szCs w:val="18"/>
                <w:color w:val="auto"/>
              </w:rPr>
              <w:t>Distribution Channel</w:t>
            </w:r>
          </w:p>
        </w:tc>
        <w:tc>
          <w:tcPr>
            <w:tcW w:w="960" w:type="dxa"/>
            <w:vAlign w:val="bottom"/>
          </w:tcPr>
          <w:p>
            <w:pPr>
              <w:jc w:val="center"/>
              <w:spacing w:after="0" w:line="211" w:lineRule="exact"/>
              <w:rPr>
                <w:sz w:val="20"/>
                <w:szCs w:val="20"/>
                <w:color w:val="auto"/>
              </w:rPr>
            </w:pPr>
            <w:r>
              <w:rPr>
                <w:rFonts w:ascii="MS PGothic" w:cs="MS PGothic" w:eastAsia="MS PGothic" w:hAnsi="MS PGothic"/>
                <w:sz w:val="21"/>
                <w:szCs w:val="21"/>
                <w:color w:val="auto"/>
                <w:w w:val="85"/>
                <w:shd w:val="clear" w:color="auto" w:fill="C00000"/>
              </w:rPr>
              <w:t>✓</w:t>
            </w:r>
          </w:p>
        </w:tc>
        <w:tc>
          <w:tcPr>
            <w:tcW w:w="700" w:type="dxa"/>
            <w:vAlign w:val="bottom"/>
          </w:tcPr>
          <w:p>
            <w:pPr>
              <w:spacing w:after="0"/>
              <w:rPr>
                <w:sz w:val="24"/>
                <w:szCs w:val="24"/>
                <w:color w:val="auto"/>
              </w:rPr>
            </w:pPr>
          </w:p>
        </w:tc>
        <w:tc>
          <w:tcPr>
            <w:tcW w:w="860" w:type="dxa"/>
            <w:vAlign w:val="bottom"/>
          </w:tcPr>
          <w:p>
            <w:pPr>
              <w:jc w:val="center"/>
              <w:spacing w:after="0" w:line="211" w:lineRule="exact"/>
              <w:rPr>
                <w:sz w:val="20"/>
                <w:szCs w:val="20"/>
                <w:color w:val="auto"/>
              </w:rPr>
            </w:pPr>
            <w:r>
              <w:rPr>
                <w:rFonts w:ascii="MS PGothic" w:cs="MS PGothic" w:eastAsia="MS PGothic" w:hAnsi="MS PGothic"/>
                <w:sz w:val="21"/>
                <w:szCs w:val="21"/>
                <w:color w:val="auto"/>
                <w:w w:val="75"/>
                <w:shd w:val="clear" w:color="auto" w:fill="C00000"/>
              </w:rPr>
              <w:t>✓</w:t>
            </w:r>
          </w:p>
        </w:tc>
        <w:tc>
          <w:tcPr>
            <w:tcW w:w="980" w:type="dxa"/>
            <w:vAlign w:val="bottom"/>
          </w:tcPr>
          <w:p>
            <w:pPr>
              <w:jc w:val="center"/>
              <w:spacing w:after="0" w:line="211" w:lineRule="exact"/>
              <w:rPr>
                <w:sz w:val="20"/>
                <w:szCs w:val="20"/>
                <w:color w:val="auto"/>
              </w:rPr>
            </w:pPr>
            <w:r>
              <w:rPr>
                <w:rFonts w:ascii="MS PGothic" w:cs="MS PGothic" w:eastAsia="MS PGothic" w:hAnsi="MS PGothic"/>
                <w:sz w:val="21"/>
                <w:szCs w:val="21"/>
                <w:color w:val="auto"/>
                <w:w w:val="85"/>
                <w:shd w:val="clear" w:color="auto" w:fill="C00000"/>
              </w:rPr>
              <w:t>✓</w:t>
            </w:r>
          </w:p>
        </w:tc>
        <w:tc>
          <w:tcPr>
            <w:tcW w:w="860" w:type="dxa"/>
            <w:vAlign w:val="bottom"/>
          </w:tcPr>
          <w:p>
            <w:pPr>
              <w:jc w:val="center"/>
              <w:spacing w:after="0" w:line="211" w:lineRule="exact"/>
              <w:rPr>
                <w:sz w:val="20"/>
                <w:szCs w:val="20"/>
                <w:color w:val="auto"/>
              </w:rPr>
            </w:pPr>
            <w:r>
              <w:rPr>
                <w:rFonts w:ascii="MS PGothic" w:cs="MS PGothic" w:eastAsia="MS PGothic" w:hAnsi="MS PGothic"/>
                <w:sz w:val="21"/>
                <w:szCs w:val="21"/>
                <w:color w:val="auto"/>
                <w:w w:val="85"/>
                <w:shd w:val="clear" w:color="auto" w:fill="C00000"/>
              </w:rPr>
              <w:t>✓</w:t>
            </w:r>
          </w:p>
        </w:tc>
        <w:tc>
          <w:tcPr>
            <w:tcW w:w="740" w:type="dxa"/>
            <w:vAlign w:val="bottom"/>
          </w:tcPr>
          <w:p>
            <w:pPr>
              <w:jc w:val="center"/>
              <w:spacing w:after="0" w:line="211" w:lineRule="exact"/>
              <w:rPr>
                <w:sz w:val="20"/>
                <w:szCs w:val="20"/>
                <w:color w:val="auto"/>
              </w:rPr>
            </w:pPr>
            <w:r>
              <w:rPr>
                <w:rFonts w:ascii="MS PGothic" w:cs="MS PGothic" w:eastAsia="MS PGothic" w:hAnsi="MS PGothic"/>
                <w:sz w:val="21"/>
                <w:szCs w:val="21"/>
                <w:color w:val="auto"/>
                <w:w w:val="85"/>
                <w:shd w:val="clear" w:color="auto" w:fill="C00000"/>
              </w:rPr>
              <w:t>✓</w:t>
            </w:r>
          </w:p>
        </w:tc>
        <w:tc>
          <w:tcPr>
            <w:tcW w:w="820" w:type="dxa"/>
            <w:vAlign w:val="bottom"/>
          </w:tcPr>
          <w:p>
            <w:pPr>
              <w:jc w:val="center"/>
              <w:spacing w:after="0" w:line="211" w:lineRule="exact"/>
              <w:rPr>
                <w:sz w:val="20"/>
                <w:szCs w:val="20"/>
                <w:color w:val="auto"/>
              </w:rPr>
            </w:pPr>
            <w:r>
              <w:rPr>
                <w:rFonts w:ascii="MS PGothic" w:cs="MS PGothic" w:eastAsia="MS PGothic" w:hAnsi="MS PGothic"/>
                <w:sz w:val="21"/>
                <w:szCs w:val="21"/>
                <w:color w:val="auto"/>
                <w:w w:val="85"/>
                <w:shd w:val="clear" w:color="auto" w:fill="C00000"/>
              </w:rPr>
              <w:t>✓</w:t>
            </w:r>
          </w:p>
        </w:tc>
        <w:tc>
          <w:tcPr>
            <w:tcW w:w="960" w:type="dxa"/>
            <w:vAlign w:val="bottom"/>
          </w:tcPr>
          <w:p>
            <w:pPr>
              <w:spacing w:after="0"/>
              <w:rPr>
                <w:sz w:val="24"/>
                <w:szCs w:val="24"/>
                <w:color w:val="auto"/>
              </w:rPr>
            </w:pPr>
          </w:p>
        </w:tc>
        <w:tc>
          <w:tcPr>
            <w:tcW w:w="840" w:type="dxa"/>
            <w:vAlign w:val="bottom"/>
          </w:tcPr>
          <w:p>
            <w:pPr>
              <w:ind w:left="300"/>
              <w:spacing w:after="0" w:line="211" w:lineRule="exact"/>
              <w:rPr>
                <w:sz w:val="20"/>
                <w:szCs w:val="20"/>
                <w:color w:val="auto"/>
              </w:rPr>
            </w:pPr>
            <w:r>
              <w:rPr>
                <w:rFonts w:ascii="MS PGothic" w:cs="MS PGothic" w:eastAsia="MS PGothic" w:hAnsi="MS PGothic"/>
                <w:sz w:val="21"/>
                <w:szCs w:val="21"/>
                <w:color w:val="auto"/>
                <w:shd w:val="clear" w:color="auto" w:fill="C00000"/>
              </w:rPr>
              <w:t>✓</w:t>
            </w:r>
          </w:p>
        </w:tc>
        <w:tc>
          <w:tcPr>
            <w:tcW w:w="0" w:type="dxa"/>
            <w:vAlign w:val="bottom"/>
          </w:tcPr>
          <w:p>
            <w:pPr>
              <w:spacing w:after="0"/>
              <w:rPr>
                <w:sz w:val="1"/>
                <w:szCs w:val="1"/>
                <w:color w:val="auto"/>
              </w:rPr>
            </w:pPr>
          </w:p>
        </w:tc>
      </w:tr>
      <w:tr>
        <w:trPr>
          <w:trHeight w:val="294"/>
        </w:trPr>
        <w:tc>
          <w:tcPr>
            <w:tcW w:w="3460" w:type="dxa"/>
            <w:vAlign w:val="bottom"/>
            <w:shd w:val="clear" w:color="auto" w:fill="DBDBDB"/>
          </w:tcPr>
          <w:p>
            <w:pPr>
              <w:ind w:left="20"/>
              <w:spacing w:after="0"/>
              <w:rPr>
                <w:sz w:val="20"/>
                <w:szCs w:val="20"/>
                <w:color w:val="auto"/>
              </w:rPr>
            </w:pPr>
            <w:r>
              <w:rPr>
                <w:rFonts w:ascii="Arial" w:cs="Arial" w:eastAsia="Arial" w:hAnsi="Arial"/>
                <w:sz w:val="18"/>
                <w:szCs w:val="18"/>
                <w:color w:val="auto"/>
              </w:rPr>
              <w:t>Strategic Planning</w:t>
            </w:r>
          </w:p>
        </w:tc>
        <w:tc>
          <w:tcPr>
            <w:tcW w:w="960" w:type="dxa"/>
            <w:vAlign w:val="bottom"/>
            <w:shd w:val="clear" w:color="auto" w:fill="DBDBDB"/>
          </w:tcPr>
          <w:p>
            <w:pPr>
              <w:jc w:val="center"/>
              <w:spacing w:after="0" w:line="211" w:lineRule="exact"/>
              <w:rPr>
                <w:sz w:val="20"/>
                <w:szCs w:val="20"/>
                <w:color w:val="auto"/>
              </w:rPr>
            </w:pPr>
            <w:r>
              <w:rPr>
                <w:rFonts w:ascii="MS PGothic" w:cs="MS PGothic" w:eastAsia="MS PGothic" w:hAnsi="MS PGothic"/>
                <w:sz w:val="21"/>
                <w:szCs w:val="21"/>
                <w:color w:val="auto"/>
                <w:w w:val="85"/>
                <w:shd w:val="clear" w:color="auto" w:fill="C00000"/>
              </w:rPr>
              <w:t>✓</w:t>
            </w:r>
          </w:p>
        </w:tc>
        <w:tc>
          <w:tcPr>
            <w:tcW w:w="700" w:type="dxa"/>
            <w:vAlign w:val="bottom"/>
            <w:shd w:val="clear" w:color="auto" w:fill="DBDBDB"/>
          </w:tcPr>
          <w:p>
            <w:pPr>
              <w:jc w:val="center"/>
              <w:spacing w:after="0" w:line="211" w:lineRule="exact"/>
              <w:rPr>
                <w:sz w:val="20"/>
                <w:szCs w:val="20"/>
                <w:color w:val="auto"/>
              </w:rPr>
            </w:pPr>
            <w:r>
              <w:rPr>
                <w:rFonts w:ascii="MS PGothic" w:cs="MS PGothic" w:eastAsia="MS PGothic" w:hAnsi="MS PGothic"/>
                <w:sz w:val="21"/>
                <w:szCs w:val="21"/>
                <w:color w:val="auto"/>
                <w:w w:val="85"/>
                <w:shd w:val="clear" w:color="auto" w:fill="C00000"/>
              </w:rPr>
              <w:t>✓</w:t>
            </w:r>
          </w:p>
        </w:tc>
        <w:tc>
          <w:tcPr>
            <w:tcW w:w="860" w:type="dxa"/>
            <w:vAlign w:val="bottom"/>
            <w:shd w:val="clear" w:color="auto" w:fill="DBDBDB"/>
          </w:tcPr>
          <w:p>
            <w:pPr>
              <w:jc w:val="center"/>
              <w:spacing w:after="0" w:line="211" w:lineRule="exact"/>
              <w:rPr>
                <w:sz w:val="20"/>
                <w:szCs w:val="20"/>
                <w:color w:val="auto"/>
              </w:rPr>
            </w:pPr>
            <w:r>
              <w:rPr>
                <w:rFonts w:ascii="MS PGothic" w:cs="MS PGothic" w:eastAsia="MS PGothic" w:hAnsi="MS PGothic"/>
                <w:sz w:val="21"/>
                <w:szCs w:val="21"/>
                <w:color w:val="auto"/>
                <w:w w:val="75"/>
                <w:shd w:val="clear" w:color="auto" w:fill="C00000"/>
              </w:rPr>
              <w:t>✓</w:t>
            </w:r>
          </w:p>
        </w:tc>
        <w:tc>
          <w:tcPr>
            <w:tcW w:w="980" w:type="dxa"/>
            <w:vAlign w:val="bottom"/>
            <w:shd w:val="clear" w:color="auto" w:fill="DBDBDB"/>
          </w:tcPr>
          <w:p>
            <w:pPr>
              <w:jc w:val="center"/>
              <w:spacing w:after="0" w:line="211" w:lineRule="exact"/>
              <w:rPr>
                <w:sz w:val="20"/>
                <w:szCs w:val="20"/>
                <w:color w:val="auto"/>
              </w:rPr>
            </w:pPr>
            <w:r>
              <w:rPr>
                <w:rFonts w:ascii="MS PGothic" w:cs="MS PGothic" w:eastAsia="MS PGothic" w:hAnsi="MS PGothic"/>
                <w:sz w:val="21"/>
                <w:szCs w:val="21"/>
                <w:color w:val="auto"/>
                <w:w w:val="85"/>
                <w:shd w:val="clear" w:color="auto" w:fill="C00000"/>
              </w:rPr>
              <w:t>✓</w:t>
            </w:r>
          </w:p>
        </w:tc>
        <w:tc>
          <w:tcPr>
            <w:tcW w:w="860" w:type="dxa"/>
            <w:vAlign w:val="bottom"/>
            <w:shd w:val="clear" w:color="auto" w:fill="DBDBDB"/>
          </w:tcPr>
          <w:p>
            <w:pPr>
              <w:jc w:val="center"/>
              <w:spacing w:after="0" w:line="211" w:lineRule="exact"/>
              <w:rPr>
                <w:sz w:val="20"/>
                <w:szCs w:val="20"/>
                <w:color w:val="auto"/>
              </w:rPr>
            </w:pPr>
            <w:r>
              <w:rPr>
                <w:rFonts w:ascii="MS PGothic" w:cs="MS PGothic" w:eastAsia="MS PGothic" w:hAnsi="MS PGothic"/>
                <w:sz w:val="21"/>
                <w:szCs w:val="21"/>
                <w:color w:val="auto"/>
                <w:w w:val="85"/>
                <w:shd w:val="clear" w:color="auto" w:fill="C00000"/>
              </w:rPr>
              <w:t>✓</w:t>
            </w:r>
          </w:p>
        </w:tc>
        <w:tc>
          <w:tcPr>
            <w:tcW w:w="740" w:type="dxa"/>
            <w:vAlign w:val="bottom"/>
            <w:shd w:val="clear" w:color="auto" w:fill="DBDBDB"/>
          </w:tcPr>
          <w:p>
            <w:pPr>
              <w:jc w:val="center"/>
              <w:spacing w:after="0" w:line="211" w:lineRule="exact"/>
              <w:rPr>
                <w:sz w:val="20"/>
                <w:szCs w:val="20"/>
                <w:color w:val="auto"/>
              </w:rPr>
            </w:pPr>
            <w:r>
              <w:rPr>
                <w:rFonts w:ascii="MS PGothic" w:cs="MS PGothic" w:eastAsia="MS PGothic" w:hAnsi="MS PGothic"/>
                <w:sz w:val="21"/>
                <w:szCs w:val="21"/>
                <w:color w:val="auto"/>
                <w:w w:val="85"/>
                <w:shd w:val="clear" w:color="auto" w:fill="C00000"/>
              </w:rPr>
              <w:t>✓</w:t>
            </w:r>
          </w:p>
        </w:tc>
        <w:tc>
          <w:tcPr>
            <w:tcW w:w="820" w:type="dxa"/>
            <w:vAlign w:val="bottom"/>
            <w:shd w:val="clear" w:color="auto" w:fill="DBDBDB"/>
          </w:tcPr>
          <w:p>
            <w:pPr>
              <w:jc w:val="center"/>
              <w:spacing w:after="0" w:line="211" w:lineRule="exact"/>
              <w:rPr>
                <w:sz w:val="20"/>
                <w:szCs w:val="20"/>
                <w:color w:val="auto"/>
              </w:rPr>
            </w:pPr>
            <w:r>
              <w:rPr>
                <w:rFonts w:ascii="MS PGothic" w:cs="MS PGothic" w:eastAsia="MS PGothic" w:hAnsi="MS PGothic"/>
                <w:sz w:val="21"/>
                <w:szCs w:val="21"/>
                <w:color w:val="auto"/>
                <w:w w:val="85"/>
                <w:shd w:val="clear" w:color="auto" w:fill="C00000"/>
              </w:rPr>
              <w:t>✓</w:t>
            </w:r>
          </w:p>
        </w:tc>
        <w:tc>
          <w:tcPr>
            <w:tcW w:w="960" w:type="dxa"/>
            <w:vAlign w:val="bottom"/>
            <w:shd w:val="clear" w:color="auto" w:fill="DBDBDB"/>
          </w:tcPr>
          <w:p>
            <w:pPr>
              <w:jc w:val="center"/>
              <w:spacing w:after="0" w:line="211" w:lineRule="exact"/>
              <w:rPr>
                <w:sz w:val="20"/>
                <w:szCs w:val="20"/>
                <w:color w:val="auto"/>
              </w:rPr>
            </w:pPr>
            <w:r>
              <w:rPr>
                <w:rFonts w:ascii="MS PGothic" w:cs="MS PGothic" w:eastAsia="MS PGothic" w:hAnsi="MS PGothic"/>
                <w:sz w:val="21"/>
                <w:szCs w:val="21"/>
                <w:color w:val="auto"/>
                <w:w w:val="85"/>
                <w:shd w:val="clear" w:color="auto" w:fill="C00000"/>
              </w:rPr>
              <w:t>✓</w:t>
            </w:r>
          </w:p>
        </w:tc>
        <w:tc>
          <w:tcPr>
            <w:tcW w:w="840" w:type="dxa"/>
            <w:vAlign w:val="bottom"/>
            <w:shd w:val="clear" w:color="auto" w:fill="DBDBDB"/>
          </w:tcPr>
          <w:p>
            <w:pPr>
              <w:ind w:left="300"/>
              <w:spacing w:after="0" w:line="211" w:lineRule="exact"/>
              <w:rPr>
                <w:sz w:val="20"/>
                <w:szCs w:val="20"/>
                <w:color w:val="auto"/>
              </w:rPr>
            </w:pPr>
            <w:r>
              <w:rPr>
                <w:rFonts w:ascii="MS PGothic" w:cs="MS PGothic" w:eastAsia="MS PGothic" w:hAnsi="MS PGothic"/>
                <w:sz w:val="21"/>
                <w:szCs w:val="21"/>
                <w:color w:val="auto"/>
                <w:shd w:val="clear" w:color="auto" w:fill="C00000"/>
              </w:rPr>
              <w:t>✓</w:t>
            </w:r>
          </w:p>
        </w:tc>
        <w:tc>
          <w:tcPr>
            <w:tcW w:w="0" w:type="dxa"/>
            <w:vAlign w:val="bottom"/>
          </w:tcPr>
          <w:p>
            <w:pPr>
              <w:spacing w:after="0"/>
              <w:rPr>
                <w:sz w:val="1"/>
                <w:szCs w:val="1"/>
                <w:color w:val="auto"/>
              </w:rPr>
            </w:pPr>
          </w:p>
        </w:tc>
      </w:tr>
      <w:tr>
        <w:trPr>
          <w:trHeight w:val="294"/>
        </w:trPr>
        <w:tc>
          <w:tcPr>
            <w:tcW w:w="3460" w:type="dxa"/>
            <w:vAlign w:val="bottom"/>
          </w:tcPr>
          <w:p>
            <w:pPr>
              <w:ind w:left="20"/>
              <w:spacing w:after="0"/>
              <w:rPr>
                <w:sz w:val="20"/>
                <w:szCs w:val="20"/>
                <w:color w:val="auto"/>
              </w:rPr>
            </w:pPr>
            <w:r>
              <w:rPr>
                <w:rFonts w:ascii="Arial" w:cs="Arial" w:eastAsia="Arial" w:hAnsi="Arial"/>
                <w:sz w:val="18"/>
                <w:szCs w:val="18"/>
                <w:color w:val="auto"/>
              </w:rPr>
              <w:t>Regulatory/Government</w:t>
            </w:r>
          </w:p>
        </w:tc>
        <w:tc>
          <w:tcPr>
            <w:tcW w:w="960" w:type="dxa"/>
            <w:vAlign w:val="bottom"/>
          </w:tcPr>
          <w:p>
            <w:pPr>
              <w:jc w:val="center"/>
              <w:spacing w:after="0" w:line="211" w:lineRule="exact"/>
              <w:rPr>
                <w:sz w:val="20"/>
                <w:szCs w:val="20"/>
                <w:color w:val="auto"/>
              </w:rPr>
            </w:pPr>
            <w:r>
              <w:rPr>
                <w:rFonts w:ascii="MS PGothic" w:cs="MS PGothic" w:eastAsia="MS PGothic" w:hAnsi="MS PGothic"/>
                <w:sz w:val="21"/>
                <w:szCs w:val="21"/>
                <w:color w:val="auto"/>
                <w:w w:val="85"/>
                <w:shd w:val="clear" w:color="auto" w:fill="C00000"/>
              </w:rPr>
              <w:t>✓</w:t>
            </w:r>
          </w:p>
        </w:tc>
        <w:tc>
          <w:tcPr>
            <w:tcW w:w="700" w:type="dxa"/>
            <w:vAlign w:val="bottom"/>
          </w:tcPr>
          <w:p>
            <w:pPr>
              <w:jc w:val="center"/>
              <w:spacing w:after="0" w:line="211" w:lineRule="exact"/>
              <w:rPr>
                <w:sz w:val="20"/>
                <w:szCs w:val="20"/>
                <w:color w:val="auto"/>
              </w:rPr>
            </w:pPr>
            <w:r>
              <w:rPr>
                <w:rFonts w:ascii="MS PGothic" w:cs="MS PGothic" w:eastAsia="MS PGothic" w:hAnsi="MS PGothic"/>
                <w:sz w:val="21"/>
                <w:szCs w:val="21"/>
                <w:color w:val="auto"/>
                <w:w w:val="85"/>
                <w:shd w:val="clear" w:color="auto" w:fill="C00000"/>
              </w:rPr>
              <w:t>✓</w:t>
            </w:r>
          </w:p>
        </w:tc>
        <w:tc>
          <w:tcPr>
            <w:tcW w:w="860" w:type="dxa"/>
            <w:vAlign w:val="bottom"/>
          </w:tcPr>
          <w:p>
            <w:pPr>
              <w:spacing w:after="0"/>
              <w:rPr>
                <w:sz w:val="24"/>
                <w:szCs w:val="24"/>
                <w:color w:val="auto"/>
              </w:rPr>
            </w:pPr>
          </w:p>
        </w:tc>
        <w:tc>
          <w:tcPr>
            <w:tcW w:w="980" w:type="dxa"/>
            <w:vAlign w:val="bottom"/>
          </w:tcPr>
          <w:p>
            <w:pPr>
              <w:jc w:val="center"/>
              <w:spacing w:after="0" w:line="211" w:lineRule="exact"/>
              <w:rPr>
                <w:sz w:val="20"/>
                <w:szCs w:val="20"/>
                <w:color w:val="auto"/>
              </w:rPr>
            </w:pPr>
            <w:r>
              <w:rPr>
                <w:rFonts w:ascii="MS PGothic" w:cs="MS PGothic" w:eastAsia="MS PGothic" w:hAnsi="MS PGothic"/>
                <w:sz w:val="21"/>
                <w:szCs w:val="21"/>
                <w:color w:val="auto"/>
                <w:w w:val="85"/>
                <w:shd w:val="clear" w:color="auto" w:fill="C00000"/>
              </w:rPr>
              <w:t>✓</w:t>
            </w:r>
          </w:p>
        </w:tc>
        <w:tc>
          <w:tcPr>
            <w:tcW w:w="860" w:type="dxa"/>
            <w:vAlign w:val="bottom"/>
          </w:tcPr>
          <w:p>
            <w:pPr>
              <w:jc w:val="center"/>
              <w:spacing w:after="0" w:line="211" w:lineRule="exact"/>
              <w:rPr>
                <w:sz w:val="20"/>
                <w:szCs w:val="20"/>
                <w:color w:val="auto"/>
              </w:rPr>
            </w:pPr>
            <w:r>
              <w:rPr>
                <w:rFonts w:ascii="MS PGothic" w:cs="MS PGothic" w:eastAsia="MS PGothic" w:hAnsi="MS PGothic"/>
                <w:sz w:val="21"/>
                <w:szCs w:val="21"/>
                <w:color w:val="auto"/>
                <w:w w:val="85"/>
                <w:shd w:val="clear" w:color="auto" w:fill="BF2115"/>
              </w:rPr>
              <w:t>✓</w:t>
            </w:r>
          </w:p>
        </w:tc>
        <w:tc>
          <w:tcPr>
            <w:tcW w:w="740" w:type="dxa"/>
            <w:vAlign w:val="bottom"/>
          </w:tcPr>
          <w:p>
            <w:pPr>
              <w:jc w:val="center"/>
              <w:spacing w:after="0" w:line="211" w:lineRule="exact"/>
              <w:rPr>
                <w:sz w:val="20"/>
                <w:szCs w:val="20"/>
                <w:color w:val="auto"/>
              </w:rPr>
            </w:pPr>
            <w:r>
              <w:rPr>
                <w:rFonts w:ascii="MS PGothic" w:cs="MS PGothic" w:eastAsia="MS PGothic" w:hAnsi="MS PGothic"/>
                <w:sz w:val="21"/>
                <w:szCs w:val="21"/>
                <w:color w:val="auto"/>
                <w:w w:val="85"/>
                <w:shd w:val="clear" w:color="auto" w:fill="C00000"/>
              </w:rPr>
              <w:t>✓</w:t>
            </w:r>
          </w:p>
        </w:tc>
        <w:tc>
          <w:tcPr>
            <w:tcW w:w="820" w:type="dxa"/>
            <w:vAlign w:val="bottom"/>
          </w:tcPr>
          <w:p>
            <w:pPr>
              <w:jc w:val="center"/>
              <w:spacing w:after="0" w:line="211" w:lineRule="exact"/>
              <w:rPr>
                <w:sz w:val="20"/>
                <w:szCs w:val="20"/>
                <w:color w:val="auto"/>
              </w:rPr>
            </w:pPr>
            <w:r>
              <w:rPr>
                <w:rFonts w:ascii="MS PGothic" w:cs="MS PGothic" w:eastAsia="MS PGothic" w:hAnsi="MS PGothic"/>
                <w:sz w:val="21"/>
                <w:szCs w:val="21"/>
                <w:color w:val="auto"/>
                <w:w w:val="85"/>
                <w:shd w:val="clear" w:color="auto" w:fill="C00000"/>
              </w:rPr>
              <w:t>✓</w:t>
            </w:r>
          </w:p>
        </w:tc>
        <w:tc>
          <w:tcPr>
            <w:tcW w:w="960" w:type="dxa"/>
            <w:vAlign w:val="bottom"/>
          </w:tcPr>
          <w:p>
            <w:pPr>
              <w:jc w:val="center"/>
              <w:spacing w:after="0" w:line="211" w:lineRule="exact"/>
              <w:rPr>
                <w:sz w:val="20"/>
                <w:szCs w:val="20"/>
                <w:color w:val="auto"/>
              </w:rPr>
            </w:pPr>
            <w:r>
              <w:rPr>
                <w:rFonts w:ascii="MS PGothic" w:cs="MS PGothic" w:eastAsia="MS PGothic" w:hAnsi="MS PGothic"/>
                <w:sz w:val="21"/>
                <w:szCs w:val="21"/>
                <w:color w:val="auto"/>
                <w:w w:val="85"/>
                <w:shd w:val="clear" w:color="auto" w:fill="C00000"/>
              </w:rPr>
              <w:t>✓</w:t>
            </w: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4"/>
        </w:trPr>
        <w:tc>
          <w:tcPr>
            <w:tcW w:w="3460" w:type="dxa"/>
            <w:vAlign w:val="bottom"/>
            <w:shd w:val="clear" w:color="auto" w:fill="DBDBDB"/>
          </w:tcPr>
          <w:p>
            <w:pPr>
              <w:ind w:left="20"/>
              <w:spacing w:after="0"/>
              <w:rPr>
                <w:sz w:val="20"/>
                <w:szCs w:val="20"/>
                <w:color w:val="auto"/>
              </w:rPr>
            </w:pPr>
            <w:r>
              <w:rPr>
                <w:rFonts w:ascii="Arial" w:cs="Arial" w:eastAsia="Arial" w:hAnsi="Arial"/>
                <w:sz w:val="18"/>
                <w:szCs w:val="18"/>
                <w:color w:val="auto"/>
              </w:rPr>
              <w:t>Health and Safety</w:t>
            </w:r>
          </w:p>
        </w:tc>
        <w:tc>
          <w:tcPr>
            <w:tcW w:w="960" w:type="dxa"/>
            <w:vAlign w:val="bottom"/>
            <w:shd w:val="clear" w:color="auto" w:fill="DBDBDB"/>
          </w:tcPr>
          <w:p>
            <w:pPr>
              <w:jc w:val="center"/>
              <w:spacing w:after="0" w:line="211" w:lineRule="exact"/>
              <w:rPr>
                <w:sz w:val="20"/>
                <w:szCs w:val="20"/>
                <w:color w:val="auto"/>
              </w:rPr>
            </w:pPr>
            <w:r>
              <w:rPr>
                <w:rFonts w:ascii="MS PGothic" w:cs="MS PGothic" w:eastAsia="MS PGothic" w:hAnsi="MS PGothic"/>
                <w:sz w:val="21"/>
                <w:szCs w:val="21"/>
                <w:color w:val="auto"/>
                <w:w w:val="85"/>
                <w:shd w:val="clear" w:color="auto" w:fill="C00000"/>
              </w:rPr>
              <w:t>✓</w:t>
            </w:r>
          </w:p>
        </w:tc>
        <w:tc>
          <w:tcPr>
            <w:tcW w:w="700" w:type="dxa"/>
            <w:vAlign w:val="bottom"/>
            <w:shd w:val="clear" w:color="auto" w:fill="DBDBDB"/>
          </w:tcPr>
          <w:p>
            <w:pPr>
              <w:spacing w:after="0"/>
              <w:rPr>
                <w:sz w:val="24"/>
                <w:szCs w:val="24"/>
                <w:color w:val="auto"/>
              </w:rPr>
            </w:pPr>
          </w:p>
        </w:tc>
        <w:tc>
          <w:tcPr>
            <w:tcW w:w="860" w:type="dxa"/>
            <w:vAlign w:val="bottom"/>
            <w:shd w:val="clear" w:color="auto" w:fill="DBDBDB"/>
          </w:tcPr>
          <w:p>
            <w:pPr>
              <w:spacing w:after="0"/>
              <w:rPr>
                <w:sz w:val="24"/>
                <w:szCs w:val="24"/>
                <w:color w:val="auto"/>
              </w:rPr>
            </w:pPr>
          </w:p>
        </w:tc>
        <w:tc>
          <w:tcPr>
            <w:tcW w:w="980" w:type="dxa"/>
            <w:vAlign w:val="bottom"/>
            <w:shd w:val="clear" w:color="auto" w:fill="DBDBDB"/>
          </w:tcPr>
          <w:p>
            <w:pPr>
              <w:jc w:val="center"/>
              <w:spacing w:after="0" w:line="211" w:lineRule="exact"/>
              <w:rPr>
                <w:sz w:val="20"/>
                <w:szCs w:val="20"/>
                <w:color w:val="auto"/>
              </w:rPr>
            </w:pPr>
            <w:r>
              <w:rPr>
                <w:rFonts w:ascii="MS PGothic" w:cs="MS PGothic" w:eastAsia="MS PGothic" w:hAnsi="MS PGothic"/>
                <w:sz w:val="21"/>
                <w:szCs w:val="21"/>
                <w:color w:val="auto"/>
                <w:w w:val="85"/>
                <w:shd w:val="clear" w:color="auto" w:fill="C00000"/>
              </w:rPr>
              <w:t>✓</w:t>
            </w:r>
          </w:p>
        </w:tc>
        <w:tc>
          <w:tcPr>
            <w:tcW w:w="860" w:type="dxa"/>
            <w:vAlign w:val="bottom"/>
            <w:shd w:val="clear" w:color="auto" w:fill="DBDBDB"/>
          </w:tcPr>
          <w:p>
            <w:pPr>
              <w:jc w:val="center"/>
              <w:spacing w:after="0" w:line="211" w:lineRule="exact"/>
              <w:rPr>
                <w:sz w:val="20"/>
                <w:szCs w:val="20"/>
                <w:color w:val="auto"/>
              </w:rPr>
            </w:pPr>
            <w:r>
              <w:rPr>
                <w:rFonts w:ascii="MS PGothic" w:cs="MS PGothic" w:eastAsia="MS PGothic" w:hAnsi="MS PGothic"/>
                <w:sz w:val="21"/>
                <w:szCs w:val="21"/>
                <w:color w:val="auto"/>
                <w:w w:val="85"/>
                <w:shd w:val="clear" w:color="auto" w:fill="C00000"/>
              </w:rPr>
              <w:t>✓</w:t>
            </w:r>
          </w:p>
        </w:tc>
        <w:tc>
          <w:tcPr>
            <w:tcW w:w="740" w:type="dxa"/>
            <w:vAlign w:val="bottom"/>
            <w:shd w:val="clear" w:color="auto" w:fill="DBDBDB"/>
          </w:tcPr>
          <w:p>
            <w:pPr>
              <w:spacing w:after="0"/>
              <w:rPr>
                <w:sz w:val="24"/>
                <w:szCs w:val="24"/>
                <w:color w:val="auto"/>
              </w:rPr>
            </w:pPr>
          </w:p>
        </w:tc>
        <w:tc>
          <w:tcPr>
            <w:tcW w:w="820" w:type="dxa"/>
            <w:vAlign w:val="bottom"/>
            <w:shd w:val="clear" w:color="auto" w:fill="DBDBDB"/>
          </w:tcPr>
          <w:p>
            <w:pPr>
              <w:jc w:val="center"/>
              <w:spacing w:after="0" w:line="211" w:lineRule="exact"/>
              <w:rPr>
                <w:sz w:val="20"/>
                <w:szCs w:val="20"/>
                <w:color w:val="auto"/>
              </w:rPr>
            </w:pPr>
            <w:r>
              <w:rPr>
                <w:rFonts w:ascii="MS PGothic" w:cs="MS PGothic" w:eastAsia="MS PGothic" w:hAnsi="MS PGothic"/>
                <w:sz w:val="21"/>
                <w:szCs w:val="21"/>
                <w:color w:val="auto"/>
                <w:w w:val="85"/>
                <w:shd w:val="clear" w:color="auto" w:fill="C00000"/>
              </w:rPr>
              <w:t>✓</w:t>
            </w:r>
          </w:p>
        </w:tc>
        <w:tc>
          <w:tcPr>
            <w:tcW w:w="960" w:type="dxa"/>
            <w:vAlign w:val="bottom"/>
            <w:shd w:val="clear" w:color="auto" w:fill="DBDBDB"/>
          </w:tcPr>
          <w:p>
            <w:pPr>
              <w:jc w:val="center"/>
              <w:spacing w:after="0" w:line="211" w:lineRule="exact"/>
              <w:rPr>
                <w:sz w:val="20"/>
                <w:szCs w:val="20"/>
                <w:color w:val="auto"/>
              </w:rPr>
            </w:pPr>
            <w:r>
              <w:rPr>
                <w:rFonts w:ascii="MS PGothic" w:cs="MS PGothic" w:eastAsia="MS PGothic" w:hAnsi="MS PGothic"/>
                <w:sz w:val="21"/>
                <w:szCs w:val="21"/>
                <w:color w:val="auto"/>
                <w:w w:val="85"/>
                <w:shd w:val="clear" w:color="auto" w:fill="C00000"/>
              </w:rPr>
              <w:t>✓</w:t>
            </w:r>
          </w:p>
        </w:tc>
        <w:tc>
          <w:tcPr>
            <w:tcW w:w="840" w:type="dxa"/>
            <w:vAlign w:val="bottom"/>
            <w:shd w:val="clear" w:color="auto" w:fill="DBDBDB"/>
          </w:tcPr>
          <w:p>
            <w:pPr>
              <w:spacing w:after="0"/>
              <w:rPr>
                <w:sz w:val="24"/>
                <w:szCs w:val="24"/>
                <w:color w:val="auto"/>
              </w:rPr>
            </w:pPr>
          </w:p>
        </w:tc>
        <w:tc>
          <w:tcPr>
            <w:tcW w:w="0" w:type="dxa"/>
            <w:vAlign w:val="bottom"/>
          </w:tcPr>
          <w:p>
            <w:pPr>
              <w:spacing w:after="0"/>
              <w:rPr>
                <w:sz w:val="1"/>
                <w:szCs w:val="1"/>
                <w:color w:val="auto"/>
              </w:rPr>
            </w:pPr>
          </w:p>
        </w:tc>
      </w:tr>
      <w:tr>
        <w:trPr>
          <w:trHeight w:val="294"/>
        </w:trPr>
        <w:tc>
          <w:tcPr>
            <w:tcW w:w="3460" w:type="dxa"/>
            <w:vAlign w:val="bottom"/>
          </w:tcPr>
          <w:p>
            <w:pPr>
              <w:ind w:left="20"/>
              <w:spacing w:after="0"/>
              <w:rPr>
                <w:sz w:val="20"/>
                <w:szCs w:val="20"/>
                <w:color w:val="auto"/>
              </w:rPr>
            </w:pPr>
            <w:r>
              <w:rPr>
                <w:rFonts w:ascii="Arial" w:cs="Arial" w:eastAsia="Arial" w:hAnsi="Arial"/>
                <w:sz w:val="18"/>
                <w:szCs w:val="18"/>
                <w:color w:val="auto"/>
              </w:rPr>
              <w:t>Sustainability/Climate</w:t>
            </w:r>
          </w:p>
        </w:tc>
        <w:tc>
          <w:tcPr>
            <w:tcW w:w="960" w:type="dxa"/>
            <w:vAlign w:val="bottom"/>
          </w:tcPr>
          <w:p>
            <w:pPr>
              <w:spacing w:after="0"/>
              <w:rPr>
                <w:sz w:val="24"/>
                <w:szCs w:val="24"/>
                <w:color w:val="auto"/>
              </w:rPr>
            </w:pPr>
          </w:p>
        </w:tc>
        <w:tc>
          <w:tcPr>
            <w:tcW w:w="700" w:type="dxa"/>
            <w:vAlign w:val="bottom"/>
          </w:tcPr>
          <w:p>
            <w:pPr>
              <w:jc w:val="center"/>
              <w:spacing w:after="0" w:line="211" w:lineRule="exact"/>
              <w:rPr>
                <w:sz w:val="20"/>
                <w:szCs w:val="20"/>
                <w:color w:val="auto"/>
              </w:rPr>
            </w:pPr>
            <w:r>
              <w:rPr>
                <w:rFonts w:ascii="MS PGothic" w:cs="MS PGothic" w:eastAsia="MS PGothic" w:hAnsi="MS PGothic"/>
                <w:sz w:val="21"/>
                <w:szCs w:val="21"/>
                <w:color w:val="auto"/>
                <w:w w:val="85"/>
                <w:shd w:val="clear" w:color="auto" w:fill="C00000"/>
              </w:rPr>
              <w:t>✓</w:t>
            </w:r>
          </w:p>
        </w:tc>
        <w:tc>
          <w:tcPr>
            <w:tcW w:w="860" w:type="dxa"/>
            <w:vAlign w:val="bottom"/>
          </w:tcPr>
          <w:p>
            <w:pPr>
              <w:jc w:val="center"/>
              <w:spacing w:after="0" w:line="211" w:lineRule="exact"/>
              <w:rPr>
                <w:sz w:val="20"/>
                <w:szCs w:val="20"/>
                <w:color w:val="auto"/>
              </w:rPr>
            </w:pPr>
            <w:r>
              <w:rPr>
                <w:rFonts w:ascii="MS PGothic" w:cs="MS PGothic" w:eastAsia="MS PGothic" w:hAnsi="MS PGothic"/>
                <w:sz w:val="21"/>
                <w:szCs w:val="21"/>
                <w:color w:val="auto"/>
                <w:w w:val="75"/>
                <w:shd w:val="clear" w:color="auto" w:fill="C00000"/>
              </w:rPr>
              <w:t>✓</w:t>
            </w:r>
          </w:p>
        </w:tc>
        <w:tc>
          <w:tcPr>
            <w:tcW w:w="980" w:type="dxa"/>
            <w:vAlign w:val="bottom"/>
          </w:tcPr>
          <w:p>
            <w:pPr>
              <w:jc w:val="center"/>
              <w:spacing w:after="0" w:line="211" w:lineRule="exact"/>
              <w:rPr>
                <w:sz w:val="20"/>
                <w:szCs w:val="20"/>
                <w:color w:val="auto"/>
              </w:rPr>
            </w:pPr>
            <w:r>
              <w:rPr>
                <w:rFonts w:ascii="MS PGothic" w:cs="MS PGothic" w:eastAsia="MS PGothic" w:hAnsi="MS PGothic"/>
                <w:sz w:val="21"/>
                <w:szCs w:val="21"/>
                <w:color w:val="auto"/>
                <w:w w:val="85"/>
                <w:shd w:val="clear" w:color="auto" w:fill="C00000"/>
              </w:rPr>
              <w:t>✓</w:t>
            </w:r>
          </w:p>
        </w:tc>
        <w:tc>
          <w:tcPr>
            <w:tcW w:w="8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4"/>
        </w:trPr>
        <w:tc>
          <w:tcPr>
            <w:tcW w:w="3460" w:type="dxa"/>
            <w:vAlign w:val="bottom"/>
            <w:shd w:val="clear" w:color="auto" w:fill="DBDBDB"/>
          </w:tcPr>
          <w:p>
            <w:pPr>
              <w:ind w:left="20"/>
              <w:spacing w:after="0"/>
              <w:rPr>
                <w:sz w:val="20"/>
                <w:szCs w:val="20"/>
                <w:color w:val="auto"/>
              </w:rPr>
            </w:pPr>
            <w:r>
              <w:rPr>
                <w:rFonts w:ascii="Arial" w:cs="Arial" w:eastAsia="Arial" w:hAnsi="Arial"/>
                <w:sz w:val="18"/>
                <w:szCs w:val="18"/>
                <w:color w:val="auto"/>
              </w:rPr>
              <w:t>Mergers &amp; Acquisitions</w:t>
            </w:r>
          </w:p>
        </w:tc>
        <w:tc>
          <w:tcPr>
            <w:tcW w:w="960" w:type="dxa"/>
            <w:vAlign w:val="bottom"/>
            <w:shd w:val="clear" w:color="auto" w:fill="DBDBDB"/>
          </w:tcPr>
          <w:p>
            <w:pPr>
              <w:spacing w:after="0"/>
              <w:rPr>
                <w:sz w:val="24"/>
                <w:szCs w:val="24"/>
                <w:color w:val="auto"/>
              </w:rPr>
            </w:pPr>
          </w:p>
        </w:tc>
        <w:tc>
          <w:tcPr>
            <w:tcW w:w="700" w:type="dxa"/>
            <w:vAlign w:val="bottom"/>
            <w:shd w:val="clear" w:color="auto" w:fill="DBDBDB"/>
          </w:tcPr>
          <w:p>
            <w:pPr>
              <w:jc w:val="center"/>
              <w:spacing w:after="0" w:line="211" w:lineRule="exact"/>
              <w:rPr>
                <w:sz w:val="20"/>
                <w:szCs w:val="20"/>
                <w:color w:val="auto"/>
              </w:rPr>
            </w:pPr>
            <w:r>
              <w:rPr>
                <w:rFonts w:ascii="MS PGothic" w:cs="MS PGothic" w:eastAsia="MS PGothic" w:hAnsi="MS PGothic"/>
                <w:sz w:val="21"/>
                <w:szCs w:val="21"/>
                <w:color w:val="auto"/>
                <w:w w:val="85"/>
                <w:shd w:val="clear" w:color="auto" w:fill="C00000"/>
              </w:rPr>
              <w:t>✓</w:t>
            </w:r>
          </w:p>
        </w:tc>
        <w:tc>
          <w:tcPr>
            <w:tcW w:w="860" w:type="dxa"/>
            <w:vAlign w:val="bottom"/>
            <w:shd w:val="clear" w:color="auto" w:fill="DBDBDB"/>
          </w:tcPr>
          <w:p>
            <w:pPr>
              <w:jc w:val="center"/>
              <w:spacing w:after="0" w:line="211" w:lineRule="exact"/>
              <w:rPr>
                <w:sz w:val="20"/>
                <w:szCs w:val="20"/>
                <w:color w:val="auto"/>
              </w:rPr>
            </w:pPr>
            <w:r>
              <w:rPr>
                <w:rFonts w:ascii="MS PGothic" w:cs="MS PGothic" w:eastAsia="MS PGothic" w:hAnsi="MS PGothic"/>
                <w:sz w:val="21"/>
                <w:szCs w:val="21"/>
                <w:color w:val="auto"/>
                <w:w w:val="75"/>
                <w:shd w:val="clear" w:color="auto" w:fill="C00000"/>
              </w:rPr>
              <w:t>✓</w:t>
            </w:r>
          </w:p>
        </w:tc>
        <w:tc>
          <w:tcPr>
            <w:tcW w:w="980" w:type="dxa"/>
            <w:vAlign w:val="bottom"/>
            <w:shd w:val="clear" w:color="auto" w:fill="DBDBDB"/>
          </w:tcPr>
          <w:p>
            <w:pPr>
              <w:jc w:val="center"/>
              <w:spacing w:after="0" w:line="211" w:lineRule="exact"/>
              <w:rPr>
                <w:sz w:val="20"/>
                <w:szCs w:val="20"/>
                <w:color w:val="auto"/>
              </w:rPr>
            </w:pPr>
            <w:r>
              <w:rPr>
                <w:rFonts w:ascii="MS PGothic" w:cs="MS PGothic" w:eastAsia="MS PGothic" w:hAnsi="MS PGothic"/>
                <w:sz w:val="21"/>
                <w:szCs w:val="21"/>
                <w:color w:val="auto"/>
                <w:w w:val="85"/>
                <w:shd w:val="clear" w:color="auto" w:fill="C00000"/>
              </w:rPr>
              <w:t>✓</w:t>
            </w:r>
          </w:p>
        </w:tc>
        <w:tc>
          <w:tcPr>
            <w:tcW w:w="860" w:type="dxa"/>
            <w:vAlign w:val="bottom"/>
            <w:shd w:val="clear" w:color="auto" w:fill="DBDBDB"/>
          </w:tcPr>
          <w:p>
            <w:pPr>
              <w:jc w:val="center"/>
              <w:spacing w:after="0" w:line="211" w:lineRule="exact"/>
              <w:rPr>
                <w:sz w:val="20"/>
                <w:szCs w:val="20"/>
                <w:color w:val="auto"/>
              </w:rPr>
            </w:pPr>
            <w:r>
              <w:rPr>
                <w:rFonts w:ascii="MS PGothic" w:cs="MS PGothic" w:eastAsia="MS PGothic" w:hAnsi="MS PGothic"/>
                <w:sz w:val="21"/>
                <w:szCs w:val="21"/>
                <w:color w:val="auto"/>
                <w:w w:val="85"/>
                <w:shd w:val="clear" w:color="auto" w:fill="C00000"/>
              </w:rPr>
              <w:t>✓</w:t>
            </w:r>
          </w:p>
        </w:tc>
        <w:tc>
          <w:tcPr>
            <w:tcW w:w="740" w:type="dxa"/>
            <w:vAlign w:val="bottom"/>
            <w:shd w:val="clear" w:color="auto" w:fill="DBDBDB"/>
          </w:tcPr>
          <w:p>
            <w:pPr>
              <w:jc w:val="center"/>
              <w:spacing w:after="0" w:line="211" w:lineRule="exact"/>
              <w:rPr>
                <w:sz w:val="20"/>
                <w:szCs w:val="20"/>
                <w:color w:val="auto"/>
              </w:rPr>
            </w:pPr>
            <w:r>
              <w:rPr>
                <w:rFonts w:ascii="MS PGothic" w:cs="MS PGothic" w:eastAsia="MS PGothic" w:hAnsi="MS PGothic"/>
                <w:sz w:val="21"/>
                <w:szCs w:val="21"/>
                <w:color w:val="auto"/>
                <w:w w:val="85"/>
                <w:shd w:val="clear" w:color="auto" w:fill="C00000"/>
              </w:rPr>
              <w:t>✓</w:t>
            </w:r>
          </w:p>
        </w:tc>
        <w:tc>
          <w:tcPr>
            <w:tcW w:w="820" w:type="dxa"/>
            <w:vAlign w:val="bottom"/>
            <w:shd w:val="clear" w:color="auto" w:fill="DBDBDB"/>
          </w:tcPr>
          <w:p>
            <w:pPr>
              <w:jc w:val="center"/>
              <w:spacing w:after="0" w:line="211" w:lineRule="exact"/>
              <w:rPr>
                <w:sz w:val="20"/>
                <w:szCs w:val="20"/>
                <w:color w:val="auto"/>
              </w:rPr>
            </w:pPr>
            <w:r>
              <w:rPr>
                <w:rFonts w:ascii="MS PGothic" w:cs="MS PGothic" w:eastAsia="MS PGothic" w:hAnsi="MS PGothic"/>
                <w:sz w:val="21"/>
                <w:szCs w:val="21"/>
                <w:color w:val="auto"/>
                <w:w w:val="85"/>
                <w:shd w:val="clear" w:color="auto" w:fill="C00000"/>
              </w:rPr>
              <w:t>✓</w:t>
            </w:r>
          </w:p>
        </w:tc>
        <w:tc>
          <w:tcPr>
            <w:tcW w:w="960" w:type="dxa"/>
            <w:vAlign w:val="bottom"/>
            <w:shd w:val="clear" w:color="auto" w:fill="DBDBDB"/>
          </w:tcPr>
          <w:p>
            <w:pPr>
              <w:jc w:val="center"/>
              <w:spacing w:after="0" w:line="211" w:lineRule="exact"/>
              <w:rPr>
                <w:sz w:val="20"/>
                <w:szCs w:val="20"/>
                <w:color w:val="auto"/>
              </w:rPr>
            </w:pPr>
            <w:r>
              <w:rPr>
                <w:rFonts w:ascii="MS PGothic" w:cs="MS PGothic" w:eastAsia="MS PGothic" w:hAnsi="MS PGothic"/>
                <w:sz w:val="21"/>
                <w:szCs w:val="21"/>
                <w:color w:val="auto"/>
                <w:w w:val="85"/>
                <w:shd w:val="clear" w:color="auto" w:fill="C00000"/>
              </w:rPr>
              <w:t>✓</w:t>
            </w:r>
          </w:p>
        </w:tc>
        <w:tc>
          <w:tcPr>
            <w:tcW w:w="840" w:type="dxa"/>
            <w:vAlign w:val="bottom"/>
            <w:shd w:val="clear" w:color="auto" w:fill="DBDBDB"/>
          </w:tcPr>
          <w:p>
            <w:pPr>
              <w:ind w:left="300"/>
              <w:spacing w:after="0" w:line="211" w:lineRule="exact"/>
              <w:rPr>
                <w:sz w:val="20"/>
                <w:szCs w:val="20"/>
                <w:color w:val="auto"/>
              </w:rPr>
            </w:pPr>
            <w:r>
              <w:rPr>
                <w:rFonts w:ascii="MS PGothic" w:cs="MS PGothic" w:eastAsia="MS PGothic" w:hAnsi="MS PGothic"/>
                <w:sz w:val="21"/>
                <w:szCs w:val="21"/>
                <w:color w:val="auto"/>
                <w:shd w:val="clear" w:color="auto" w:fill="C00000"/>
              </w:rPr>
              <w:t>✓</w:t>
            </w:r>
          </w:p>
        </w:tc>
        <w:tc>
          <w:tcPr>
            <w:tcW w:w="0" w:type="dxa"/>
            <w:vAlign w:val="bottom"/>
          </w:tcPr>
          <w:p>
            <w:pPr>
              <w:spacing w:after="0"/>
              <w:rPr>
                <w:sz w:val="1"/>
                <w:szCs w:val="1"/>
                <w:color w:val="auto"/>
              </w:rPr>
            </w:pPr>
          </w:p>
        </w:tc>
      </w:tr>
      <w:tr>
        <w:trPr>
          <w:trHeight w:val="294"/>
        </w:trPr>
        <w:tc>
          <w:tcPr>
            <w:tcW w:w="3460" w:type="dxa"/>
            <w:vAlign w:val="bottom"/>
          </w:tcPr>
          <w:p>
            <w:pPr>
              <w:ind w:left="20"/>
              <w:spacing w:after="0"/>
              <w:rPr>
                <w:sz w:val="20"/>
                <w:szCs w:val="20"/>
                <w:color w:val="auto"/>
              </w:rPr>
            </w:pPr>
            <w:r>
              <w:rPr>
                <w:rFonts w:ascii="Arial" w:cs="Arial" w:eastAsia="Arial" w:hAnsi="Arial"/>
                <w:sz w:val="18"/>
                <w:szCs w:val="18"/>
                <w:color w:val="auto"/>
              </w:rPr>
              <w:t>International Operations</w:t>
            </w:r>
          </w:p>
        </w:tc>
        <w:tc>
          <w:tcPr>
            <w:tcW w:w="960" w:type="dxa"/>
            <w:vAlign w:val="bottom"/>
          </w:tcPr>
          <w:p>
            <w:pPr>
              <w:jc w:val="center"/>
              <w:spacing w:after="0" w:line="211" w:lineRule="exact"/>
              <w:rPr>
                <w:sz w:val="20"/>
                <w:szCs w:val="20"/>
                <w:color w:val="auto"/>
              </w:rPr>
            </w:pPr>
            <w:r>
              <w:rPr>
                <w:rFonts w:ascii="MS PGothic" w:cs="MS PGothic" w:eastAsia="MS PGothic" w:hAnsi="MS PGothic"/>
                <w:sz w:val="21"/>
                <w:szCs w:val="21"/>
                <w:color w:val="auto"/>
                <w:w w:val="85"/>
                <w:shd w:val="clear" w:color="auto" w:fill="C00000"/>
              </w:rPr>
              <w:t>✓</w:t>
            </w:r>
          </w:p>
        </w:tc>
        <w:tc>
          <w:tcPr>
            <w:tcW w:w="700" w:type="dxa"/>
            <w:vAlign w:val="bottom"/>
          </w:tcPr>
          <w:p>
            <w:pPr>
              <w:jc w:val="center"/>
              <w:spacing w:after="0" w:line="211" w:lineRule="exact"/>
              <w:rPr>
                <w:sz w:val="20"/>
                <w:szCs w:val="20"/>
                <w:color w:val="auto"/>
              </w:rPr>
            </w:pPr>
            <w:r>
              <w:rPr>
                <w:rFonts w:ascii="MS PGothic" w:cs="MS PGothic" w:eastAsia="MS PGothic" w:hAnsi="MS PGothic"/>
                <w:sz w:val="21"/>
                <w:szCs w:val="21"/>
                <w:color w:val="auto"/>
                <w:w w:val="85"/>
                <w:shd w:val="clear" w:color="auto" w:fill="C00000"/>
              </w:rPr>
              <w:t>✓</w:t>
            </w:r>
          </w:p>
        </w:tc>
        <w:tc>
          <w:tcPr>
            <w:tcW w:w="860" w:type="dxa"/>
            <w:vAlign w:val="bottom"/>
          </w:tcPr>
          <w:p>
            <w:pPr>
              <w:jc w:val="center"/>
              <w:spacing w:after="0" w:line="211" w:lineRule="exact"/>
              <w:rPr>
                <w:sz w:val="20"/>
                <w:szCs w:val="20"/>
                <w:color w:val="auto"/>
              </w:rPr>
            </w:pPr>
            <w:r>
              <w:rPr>
                <w:rFonts w:ascii="MS PGothic" w:cs="MS PGothic" w:eastAsia="MS PGothic" w:hAnsi="MS PGothic"/>
                <w:sz w:val="21"/>
                <w:szCs w:val="21"/>
                <w:color w:val="auto"/>
                <w:w w:val="75"/>
                <w:shd w:val="clear" w:color="auto" w:fill="C00000"/>
              </w:rPr>
              <w:t>✓</w:t>
            </w:r>
          </w:p>
        </w:tc>
        <w:tc>
          <w:tcPr>
            <w:tcW w:w="980" w:type="dxa"/>
            <w:vAlign w:val="bottom"/>
          </w:tcPr>
          <w:p>
            <w:pPr>
              <w:jc w:val="center"/>
              <w:spacing w:after="0" w:line="211" w:lineRule="exact"/>
              <w:rPr>
                <w:sz w:val="20"/>
                <w:szCs w:val="20"/>
                <w:color w:val="auto"/>
              </w:rPr>
            </w:pPr>
            <w:r>
              <w:rPr>
                <w:rFonts w:ascii="MS PGothic" w:cs="MS PGothic" w:eastAsia="MS PGothic" w:hAnsi="MS PGothic"/>
                <w:sz w:val="21"/>
                <w:szCs w:val="21"/>
                <w:color w:val="auto"/>
                <w:w w:val="85"/>
                <w:shd w:val="clear" w:color="auto" w:fill="C00000"/>
              </w:rPr>
              <w:t>✓</w:t>
            </w:r>
          </w:p>
        </w:tc>
        <w:tc>
          <w:tcPr>
            <w:tcW w:w="860" w:type="dxa"/>
            <w:vAlign w:val="bottom"/>
          </w:tcPr>
          <w:p>
            <w:pPr>
              <w:jc w:val="center"/>
              <w:spacing w:after="0" w:line="211" w:lineRule="exact"/>
              <w:rPr>
                <w:sz w:val="20"/>
                <w:szCs w:val="20"/>
                <w:color w:val="auto"/>
              </w:rPr>
            </w:pPr>
            <w:r>
              <w:rPr>
                <w:rFonts w:ascii="MS PGothic" w:cs="MS PGothic" w:eastAsia="MS PGothic" w:hAnsi="MS PGothic"/>
                <w:sz w:val="21"/>
                <w:szCs w:val="21"/>
                <w:color w:val="auto"/>
                <w:w w:val="85"/>
                <w:shd w:val="clear" w:color="auto" w:fill="C00000"/>
              </w:rPr>
              <w:t>✓</w:t>
            </w:r>
          </w:p>
        </w:tc>
        <w:tc>
          <w:tcPr>
            <w:tcW w:w="740" w:type="dxa"/>
            <w:vAlign w:val="bottom"/>
          </w:tcPr>
          <w:p>
            <w:pPr>
              <w:jc w:val="center"/>
              <w:spacing w:after="0" w:line="211" w:lineRule="exact"/>
              <w:rPr>
                <w:sz w:val="20"/>
                <w:szCs w:val="20"/>
                <w:color w:val="auto"/>
              </w:rPr>
            </w:pPr>
            <w:r>
              <w:rPr>
                <w:rFonts w:ascii="MS PGothic" w:cs="MS PGothic" w:eastAsia="MS PGothic" w:hAnsi="MS PGothic"/>
                <w:sz w:val="21"/>
                <w:szCs w:val="21"/>
                <w:color w:val="auto"/>
                <w:w w:val="85"/>
                <w:shd w:val="clear" w:color="auto" w:fill="C00000"/>
              </w:rPr>
              <w:t>✓</w:t>
            </w:r>
          </w:p>
        </w:tc>
        <w:tc>
          <w:tcPr>
            <w:tcW w:w="820" w:type="dxa"/>
            <w:vAlign w:val="bottom"/>
          </w:tcPr>
          <w:p>
            <w:pPr>
              <w:jc w:val="center"/>
              <w:spacing w:after="0" w:line="211" w:lineRule="exact"/>
              <w:rPr>
                <w:sz w:val="20"/>
                <w:szCs w:val="20"/>
                <w:color w:val="auto"/>
              </w:rPr>
            </w:pPr>
            <w:r>
              <w:rPr>
                <w:rFonts w:ascii="MS PGothic" w:cs="MS PGothic" w:eastAsia="MS PGothic" w:hAnsi="MS PGothic"/>
                <w:sz w:val="21"/>
                <w:szCs w:val="21"/>
                <w:color w:val="auto"/>
                <w:w w:val="85"/>
                <w:shd w:val="clear" w:color="auto" w:fill="C00000"/>
              </w:rPr>
              <w:t>✓</w:t>
            </w:r>
          </w:p>
        </w:tc>
        <w:tc>
          <w:tcPr>
            <w:tcW w:w="960" w:type="dxa"/>
            <w:vAlign w:val="bottom"/>
          </w:tcPr>
          <w:p>
            <w:pPr>
              <w:jc w:val="center"/>
              <w:spacing w:after="0" w:line="211" w:lineRule="exact"/>
              <w:rPr>
                <w:sz w:val="20"/>
                <w:szCs w:val="20"/>
                <w:color w:val="auto"/>
              </w:rPr>
            </w:pPr>
            <w:r>
              <w:rPr>
                <w:rFonts w:ascii="MS PGothic" w:cs="MS PGothic" w:eastAsia="MS PGothic" w:hAnsi="MS PGothic"/>
                <w:sz w:val="21"/>
                <w:szCs w:val="21"/>
                <w:color w:val="auto"/>
                <w:w w:val="85"/>
                <w:shd w:val="clear" w:color="auto" w:fill="C00000"/>
              </w:rPr>
              <w:t>✓</w:t>
            </w:r>
          </w:p>
        </w:tc>
        <w:tc>
          <w:tcPr>
            <w:tcW w:w="840" w:type="dxa"/>
            <w:vAlign w:val="bottom"/>
          </w:tcPr>
          <w:p>
            <w:pPr>
              <w:ind w:left="300"/>
              <w:spacing w:after="0" w:line="211" w:lineRule="exact"/>
              <w:rPr>
                <w:sz w:val="20"/>
                <w:szCs w:val="20"/>
                <w:color w:val="auto"/>
              </w:rPr>
            </w:pPr>
            <w:r>
              <w:rPr>
                <w:rFonts w:ascii="MS PGothic" w:cs="MS PGothic" w:eastAsia="MS PGothic" w:hAnsi="MS PGothic"/>
                <w:sz w:val="21"/>
                <w:szCs w:val="21"/>
                <w:color w:val="auto"/>
                <w:shd w:val="clear" w:color="auto" w:fill="C00000"/>
              </w:rPr>
              <w:t>✓</w:t>
            </w:r>
          </w:p>
        </w:tc>
        <w:tc>
          <w:tcPr>
            <w:tcW w:w="0" w:type="dxa"/>
            <w:vAlign w:val="bottom"/>
          </w:tcPr>
          <w:p>
            <w:pPr>
              <w:spacing w:after="0"/>
              <w:rPr>
                <w:sz w:val="1"/>
                <w:szCs w:val="1"/>
                <w:color w:val="auto"/>
              </w:rPr>
            </w:pPr>
          </w:p>
        </w:tc>
      </w:tr>
      <w:tr>
        <w:trPr>
          <w:trHeight w:val="294"/>
        </w:trPr>
        <w:tc>
          <w:tcPr>
            <w:tcW w:w="3460" w:type="dxa"/>
            <w:vAlign w:val="bottom"/>
            <w:shd w:val="clear" w:color="auto" w:fill="DBDBDB"/>
          </w:tcPr>
          <w:p>
            <w:pPr>
              <w:ind w:left="20"/>
              <w:spacing w:after="0"/>
              <w:rPr>
                <w:sz w:val="20"/>
                <w:szCs w:val="20"/>
                <w:color w:val="auto"/>
              </w:rPr>
            </w:pPr>
            <w:r>
              <w:rPr>
                <w:rFonts w:ascii="Arial" w:cs="Arial" w:eastAsia="Arial" w:hAnsi="Arial"/>
                <w:sz w:val="18"/>
                <w:szCs w:val="18"/>
                <w:color w:val="auto"/>
              </w:rPr>
              <w:t>Information Systems/ Cybersecurity</w:t>
            </w:r>
          </w:p>
        </w:tc>
        <w:tc>
          <w:tcPr>
            <w:tcW w:w="960" w:type="dxa"/>
            <w:vAlign w:val="bottom"/>
            <w:shd w:val="clear" w:color="auto" w:fill="DBDBDB"/>
          </w:tcPr>
          <w:p>
            <w:pPr>
              <w:spacing w:after="0"/>
              <w:rPr>
                <w:sz w:val="24"/>
                <w:szCs w:val="24"/>
                <w:color w:val="auto"/>
              </w:rPr>
            </w:pPr>
          </w:p>
        </w:tc>
        <w:tc>
          <w:tcPr>
            <w:tcW w:w="700" w:type="dxa"/>
            <w:vAlign w:val="bottom"/>
            <w:shd w:val="clear" w:color="auto" w:fill="DBDBDB"/>
          </w:tcPr>
          <w:p>
            <w:pPr>
              <w:jc w:val="center"/>
              <w:spacing w:after="0" w:line="211" w:lineRule="exact"/>
              <w:rPr>
                <w:sz w:val="20"/>
                <w:szCs w:val="20"/>
                <w:color w:val="auto"/>
              </w:rPr>
            </w:pPr>
            <w:r>
              <w:rPr>
                <w:rFonts w:ascii="MS PGothic" w:cs="MS PGothic" w:eastAsia="MS PGothic" w:hAnsi="MS PGothic"/>
                <w:sz w:val="21"/>
                <w:szCs w:val="21"/>
                <w:color w:val="auto"/>
                <w:w w:val="85"/>
                <w:shd w:val="clear" w:color="auto" w:fill="C00000"/>
              </w:rPr>
              <w:t>✓</w:t>
            </w:r>
          </w:p>
        </w:tc>
        <w:tc>
          <w:tcPr>
            <w:tcW w:w="860" w:type="dxa"/>
            <w:vAlign w:val="bottom"/>
            <w:shd w:val="clear" w:color="auto" w:fill="DBDBDB"/>
          </w:tcPr>
          <w:p>
            <w:pPr>
              <w:jc w:val="center"/>
              <w:spacing w:after="0" w:line="211" w:lineRule="exact"/>
              <w:rPr>
                <w:sz w:val="20"/>
                <w:szCs w:val="20"/>
                <w:color w:val="auto"/>
              </w:rPr>
            </w:pPr>
            <w:r>
              <w:rPr>
                <w:rFonts w:ascii="MS PGothic" w:cs="MS PGothic" w:eastAsia="MS PGothic" w:hAnsi="MS PGothic"/>
                <w:sz w:val="21"/>
                <w:szCs w:val="21"/>
                <w:color w:val="auto"/>
                <w:w w:val="75"/>
                <w:shd w:val="clear" w:color="auto" w:fill="C00000"/>
              </w:rPr>
              <w:t>✓</w:t>
            </w:r>
          </w:p>
        </w:tc>
        <w:tc>
          <w:tcPr>
            <w:tcW w:w="980" w:type="dxa"/>
            <w:vAlign w:val="bottom"/>
            <w:shd w:val="clear" w:color="auto" w:fill="DBDBDB"/>
          </w:tcPr>
          <w:p>
            <w:pPr>
              <w:jc w:val="center"/>
              <w:spacing w:after="0" w:line="211" w:lineRule="exact"/>
              <w:rPr>
                <w:sz w:val="20"/>
                <w:szCs w:val="20"/>
                <w:color w:val="auto"/>
              </w:rPr>
            </w:pPr>
            <w:r>
              <w:rPr>
                <w:rFonts w:ascii="MS PGothic" w:cs="MS PGothic" w:eastAsia="MS PGothic" w:hAnsi="MS PGothic"/>
                <w:sz w:val="21"/>
                <w:szCs w:val="21"/>
                <w:color w:val="auto"/>
                <w:w w:val="85"/>
                <w:shd w:val="clear" w:color="auto" w:fill="C00000"/>
              </w:rPr>
              <w:t>✓</w:t>
            </w:r>
          </w:p>
        </w:tc>
        <w:tc>
          <w:tcPr>
            <w:tcW w:w="860" w:type="dxa"/>
            <w:vAlign w:val="bottom"/>
            <w:shd w:val="clear" w:color="auto" w:fill="DBDBDB"/>
          </w:tcPr>
          <w:p>
            <w:pPr>
              <w:jc w:val="center"/>
              <w:spacing w:after="0" w:line="211" w:lineRule="exact"/>
              <w:rPr>
                <w:sz w:val="20"/>
                <w:szCs w:val="20"/>
                <w:color w:val="auto"/>
              </w:rPr>
            </w:pPr>
            <w:r>
              <w:rPr>
                <w:rFonts w:ascii="MS PGothic" w:cs="MS PGothic" w:eastAsia="MS PGothic" w:hAnsi="MS PGothic"/>
                <w:sz w:val="21"/>
                <w:szCs w:val="21"/>
                <w:color w:val="auto"/>
                <w:w w:val="85"/>
                <w:shd w:val="clear" w:color="auto" w:fill="C00000"/>
              </w:rPr>
              <w:t>✓</w:t>
            </w:r>
          </w:p>
        </w:tc>
        <w:tc>
          <w:tcPr>
            <w:tcW w:w="740" w:type="dxa"/>
            <w:vAlign w:val="bottom"/>
            <w:shd w:val="clear" w:color="auto" w:fill="DBDBDB"/>
          </w:tcPr>
          <w:p>
            <w:pPr>
              <w:jc w:val="center"/>
              <w:spacing w:after="0" w:line="211" w:lineRule="exact"/>
              <w:rPr>
                <w:sz w:val="20"/>
                <w:szCs w:val="20"/>
                <w:color w:val="auto"/>
              </w:rPr>
            </w:pPr>
            <w:r>
              <w:rPr>
                <w:rFonts w:ascii="MS PGothic" w:cs="MS PGothic" w:eastAsia="MS PGothic" w:hAnsi="MS PGothic"/>
                <w:sz w:val="21"/>
                <w:szCs w:val="21"/>
                <w:color w:val="auto"/>
                <w:w w:val="85"/>
                <w:shd w:val="clear" w:color="auto" w:fill="C00000"/>
              </w:rPr>
              <w:t>✓</w:t>
            </w:r>
          </w:p>
        </w:tc>
        <w:tc>
          <w:tcPr>
            <w:tcW w:w="820" w:type="dxa"/>
            <w:vAlign w:val="bottom"/>
            <w:shd w:val="clear" w:color="auto" w:fill="DBDBDB"/>
          </w:tcPr>
          <w:p>
            <w:pPr>
              <w:jc w:val="center"/>
              <w:spacing w:after="0" w:line="211" w:lineRule="exact"/>
              <w:rPr>
                <w:sz w:val="20"/>
                <w:szCs w:val="20"/>
                <w:color w:val="auto"/>
              </w:rPr>
            </w:pPr>
            <w:r>
              <w:rPr>
                <w:rFonts w:ascii="MS PGothic" w:cs="MS PGothic" w:eastAsia="MS PGothic" w:hAnsi="MS PGothic"/>
                <w:sz w:val="21"/>
                <w:szCs w:val="21"/>
                <w:color w:val="auto"/>
                <w:w w:val="85"/>
                <w:shd w:val="clear" w:color="auto" w:fill="C00000"/>
              </w:rPr>
              <w:t>✓</w:t>
            </w:r>
          </w:p>
        </w:tc>
        <w:tc>
          <w:tcPr>
            <w:tcW w:w="960" w:type="dxa"/>
            <w:vAlign w:val="bottom"/>
            <w:shd w:val="clear" w:color="auto" w:fill="DBDBDB"/>
          </w:tcPr>
          <w:p>
            <w:pPr>
              <w:jc w:val="center"/>
              <w:spacing w:after="0" w:line="211" w:lineRule="exact"/>
              <w:rPr>
                <w:sz w:val="20"/>
                <w:szCs w:val="20"/>
                <w:color w:val="auto"/>
              </w:rPr>
            </w:pPr>
            <w:r>
              <w:rPr>
                <w:rFonts w:ascii="MS PGothic" w:cs="MS PGothic" w:eastAsia="MS PGothic" w:hAnsi="MS PGothic"/>
                <w:sz w:val="21"/>
                <w:szCs w:val="21"/>
                <w:color w:val="auto"/>
                <w:w w:val="85"/>
                <w:shd w:val="clear" w:color="auto" w:fill="C00000"/>
              </w:rPr>
              <w:t>✓</w:t>
            </w:r>
          </w:p>
        </w:tc>
        <w:tc>
          <w:tcPr>
            <w:tcW w:w="840" w:type="dxa"/>
            <w:vAlign w:val="bottom"/>
            <w:shd w:val="clear" w:color="auto" w:fill="DBDBDB"/>
          </w:tcPr>
          <w:p>
            <w:pPr>
              <w:ind w:left="300"/>
              <w:spacing w:after="0" w:line="211" w:lineRule="exact"/>
              <w:rPr>
                <w:sz w:val="20"/>
                <w:szCs w:val="20"/>
                <w:color w:val="auto"/>
              </w:rPr>
            </w:pPr>
            <w:r>
              <w:rPr>
                <w:rFonts w:ascii="MS PGothic" w:cs="MS PGothic" w:eastAsia="MS PGothic" w:hAnsi="MS PGothic"/>
                <w:sz w:val="21"/>
                <w:szCs w:val="21"/>
                <w:color w:val="auto"/>
                <w:shd w:val="clear" w:color="auto" w:fill="C00000"/>
              </w:rPr>
              <w:t>✓</w:t>
            </w:r>
          </w:p>
        </w:tc>
        <w:tc>
          <w:tcPr>
            <w:tcW w:w="0" w:type="dxa"/>
            <w:vAlign w:val="bottom"/>
          </w:tcPr>
          <w:p>
            <w:pPr>
              <w:spacing w:after="0"/>
              <w:rPr>
                <w:sz w:val="1"/>
                <w:szCs w:val="1"/>
                <w:color w:val="auto"/>
              </w:rPr>
            </w:pPr>
          </w:p>
        </w:tc>
      </w:tr>
      <w:tr>
        <w:trPr>
          <w:trHeight w:val="210"/>
        </w:trPr>
        <w:tc>
          <w:tcPr>
            <w:tcW w:w="3460" w:type="dxa"/>
            <w:vAlign w:val="bottom"/>
          </w:tcPr>
          <w:p>
            <w:pPr>
              <w:ind w:left="20"/>
              <w:spacing w:after="0"/>
              <w:rPr>
                <w:sz w:val="20"/>
                <w:szCs w:val="20"/>
                <w:color w:val="auto"/>
              </w:rPr>
            </w:pPr>
            <w:r>
              <w:rPr>
                <w:rFonts w:ascii="Arial" w:cs="Arial" w:eastAsia="Arial" w:hAnsi="Arial"/>
                <w:sz w:val="18"/>
                <w:szCs w:val="18"/>
                <w:color w:val="auto"/>
              </w:rPr>
              <w:t>Previously Resided Outside the United</w:t>
            </w:r>
          </w:p>
        </w:tc>
        <w:tc>
          <w:tcPr>
            <w:tcW w:w="960" w:type="dxa"/>
            <w:vAlign w:val="bottom"/>
            <w:vMerge w:val="restart"/>
          </w:tcPr>
          <w:p>
            <w:pPr>
              <w:jc w:val="center"/>
              <w:spacing w:after="0" w:line="211" w:lineRule="exact"/>
              <w:rPr>
                <w:sz w:val="20"/>
                <w:szCs w:val="20"/>
                <w:color w:val="auto"/>
              </w:rPr>
            </w:pPr>
            <w:r>
              <w:rPr>
                <w:rFonts w:ascii="MS PGothic" w:cs="MS PGothic" w:eastAsia="MS PGothic" w:hAnsi="MS PGothic"/>
                <w:sz w:val="21"/>
                <w:szCs w:val="21"/>
                <w:color w:val="auto"/>
                <w:w w:val="85"/>
                <w:shd w:val="clear" w:color="auto" w:fill="C00000"/>
              </w:rPr>
              <w:t>✓</w:t>
            </w:r>
          </w:p>
        </w:tc>
        <w:tc>
          <w:tcPr>
            <w:tcW w:w="700" w:type="dxa"/>
            <w:vAlign w:val="bottom"/>
            <w:vMerge w:val="restart"/>
          </w:tcPr>
          <w:p>
            <w:pPr>
              <w:jc w:val="center"/>
              <w:spacing w:after="0" w:line="211" w:lineRule="exact"/>
              <w:rPr>
                <w:sz w:val="20"/>
                <w:szCs w:val="20"/>
                <w:color w:val="auto"/>
              </w:rPr>
            </w:pPr>
            <w:r>
              <w:rPr>
                <w:rFonts w:ascii="MS PGothic" w:cs="MS PGothic" w:eastAsia="MS PGothic" w:hAnsi="MS PGothic"/>
                <w:sz w:val="21"/>
                <w:szCs w:val="21"/>
                <w:color w:val="auto"/>
                <w:w w:val="85"/>
                <w:shd w:val="clear" w:color="auto" w:fill="C00000"/>
              </w:rPr>
              <w:t>✓</w:t>
            </w:r>
          </w:p>
        </w:tc>
        <w:tc>
          <w:tcPr>
            <w:tcW w:w="860" w:type="dxa"/>
            <w:vAlign w:val="bottom"/>
            <w:vMerge w:val="restart"/>
          </w:tcPr>
          <w:p>
            <w:pPr>
              <w:jc w:val="center"/>
              <w:spacing w:after="0" w:line="211" w:lineRule="exact"/>
              <w:rPr>
                <w:sz w:val="20"/>
                <w:szCs w:val="20"/>
                <w:color w:val="auto"/>
              </w:rPr>
            </w:pPr>
            <w:r>
              <w:rPr>
                <w:rFonts w:ascii="MS PGothic" w:cs="MS PGothic" w:eastAsia="MS PGothic" w:hAnsi="MS PGothic"/>
                <w:sz w:val="21"/>
                <w:szCs w:val="21"/>
                <w:color w:val="auto"/>
                <w:w w:val="75"/>
                <w:shd w:val="clear" w:color="auto" w:fill="C00000"/>
              </w:rPr>
              <w:t>✓</w:t>
            </w:r>
          </w:p>
        </w:tc>
        <w:tc>
          <w:tcPr>
            <w:tcW w:w="980" w:type="dxa"/>
            <w:vAlign w:val="bottom"/>
            <w:vMerge w:val="restart"/>
          </w:tcPr>
          <w:p>
            <w:pPr>
              <w:jc w:val="center"/>
              <w:spacing w:after="0" w:line="211" w:lineRule="exact"/>
              <w:rPr>
                <w:sz w:val="20"/>
                <w:szCs w:val="20"/>
                <w:color w:val="auto"/>
              </w:rPr>
            </w:pPr>
            <w:r>
              <w:rPr>
                <w:rFonts w:ascii="MS PGothic" w:cs="MS PGothic" w:eastAsia="MS PGothic" w:hAnsi="MS PGothic"/>
                <w:sz w:val="21"/>
                <w:szCs w:val="21"/>
                <w:color w:val="auto"/>
                <w:w w:val="85"/>
                <w:shd w:val="clear" w:color="auto" w:fill="C00000"/>
              </w:rPr>
              <w:t>✓</w:t>
            </w:r>
          </w:p>
        </w:tc>
        <w:tc>
          <w:tcPr>
            <w:tcW w:w="860" w:type="dxa"/>
            <w:vAlign w:val="bottom"/>
            <w:vMerge w:val="restart"/>
          </w:tcPr>
          <w:p>
            <w:pPr>
              <w:jc w:val="center"/>
              <w:spacing w:after="0" w:line="211" w:lineRule="exact"/>
              <w:rPr>
                <w:sz w:val="20"/>
                <w:szCs w:val="20"/>
                <w:color w:val="auto"/>
              </w:rPr>
            </w:pPr>
            <w:r>
              <w:rPr>
                <w:rFonts w:ascii="MS PGothic" w:cs="MS PGothic" w:eastAsia="MS PGothic" w:hAnsi="MS PGothic"/>
                <w:sz w:val="21"/>
                <w:szCs w:val="21"/>
                <w:color w:val="auto"/>
                <w:w w:val="85"/>
                <w:shd w:val="clear" w:color="auto" w:fill="C00000"/>
              </w:rPr>
              <w:t>✓</w:t>
            </w:r>
          </w:p>
        </w:tc>
        <w:tc>
          <w:tcPr>
            <w:tcW w:w="740" w:type="dxa"/>
            <w:vAlign w:val="bottom"/>
            <w:vMerge w:val="restart"/>
          </w:tcPr>
          <w:p>
            <w:pPr>
              <w:jc w:val="center"/>
              <w:spacing w:after="0" w:line="211" w:lineRule="exact"/>
              <w:rPr>
                <w:sz w:val="20"/>
                <w:szCs w:val="20"/>
                <w:color w:val="auto"/>
              </w:rPr>
            </w:pPr>
            <w:r>
              <w:rPr>
                <w:rFonts w:ascii="MS PGothic" w:cs="MS PGothic" w:eastAsia="MS PGothic" w:hAnsi="MS PGothic"/>
                <w:sz w:val="21"/>
                <w:szCs w:val="21"/>
                <w:color w:val="auto"/>
                <w:w w:val="85"/>
                <w:shd w:val="clear" w:color="auto" w:fill="C00000"/>
              </w:rPr>
              <w:t>✓</w:t>
            </w:r>
          </w:p>
        </w:tc>
        <w:tc>
          <w:tcPr>
            <w:tcW w:w="820" w:type="dxa"/>
            <w:vAlign w:val="bottom"/>
          </w:tcPr>
          <w:p>
            <w:pPr>
              <w:spacing w:after="0"/>
              <w:rPr>
                <w:sz w:val="18"/>
                <w:szCs w:val="18"/>
                <w:color w:val="auto"/>
              </w:rPr>
            </w:pPr>
          </w:p>
        </w:tc>
        <w:tc>
          <w:tcPr>
            <w:tcW w:w="960" w:type="dxa"/>
            <w:vAlign w:val="bottom"/>
            <w:vMerge w:val="restart"/>
          </w:tcPr>
          <w:p>
            <w:pPr>
              <w:jc w:val="center"/>
              <w:spacing w:after="0" w:line="211" w:lineRule="exact"/>
              <w:rPr>
                <w:sz w:val="20"/>
                <w:szCs w:val="20"/>
                <w:color w:val="auto"/>
              </w:rPr>
            </w:pPr>
            <w:r>
              <w:rPr>
                <w:rFonts w:ascii="MS PGothic" w:cs="MS PGothic" w:eastAsia="MS PGothic" w:hAnsi="MS PGothic"/>
                <w:sz w:val="21"/>
                <w:szCs w:val="21"/>
                <w:color w:val="auto"/>
                <w:w w:val="85"/>
                <w:shd w:val="clear" w:color="auto" w:fill="C00000"/>
              </w:rPr>
              <w:t>✓</w:t>
            </w:r>
          </w:p>
        </w:tc>
        <w:tc>
          <w:tcPr>
            <w:tcW w:w="840" w:type="dxa"/>
            <w:vAlign w:val="bottom"/>
            <w:vMerge w:val="restart"/>
          </w:tcPr>
          <w:p>
            <w:pPr>
              <w:ind w:left="300"/>
              <w:spacing w:after="0" w:line="211" w:lineRule="exact"/>
              <w:rPr>
                <w:sz w:val="20"/>
                <w:szCs w:val="20"/>
                <w:color w:val="auto"/>
              </w:rPr>
            </w:pPr>
            <w:r>
              <w:rPr>
                <w:rFonts w:ascii="MS PGothic" w:cs="MS PGothic" w:eastAsia="MS PGothic" w:hAnsi="MS PGothic"/>
                <w:sz w:val="21"/>
                <w:szCs w:val="21"/>
                <w:color w:val="auto"/>
                <w:shd w:val="clear" w:color="auto" w:fill="C00000"/>
              </w:rPr>
              <w:t>✓</w:t>
            </w:r>
          </w:p>
        </w:tc>
        <w:tc>
          <w:tcPr>
            <w:tcW w:w="0" w:type="dxa"/>
            <w:vAlign w:val="bottom"/>
          </w:tcPr>
          <w:p>
            <w:pPr>
              <w:spacing w:after="0"/>
              <w:rPr>
                <w:sz w:val="1"/>
                <w:szCs w:val="1"/>
                <w:color w:val="auto"/>
              </w:rPr>
            </w:pPr>
          </w:p>
        </w:tc>
      </w:tr>
      <w:tr>
        <w:trPr>
          <w:trHeight w:val="238"/>
        </w:trPr>
        <w:tc>
          <w:tcPr>
            <w:tcW w:w="3460" w:type="dxa"/>
            <w:vAlign w:val="bottom"/>
          </w:tcPr>
          <w:p>
            <w:pPr>
              <w:ind w:left="20"/>
              <w:spacing w:after="0"/>
              <w:rPr>
                <w:sz w:val="20"/>
                <w:szCs w:val="20"/>
                <w:color w:val="auto"/>
              </w:rPr>
            </w:pPr>
            <w:r>
              <w:rPr>
                <w:rFonts w:ascii="Arial" w:cs="Arial" w:eastAsia="Arial" w:hAnsi="Arial"/>
                <w:sz w:val="18"/>
                <w:szCs w:val="18"/>
                <w:color w:val="auto"/>
              </w:rPr>
              <w:t>States</w:t>
            </w:r>
          </w:p>
        </w:tc>
        <w:tc>
          <w:tcPr>
            <w:tcW w:w="960" w:type="dxa"/>
            <w:vAlign w:val="bottom"/>
            <w:vMerge w:val="continue"/>
          </w:tcPr>
          <w:p>
            <w:pPr>
              <w:spacing w:after="0"/>
              <w:rPr>
                <w:sz w:val="20"/>
                <w:szCs w:val="20"/>
                <w:color w:val="auto"/>
              </w:rPr>
            </w:pPr>
          </w:p>
        </w:tc>
        <w:tc>
          <w:tcPr>
            <w:tcW w:w="700" w:type="dxa"/>
            <w:vAlign w:val="bottom"/>
            <w:vMerge w:val="continue"/>
          </w:tcPr>
          <w:p>
            <w:pPr>
              <w:spacing w:after="0"/>
              <w:rPr>
                <w:sz w:val="20"/>
                <w:szCs w:val="20"/>
                <w:color w:val="auto"/>
              </w:rPr>
            </w:pPr>
          </w:p>
        </w:tc>
        <w:tc>
          <w:tcPr>
            <w:tcW w:w="860" w:type="dxa"/>
            <w:vAlign w:val="bottom"/>
            <w:vMerge w:val="continue"/>
          </w:tcPr>
          <w:p>
            <w:pPr>
              <w:spacing w:after="0"/>
              <w:rPr>
                <w:sz w:val="20"/>
                <w:szCs w:val="20"/>
                <w:color w:val="auto"/>
              </w:rPr>
            </w:pPr>
          </w:p>
        </w:tc>
        <w:tc>
          <w:tcPr>
            <w:tcW w:w="980" w:type="dxa"/>
            <w:vAlign w:val="bottom"/>
            <w:vMerge w:val="continue"/>
          </w:tcPr>
          <w:p>
            <w:pPr>
              <w:spacing w:after="0"/>
              <w:rPr>
                <w:sz w:val="20"/>
                <w:szCs w:val="20"/>
                <w:color w:val="auto"/>
              </w:rPr>
            </w:pPr>
          </w:p>
        </w:tc>
        <w:tc>
          <w:tcPr>
            <w:tcW w:w="860" w:type="dxa"/>
            <w:vAlign w:val="bottom"/>
            <w:vMerge w:val="continue"/>
          </w:tcPr>
          <w:p>
            <w:pPr>
              <w:spacing w:after="0"/>
              <w:rPr>
                <w:sz w:val="20"/>
                <w:szCs w:val="20"/>
                <w:color w:val="auto"/>
              </w:rPr>
            </w:pPr>
          </w:p>
        </w:tc>
        <w:tc>
          <w:tcPr>
            <w:tcW w:w="740" w:type="dxa"/>
            <w:vAlign w:val="bottom"/>
            <w:vMerge w:val="continue"/>
          </w:tcPr>
          <w:p>
            <w:pPr>
              <w:spacing w:after="0"/>
              <w:rPr>
                <w:sz w:val="20"/>
                <w:szCs w:val="20"/>
                <w:color w:val="auto"/>
              </w:rPr>
            </w:pPr>
          </w:p>
        </w:tc>
        <w:tc>
          <w:tcPr>
            <w:tcW w:w="820" w:type="dxa"/>
            <w:vAlign w:val="bottom"/>
          </w:tcPr>
          <w:p>
            <w:pPr>
              <w:spacing w:after="0"/>
              <w:rPr>
                <w:sz w:val="20"/>
                <w:szCs w:val="20"/>
                <w:color w:val="auto"/>
              </w:rPr>
            </w:pPr>
          </w:p>
        </w:tc>
        <w:tc>
          <w:tcPr>
            <w:tcW w:w="960" w:type="dxa"/>
            <w:vAlign w:val="bottom"/>
            <w:vMerge w:val="continue"/>
          </w:tcPr>
          <w:p>
            <w:pPr>
              <w:spacing w:after="0"/>
              <w:rPr>
                <w:sz w:val="20"/>
                <w:szCs w:val="20"/>
                <w:color w:val="auto"/>
              </w:rPr>
            </w:pPr>
          </w:p>
        </w:tc>
        <w:tc>
          <w:tcPr>
            <w:tcW w:w="84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79"/>
        </w:trPr>
        <w:tc>
          <w:tcPr>
            <w:tcW w:w="3460" w:type="dxa"/>
            <w:vAlign w:val="bottom"/>
            <w:tcBorders>
              <w:bottom w:val="single" w:sz="8" w:color="BF2115"/>
            </w:tcBorders>
            <w:shd w:val="clear" w:color="auto" w:fill="BF2115"/>
          </w:tcPr>
          <w:p>
            <w:pPr>
              <w:ind w:left="20"/>
              <w:spacing w:after="0"/>
              <w:rPr>
                <w:sz w:val="20"/>
                <w:szCs w:val="20"/>
                <w:color w:val="auto"/>
              </w:rPr>
            </w:pPr>
            <w:r>
              <w:rPr>
                <w:rFonts w:ascii="Arial" w:cs="Arial" w:eastAsia="Arial" w:hAnsi="Arial"/>
                <w:sz w:val="16"/>
                <w:szCs w:val="16"/>
                <w:b w:val="1"/>
                <w:bCs w:val="1"/>
                <w:color w:val="FFFFFF"/>
              </w:rPr>
              <w:t>Demographics</w:t>
            </w:r>
          </w:p>
        </w:tc>
        <w:tc>
          <w:tcPr>
            <w:tcW w:w="960" w:type="dxa"/>
            <w:vAlign w:val="bottom"/>
            <w:tcBorders>
              <w:bottom w:val="single" w:sz="8" w:color="BF2115"/>
            </w:tcBorders>
            <w:shd w:val="clear" w:color="auto" w:fill="BF2115"/>
          </w:tcPr>
          <w:p>
            <w:pPr>
              <w:spacing w:after="0"/>
              <w:rPr>
                <w:sz w:val="24"/>
                <w:szCs w:val="24"/>
                <w:color w:val="auto"/>
              </w:rPr>
            </w:pPr>
          </w:p>
        </w:tc>
        <w:tc>
          <w:tcPr>
            <w:tcW w:w="700" w:type="dxa"/>
            <w:vAlign w:val="bottom"/>
            <w:tcBorders>
              <w:bottom w:val="single" w:sz="8" w:color="BF2115"/>
            </w:tcBorders>
            <w:shd w:val="clear" w:color="auto" w:fill="BF2115"/>
          </w:tcPr>
          <w:p>
            <w:pPr>
              <w:spacing w:after="0"/>
              <w:rPr>
                <w:sz w:val="24"/>
                <w:szCs w:val="24"/>
                <w:color w:val="auto"/>
              </w:rPr>
            </w:pPr>
          </w:p>
        </w:tc>
        <w:tc>
          <w:tcPr>
            <w:tcW w:w="860" w:type="dxa"/>
            <w:vAlign w:val="bottom"/>
            <w:tcBorders>
              <w:bottom w:val="single" w:sz="8" w:color="BF2115"/>
            </w:tcBorders>
            <w:shd w:val="clear" w:color="auto" w:fill="BF2115"/>
          </w:tcPr>
          <w:p>
            <w:pPr>
              <w:spacing w:after="0"/>
              <w:rPr>
                <w:sz w:val="24"/>
                <w:szCs w:val="24"/>
                <w:color w:val="auto"/>
              </w:rPr>
            </w:pPr>
          </w:p>
        </w:tc>
        <w:tc>
          <w:tcPr>
            <w:tcW w:w="980" w:type="dxa"/>
            <w:vAlign w:val="bottom"/>
            <w:tcBorders>
              <w:bottom w:val="single" w:sz="8" w:color="BF2115"/>
            </w:tcBorders>
            <w:shd w:val="clear" w:color="auto" w:fill="BF2115"/>
          </w:tcPr>
          <w:p>
            <w:pPr>
              <w:spacing w:after="0"/>
              <w:rPr>
                <w:sz w:val="24"/>
                <w:szCs w:val="24"/>
                <w:color w:val="auto"/>
              </w:rPr>
            </w:pPr>
          </w:p>
        </w:tc>
        <w:tc>
          <w:tcPr>
            <w:tcW w:w="860" w:type="dxa"/>
            <w:vAlign w:val="bottom"/>
            <w:tcBorders>
              <w:bottom w:val="single" w:sz="8" w:color="BF2115"/>
            </w:tcBorders>
            <w:shd w:val="clear" w:color="auto" w:fill="BF2115"/>
          </w:tcPr>
          <w:p>
            <w:pPr>
              <w:spacing w:after="0"/>
              <w:rPr>
                <w:sz w:val="24"/>
                <w:szCs w:val="24"/>
                <w:color w:val="auto"/>
              </w:rPr>
            </w:pPr>
          </w:p>
        </w:tc>
        <w:tc>
          <w:tcPr>
            <w:tcW w:w="740" w:type="dxa"/>
            <w:vAlign w:val="bottom"/>
            <w:tcBorders>
              <w:bottom w:val="single" w:sz="8" w:color="BF2115"/>
            </w:tcBorders>
            <w:shd w:val="clear" w:color="auto" w:fill="BF2115"/>
          </w:tcPr>
          <w:p>
            <w:pPr>
              <w:spacing w:after="0"/>
              <w:rPr>
                <w:sz w:val="24"/>
                <w:szCs w:val="24"/>
                <w:color w:val="auto"/>
              </w:rPr>
            </w:pPr>
          </w:p>
        </w:tc>
        <w:tc>
          <w:tcPr>
            <w:tcW w:w="820" w:type="dxa"/>
            <w:vAlign w:val="bottom"/>
            <w:tcBorders>
              <w:bottom w:val="single" w:sz="8" w:color="BF2115"/>
            </w:tcBorders>
            <w:shd w:val="clear" w:color="auto" w:fill="BF2115"/>
          </w:tcPr>
          <w:p>
            <w:pPr>
              <w:spacing w:after="0"/>
              <w:rPr>
                <w:sz w:val="24"/>
                <w:szCs w:val="24"/>
                <w:color w:val="auto"/>
              </w:rPr>
            </w:pPr>
          </w:p>
        </w:tc>
        <w:tc>
          <w:tcPr>
            <w:tcW w:w="960" w:type="dxa"/>
            <w:vAlign w:val="bottom"/>
            <w:tcBorders>
              <w:bottom w:val="single" w:sz="8" w:color="BF2115"/>
            </w:tcBorders>
            <w:shd w:val="clear" w:color="auto" w:fill="BF2115"/>
          </w:tcPr>
          <w:p>
            <w:pPr>
              <w:spacing w:after="0"/>
              <w:rPr>
                <w:sz w:val="24"/>
                <w:szCs w:val="24"/>
                <w:color w:val="auto"/>
              </w:rPr>
            </w:pPr>
          </w:p>
        </w:tc>
        <w:tc>
          <w:tcPr>
            <w:tcW w:w="840" w:type="dxa"/>
            <w:vAlign w:val="bottom"/>
            <w:tcBorders>
              <w:bottom w:val="single" w:sz="8" w:color="BF2115"/>
            </w:tcBorders>
            <w:shd w:val="clear" w:color="auto" w:fill="BF2115"/>
          </w:tcPr>
          <w:p>
            <w:pPr>
              <w:spacing w:after="0"/>
              <w:rPr>
                <w:sz w:val="24"/>
                <w:szCs w:val="24"/>
                <w:color w:val="auto"/>
              </w:rPr>
            </w:pPr>
          </w:p>
        </w:tc>
        <w:tc>
          <w:tcPr>
            <w:tcW w:w="0" w:type="dxa"/>
            <w:vAlign w:val="bottom"/>
          </w:tcPr>
          <w:p>
            <w:pPr>
              <w:spacing w:after="0"/>
              <w:rPr>
                <w:sz w:val="1"/>
                <w:szCs w:val="1"/>
                <w:color w:val="auto"/>
              </w:rPr>
            </w:pPr>
          </w:p>
        </w:tc>
      </w:tr>
      <w:tr>
        <w:trPr>
          <w:trHeight w:val="266"/>
        </w:trPr>
        <w:tc>
          <w:tcPr>
            <w:tcW w:w="3460" w:type="dxa"/>
            <w:vAlign w:val="bottom"/>
          </w:tcPr>
          <w:p>
            <w:pPr>
              <w:ind w:left="20"/>
              <w:spacing w:after="0"/>
              <w:rPr>
                <w:sz w:val="20"/>
                <w:szCs w:val="20"/>
                <w:color w:val="auto"/>
              </w:rPr>
            </w:pPr>
            <w:r>
              <w:rPr>
                <w:rFonts w:ascii="Arial" w:cs="Arial" w:eastAsia="Arial" w:hAnsi="Arial"/>
                <w:sz w:val="18"/>
                <w:szCs w:val="18"/>
                <w:b w:val="1"/>
                <w:bCs w:val="1"/>
                <w:color w:val="auto"/>
              </w:rPr>
              <w:t>Race/Ethnicity</w:t>
            </w:r>
          </w:p>
        </w:tc>
        <w:tc>
          <w:tcPr>
            <w:tcW w:w="96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3460" w:type="dxa"/>
            <w:vAlign w:val="bottom"/>
          </w:tcPr>
          <w:p>
            <w:pPr>
              <w:spacing w:after="0"/>
              <w:rPr>
                <w:sz w:val="2"/>
                <w:szCs w:val="2"/>
                <w:color w:val="auto"/>
              </w:rPr>
            </w:pPr>
          </w:p>
        </w:tc>
        <w:tc>
          <w:tcPr>
            <w:tcW w:w="960" w:type="dxa"/>
            <w:vAlign w:val="bottom"/>
          </w:tcPr>
          <w:p>
            <w:pPr>
              <w:spacing w:after="0"/>
              <w:rPr>
                <w:sz w:val="2"/>
                <w:szCs w:val="2"/>
                <w:color w:val="auto"/>
              </w:rPr>
            </w:pPr>
          </w:p>
        </w:tc>
        <w:tc>
          <w:tcPr>
            <w:tcW w:w="700" w:type="dxa"/>
            <w:vAlign w:val="bottom"/>
          </w:tcPr>
          <w:p>
            <w:pPr>
              <w:spacing w:after="0"/>
              <w:rPr>
                <w:sz w:val="2"/>
                <w:szCs w:val="2"/>
                <w:color w:val="auto"/>
              </w:rPr>
            </w:pPr>
          </w:p>
        </w:tc>
        <w:tc>
          <w:tcPr>
            <w:tcW w:w="860" w:type="dxa"/>
            <w:vAlign w:val="bottom"/>
          </w:tcPr>
          <w:p>
            <w:pPr>
              <w:spacing w:after="0"/>
              <w:rPr>
                <w:sz w:val="2"/>
                <w:szCs w:val="2"/>
                <w:color w:val="auto"/>
              </w:rPr>
            </w:pPr>
          </w:p>
        </w:tc>
        <w:tc>
          <w:tcPr>
            <w:tcW w:w="980" w:type="dxa"/>
            <w:vAlign w:val="bottom"/>
          </w:tcPr>
          <w:p>
            <w:pPr>
              <w:spacing w:after="0"/>
              <w:rPr>
                <w:sz w:val="2"/>
                <w:szCs w:val="2"/>
                <w:color w:val="auto"/>
              </w:rPr>
            </w:pPr>
          </w:p>
        </w:tc>
        <w:tc>
          <w:tcPr>
            <w:tcW w:w="860" w:type="dxa"/>
            <w:vAlign w:val="bottom"/>
          </w:tcPr>
          <w:p>
            <w:pPr>
              <w:spacing w:after="0"/>
              <w:rPr>
                <w:sz w:val="2"/>
                <w:szCs w:val="2"/>
                <w:color w:val="auto"/>
              </w:rPr>
            </w:pPr>
          </w:p>
        </w:tc>
        <w:tc>
          <w:tcPr>
            <w:tcW w:w="740" w:type="dxa"/>
            <w:vAlign w:val="bottom"/>
          </w:tcPr>
          <w:p>
            <w:pPr>
              <w:spacing w:after="0"/>
              <w:rPr>
                <w:sz w:val="2"/>
                <w:szCs w:val="2"/>
                <w:color w:val="auto"/>
              </w:rPr>
            </w:pPr>
          </w:p>
        </w:tc>
        <w:tc>
          <w:tcPr>
            <w:tcW w:w="820" w:type="dxa"/>
            <w:vAlign w:val="bottom"/>
          </w:tcPr>
          <w:p>
            <w:pPr>
              <w:spacing w:after="0"/>
              <w:rPr>
                <w:sz w:val="2"/>
                <w:szCs w:val="2"/>
                <w:color w:val="auto"/>
              </w:rPr>
            </w:pPr>
          </w:p>
        </w:tc>
        <w:tc>
          <w:tcPr>
            <w:tcW w:w="96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94"/>
        </w:trPr>
        <w:tc>
          <w:tcPr>
            <w:tcW w:w="3460" w:type="dxa"/>
            <w:vAlign w:val="bottom"/>
            <w:shd w:val="clear" w:color="auto" w:fill="DBDBDB"/>
          </w:tcPr>
          <w:p>
            <w:pPr>
              <w:ind w:left="320"/>
              <w:spacing w:after="0"/>
              <w:rPr>
                <w:sz w:val="20"/>
                <w:szCs w:val="20"/>
                <w:color w:val="auto"/>
              </w:rPr>
            </w:pPr>
            <w:r>
              <w:rPr>
                <w:rFonts w:ascii="Arial" w:cs="Arial" w:eastAsia="Arial" w:hAnsi="Arial"/>
                <w:sz w:val="18"/>
                <w:szCs w:val="18"/>
                <w:color w:val="auto"/>
              </w:rPr>
              <w:t>African American</w:t>
            </w:r>
          </w:p>
        </w:tc>
        <w:tc>
          <w:tcPr>
            <w:tcW w:w="960" w:type="dxa"/>
            <w:vAlign w:val="bottom"/>
            <w:shd w:val="clear" w:color="auto" w:fill="DBDBDB"/>
          </w:tcPr>
          <w:p>
            <w:pPr>
              <w:spacing w:after="0"/>
              <w:rPr>
                <w:sz w:val="24"/>
                <w:szCs w:val="24"/>
                <w:color w:val="auto"/>
              </w:rPr>
            </w:pPr>
          </w:p>
        </w:tc>
        <w:tc>
          <w:tcPr>
            <w:tcW w:w="700" w:type="dxa"/>
            <w:vAlign w:val="bottom"/>
            <w:shd w:val="clear" w:color="auto" w:fill="DBDBDB"/>
          </w:tcPr>
          <w:p>
            <w:pPr>
              <w:spacing w:after="0"/>
              <w:rPr>
                <w:sz w:val="24"/>
                <w:szCs w:val="24"/>
                <w:color w:val="auto"/>
              </w:rPr>
            </w:pPr>
          </w:p>
        </w:tc>
        <w:tc>
          <w:tcPr>
            <w:tcW w:w="860" w:type="dxa"/>
            <w:vAlign w:val="bottom"/>
            <w:shd w:val="clear" w:color="auto" w:fill="DBDBDB"/>
          </w:tcPr>
          <w:p>
            <w:pPr>
              <w:spacing w:after="0"/>
              <w:rPr>
                <w:sz w:val="24"/>
                <w:szCs w:val="24"/>
                <w:color w:val="auto"/>
              </w:rPr>
            </w:pPr>
          </w:p>
        </w:tc>
        <w:tc>
          <w:tcPr>
            <w:tcW w:w="980" w:type="dxa"/>
            <w:vAlign w:val="bottom"/>
            <w:shd w:val="clear" w:color="auto" w:fill="DBDBDB"/>
          </w:tcPr>
          <w:p>
            <w:pPr>
              <w:spacing w:after="0"/>
              <w:rPr>
                <w:sz w:val="24"/>
                <w:szCs w:val="24"/>
                <w:color w:val="auto"/>
              </w:rPr>
            </w:pPr>
          </w:p>
        </w:tc>
        <w:tc>
          <w:tcPr>
            <w:tcW w:w="860" w:type="dxa"/>
            <w:vAlign w:val="bottom"/>
            <w:shd w:val="clear" w:color="auto" w:fill="DBDBDB"/>
          </w:tcPr>
          <w:p>
            <w:pPr>
              <w:spacing w:after="0"/>
              <w:rPr>
                <w:sz w:val="24"/>
                <w:szCs w:val="24"/>
                <w:color w:val="auto"/>
              </w:rPr>
            </w:pPr>
          </w:p>
        </w:tc>
        <w:tc>
          <w:tcPr>
            <w:tcW w:w="740" w:type="dxa"/>
            <w:vAlign w:val="bottom"/>
            <w:shd w:val="clear" w:color="auto" w:fill="DBDBDB"/>
          </w:tcPr>
          <w:p>
            <w:pPr>
              <w:spacing w:after="0"/>
              <w:rPr>
                <w:sz w:val="24"/>
                <w:szCs w:val="24"/>
                <w:color w:val="auto"/>
              </w:rPr>
            </w:pPr>
          </w:p>
        </w:tc>
        <w:tc>
          <w:tcPr>
            <w:tcW w:w="820" w:type="dxa"/>
            <w:vAlign w:val="bottom"/>
            <w:shd w:val="clear" w:color="auto" w:fill="DBDBDB"/>
          </w:tcPr>
          <w:p>
            <w:pPr>
              <w:spacing w:after="0"/>
              <w:rPr>
                <w:sz w:val="24"/>
                <w:szCs w:val="24"/>
                <w:color w:val="auto"/>
              </w:rPr>
            </w:pPr>
          </w:p>
        </w:tc>
        <w:tc>
          <w:tcPr>
            <w:tcW w:w="960" w:type="dxa"/>
            <w:vAlign w:val="bottom"/>
            <w:shd w:val="clear" w:color="auto" w:fill="DBDBDB"/>
          </w:tcPr>
          <w:p>
            <w:pPr>
              <w:spacing w:after="0"/>
              <w:rPr>
                <w:sz w:val="24"/>
                <w:szCs w:val="24"/>
                <w:color w:val="auto"/>
              </w:rPr>
            </w:pPr>
          </w:p>
        </w:tc>
        <w:tc>
          <w:tcPr>
            <w:tcW w:w="840" w:type="dxa"/>
            <w:vAlign w:val="bottom"/>
            <w:shd w:val="clear" w:color="auto" w:fill="DBDBDB"/>
          </w:tcPr>
          <w:p>
            <w:pPr>
              <w:ind w:left="300"/>
              <w:spacing w:after="0" w:line="211" w:lineRule="exact"/>
              <w:rPr>
                <w:sz w:val="20"/>
                <w:szCs w:val="20"/>
                <w:color w:val="auto"/>
              </w:rPr>
            </w:pPr>
            <w:r>
              <w:rPr>
                <w:rFonts w:ascii="MS PGothic" w:cs="MS PGothic" w:eastAsia="MS PGothic" w:hAnsi="MS PGothic"/>
                <w:sz w:val="21"/>
                <w:szCs w:val="21"/>
                <w:color w:val="auto"/>
                <w:shd w:val="clear" w:color="auto" w:fill="C00000"/>
              </w:rPr>
              <w:t>✓</w:t>
            </w:r>
          </w:p>
        </w:tc>
        <w:tc>
          <w:tcPr>
            <w:tcW w:w="0" w:type="dxa"/>
            <w:vAlign w:val="bottom"/>
          </w:tcPr>
          <w:p>
            <w:pPr>
              <w:spacing w:after="0"/>
              <w:rPr>
                <w:sz w:val="1"/>
                <w:szCs w:val="1"/>
                <w:color w:val="auto"/>
              </w:rPr>
            </w:pPr>
          </w:p>
        </w:tc>
      </w:tr>
      <w:tr>
        <w:trPr>
          <w:trHeight w:val="294"/>
        </w:trPr>
        <w:tc>
          <w:tcPr>
            <w:tcW w:w="3460" w:type="dxa"/>
            <w:vAlign w:val="bottom"/>
          </w:tcPr>
          <w:p>
            <w:pPr>
              <w:ind w:left="320"/>
              <w:spacing w:after="0"/>
              <w:rPr>
                <w:sz w:val="20"/>
                <w:szCs w:val="20"/>
                <w:color w:val="auto"/>
              </w:rPr>
            </w:pPr>
            <w:r>
              <w:rPr>
                <w:rFonts w:ascii="Arial" w:cs="Arial" w:eastAsia="Arial" w:hAnsi="Arial"/>
                <w:sz w:val="18"/>
                <w:szCs w:val="18"/>
                <w:color w:val="auto"/>
              </w:rPr>
              <w:t>Asian/Pacific Islander</w:t>
            </w:r>
          </w:p>
        </w:tc>
        <w:tc>
          <w:tcPr>
            <w:tcW w:w="9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60" w:type="dxa"/>
            <w:vAlign w:val="bottom"/>
          </w:tcPr>
          <w:p>
            <w:pPr>
              <w:jc w:val="center"/>
              <w:spacing w:after="0" w:line="211" w:lineRule="exact"/>
              <w:rPr>
                <w:sz w:val="20"/>
                <w:szCs w:val="20"/>
                <w:color w:val="auto"/>
              </w:rPr>
            </w:pPr>
            <w:r>
              <w:rPr>
                <w:rFonts w:ascii="MS PGothic" w:cs="MS PGothic" w:eastAsia="MS PGothic" w:hAnsi="MS PGothic"/>
                <w:sz w:val="21"/>
                <w:szCs w:val="21"/>
                <w:color w:val="auto"/>
                <w:w w:val="75"/>
                <w:shd w:val="clear" w:color="auto" w:fill="C00000"/>
              </w:rPr>
              <w:t>✓</w:t>
            </w:r>
          </w:p>
        </w:tc>
        <w:tc>
          <w:tcPr>
            <w:tcW w:w="9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4"/>
        </w:trPr>
        <w:tc>
          <w:tcPr>
            <w:tcW w:w="3460" w:type="dxa"/>
            <w:vAlign w:val="bottom"/>
            <w:shd w:val="clear" w:color="auto" w:fill="DBDBDB"/>
          </w:tcPr>
          <w:p>
            <w:pPr>
              <w:ind w:left="320"/>
              <w:spacing w:after="0"/>
              <w:rPr>
                <w:sz w:val="20"/>
                <w:szCs w:val="20"/>
                <w:color w:val="auto"/>
              </w:rPr>
            </w:pPr>
            <w:r>
              <w:rPr>
                <w:rFonts w:ascii="Arial" w:cs="Arial" w:eastAsia="Arial" w:hAnsi="Arial"/>
                <w:sz w:val="18"/>
                <w:szCs w:val="18"/>
                <w:color w:val="auto"/>
              </w:rPr>
              <w:t>White/Caucasian</w:t>
            </w:r>
          </w:p>
        </w:tc>
        <w:tc>
          <w:tcPr>
            <w:tcW w:w="960" w:type="dxa"/>
            <w:vAlign w:val="bottom"/>
            <w:shd w:val="clear" w:color="auto" w:fill="DBDBDB"/>
          </w:tcPr>
          <w:p>
            <w:pPr>
              <w:jc w:val="center"/>
              <w:spacing w:after="0" w:line="211" w:lineRule="exact"/>
              <w:rPr>
                <w:sz w:val="20"/>
                <w:szCs w:val="20"/>
                <w:color w:val="auto"/>
              </w:rPr>
            </w:pPr>
            <w:r>
              <w:rPr>
                <w:rFonts w:ascii="MS PGothic" w:cs="MS PGothic" w:eastAsia="MS PGothic" w:hAnsi="MS PGothic"/>
                <w:sz w:val="21"/>
                <w:szCs w:val="21"/>
                <w:color w:val="auto"/>
                <w:w w:val="85"/>
                <w:shd w:val="clear" w:color="auto" w:fill="C00000"/>
              </w:rPr>
              <w:t>✓</w:t>
            </w:r>
          </w:p>
        </w:tc>
        <w:tc>
          <w:tcPr>
            <w:tcW w:w="700" w:type="dxa"/>
            <w:vAlign w:val="bottom"/>
            <w:shd w:val="clear" w:color="auto" w:fill="DBDBDB"/>
          </w:tcPr>
          <w:p>
            <w:pPr>
              <w:jc w:val="center"/>
              <w:spacing w:after="0" w:line="211" w:lineRule="exact"/>
              <w:rPr>
                <w:sz w:val="20"/>
                <w:szCs w:val="20"/>
                <w:color w:val="auto"/>
              </w:rPr>
            </w:pPr>
            <w:r>
              <w:rPr>
                <w:rFonts w:ascii="MS PGothic" w:cs="MS PGothic" w:eastAsia="MS PGothic" w:hAnsi="MS PGothic"/>
                <w:sz w:val="21"/>
                <w:szCs w:val="21"/>
                <w:color w:val="auto"/>
                <w:w w:val="85"/>
                <w:shd w:val="clear" w:color="auto" w:fill="C00000"/>
              </w:rPr>
              <w:t>✓</w:t>
            </w:r>
          </w:p>
        </w:tc>
        <w:tc>
          <w:tcPr>
            <w:tcW w:w="860" w:type="dxa"/>
            <w:vAlign w:val="bottom"/>
            <w:shd w:val="clear" w:color="auto" w:fill="DBDBDB"/>
          </w:tcPr>
          <w:p>
            <w:pPr>
              <w:spacing w:after="0"/>
              <w:rPr>
                <w:sz w:val="24"/>
                <w:szCs w:val="24"/>
                <w:color w:val="auto"/>
              </w:rPr>
            </w:pPr>
          </w:p>
        </w:tc>
        <w:tc>
          <w:tcPr>
            <w:tcW w:w="980" w:type="dxa"/>
            <w:vAlign w:val="bottom"/>
            <w:shd w:val="clear" w:color="auto" w:fill="DBDBDB"/>
          </w:tcPr>
          <w:p>
            <w:pPr>
              <w:jc w:val="center"/>
              <w:spacing w:after="0" w:line="211" w:lineRule="exact"/>
              <w:rPr>
                <w:sz w:val="20"/>
                <w:szCs w:val="20"/>
                <w:color w:val="auto"/>
              </w:rPr>
            </w:pPr>
            <w:r>
              <w:rPr>
                <w:rFonts w:ascii="MS PGothic" w:cs="MS PGothic" w:eastAsia="MS PGothic" w:hAnsi="MS PGothic"/>
                <w:sz w:val="21"/>
                <w:szCs w:val="21"/>
                <w:color w:val="auto"/>
                <w:w w:val="85"/>
                <w:shd w:val="clear" w:color="auto" w:fill="C00000"/>
              </w:rPr>
              <w:t>✓</w:t>
            </w:r>
          </w:p>
        </w:tc>
        <w:tc>
          <w:tcPr>
            <w:tcW w:w="860" w:type="dxa"/>
            <w:vAlign w:val="bottom"/>
            <w:shd w:val="clear" w:color="auto" w:fill="DBDBDB"/>
          </w:tcPr>
          <w:p>
            <w:pPr>
              <w:jc w:val="center"/>
              <w:spacing w:after="0" w:line="211" w:lineRule="exact"/>
              <w:rPr>
                <w:sz w:val="20"/>
                <w:szCs w:val="20"/>
                <w:color w:val="auto"/>
              </w:rPr>
            </w:pPr>
            <w:r>
              <w:rPr>
                <w:rFonts w:ascii="MS PGothic" w:cs="MS PGothic" w:eastAsia="MS PGothic" w:hAnsi="MS PGothic"/>
                <w:sz w:val="21"/>
                <w:szCs w:val="21"/>
                <w:color w:val="auto"/>
                <w:w w:val="85"/>
                <w:shd w:val="clear" w:color="auto" w:fill="C00000"/>
              </w:rPr>
              <w:t>✓</w:t>
            </w:r>
          </w:p>
        </w:tc>
        <w:tc>
          <w:tcPr>
            <w:tcW w:w="740" w:type="dxa"/>
            <w:vAlign w:val="bottom"/>
            <w:shd w:val="clear" w:color="auto" w:fill="DBDBDB"/>
          </w:tcPr>
          <w:p>
            <w:pPr>
              <w:jc w:val="center"/>
              <w:spacing w:after="0" w:line="211" w:lineRule="exact"/>
              <w:rPr>
                <w:sz w:val="20"/>
                <w:szCs w:val="20"/>
                <w:color w:val="auto"/>
              </w:rPr>
            </w:pPr>
            <w:r>
              <w:rPr>
                <w:rFonts w:ascii="MS PGothic" w:cs="MS PGothic" w:eastAsia="MS PGothic" w:hAnsi="MS PGothic"/>
                <w:sz w:val="21"/>
                <w:szCs w:val="21"/>
                <w:color w:val="auto"/>
                <w:w w:val="85"/>
                <w:shd w:val="clear" w:color="auto" w:fill="C00000"/>
              </w:rPr>
              <w:t>✓</w:t>
            </w:r>
          </w:p>
        </w:tc>
        <w:tc>
          <w:tcPr>
            <w:tcW w:w="820" w:type="dxa"/>
            <w:vAlign w:val="bottom"/>
            <w:shd w:val="clear" w:color="auto" w:fill="DBDBDB"/>
          </w:tcPr>
          <w:p>
            <w:pPr>
              <w:jc w:val="center"/>
              <w:spacing w:after="0" w:line="211" w:lineRule="exact"/>
              <w:rPr>
                <w:sz w:val="20"/>
                <w:szCs w:val="20"/>
                <w:color w:val="auto"/>
              </w:rPr>
            </w:pPr>
            <w:r>
              <w:rPr>
                <w:rFonts w:ascii="MS PGothic" w:cs="MS PGothic" w:eastAsia="MS PGothic" w:hAnsi="MS PGothic"/>
                <w:sz w:val="21"/>
                <w:szCs w:val="21"/>
                <w:color w:val="auto"/>
                <w:w w:val="85"/>
                <w:shd w:val="clear" w:color="auto" w:fill="C00000"/>
              </w:rPr>
              <w:t>✓</w:t>
            </w:r>
          </w:p>
        </w:tc>
        <w:tc>
          <w:tcPr>
            <w:tcW w:w="960" w:type="dxa"/>
            <w:vAlign w:val="bottom"/>
            <w:shd w:val="clear" w:color="auto" w:fill="DBDBDB"/>
          </w:tcPr>
          <w:p>
            <w:pPr>
              <w:jc w:val="center"/>
              <w:spacing w:after="0" w:line="211" w:lineRule="exact"/>
              <w:rPr>
                <w:sz w:val="20"/>
                <w:szCs w:val="20"/>
                <w:color w:val="auto"/>
              </w:rPr>
            </w:pPr>
            <w:r>
              <w:rPr>
                <w:rFonts w:ascii="MS PGothic" w:cs="MS PGothic" w:eastAsia="MS PGothic" w:hAnsi="MS PGothic"/>
                <w:sz w:val="21"/>
                <w:szCs w:val="21"/>
                <w:color w:val="auto"/>
                <w:w w:val="85"/>
                <w:shd w:val="clear" w:color="auto" w:fill="C00000"/>
              </w:rPr>
              <w:t>✓</w:t>
            </w:r>
          </w:p>
        </w:tc>
        <w:tc>
          <w:tcPr>
            <w:tcW w:w="840" w:type="dxa"/>
            <w:vAlign w:val="bottom"/>
            <w:shd w:val="clear" w:color="auto" w:fill="DBDBDB"/>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3460" w:type="dxa"/>
            <w:vAlign w:val="bottom"/>
          </w:tcPr>
          <w:p>
            <w:pPr>
              <w:ind w:left="320"/>
              <w:spacing w:after="0"/>
              <w:rPr>
                <w:sz w:val="20"/>
                <w:szCs w:val="20"/>
                <w:color w:val="auto"/>
              </w:rPr>
            </w:pPr>
            <w:r>
              <w:rPr>
                <w:rFonts w:ascii="Arial" w:cs="Arial" w:eastAsia="Arial" w:hAnsi="Arial"/>
                <w:sz w:val="18"/>
                <w:szCs w:val="18"/>
                <w:color w:val="auto"/>
              </w:rPr>
              <w:t>Hispanic/Latino</w:t>
            </w:r>
          </w:p>
        </w:tc>
        <w:tc>
          <w:tcPr>
            <w:tcW w:w="96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7"/>
        </w:trPr>
        <w:tc>
          <w:tcPr>
            <w:tcW w:w="3460" w:type="dxa"/>
            <w:vAlign w:val="bottom"/>
          </w:tcPr>
          <w:p>
            <w:pPr>
              <w:spacing w:after="0"/>
              <w:rPr>
                <w:sz w:val="3"/>
                <w:szCs w:val="3"/>
                <w:color w:val="auto"/>
              </w:rPr>
            </w:pPr>
          </w:p>
        </w:tc>
        <w:tc>
          <w:tcPr>
            <w:tcW w:w="960" w:type="dxa"/>
            <w:vAlign w:val="bottom"/>
          </w:tcPr>
          <w:p>
            <w:pPr>
              <w:spacing w:after="0"/>
              <w:rPr>
                <w:sz w:val="3"/>
                <w:szCs w:val="3"/>
                <w:color w:val="auto"/>
              </w:rPr>
            </w:pPr>
          </w:p>
        </w:tc>
        <w:tc>
          <w:tcPr>
            <w:tcW w:w="700" w:type="dxa"/>
            <w:vAlign w:val="bottom"/>
          </w:tcPr>
          <w:p>
            <w:pPr>
              <w:spacing w:after="0"/>
              <w:rPr>
                <w:sz w:val="3"/>
                <w:szCs w:val="3"/>
                <w:color w:val="auto"/>
              </w:rPr>
            </w:pPr>
          </w:p>
        </w:tc>
        <w:tc>
          <w:tcPr>
            <w:tcW w:w="860" w:type="dxa"/>
            <w:vAlign w:val="bottom"/>
          </w:tcPr>
          <w:p>
            <w:pPr>
              <w:spacing w:after="0"/>
              <w:rPr>
                <w:sz w:val="3"/>
                <w:szCs w:val="3"/>
                <w:color w:val="auto"/>
              </w:rPr>
            </w:pPr>
          </w:p>
        </w:tc>
        <w:tc>
          <w:tcPr>
            <w:tcW w:w="980" w:type="dxa"/>
            <w:vAlign w:val="bottom"/>
          </w:tcPr>
          <w:p>
            <w:pPr>
              <w:spacing w:after="0"/>
              <w:rPr>
                <w:sz w:val="3"/>
                <w:szCs w:val="3"/>
                <w:color w:val="auto"/>
              </w:rPr>
            </w:pPr>
          </w:p>
        </w:tc>
        <w:tc>
          <w:tcPr>
            <w:tcW w:w="86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960" w:type="dxa"/>
            <w:vAlign w:val="bottom"/>
          </w:tcPr>
          <w:p>
            <w:pPr>
              <w:spacing w:after="0"/>
              <w:rPr>
                <w:sz w:val="3"/>
                <w:szCs w:val="3"/>
                <w:color w:val="auto"/>
              </w:rPr>
            </w:pPr>
          </w:p>
        </w:tc>
        <w:tc>
          <w:tcPr>
            <w:tcW w:w="8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74"/>
        </w:trPr>
        <w:tc>
          <w:tcPr>
            <w:tcW w:w="3460" w:type="dxa"/>
            <w:vAlign w:val="bottom"/>
            <w:tcBorders>
              <w:bottom w:val="single" w:sz="8" w:color="DBDBDB"/>
            </w:tcBorders>
            <w:shd w:val="clear" w:color="auto" w:fill="DBDBDB"/>
          </w:tcPr>
          <w:p>
            <w:pPr>
              <w:ind w:left="320"/>
              <w:spacing w:after="0"/>
              <w:rPr>
                <w:sz w:val="20"/>
                <w:szCs w:val="20"/>
                <w:color w:val="auto"/>
              </w:rPr>
            </w:pPr>
            <w:r>
              <w:rPr>
                <w:rFonts w:ascii="Arial" w:cs="Arial" w:eastAsia="Arial" w:hAnsi="Arial"/>
                <w:sz w:val="18"/>
                <w:szCs w:val="18"/>
                <w:color w:val="auto"/>
              </w:rPr>
              <w:t>Native American</w:t>
            </w:r>
          </w:p>
        </w:tc>
        <w:tc>
          <w:tcPr>
            <w:tcW w:w="960" w:type="dxa"/>
            <w:vAlign w:val="bottom"/>
            <w:tcBorders>
              <w:bottom w:val="single" w:sz="8" w:color="DBDBDB"/>
            </w:tcBorders>
            <w:shd w:val="clear" w:color="auto" w:fill="DBDBDB"/>
          </w:tcPr>
          <w:p>
            <w:pPr>
              <w:spacing w:after="0"/>
              <w:rPr>
                <w:sz w:val="23"/>
                <w:szCs w:val="23"/>
                <w:color w:val="auto"/>
              </w:rPr>
            </w:pPr>
          </w:p>
        </w:tc>
        <w:tc>
          <w:tcPr>
            <w:tcW w:w="700" w:type="dxa"/>
            <w:vAlign w:val="bottom"/>
            <w:tcBorders>
              <w:bottom w:val="single" w:sz="8" w:color="DBDBDB"/>
            </w:tcBorders>
            <w:shd w:val="clear" w:color="auto" w:fill="DBDBDB"/>
          </w:tcPr>
          <w:p>
            <w:pPr>
              <w:spacing w:after="0"/>
              <w:rPr>
                <w:sz w:val="23"/>
                <w:szCs w:val="23"/>
                <w:color w:val="auto"/>
              </w:rPr>
            </w:pPr>
          </w:p>
        </w:tc>
        <w:tc>
          <w:tcPr>
            <w:tcW w:w="860" w:type="dxa"/>
            <w:vAlign w:val="bottom"/>
            <w:tcBorders>
              <w:bottom w:val="single" w:sz="8" w:color="DBDBDB"/>
            </w:tcBorders>
            <w:shd w:val="clear" w:color="auto" w:fill="DBDBDB"/>
          </w:tcPr>
          <w:p>
            <w:pPr>
              <w:spacing w:after="0"/>
              <w:rPr>
                <w:sz w:val="23"/>
                <w:szCs w:val="23"/>
                <w:color w:val="auto"/>
              </w:rPr>
            </w:pPr>
          </w:p>
        </w:tc>
        <w:tc>
          <w:tcPr>
            <w:tcW w:w="980" w:type="dxa"/>
            <w:vAlign w:val="bottom"/>
            <w:tcBorders>
              <w:bottom w:val="single" w:sz="8" w:color="DBDBDB"/>
            </w:tcBorders>
            <w:shd w:val="clear" w:color="auto" w:fill="DBDBDB"/>
          </w:tcPr>
          <w:p>
            <w:pPr>
              <w:spacing w:after="0"/>
              <w:rPr>
                <w:sz w:val="23"/>
                <w:szCs w:val="23"/>
                <w:color w:val="auto"/>
              </w:rPr>
            </w:pPr>
          </w:p>
        </w:tc>
        <w:tc>
          <w:tcPr>
            <w:tcW w:w="860" w:type="dxa"/>
            <w:vAlign w:val="bottom"/>
            <w:tcBorders>
              <w:bottom w:val="single" w:sz="8" w:color="DBDBDB"/>
            </w:tcBorders>
            <w:shd w:val="clear" w:color="auto" w:fill="DBDBDB"/>
          </w:tcPr>
          <w:p>
            <w:pPr>
              <w:spacing w:after="0"/>
              <w:rPr>
                <w:sz w:val="23"/>
                <w:szCs w:val="23"/>
                <w:color w:val="auto"/>
              </w:rPr>
            </w:pPr>
          </w:p>
        </w:tc>
        <w:tc>
          <w:tcPr>
            <w:tcW w:w="740" w:type="dxa"/>
            <w:vAlign w:val="bottom"/>
            <w:tcBorders>
              <w:bottom w:val="single" w:sz="8" w:color="DBDBDB"/>
            </w:tcBorders>
            <w:shd w:val="clear" w:color="auto" w:fill="DBDBDB"/>
          </w:tcPr>
          <w:p>
            <w:pPr>
              <w:spacing w:after="0"/>
              <w:rPr>
                <w:sz w:val="23"/>
                <w:szCs w:val="23"/>
                <w:color w:val="auto"/>
              </w:rPr>
            </w:pPr>
          </w:p>
        </w:tc>
        <w:tc>
          <w:tcPr>
            <w:tcW w:w="820" w:type="dxa"/>
            <w:vAlign w:val="bottom"/>
            <w:tcBorders>
              <w:bottom w:val="single" w:sz="8" w:color="DBDBDB"/>
            </w:tcBorders>
            <w:shd w:val="clear" w:color="auto" w:fill="DBDBDB"/>
          </w:tcPr>
          <w:p>
            <w:pPr>
              <w:spacing w:after="0"/>
              <w:rPr>
                <w:sz w:val="23"/>
                <w:szCs w:val="23"/>
                <w:color w:val="auto"/>
              </w:rPr>
            </w:pPr>
          </w:p>
        </w:tc>
        <w:tc>
          <w:tcPr>
            <w:tcW w:w="960" w:type="dxa"/>
            <w:vAlign w:val="bottom"/>
            <w:tcBorders>
              <w:bottom w:val="single" w:sz="8" w:color="DBDBDB"/>
            </w:tcBorders>
            <w:shd w:val="clear" w:color="auto" w:fill="DBDBDB"/>
          </w:tcPr>
          <w:p>
            <w:pPr>
              <w:spacing w:after="0"/>
              <w:rPr>
                <w:sz w:val="23"/>
                <w:szCs w:val="23"/>
                <w:color w:val="auto"/>
              </w:rPr>
            </w:pPr>
          </w:p>
        </w:tc>
        <w:tc>
          <w:tcPr>
            <w:tcW w:w="840" w:type="dxa"/>
            <w:vAlign w:val="bottom"/>
            <w:tcBorders>
              <w:bottom w:val="single" w:sz="8" w:color="DBDBDB"/>
            </w:tcBorders>
            <w:shd w:val="clear" w:color="auto" w:fill="DBDBDB"/>
          </w:tcPr>
          <w:p>
            <w:pPr>
              <w:spacing w:after="0"/>
              <w:rPr>
                <w:sz w:val="23"/>
                <w:szCs w:val="23"/>
                <w:color w:val="auto"/>
              </w:rPr>
            </w:pPr>
          </w:p>
        </w:tc>
        <w:tc>
          <w:tcPr>
            <w:tcW w:w="0" w:type="dxa"/>
            <w:vAlign w:val="bottom"/>
          </w:tcPr>
          <w:p>
            <w:pPr>
              <w:spacing w:after="0"/>
              <w:rPr>
                <w:sz w:val="1"/>
                <w:szCs w:val="1"/>
                <w:color w:val="auto"/>
              </w:rPr>
            </w:pPr>
          </w:p>
        </w:tc>
      </w:tr>
      <w:tr>
        <w:trPr>
          <w:trHeight w:val="266"/>
        </w:trPr>
        <w:tc>
          <w:tcPr>
            <w:tcW w:w="3460" w:type="dxa"/>
            <w:vAlign w:val="bottom"/>
          </w:tcPr>
          <w:p>
            <w:pPr>
              <w:ind w:left="20"/>
              <w:spacing w:after="0"/>
              <w:rPr>
                <w:sz w:val="20"/>
                <w:szCs w:val="20"/>
                <w:color w:val="auto"/>
              </w:rPr>
            </w:pPr>
            <w:r>
              <w:rPr>
                <w:rFonts w:ascii="Arial" w:cs="Arial" w:eastAsia="Arial" w:hAnsi="Arial"/>
                <w:sz w:val="18"/>
                <w:szCs w:val="18"/>
                <w:b w:val="1"/>
                <w:bCs w:val="1"/>
                <w:color w:val="auto"/>
              </w:rPr>
              <w:t>Gender</w:t>
            </w:r>
          </w:p>
        </w:tc>
        <w:tc>
          <w:tcPr>
            <w:tcW w:w="96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3460" w:type="dxa"/>
            <w:vAlign w:val="bottom"/>
          </w:tcPr>
          <w:p>
            <w:pPr>
              <w:spacing w:after="0"/>
              <w:rPr>
                <w:sz w:val="2"/>
                <w:szCs w:val="2"/>
                <w:color w:val="auto"/>
              </w:rPr>
            </w:pPr>
          </w:p>
        </w:tc>
        <w:tc>
          <w:tcPr>
            <w:tcW w:w="960" w:type="dxa"/>
            <w:vAlign w:val="bottom"/>
          </w:tcPr>
          <w:p>
            <w:pPr>
              <w:spacing w:after="0"/>
              <w:rPr>
                <w:sz w:val="2"/>
                <w:szCs w:val="2"/>
                <w:color w:val="auto"/>
              </w:rPr>
            </w:pPr>
          </w:p>
        </w:tc>
        <w:tc>
          <w:tcPr>
            <w:tcW w:w="700" w:type="dxa"/>
            <w:vAlign w:val="bottom"/>
          </w:tcPr>
          <w:p>
            <w:pPr>
              <w:spacing w:after="0"/>
              <w:rPr>
                <w:sz w:val="2"/>
                <w:szCs w:val="2"/>
                <w:color w:val="auto"/>
              </w:rPr>
            </w:pPr>
          </w:p>
        </w:tc>
        <w:tc>
          <w:tcPr>
            <w:tcW w:w="860" w:type="dxa"/>
            <w:vAlign w:val="bottom"/>
          </w:tcPr>
          <w:p>
            <w:pPr>
              <w:spacing w:after="0"/>
              <w:rPr>
                <w:sz w:val="2"/>
                <w:szCs w:val="2"/>
                <w:color w:val="auto"/>
              </w:rPr>
            </w:pPr>
          </w:p>
        </w:tc>
        <w:tc>
          <w:tcPr>
            <w:tcW w:w="980" w:type="dxa"/>
            <w:vAlign w:val="bottom"/>
          </w:tcPr>
          <w:p>
            <w:pPr>
              <w:spacing w:after="0"/>
              <w:rPr>
                <w:sz w:val="2"/>
                <w:szCs w:val="2"/>
                <w:color w:val="auto"/>
              </w:rPr>
            </w:pPr>
          </w:p>
        </w:tc>
        <w:tc>
          <w:tcPr>
            <w:tcW w:w="860" w:type="dxa"/>
            <w:vAlign w:val="bottom"/>
          </w:tcPr>
          <w:p>
            <w:pPr>
              <w:spacing w:after="0"/>
              <w:rPr>
                <w:sz w:val="2"/>
                <w:szCs w:val="2"/>
                <w:color w:val="auto"/>
              </w:rPr>
            </w:pPr>
          </w:p>
        </w:tc>
        <w:tc>
          <w:tcPr>
            <w:tcW w:w="740" w:type="dxa"/>
            <w:vAlign w:val="bottom"/>
          </w:tcPr>
          <w:p>
            <w:pPr>
              <w:spacing w:after="0"/>
              <w:rPr>
                <w:sz w:val="2"/>
                <w:szCs w:val="2"/>
                <w:color w:val="auto"/>
              </w:rPr>
            </w:pPr>
          </w:p>
        </w:tc>
        <w:tc>
          <w:tcPr>
            <w:tcW w:w="820" w:type="dxa"/>
            <w:vAlign w:val="bottom"/>
          </w:tcPr>
          <w:p>
            <w:pPr>
              <w:spacing w:after="0"/>
              <w:rPr>
                <w:sz w:val="2"/>
                <w:szCs w:val="2"/>
                <w:color w:val="auto"/>
              </w:rPr>
            </w:pPr>
          </w:p>
        </w:tc>
        <w:tc>
          <w:tcPr>
            <w:tcW w:w="96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94"/>
        </w:trPr>
        <w:tc>
          <w:tcPr>
            <w:tcW w:w="3460" w:type="dxa"/>
            <w:vAlign w:val="bottom"/>
            <w:shd w:val="clear" w:color="auto" w:fill="DBDBDB"/>
          </w:tcPr>
          <w:p>
            <w:pPr>
              <w:ind w:left="320"/>
              <w:spacing w:after="0"/>
              <w:rPr>
                <w:sz w:val="20"/>
                <w:szCs w:val="20"/>
                <w:color w:val="auto"/>
              </w:rPr>
            </w:pPr>
            <w:r>
              <w:rPr>
                <w:rFonts w:ascii="Arial" w:cs="Arial" w:eastAsia="Arial" w:hAnsi="Arial"/>
                <w:sz w:val="18"/>
                <w:szCs w:val="18"/>
                <w:color w:val="auto"/>
              </w:rPr>
              <w:t>Male</w:t>
            </w:r>
          </w:p>
        </w:tc>
        <w:tc>
          <w:tcPr>
            <w:tcW w:w="960" w:type="dxa"/>
            <w:vAlign w:val="bottom"/>
            <w:shd w:val="clear" w:color="auto" w:fill="DBDBDB"/>
          </w:tcPr>
          <w:p>
            <w:pPr>
              <w:spacing w:after="0"/>
              <w:rPr>
                <w:sz w:val="24"/>
                <w:szCs w:val="24"/>
                <w:color w:val="auto"/>
              </w:rPr>
            </w:pPr>
          </w:p>
        </w:tc>
        <w:tc>
          <w:tcPr>
            <w:tcW w:w="700" w:type="dxa"/>
            <w:vAlign w:val="bottom"/>
            <w:shd w:val="clear" w:color="auto" w:fill="DBDBDB"/>
          </w:tcPr>
          <w:p>
            <w:pPr>
              <w:jc w:val="center"/>
              <w:spacing w:after="0" w:line="211" w:lineRule="exact"/>
              <w:rPr>
                <w:sz w:val="20"/>
                <w:szCs w:val="20"/>
                <w:color w:val="auto"/>
              </w:rPr>
            </w:pPr>
            <w:r>
              <w:rPr>
                <w:rFonts w:ascii="MS PGothic" w:cs="MS PGothic" w:eastAsia="MS PGothic" w:hAnsi="MS PGothic"/>
                <w:sz w:val="21"/>
                <w:szCs w:val="21"/>
                <w:color w:val="auto"/>
                <w:w w:val="85"/>
                <w:shd w:val="clear" w:color="auto" w:fill="C00000"/>
              </w:rPr>
              <w:t>✓</w:t>
            </w:r>
          </w:p>
        </w:tc>
        <w:tc>
          <w:tcPr>
            <w:tcW w:w="860" w:type="dxa"/>
            <w:vAlign w:val="bottom"/>
            <w:shd w:val="clear" w:color="auto" w:fill="DBDBDB"/>
          </w:tcPr>
          <w:p>
            <w:pPr>
              <w:jc w:val="center"/>
              <w:spacing w:after="0" w:line="211" w:lineRule="exact"/>
              <w:rPr>
                <w:sz w:val="20"/>
                <w:szCs w:val="20"/>
                <w:color w:val="auto"/>
              </w:rPr>
            </w:pPr>
            <w:r>
              <w:rPr>
                <w:rFonts w:ascii="MS PGothic" w:cs="MS PGothic" w:eastAsia="MS PGothic" w:hAnsi="MS PGothic"/>
                <w:sz w:val="21"/>
                <w:szCs w:val="21"/>
                <w:color w:val="auto"/>
                <w:w w:val="75"/>
                <w:shd w:val="clear" w:color="auto" w:fill="C00000"/>
              </w:rPr>
              <w:t>✓</w:t>
            </w:r>
          </w:p>
        </w:tc>
        <w:tc>
          <w:tcPr>
            <w:tcW w:w="980" w:type="dxa"/>
            <w:vAlign w:val="bottom"/>
            <w:shd w:val="clear" w:color="auto" w:fill="DBDBDB"/>
          </w:tcPr>
          <w:p>
            <w:pPr>
              <w:jc w:val="center"/>
              <w:spacing w:after="0" w:line="211" w:lineRule="exact"/>
              <w:rPr>
                <w:sz w:val="20"/>
                <w:szCs w:val="20"/>
                <w:color w:val="auto"/>
              </w:rPr>
            </w:pPr>
            <w:r>
              <w:rPr>
                <w:rFonts w:ascii="MS PGothic" w:cs="MS PGothic" w:eastAsia="MS PGothic" w:hAnsi="MS PGothic"/>
                <w:sz w:val="21"/>
                <w:szCs w:val="21"/>
                <w:color w:val="auto"/>
                <w:w w:val="85"/>
                <w:shd w:val="clear" w:color="auto" w:fill="C00000"/>
              </w:rPr>
              <w:t>✓</w:t>
            </w:r>
          </w:p>
        </w:tc>
        <w:tc>
          <w:tcPr>
            <w:tcW w:w="860" w:type="dxa"/>
            <w:vAlign w:val="bottom"/>
            <w:shd w:val="clear" w:color="auto" w:fill="DBDBDB"/>
          </w:tcPr>
          <w:p>
            <w:pPr>
              <w:jc w:val="center"/>
              <w:spacing w:after="0" w:line="211" w:lineRule="exact"/>
              <w:rPr>
                <w:sz w:val="20"/>
                <w:szCs w:val="20"/>
                <w:color w:val="auto"/>
              </w:rPr>
            </w:pPr>
            <w:r>
              <w:rPr>
                <w:rFonts w:ascii="MS PGothic" w:cs="MS PGothic" w:eastAsia="MS PGothic" w:hAnsi="MS PGothic"/>
                <w:sz w:val="21"/>
                <w:szCs w:val="21"/>
                <w:color w:val="auto"/>
                <w:w w:val="85"/>
                <w:shd w:val="clear" w:color="auto" w:fill="C00000"/>
              </w:rPr>
              <w:t>✓</w:t>
            </w:r>
          </w:p>
        </w:tc>
        <w:tc>
          <w:tcPr>
            <w:tcW w:w="740" w:type="dxa"/>
            <w:vAlign w:val="bottom"/>
            <w:shd w:val="clear" w:color="auto" w:fill="DBDBDB"/>
          </w:tcPr>
          <w:p>
            <w:pPr>
              <w:spacing w:after="0"/>
              <w:rPr>
                <w:sz w:val="24"/>
                <w:szCs w:val="24"/>
                <w:color w:val="auto"/>
              </w:rPr>
            </w:pPr>
          </w:p>
        </w:tc>
        <w:tc>
          <w:tcPr>
            <w:tcW w:w="820" w:type="dxa"/>
            <w:vAlign w:val="bottom"/>
            <w:shd w:val="clear" w:color="auto" w:fill="DBDBDB"/>
          </w:tcPr>
          <w:p>
            <w:pPr>
              <w:jc w:val="center"/>
              <w:spacing w:after="0" w:line="211" w:lineRule="exact"/>
              <w:rPr>
                <w:sz w:val="20"/>
                <w:szCs w:val="20"/>
                <w:color w:val="auto"/>
              </w:rPr>
            </w:pPr>
            <w:r>
              <w:rPr>
                <w:rFonts w:ascii="MS PGothic" w:cs="MS PGothic" w:eastAsia="MS PGothic" w:hAnsi="MS PGothic"/>
                <w:sz w:val="21"/>
                <w:szCs w:val="21"/>
                <w:color w:val="auto"/>
                <w:w w:val="85"/>
                <w:shd w:val="clear" w:color="auto" w:fill="C00000"/>
              </w:rPr>
              <w:t>✓</w:t>
            </w:r>
          </w:p>
        </w:tc>
        <w:tc>
          <w:tcPr>
            <w:tcW w:w="960" w:type="dxa"/>
            <w:vAlign w:val="bottom"/>
            <w:shd w:val="clear" w:color="auto" w:fill="DBDBDB"/>
          </w:tcPr>
          <w:p>
            <w:pPr>
              <w:jc w:val="center"/>
              <w:spacing w:after="0" w:line="211" w:lineRule="exact"/>
              <w:rPr>
                <w:sz w:val="20"/>
                <w:szCs w:val="20"/>
                <w:color w:val="auto"/>
              </w:rPr>
            </w:pPr>
            <w:r>
              <w:rPr>
                <w:rFonts w:ascii="MS PGothic" w:cs="MS PGothic" w:eastAsia="MS PGothic" w:hAnsi="MS PGothic"/>
                <w:sz w:val="21"/>
                <w:szCs w:val="21"/>
                <w:color w:val="auto"/>
                <w:w w:val="85"/>
                <w:shd w:val="clear" w:color="auto" w:fill="C00000"/>
              </w:rPr>
              <w:t>✓</w:t>
            </w:r>
          </w:p>
        </w:tc>
        <w:tc>
          <w:tcPr>
            <w:tcW w:w="840" w:type="dxa"/>
            <w:vAlign w:val="bottom"/>
            <w:shd w:val="clear" w:color="auto" w:fill="DBDBDB"/>
          </w:tcPr>
          <w:p>
            <w:pPr>
              <w:spacing w:after="0"/>
              <w:rPr>
                <w:sz w:val="24"/>
                <w:szCs w:val="24"/>
                <w:color w:val="auto"/>
              </w:rPr>
            </w:pPr>
          </w:p>
        </w:tc>
        <w:tc>
          <w:tcPr>
            <w:tcW w:w="0" w:type="dxa"/>
            <w:vAlign w:val="bottom"/>
          </w:tcPr>
          <w:p>
            <w:pPr>
              <w:spacing w:after="0"/>
              <w:rPr>
                <w:sz w:val="1"/>
                <w:szCs w:val="1"/>
                <w:color w:val="auto"/>
              </w:rPr>
            </w:pPr>
          </w:p>
        </w:tc>
      </w:tr>
      <w:tr>
        <w:trPr>
          <w:trHeight w:val="360"/>
        </w:trPr>
        <w:tc>
          <w:tcPr>
            <w:tcW w:w="3460" w:type="dxa"/>
            <w:vAlign w:val="bottom"/>
          </w:tcPr>
          <w:p>
            <w:pPr>
              <w:ind w:left="320"/>
              <w:spacing w:after="0"/>
              <w:rPr>
                <w:sz w:val="20"/>
                <w:szCs w:val="20"/>
                <w:color w:val="auto"/>
              </w:rPr>
            </w:pPr>
            <w:r>
              <w:rPr>
                <w:rFonts w:ascii="Arial" w:cs="Arial" w:eastAsia="Arial" w:hAnsi="Arial"/>
                <w:sz w:val="18"/>
                <w:szCs w:val="18"/>
                <w:color w:val="auto"/>
              </w:rPr>
              <w:t>Female</w:t>
            </w:r>
          </w:p>
        </w:tc>
        <w:tc>
          <w:tcPr>
            <w:tcW w:w="960" w:type="dxa"/>
            <w:vAlign w:val="bottom"/>
          </w:tcPr>
          <w:p>
            <w:pPr>
              <w:jc w:val="center"/>
              <w:spacing w:after="0" w:line="211" w:lineRule="exact"/>
              <w:rPr>
                <w:sz w:val="20"/>
                <w:szCs w:val="20"/>
                <w:color w:val="auto"/>
              </w:rPr>
            </w:pPr>
            <w:r>
              <w:rPr>
                <w:rFonts w:ascii="MS PGothic" w:cs="MS PGothic" w:eastAsia="MS PGothic" w:hAnsi="MS PGothic"/>
                <w:sz w:val="21"/>
                <w:szCs w:val="21"/>
                <w:color w:val="auto"/>
                <w:w w:val="85"/>
                <w:shd w:val="clear" w:color="auto" w:fill="BF2115"/>
              </w:rPr>
              <w:t>✓</w:t>
            </w:r>
          </w:p>
        </w:tc>
        <w:tc>
          <w:tcPr>
            <w:tcW w:w="7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740" w:type="dxa"/>
            <w:vAlign w:val="bottom"/>
          </w:tcPr>
          <w:p>
            <w:pPr>
              <w:jc w:val="center"/>
              <w:spacing w:after="0" w:line="211" w:lineRule="exact"/>
              <w:rPr>
                <w:sz w:val="20"/>
                <w:szCs w:val="20"/>
                <w:color w:val="auto"/>
              </w:rPr>
            </w:pPr>
            <w:r>
              <w:rPr>
                <w:rFonts w:ascii="MS PGothic" w:cs="MS PGothic" w:eastAsia="MS PGothic" w:hAnsi="MS PGothic"/>
                <w:sz w:val="21"/>
                <w:szCs w:val="21"/>
                <w:color w:val="auto"/>
                <w:w w:val="85"/>
                <w:shd w:val="clear" w:color="auto" w:fill="C00000"/>
              </w:rPr>
              <w:t>✓</w:t>
            </w:r>
          </w:p>
        </w:tc>
        <w:tc>
          <w:tcPr>
            <w:tcW w:w="8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40" w:type="dxa"/>
            <w:vAlign w:val="bottom"/>
          </w:tcPr>
          <w:p>
            <w:pPr>
              <w:ind w:left="300"/>
              <w:spacing w:after="0" w:line="211" w:lineRule="exact"/>
              <w:rPr>
                <w:sz w:val="20"/>
                <w:szCs w:val="20"/>
                <w:color w:val="auto"/>
              </w:rPr>
            </w:pPr>
            <w:r>
              <w:rPr>
                <w:rFonts w:ascii="MS PGothic" w:cs="MS PGothic" w:eastAsia="MS PGothic" w:hAnsi="MS PGothic"/>
                <w:sz w:val="21"/>
                <w:szCs w:val="21"/>
                <w:color w:val="auto"/>
                <w:shd w:val="clear" w:color="auto" w:fill="C00000"/>
              </w:rPr>
              <w:t>✓</w:t>
            </w:r>
          </w:p>
        </w:tc>
        <w:tc>
          <w:tcPr>
            <w:tcW w:w="0" w:type="dxa"/>
            <w:vAlign w:val="bottom"/>
          </w:tcPr>
          <w:p>
            <w:pPr>
              <w:spacing w:after="0"/>
              <w:rPr>
                <w:sz w:val="1"/>
                <w:szCs w:val="1"/>
                <w:color w:val="auto"/>
              </w:rPr>
            </w:pPr>
          </w:p>
        </w:tc>
      </w:tr>
    </w:tbl>
    <w:p>
      <w:pPr>
        <w:spacing w:after="0" w:line="103" w:lineRule="exact"/>
        <w:rPr>
          <w:sz w:val="20"/>
          <w:szCs w:val="20"/>
          <w:color w:val="auto"/>
        </w:rPr>
      </w:pPr>
    </w:p>
    <w:p>
      <w:pPr>
        <w:ind w:right="100" w:firstLine="388"/>
        <w:spacing w:after="0" w:line="247" w:lineRule="auto"/>
        <w:rPr>
          <w:sz w:val="20"/>
          <w:szCs w:val="20"/>
          <w:color w:val="auto"/>
        </w:rPr>
      </w:pPr>
      <w:r>
        <w:rPr>
          <w:rFonts w:ascii="Arial" w:cs="Arial" w:eastAsia="Arial" w:hAnsi="Arial"/>
          <w:sz w:val="17"/>
          <w:szCs w:val="17"/>
          <w:color w:val="auto"/>
        </w:rPr>
        <w:t>The information presented on the following pages regarding each director nominee or continuing director also sets forth specific experience, qualifications, attributes and skills that led our Board to conclude that he or she should serve as a director in light of our business</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and structure.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ind w:right="-59"/>
        <w:spacing w:after="0"/>
        <w:rPr>
          <w:sz w:val="20"/>
          <w:szCs w:val="20"/>
          <w:color w:val="auto"/>
        </w:rPr>
      </w:pPr>
      <w:r>
        <w:rPr>
          <w:rFonts w:ascii="Arial" w:cs="Arial" w:eastAsia="Arial" w:hAnsi="Arial"/>
          <w:sz w:val="21"/>
          <w:szCs w:val="21"/>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180"/>
          </w:cols>
          <w:pgMar w:left="320" w:top="1097" w:right="399" w:bottom="1440" w:gutter="0" w:footer="0" w:header="0"/>
        </w:sectPr>
      </w:pPr>
    </w:p>
    <w:bookmarkStart w:id="21" w:name="page22"/>
    <w:bookmarkEnd w:id="21"/>
    <w:p>
      <w:pPr>
        <w:jc w:val="center"/>
        <w:ind w:right="-19"/>
        <w:spacing w:after="0"/>
        <w:rPr>
          <w:sz w:val="20"/>
          <w:szCs w:val="20"/>
          <w:color w:val="auto"/>
        </w:rPr>
      </w:pPr>
      <w:r>
        <w:rPr>
          <w:rFonts w:ascii="Arial" w:cs="Arial" w:eastAsia="Arial" w:hAnsi="Arial"/>
          <w:sz w:val="17"/>
          <w:szCs w:val="17"/>
          <w:b w:val="1"/>
          <w:bCs w:val="1"/>
          <w:color w:val="C00000"/>
        </w:rPr>
        <w:t>Director Nominees for Election to the Board for a Term Ending at the 2028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201295</wp:posOffset>
            </wp:positionV>
            <wp:extent cx="1135380" cy="113538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1135380" cy="1135380"/>
                    </a:xfrm>
                    <a:prstGeom prst="rect">
                      <a:avLst/>
                    </a:prstGeom>
                    <a:noFill/>
                  </pic:spPr>
                </pic:pic>
              </a:graphicData>
            </a:graphic>
          </wp:anchor>
        </w:drawing>
      </w:r>
    </w:p>
    <w:p>
      <w:pPr>
        <w:sectPr>
          <w:pgSz w:w="11900" w:h="16838" w:orient="portrait"/>
          <w:cols w:equalWidth="0" w:num="1">
            <w:col w:w="11180"/>
          </w:cols>
          <w:pgMar w:left="340" w:top="1108" w:right="3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BF2115"/>
        </w:rPr>
        <w:t>Jeffrey L. Harmening</w:t>
      </w:r>
    </w:p>
    <w:p>
      <w:pPr>
        <w:spacing w:after="0" w:line="49" w:lineRule="exact"/>
        <w:rPr>
          <w:sz w:val="20"/>
          <w:szCs w:val="20"/>
          <w:color w:val="auto"/>
        </w:rPr>
      </w:pPr>
    </w:p>
    <w:p>
      <w:pPr>
        <w:spacing w:after="0"/>
        <w:rPr>
          <w:sz w:val="20"/>
          <w:szCs w:val="20"/>
          <w:color w:val="auto"/>
        </w:rPr>
      </w:pPr>
      <w:r>
        <w:rPr>
          <w:rFonts w:ascii="Arial" w:cs="Arial" w:eastAsia="Arial" w:hAnsi="Arial"/>
          <w:sz w:val="18"/>
          <w:szCs w:val="18"/>
          <w:color w:val="auto"/>
        </w:rPr>
        <w:t>Age 58</w:t>
      </w:r>
    </w:p>
    <w:p>
      <w:pPr>
        <w:spacing w:after="0" w:line="33" w:lineRule="exact"/>
        <w:rPr>
          <w:sz w:val="20"/>
          <w:szCs w:val="20"/>
          <w:color w:val="auto"/>
        </w:rPr>
      </w:pPr>
    </w:p>
    <w:p>
      <w:pPr>
        <w:spacing w:after="0"/>
        <w:rPr>
          <w:sz w:val="20"/>
          <w:szCs w:val="20"/>
          <w:color w:val="auto"/>
        </w:rPr>
      </w:pPr>
      <w:r>
        <w:rPr>
          <w:rFonts w:ascii="Arial" w:cs="Arial" w:eastAsia="Arial" w:hAnsi="Arial"/>
          <w:sz w:val="18"/>
          <w:szCs w:val="18"/>
          <w:color w:val="auto"/>
        </w:rPr>
        <w:t>Director since 2019</w:t>
      </w:r>
    </w:p>
    <w:p>
      <w:pPr>
        <w:spacing w:after="0" w:line="47" w:lineRule="exact"/>
        <w:rPr>
          <w:sz w:val="20"/>
          <w:szCs w:val="20"/>
          <w:color w:val="auto"/>
        </w:rPr>
      </w:pPr>
    </w:p>
    <w:p>
      <w:pPr>
        <w:spacing w:after="0"/>
        <w:rPr>
          <w:sz w:val="20"/>
          <w:szCs w:val="20"/>
          <w:color w:val="auto"/>
        </w:rPr>
      </w:pPr>
      <w:r>
        <w:rPr>
          <w:rFonts w:ascii="Arial" w:cs="Arial" w:eastAsia="Arial" w:hAnsi="Arial"/>
          <w:sz w:val="18"/>
          <w:szCs w:val="18"/>
          <w:color w:val="auto"/>
        </w:rPr>
        <w:t>Independent</w:t>
      </w:r>
    </w:p>
    <w:p>
      <w:pPr>
        <w:spacing w:after="0" w:line="42" w:lineRule="exact"/>
        <w:rPr>
          <w:sz w:val="20"/>
          <w:szCs w:val="20"/>
          <w:color w:val="auto"/>
        </w:rPr>
      </w:pPr>
    </w:p>
    <w:p>
      <w:pPr>
        <w:spacing w:after="0"/>
        <w:rPr>
          <w:sz w:val="20"/>
          <w:szCs w:val="20"/>
          <w:color w:val="auto"/>
        </w:rPr>
      </w:pPr>
      <w:r>
        <w:rPr>
          <w:rFonts w:ascii="Arial" w:cs="Arial" w:eastAsia="Arial" w:hAnsi="Arial"/>
          <w:sz w:val="18"/>
          <w:szCs w:val="18"/>
          <w:b w:val="1"/>
          <w:bCs w:val="1"/>
          <w:color w:val="BF2115"/>
        </w:rPr>
        <w:t>Committees</w:t>
      </w:r>
    </w:p>
    <w:p>
      <w:pPr>
        <w:ind w:left="160" w:hanging="156"/>
        <w:spacing w:after="0" w:line="232" w:lineRule="auto"/>
        <w:tabs>
          <w:tab w:leader="none" w:pos="1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Audit</w:t>
      </w:r>
    </w:p>
    <w:p>
      <w:pPr>
        <w:ind w:left="160" w:hanging="156"/>
        <w:spacing w:after="0"/>
        <w:tabs>
          <w:tab w:leader="none" w:pos="1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Finance (Chair)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1334770</wp:posOffset>
            </wp:positionV>
            <wp:extent cx="1135380" cy="113538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1135380" cy="11353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spacing w:after="0"/>
        <w:rPr>
          <w:sz w:val="20"/>
          <w:szCs w:val="20"/>
          <w:color w:val="auto"/>
        </w:rPr>
      </w:pPr>
      <w:r>
        <w:rPr>
          <w:rFonts w:ascii="Arial" w:cs="Arial" w:eastAsia="Arial" w:hAnsi="Arial"/>
          <w:sz w:val="18"/>
          <w:szCs w:val="18"/>
          <w:b w:val="1"/>
          <w:bCs w:val="1"/>
          <w:color w:val="BF2115"/>
        </w:rPr>
        <w:t>Joyce A. Mullen</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Age 62</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Director since 2019</w:t>
      </w:r>
    </w:p>
    <w:p>
      <w:pPr>
        <w:spacing w:after="0" w:line="47" w:lineRule="exact"/>
        <w:rPr>
          <w:sz w:val="20"/>
          <w:szCs w:val="20"/>
          <w:color w:val="auto"/>
        </w:rPr>
      </w:pPr>
    </w:p>
    <w:p>
      <w:pPr>
        <w:spacing w:after="0"/>
        <w:rPr>
          <w:sz w:val="20"/>
          <w:szCs w:val="20"/>
          <w:color w:val="auto"/>
        </w:rPr>
      </w:pPr>
      <w:r>
        <w:rPr>
          <w:rFonts w:ascii="Arial" w:cs="Arial" w:eastAsia="Arial" w:hAnsi="Arial"/>
          <w:sz w:val="18"/>
          <w:szCs w:val="18"/>
          <w:color w:val="auto"/>
        </w:rPr>
        <w:t>Independent</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b w:val="1"/>
          <w:bCs w:val="1"/>
          <w:color w:val="BF2115"/>
        </w:rPr>
        <w:t>Committees</w:t>
      </w:r>
    </w:p>
    <w:p>
      <w:pPr>
        <w:spacing w:after="0" w:line="11" w:lineRule="exact"/>
        <w:rPr>
          <w:sz w:val="20"/>
          <w:szCs w:val="20"/>
          <w:color w:val="auto"/>
        </w:rPr>
      </w:pPr>
    </w:p>
    <w:p>
      <w:pPr>
        <w:ind w:left="160" w:right="140" w:hanging="156"/>
        <w:spacing w:after="0" w:line="224" w:lineRule="auto"/>
        <w:tabs>
          <w:tab w:leader="none" w:pos="155" w:val="left"/>
        </w:tabs>
        <w:numPr>
          <w:ilvl w:val="0"/>
          <w:numId w:val="17"/>
        </w:numPr>
        <w:rPr>
          <w:rFonts w:ascii="Arial" w:cs="Arial" w:eastAsia="Arial" w:hAnsi="Arial"/>
          <w:sz w:val="18"/>
          <w:szCs w:val="18"/>
          <w:color w:val="auto"/>
        </w:rPr>
      </w:pPr>
      <w:r>
        <w:rPr>
          <w:rFonts w:ascii="Arial" w:cs="Arial" w:eastAsia="Arial" w:hAnsi="Arial"/>
          <w:sz w:val="18"/>
          <w:szCs w:val="18"/>
          <w:color w:val="auto"/>
        </w:rPr>
        <w:t>Compensation &amp; Human Resources</w:t>
      </w:r>
    </w:p>
    <w:p>
      <w:pPr>
        <w:ind w:left="160" w:hanging="156"/>
        <w:spacing w:after="0"/>
        <w:tabs>
          <w:tab w:leader="none" w:pos="160" w:val="left"/>
        </w:tabs>
        <w:numPr>
          <w:ilvl w:val="0"/>
          <w:numId w:val="17"/>
        </w:numPr>
        <w:rPr>
          <w:rFonts w:ascii="Arial" w:cs="Arial" w:eastAsia="Arial" w:hAnsi="Arial"/>
          <w:sz w:val="17"/>
          <w:szCs w:val="17"/>
          <w:color w:val="auto"/>
        </w:rPr>
      </w:pPr>
      <w:r>
        <w:rPr>
          <w:rFonts w:ascii="Arial" w:cs="Arial" w:eastAsia="Arial" w:hAnsi="Arial"/>
          <w:sz w:val="17"/>
          <w:szCs w:val="17"/>
          <w:color w:val="auto"/>
        </w:rPr>
        <w:t>Nominating &amp; Governance</w:t>
      </w:r>
    </w:p>
    <w:p>
      <w:pPr>
        <w:spacing w:after="0" w:line="20" w:lineRule="exact"/>
        <w:rPr>
          <w:sz w:val="20"/>
          <w:szCs w:val="20"/>
          <w:color w:val="auto"/>
        </w:rPr>
      </w:pPr>
      <w:r>
        <w:rPr>
          <w:sz w:val="20"/>
          <w:szCs w:val="20"/>
          <w:color w:val="auto"/>
        </w:rPr>
        <w:br w:type="column"/>
      </w:r>
    </w:p>
    <w:p>
      <w:pPr>
        <w:spacing w:after="0" w:line="305" w:lineRule="exact"/>
        <w:rPr>
          <w:sz w:val="20"/>
          <w:szCs w:val="20"/>
          <w:color w:val="auto"/>
        </w:rPr>
      </w:pPr>
    </w:p>
    <w:p>
      <w:pPr>
        <w:ind w:left="7"/>
        <w:spacing w:after="0"/>
        <w:rPr>
          <w:sz w:val="20"/>
          <w:szCs w:val="20"/>
          <w:color w:val="auto"/>
        </w:rPr>
      </w:pPr>
      <w:r>
        <w:rPr>
          <w:rFonts w:ascii="Arial" w:cs="Arial" w:eastAsia="Arial" w:hAnsi="Arial"/>
          <w:sz w:val="18"/>
          <w:szCs w:val="18"/>
          <w:b w:val="1"/>
          <w:bCs w:val="1"/>
          <w:color w:val="BF2115"/>
        </w:rPr>
        <w:t>Background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15875</wp:posOffset>
            </wp:positionV>
            <wp:extent cx="5523865"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5523865" cy="8255"/>
                    </a:xfrm>
                    <a:prstGeom prst="rect">
                      <a:avLst/>
                    </a:prstGeom>
                    <a:noFill/>
                  </pic:spPr>
                </pic:pic>
              </a:graphicData>
            </a:graphic>
          </wp:anchor>
        </w:drawing>
      </w:r>
    </w:p>
    <w:p>
      <w:pPr>
        <w:spacing w:after="0" w:line="82" w:lineRule="exact"/>
        <w:rPr>
          <w:sz w:val="20"/>
          <w:szCs w:val="20"/>
          <w:color w:val="auto"/>
        </w:rPr>
      </w:pPr>
    </w:p>
    <w:p>
      <w:pPr>
        <w:ind w:left="7" w:right="400"/>
        <w:spacing w:after="0" w:line="238" w:lineRule="auto"/>
        <w:rPr>
          <w:sz w:val="20"/>
          <w:szCs w:val="20"/>
          <w:color w:val="auto"/>
        </w:rPr>
      </w:pPr>
      <w:r>
        <w:rPr>
          <w:rFonts w:ascii="Arial" w:cs="Arial" w:eastAsia="Arial" w:hAnsi="Arial"/>
          <w:sz w:val="18"/>
          <w:szCs w:val="18"/>
          <w:color w:val="auto"/>
        </w:rPr>
        <w:t>Jeffrey L. Harmening is the Chairman and Chief Executive Officer of General Mills, Inc., Minneapolis, Minnesota (a global manufacturer, marketer and supplier of food products). He holds or held the following positions, all at General Mills:</w:t>
      </w:r>
    </w:p>
    <w:p>
      <w:pPr>
        <w:ind w:left="147" w:hanging="147"/>
        <w:spacing w:after="0" w:line="232" w:lineRule="auto"/>
        <w:tabs>
          <w:tab w:leader="none" w:pos="147" w:val="left"/>
        </w:tabs>
        <w:numPr>
          <w:ilvl w:val="0"/>
          <w:numId w:val="18"/>
        </w:numPr>
        <w:rPr>
          <w:rFonts w:ascii="Arial" w:cs="Arial" w:eastAsia="Arial" w:hAnsi="Arial"/>
          <w:sz w:val="18"/>
          <w:szCs w:val="18"/>
          <w:color w:val="auto"/>
        </w:rPr>
      </w:pPr>
      <w:r>
        <w:rPr>
          <w:rFonts w:ascii="Arial" w:cs="Arial" w:eastAsia="Arial" w:hAnsi="Arial"/>
          <w:sz w:val="18"/>
          <w:szCs w:val="18"/>
          <w:color w:val="auto"/>
        </w:rPr>
        <w:t>Chairman (since January 2018)</w:t>
      </w:r>
    </w:p>
    <w:p>
      <w:pPr>
        <w:ind w:left="147" w:hanging="147"/>
        <w:spacing w:after="0" w:line="232" w:lineRule="auto"/>
        <w:tabs>
          <w:tab w:leader="none" w:pos="147" w:val="left"/>
        </w:tabs>
        <w:numPr>
          <w:ilvl w:val="0"/>
          <w:numId w:val="18"/>
        </w:numPr>
        <w:rPr>
          <w:rFonts w:ascii="Arial" w:cs="Arial" w:eastAsia="Arial" w:hAnsi="Arial"/>
          <w:sz w:val="18"/>
          <w:szCs w:val="18"/>
          <w:color w:val="auto"/>
        </w:rPr>
      </w:pPr>
      <w:r>
        <w:rPr>
          <w:rFonts w:ascii="Arial" w:cs="Arial" w:eastAsia="Arial" w:hAnsi="Arial"/>
          <w:sz w:val="18"/>
          <w:szCs w:val="18"/>
          <w:color w:val="auto"/>
        </w:rPr>
        <w:t>Chief Executive Officer (since June 2017)</w:t>
      </w:r>
    </w:p>
    <w:p>
      <w:pPr>
        <w:ind w:left="147" w:hanging="147"/>
        <w:spacing w:after="0" w:line="216" w:lineRule="auto"/>
        <w:tabs>
          <w:tab w:leader="none" w:pos="147" w:val="left"/>
        </w:tabs>
        <w:numPr>
          <w:ilvl w:val="0"/>
          <w:numId w:val="18"/>
        </w:numPr>
        <w:rPr>
          <w:rFonts w:ascii="Arial" w:cs="Arial" w:eastAsia="Arial" w:hAnsi="Arial"/>
          <w:sz w:val="18"/>
          <w:szCs w:val="18"/>
          <w:color w:val="auto"/>
        </w:rPr>
      </w:pPr>
      <w:r>
        <w:rPr>
          <w:rFonts w:ascii="Arial" w:cs="Arial" w:eastAsia="Arial" w:hAnsi="Arial"/>
          <w:sz w:val="18"/>
          <w:szCs w:val="18"/>
          <w:color w:val="auto"/>
        </w:rPr>
        <w:t>President and Chief Operating Officer (July 2016 – May 2017)</w:t>
      </w:r>
    </w:p>
    <w:p>
      <w:pPr>
        <w:ind w:left="147" w:hanging="147"/>
        <w:spacing w:after="0" w:line="232" w:lineRule="auto"/>
        <w:tabs>
          <w:tab w:leader="none" w:pos="147" w:val="left"/>
        </w:tabs>
        <w:numPr>
          <w:ilvl w:val="0"/>
          <w:numId w:val="18"/>
        </w:numPr>
        <w:rPr>
          <w:rFonts w:ascii="Arial" w:cs="Arial" w:eastAsia="Arial" w:hAnsi="Arial"/>
          <w:sz w:val="18"/>
          <w:szCs w:val="18"/>
          <w:color w:val="auto"/>
        </w:rPr>
      </w:pPr>
      <w:r>
        <w:rPr>
          <w:rFonts w:ascii="Arial" w:cs="Arial" w:eastAsia="Arial" w:hAnsi="Arial"/>
          <w:sz w:val="18"/>
          <w:szCs w:val="18"/>
          <w:color w:val="auto"/>
        </w:rPr>
        <w:t>Executive Vice President, Chief Operating Officer, U.S. Retail (May 2014 – June 2016)</w:t>
      </w:r>
    </w:p>
    <w:p>
      <w:pPr>
        <w:ind w:left="147" w:hanging="147"/>
        <w:spacing w:after="0"/>
        <w:tabs>
          <w:tab w:leader="none" w:pos="147" w:val="left"/>
        </w:tabs>
        <w:numPr>
          <w:ilvl w:val="0"/>
          <w:numId w:val="18"/>
        </w:numPr>
        <w:rPr>
          <w:rFonts w:ascii="Arial" w:cs="Arial" w:eastAsia="Arial" w:hAnsi="Arial"/>
          <w:sz w:val="18"/>
          <w:szCs w:val="18"/>
          <w:color w:val="auto"/>
        </w:rPr>
      </w:pPr>
      <w:r>
        <w:rPr>
          <w:rFonts w:ascii="Arial" w:cs="Arial" w:eastAsia="Arial" w:hAnsi="Arial"/>
          <w:sz w:val="18"/>
          <w:szCs w:val="18"/>
          <w:color w:val="auto"/>
        </w:rPr>
        <w:t>Senior Vice President, Chief Executive Officer, Cereal Partners Worldwide (July 2012 – April 2014)</w:t>
      </w:r>
    </w:p>
    <w:p>
      <w:pPr>
        <w:spacing w:after="0" w:line="82" w:lineRule="exact"/>
        <w:rPr>
          <w:sz w:val="20"/>
          <w:szCs w:val="20"/>
          <w:color w:val="auto"/>
        </w:rPr>
      </w:pPr>
    </w:p>
    <w:p>
      <w:pPr>
        <w:ind w:left="27"/>
        <w:spacing w:after="0"/>
        <w:rPr>
          <w:sz w:val="20"/>
          <w:szCs w:val="20"/>
          <w:color w:val="auto"/>
        </w:rPr>
      </w:pPr>
      <w:r>
        <w:rPr>
          <w:rFonts w:ascii="Arial" w:cs="Arial" w:eastAsia="Arial" w:hAnsi="Arial"/>
          <w:sz w:val="18"/>
          <w:szCs w:val="18"/>
          <w:b w:val="1"/>
          <w:bCs w:val="1"/>
          <w:color w:val="C00000"/>
        </w:rPr>
        <w:t>Qualifications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236220</wp:posOffset>
            </wp:positionV>
            <wp:extent cx="5523865"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552386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ind w:left="7"/>
        <w:spacing w:after="0" w:line="241" w:lineRule="auto"/>
        <w:rPr>
          <w:sz w:val="20"/>
          <w:szCs w:val="20"/>
          <w:color w:val="auto"/>
        </w:rPr>
      </w:pPr>
      <w:r>
        <w:rPr>
          <w:rFonts w:ascii="Arial" w:cs="Arial" w:eastAsia="Arial" w:hAnsi="Arial"/>
          <w:sz w:val="18"/>
          <w:szCs w:val="18"/>
          <w:color w:val="auto"/>
        </w:rPr>
        <w:t>Mr. Harmening brings to our Board extensive experience as a seasoned executive with strong business and financial acumen and experience implementing the strategic direction for a complex and publicly traded</w:t>
      </w:r>
    </w:p>
    <w:p>
      <w:pPr>
        <w:spacing w:after="0" w:line="1" w:lineRule="exact"/>
        <w:rPr>
          <w:sz w:val="20"/>
          <w:szCs w:val="20"/>
          <w:color w:val="auto"/>
        </w:rPr>
      </w:pPr>
    </w:p>
    <w:p>
      <w:pPr>
        <w:ind w:left="7"/>
        <w:spacing w:after="0" w:line="237" w:lineRule="auto"/>
        <w:rPr>
          <w:sz w:val="20"/>
          <w:szCs w:val="20"/>
          <w:color w:val="auto"/>
        </w:rPr>
      </w:pPr>
      <w:r>
        <w:rPr>
          <w:rFonts w:ascii="Arial" w:cs="Arial" w:eastAsia="Arial" w:hAnsi="Arial"/>
          <w:sz w:val="17"/>
          <w:szCs w:val="17"/>
          <w:color w:val="auto"/>
        </w:rPr>
        <w:t>company with extensive distribution channels and supply chain operations. Furthermore, he brings experience in driving growth through customer-valued products and acquisitions and expertise in driving employee</w:t>
      </w:r>
    </w:p>
    <w:p>
      <w:pPr>
        <w:ind w:left="7"/>
        <w:spacing w:after="0" w:line="233" w:lineRule="auto"/>
        <w:rPr>
          <w:sz w:val="20"/>
          <w:szCs w:val="20"/>
          <w:color w:val="auto"/>
        </w:rPr>
      </w:pPr>
      <w:r>
        <w:rPr>
          <w:rFonts w:ascii="Arial" w:cs="Arial" w:eastAsia="Arial" w:hAnsi="Arial"/>
          <w:sz w:val="18"/>
          <w:szCs w:val="18"/>
          <w:color w:val="auto"/>
        </w:rPr>
        <w:t>engagement through creating a culture of belonging. He demonstrates strong business discipline and</w:t>
      </w:r>
    </w:p>
    <w:p>
      <w:pPr>
        <w:ind w:left="7"/>
        <w:spacing w:after="0" w:line="234" w:lineRule="auto"/>
        <w:rPr>
          <w:sz w:val="20"/>
          <w:szCs w:val="20"/>
          <w:color w:val="auto"/>
        </w:rPr>
      </w:pPr>
      <w:r>
        <w:rPr>
          <w:rFonts w:ascii="Arial" w:cs="Arial" w:eastAsia="Arial" w:hAnsi="Arial"/>
          <w:sz w:val="18"/>
          <w:szCs w:val="18"/>
          <w:color w:val="auto"/>
        </w:rPr>
        <w:t>commitment to best practices. In addition, he has significant experience managing operations around the world, including having lived in Europe for six years during his tenure at General Mills.</w:t>
      </w:r>
    </w:p>
    <w:p>
      <w:pPr>
        <w:spacing w:after="0" w:line="72" w:lineRule="exact"/>
        <w:rPr>
          <w:sz w:val="20"/>
          <w:szCs w:val="20"/>
          <w:color w:val="auto"/>
        </w:rPr>
      </w:pPr>
    </w:p>
    <w:p>
      <w:pPr>
        <w:ind w:left="7"/>
        <w:spacing w:after="0"/>
        <w:rPr>
          <w:sz w:val="20"/>
          <w:szCs w:val="20"/>
          <w:color w:val="auto"/>
        </w:rPr>
      </w:pPr>
      <w:r>
        <w:rPr>
          <w:rFonts w:ascii="Arial" w:cs="Arial" w:eastAsia="Arial" w:hAnsi="Arial"/>
          <w:sz w:val="18"/>
          <w:szCs w:val="18"/>
          <w:b w:val="1"/>
          <w:bCs w:val="1"/>
          <w:color w:val="BF2115"/>
        </w:rPr>
        <w:t>Other Public Company Boards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24765</wp:posOffset>
            </wp:positionV>
            <wp:extent cx="5523865"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5523865" cy="8255"/>
                    </a:xfrm>
                    <a:prstGeom prst="rect">
                      <a:avLst/>
                    </a:prstGeom>
                    <a:noFill/>
                  </pic:spPr>
                </pic:pic>
              </a:graphicData>
            </a:graphic>
          </wp:anchor>
        </w:drawing>
      </w:r>
    </w:p>
    <w:p>
      <w:pPr>
        <w:spacing w:after="0" w:line="40" w:lineRule="exact"/>
        <w:rPr>
          <w:sz w:val="20"/>
          <w:szCs w:val="20"/>
          <w:color w:val="auto"/>
        </w:rPr>
      </w:pPr>
    </w:p>
    <w:p>
      <w:pPr>
        <w:ind w:left="1827"/>
        <w:spacing w:after="0"/>
        <w:tabs>
          <w:tab w:leader="none" w:pos="5967" w:val="left"/>
        </w:tabs>
        <w:rPr>
          <w:sz w:val="20"/>
          <w:szCs w:val="20"/>
          <w:color w:val="auto"/>
        </w:rPr>
      </w:pPr>
      <w:r>
        <w:rPr>
          <w:rFonts w:ascii="Arial" w:cs="Arial" w:eastAsia="Arial" w:hAnsi="Arial"/>
          <w:sz w:val="18"/>
          <w:szCs w:val="18"/>
          <w:b w:val="1"/>
          <w:bCs w:val="1"/>
          <w:color w:val="auto"/>
        </w:rPr>
        <w:t>Current</w:t>
      </w:r>
      <w:r>
        <w:rPr>
          <w:sz w:val="20"/>
          <w:szCs w:val="20"/>
          <w:color w:val="auto"/>
        </w:rPr>
        <w:tab/>
      </w:r>
      <w:r>
        <w:rPr>
          <w:rFonts w:ascii="Arial" w:cs="Arial" w:eastAsia="Arial" w:hAnsi="Arial"/>
          <w:sz w:val="18"/>
          <w:szCs w:val="18"/>
          <w:b w:val="1"/>
          <w:bCs w:val="1"/>
          <w:color w:val="auto"/>
        </w:rPr>
        <w:t>Past 5 Years</w:t>
      </w:r>
    </w:p>
    <w:p>
      <w:pPr>
        <w:spacing w:after="0" w:line="49" w:lineRule="exact"/>
        <w:rPr>
          <w:sz w:val="20"/>
          <w:szCs w:val="20"/>
          <w:color w:val="auto"/>
        </w:rPr>
      </w:pPr>
    </w:p>
    <w:p>
      <w:pPr>
        <w:ind w:left="1447"/>
        <w:spacing w:after="0"/>
        <w:tabs>
          <w:tab w:leader="none" w:pos="6267" w:val="left"/>
        </w:tabs>
        <w:rPr>
          <w:sz w:val="20"/>
          <w:szCs w:val="20"/>
          <w:color w:val="auto"/>
        </w:rPr>
      </w:pPr>
      <w:r>
        <w:rPr>
          <w:rFonts w:ascii="Arial" w:cs="Arial" w:eastAsia="Arial" w:hAnsi="Arial"/>
          <w:sz w:val="18"/>
          <w:szCs w:val="18"/>
          <w:color w:val="auto"/>
        </w:rPr>
        <w:t>General Mills, Inc.</w:t>
      </w:r>
      <w:r>
        <w:rPr>
          <w:sz w:val="20"/>
          <w:szCs w:val="20"/>
          <w:color w:val="auto"/>
        </w:rPr>
        <w:tab/>
      </w:r>
      <w:r>
        <w:rPr>
          <w:rFonts w:ascii="Arial" w:cs="Arial" w:eastAsia="Arial" w:hAnsi="Arial"/>
          <w:sz w:val="18"/>
          <w:szCs w:val="18"/>
          <w:color w:val="auto"/>
        </w:rPr>
        <w:t>None</w:t>
      </w:r>
    </w:p>
    <w:p>
      <w:pPr>
        <w:spacing w:after="0" w:line="200" w:lineRule="exact"/>
        <w:rPr>
          <w:sz w:val="20"/>
          <w:szCs w:val="20"/>
          <w:color w:val="auto"/>
        </w:rPr>
      </w:pPr>
    </w:p>
    <w:p>
      <w:pPr>
        <w:spacing w:after="0" w:line="231" w:lineRule="exact"/>
        <w:rPr>
          <w:sz w:val="20"/>
          <w:szCs w:val="20"/>
          <w:color w:val="auto"/>
        </w:rPr>
      </w:pPr>
    </w:p>
    <w:p>
      <w:pPr>
        <w:ind w:left="7"/>
        <w:spacing w:after="0"/>
        <w:rPr>
          <w:sz w:val="20"/>
          <w:szCs w:val="20"/>
          <w:color w:val="auto"/>
        </w:rPr>
      </w:pPr>
      <w:r>
        <w:rPr>
          <w:rFonts w:ascii="Arial" w:cs="Arial" w:eastAsia="Arial" w:hAnsi="Arial"/>
          <w:sz w:val="18"/>
          <w:szCs w:val="18"/>
          <w:b w:val="1"/>
          <w:bCs w:val="1"/>
          <w:color w:val="BF2115"/>
        </w:rPr>
        <w:t>Background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15875</wp:posOffset>
            </wp:positionV>
            <wp:extent cx="5523865"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5523865" cy="8255"/>
                    </a:xfrm>
                    <a:prstGeom prst="rect">
                      <a:avLst/>
                    </a:prstGeom>
                    <a:noFill/>
                  </pic:spPr>
                </pic:pic>
              </a:graphicData>
            </a:graphic>
          </wp:anchor>
        </w:drawing>
      </w:r>
    </w:p>
    <w:p>
      <w:pPr>
        <w:spacing w:after="0" w:line="29" w:lineRule="exact"/>
        <w:rPr>
          <w:sz w:val="20"/>
          <w:szCs w:val="20"/>
          <w:color w:val="auto"/>
        </w:rPr>
      </w:pPr>
    </w:p>
    <w:p>
      <w:pPr>
        <w:ind w:left="7" w:right="20"/>
        <w:spacing w:after="0" w:line="249" w:lineRule="auto"/>
        <w:rPr>
          <w:sz w:val="20"/>
          <w:szCs w:val="20"/>
          <w:color w:val="auto"/>
        </w:rPr>
      </w:pPr>
      <w:r>
        <w:rPr>
          <w:rFonts w:ascii="Arial" w:cs="Arial" w:eastAsia="Arial" w:hAnsi="Arial"/>
          <w:sz w:val="18"/>
          <w:szCs w:val="18"/>
          <w:color w:val="auto"/>
        </w:rPr>
        <w:t>Joyce A. Mullen is the President and Chief Executive Officer of Insight Enterprises, Inc., Chandler, Arizona (an information technology company). She holds or has held the following positions at Insight:</w:t>
      </w:r>
    </w:p>
    <w:p>
      <w:pPr>
        <w:ind w:left="147" w:hanging="147"/>
        <w:spacing w:after="0" w:line="232" w:lineRule="auto"/>
        <w:tabs>
          <w:tab w:leader="none" w:pos="147" w:val="left"/>
        </w:tabs>
        <w:numPr>
          <w:ilvl w:val="0"/>
          <w:numId w:val="19"/>
        </w:numPr>
        <w:rPr>
          <w:rFonts w:ascii="Arial" w:cs="Arial" w:eastAsia="Arial" w:hAnsi="Arial"/>
          <w:sz w:val="18"/>
          <w:szCs w:val="18"/>
          <w:color w:val="auto"/>
        </w:rPr>
      </w:pPr>
      <w:r>
        <w:rPr>
          <w:rFonts w:ascii="Arial" w:cs="Arial" w:eastAsia="Arial" w:hAnsi="Arial"/>
          <w:sz w:val="18"/>
          <w:szCs w:val="18"/>
          <w:color w:val="auto"/>
        </w:rPr>
        <w:t>President and Chief Executive Officer (since January 2022)</w:t>
      </w:r>
    </w:p>
    <w:p>
      <w:pPr>
        <w:ind w:left="147" w:hanging="147"/>
        <w:spacing w:after="0" w:line="232" w:lineRule="auto"/>
        <w:tabs>
          <w:tab w:leader="none" w:pos="147" w:val="left"/>
        </w:tabs>
        <w:numPr>
          <w:ilvl w:val="0"/>
          <w:numId w:val="19"/>
        </w:numPr>
        <w:rPr>
          <w:rFonts w:ascii="Arial" w:cs="Arial" w:eastAsia="Arial" w:hAnsi="Arial"/>
          <w:sz w:val="18"/>
          <w:szCs w:val="18"/>
          <w:color w:val="auto"/>
        </w:rPr>
      </w:pPr>
      <w:r>
        <w:rPr>
          <w:rFonts w:ascii="Arial" w:cs="Arial" w:eastAsia="Arial" w:hAnsi="Arial"/>
          <w:sz w:val="18"/>
          <w:szCs w:val="18"/>
          <w:color w:val="auto"/>
        </w:rPr>
        <w:t>President of North American Businesses (October 2020 – December 2021)</w:t>
      </w:r>
    </w:p>
    <w:p>
      <w:pPr>
        <w:ind w:left="7" w:right="120"/>
        <w:spacing w:after="0" w:line="232" w:lineRule="auto"/>
        <w:rPr>
          <w:sz w:val="20"/>
          <w:szCs w:val="20"/>
          <w:color w:val="auto"/>
        </w:rPr>
      </w:pPr>
      <w:r>
        <w:rPr>
          <w:rFonts w:ascii="Arial" w:cs="Arial" w:eastAsia="Arial" w:hAnsi="Arial"/>
          <w:sz w:val="18"/>
          <w:szCs w:val="18"/>
          <w:color w:val="auto"/>
        </w:rPr>
        <w:t>Previously, Ms. Mullen held various positions over a 21-year career at Dell Technologies (a digital technology solutions company), including:</w:t>
      </w:r>
    </w:p>
    <w:p>
      <w:pPr>
        <w:ind w:left="147" w:hanging="147"/>
        <w:spacing w:after="0" w:line="232" w:lineRule="auto"/>
        <w:tabs>
          <w:tab w:leader="none" w:pos="147" w:val="left"/>
        </w:tabs>
        <w:numPr>
          <w:ilvl w:val="0"/>
          <w:numId w:val="20"/>
        </w:numPr>
        <w:rPr>
          <w:rFonts w:ascii="Arial" w:cs="Arial" w:eastAsia="Arial" w:hAnsi="Arial"/>
          <w:sz w:val="18"/>
          <w:szCs w:val="18"/>
          <w:color w:val="auto"/>
        </w:rPr>
      </w:pPr>
      <w:r>
        <w:rPr>
          <w:rFonts w:ascii="Arial" w:cs="Arial" w:eastAsia="Arial" w:hAnsi="Arial"/>
          <w:sz w:val="18"/>
          <w:szCs w:val="18"/>
          <w:color w:val="auto"/>
        </w:rPr>
        <w:t>President, Global Channel, OEM and IoT (November 2017 – August 2020)</w:t>
      </w:r>
    </w:p>
    <w:p>
      <w:pPr>
        <w:ind w:left="167" w:right="260" w:hanging="167"/>
        <w:spacing w:after="0" w:line="232" w:lineRule="auto"/>
        <w:tabs>
          <w:tab w:leader="none" w:pos="163" w:val="left"/>
        </w:tabs>
        <w:numPr>
          <w:ilvl w:val="0"/>
          <w:numId w:val="20"/>
        </w:numPr>
        <w:rPr>
          <w:rFonts w:ascii="Arial" w:cs="Arial" w:eastAsia="Arial" w:hAnsi="Arial"/>
          <w:sz w:val="18"/>
          <w:szCs w:val="18"/>
          <w:color w:val="auto"/>
        </w:rPr>
      </w:pPr>
      <w:r>
        <w:rPr>
          <w:rFonts w:ascii="Arial" w:cs="Arial" w:eastAsia="Arial" w:hAnsi="Arial"/>
          <w:sz w:val="18"/>
          <w:szCs w:val="18"/>
          <w:color w:val="auto"/>
        </w:rPr>
        <w:t>Senior Vice President and General Manager, Global OEM and IoT Solutions (February 2015 – November 2017)</w:t>
      </w:r>
    </w:p>
    <w:p>
      <w:pPr>
        <w:ind w:left="147" w:hanging="147"/>
        <w:spacing w:after="0" w:line="232" w:lineRule="auto"/>
        <w:tabs>
          <w:tab w:leader="none" w:pos="147" w:val="left"/>
        </w:tabs>
        <w:numPr>
          <w:ilvl w:val="0"/>
          <w:numId w:val="20"/>
        </w:numPr>
        <w:rPr>
          <w:rFonts w:ascii="Arial" w:cs="Arial" w:eastAsia="Arial" w:hAnsi="Arial"/>
          <w:sz w:val="18"/>
          <w:szCs w:val="18"/>
          <w:color w:val="auto"/>
        </w:rPr>
      </w:pPr>
      <w:r>
        <w:rPr>
          <w:rFonts w:ascii="Arial" w:cs="Arial" w:eastAsia="Arial" w:hAnsi="Arial"/>
          <w:sz w:val="18"/>
          <w:szCs w:val="18"/>
          <w:color w:val="auto"/>
        </w:rPr>
        <w:t>Vice President and General Manager, Global OEM Solutions (February 2012 – February 2015)</w:t>
      </w:r>
    </w:p>
    <w:p>
      <w:pPr>
        <w:ind w:left="7" w:right="260" w:hanging="2"/>
        <w:spacing w:after="0" w:line="259" w:lineRule="auto"/>
        <w:rPr>
          <w:sz w:val="20"/>
          <w:szCs w:val="20"/>
          <w:color w:val="auto"/>
        </w:rPr>
      </w:pPr>
      <w:r>
        <w:rPr>
          <w:rFonts w:ascii="Arial" w:cs="Arial" w:eastAsia="Arial" w:hAnsi="Arial"/>
          <w:sz w:val="18"/>
          <w:szCs w:val="18"/>
          <w:color w:val="auto"/>
        </w:rPr>
        <w:t>Ms. Mullen also spent 10 years in leadership positions at Cummins Engine Company, including distribution, manufacturing and international business development.</w:t>
      </w:r>
    </w:p>
    <w:p>
      <w:pPr>
        <w:spacing w:after="0" w:line="42" w:lineRule="exact"/>
        <w:rPr>
          <w:sz w:val="20"/>
          <w:szCs w:val="20"/>
          <w:color w:val="auto"/>
        </w:rPr>
      </w:pPr>
    </w:p>
    <w:p>
      <w:pPr>
        <w:ind w:left="7"/>
        <w:spacing w:after="0"/>
        <w:rPr>
          <w:sz w:val="20"/>
          <w:szCs w:val="20"/>
          <w:color w:val="auto"/>
        </w:rPr>
      </w:pPr>
      <w:r>
        <w:rPr>
          <w:rFonts w:ascii="Arial" w:cs="Arial" w:eastAsia="Arial" w:hAnsi="Arial"/>
          <w:sz w:val="18"/>
          <w:szCs w:val="18"/>
          <w:b w:val="1"/>
          <w:bCs w:val="1"/>
          <w:color w:val="C00000"/>
        </w:rPr>
        <w:t>Qualifications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278765</wp:posOffset>
            </wp:positionV>
            <wp:extent cx="5523865"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552386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7"/>
        <w:spacing w:after="0"/>
        <w:rPr>
          <w:sz w:val="20"/>
          <w:szCs w:val="20"/>
          <w:color w:val="auto"/>
        </w:rPr>
      </w:pPr>
      <w:r>
        <w:rPr>
          <w:rFonts w:ascii="Arial" w:cs="Arial" w:eastAsia="Arial" w:hAnsi="Arial"/>
          <w:sz w:val="18"/>
          <w:szCs w:val="18"/>
          <w:color w:val="auto"/>
        </w:rPr>
        <w:t>Ms. Mullen brings to our Board significant executive leadership skills, technology and smart-connected</w:t>
      </w:r>
    </w:p>
    <w:p>
      <w:pPr>
        <w:spacing w:after="0" w:line="9" w:lineRule="exact"/>
        <w:rPr>
          <w:sz w:val="20"/>
          <w:szCs w:val="20"/>
          <w:color w:val="auto"/>
        </w:rPr>
      </w:pPr>
    </w:p>
    <w:p>
      <w:pPr>
        <w:ind w:left="7"/>
        <w:spacing w:after="0" w:line="224" w:lineRule="auto"/>
        <w:rPr>
          <w:sz w:val="20"/>
          <w:szCs w:val="20"/>
          <w:color w:val="auto"/>
        </w:rPr>
      </w:pPr>
      <w:r>
        <w:rPr>
          <w:rFonts w:ascii="Arial" w:cs="Arial" w:eastAsia="Arial" w:hAnsi="Arial"/>
          <w:sz w:val="18"/>
          <w:szCs w:val="18"/>
          <w:color w:val="auto"/>
        </w:rPr>
        <w:t>products expertise, strategic and innovative thinking and strong international business experience. She also offers a valuable perspective with regard to evaluating and supporting talent. Additionally, she contributes</w:t>
      </w:r>
    </w:p>
    <w:p>
      <w:pPr>
        <w:ind w:left="7"/>
        <w:spacing w:after="0" w:line="232" w:lineRule="auto"/>
        <w:rPr>
          <w:sz w:val="20"/>
          <w:szCs w:val="20"/>
          <w:color w:val="auto"/>
        </w:rPr>
      </w:pPr>
      <w:r>
        <w:rPr>
          <w:rFonts w:ascii="Arial" w:cs="Arial" w:eastAsia="Arial" w:hAnsi="Arial"/>
          <w:sz w:val="18"/>
          <w:szCs w:val="18"/>
          <w:color w:val="auto"/>
        </w:rPr>
        <w:t>substantial knowledge of worldwide manufacturing, distribution channels, cybersecurity, digital product</w:t>
      </w:r>
    </w:p>
    <w:p>
      <w:pPr>
        <w:spacing w:after="0" w:line="1" w:lineRule="exact"/>
        <w:rPr>
          <w:sz w:val="20"/>
          <w:szCs w:val="20"/>
          <w:color w:val="auto"/>
        </w:rPr>
      </w:pPr>
    </w:p>
    <w:p>
      <w:pPr>
        <w:ind w:left="7"/>
        <w:spacing w:after="0" w:line="234" w:lineRule="auto"/>
        <w:rPr>
          <w:sz w:val="20"/>
          <w:szCs w:val="20"/>
          <w:color w:val="auto"/>
        </w:rPr>
      </w:pPr>
      <w:r>
        <w:rPr>
          <w:rFonts w:ascii="Arial" w:cs="Arial" w:eastAsia="Arial" w:hAnsi="Arial"/>
          <w:sz w:val="18"/>
          <w:szCs w:val="18"/>
          <w:color w:val="auto"/>
        </w:rPr>
        <w:t>development and supply chain strategies, including improving efficiencies in manufacturing operations using Six Sigma, Kaizen and Lean techniques.</w:t>
      </w:r>
    </w:p>
    <w:p>
      <w:pPr>
        <w:spacing w:after="0" w:line="72" w:lineRule="exact"/>
        <w:rPr>
          <w:sz w:val="20"/>
          <w:szCs w:val="20"/>
          <w:color w:val="auto"/>
        </w:rPr>
      </w:pPr>
    </w:p>
    <w:p>
      <w:pPr>
        <w:ind w:left="7"/>
        <w:spacing w:after="0"/>
        <w:rPr>
          <w:sz w:val="20"/>
          <w:szCs w:val="20"/>
          <w:color w:val="auto"/>
        </w:rPr>
      </w:pPr>
      <w:r>
        <w:rPr>
          <w:rFonts w:ascii="Arial" w:cs="Arial" w:eastAsia="Arial" w:hAnsi="Arial"/>
          <w:sz w:val="18"/>
          <w:szCs w:val="18"/>
          <w:b w:val="1"/>
          <w:bCs w:val="1"/>
          <w:color w:val="BF2115"/>
        </w:rPr>
        <w:t>Other Public Company Boards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33020</wp:posOffset>
            </wp:positionV>
            <wp:extent cx="5523865"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5523865" cy="8255"/>
                    </a:xfrm>
                    <a:prstGeom prst="rect">
                      <a:avLst/>
                    </a:prstGeom>
                    <a:noFill/>
                  </pic:spPr>
                </pic:pic>
              </a:graphicData>
            </a:graphic>
          </wp:anchor>
        </w:drawing>
      </w:r>
    </w:p>
    <w:p>
      <w:pPr>
        <w:spacing w:after="0" w:line="53" w:lineRule="exact"/>
        <w:rPr>
          <w:sz w:val="20"/>
          <w:szCs w:val="20"/>
          <w:color w:val="auto"/>
        </w:rPr>
      </w:pPr>
    </w:p>
    <w:p>
      <w:pPr>
        <w:ind w:left="1827"/>
        <w:spacing w:after="0"/>
        <w:tabs>
          <w:tab w:leader="none" w:pos="5967" w:val="left"/>
        </w:tabs>
        <w:rPr>
          <w:sz w:val="20"/>
          <w:szCs w:val="20"/>
          <w:color w:val="auto"/>
        </w:rPr>
      </w:pPr>
      <w:r>
        <w:rPr>
          <w:rFonts w:ascii="Arial" w:cs="Arial" w:eastAsia="Arial" w:hAnsi="Arial"/>
          <w:sz w:val="18"/>
          <w:szCs w:val="18"/>
          <w:b w:val="1"/>
          <w:bCs w:val="1"/>
          <w:color w:val="auto"/>
        </w:rPr>
        <w:t>Current</w:t>
      </w:r>
      <w:r>
        <w:rPr>
          <w:sz w:val="20"/>
          <w:szCs w:val="20"/>
          <w:color w:val="auto"/>
        </w:rPr>
        <w:tab/>
      </w:r>
      <w:r>
        <w:rPr>
          <w:rFonts w:ascii="Arial" w:cs="Arial" w:eastAsia="Arial" w:hAnsi="Arial"/>
          <w:sz w:val="18"/>
          <w:szCs w:val="18"/>
          <w:b w:val="1"/>
          <w:bCs w:val="1"/>
          <w:color w:val="auto"/>
        </w:rPr>
        <w:t>Past 5 Years</w:t>
      </w:r>
    </w:p>
    <w:p>
      <w:pPr>
        <w:spacing w:after="0" w:line="49" w:lineRule="exact"/>
        <w:rPr>
          <w:sz w:val="20"/>
          <w:szCs w:val="20"/>
          <w:color w:val="auto"/>
        </w:rPr>
      </w:pPr>
    </w:p>
    <w:p>
      <w:pPr>
        <w:ind w:left="1227"/>
        <w:spacing w:after="0"/>
        <w:tabs>
          <w:tab w:leader="none" w:pos="6267" w:val="left"/>
        </w:tabs>
        <w:rPr>
          <w:sz w:val="20"/>
          <w:szCs w:val="20"/>
          <w:color w:val="auto"/>
        </w:rPr>
      </w:pPr>
      <w:r>
        <w:rPr>
          <w:rFonts w:ascii="Arial" w:cs="Arial" w:eastAsia="Arial" w:hAnsi="Arial"/>
          <w:sz w:val="18"/>
          <w:szCs w:val="18"/>
          <w:color w:val="auto"/>
        </w:rPr>
        <w:t>Insight Enterprises, Inc.</w:t>
      </w:r>
      <w:r>
        <w:rPr>
          <w:sz w:val="20"/>
          <w:szCs w:val="20"/>
          <w:color w:val="auto"/>
        </w:rPr>
        <w:tab/>
      </w:r>
      <w:r>
        <w:rPr>
          <w:rFonts w:ascii="Arial" w:cs="Arial" w:eastAsia="Arial" w:hAnsi="Arial"/>
          <w:sz w:val="18"/>
          <w:szCs w:val="18"/>
          <w:color w:val="auto"/>
        </w:rPr>
        <w:t>None</w:t>
      </w:r>
    </w:p>
    <w:p>
      <w:pPr>
        <w:spacing w:after="0" w:line="200" w:lineRule="exact"/>
        <w:rPr>
          <w:sz w:val="20"/>
          <w:szCs w:val="20"/>
          <w:color w:val="auto"/>
        </w:rPr>
      </w:pPr>
    </w:p>
    <w:p>
      <w:pPr>
        <w:sectPr>
          <w:pgSz w:w="11900" w:h="16838" w:orient="portrait"/>
          <w:cols w:equalWidth="0" w:num="2">
            <w:col w:w="2240" w:space="273"/>
            <w:col w:w="8667"/>
          </w:cols>
          <w:pgMar w:left="340" w:top="1108" w:right="37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ind w:right="-19"/>
        <w:spacing w:after="0"/>
        <w:rPr>
          <w:sz w:val="20"/>
          <w:szCs w:val="20"/>
          <w:color w:val="auto"/>
        </w:rPr>
      </w:pPr>
      <w:r>
        <w:rPr>
          <w:rFonts w:ascii="Arial" w:cs="Arial" w:eastAsia="Arial" w:hAnsi="Arial"/>
          <w:sz w:val="21"/>
          <w:szCs w:val="21"/>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-20320</wp:posOffset>
            </wp:positionH>
            <wp:positionV relativeFrom="paragraph">
              <wp:posOffset>79375</wp:posOffset>
            </wp:positionV>
            <wp:extent cx="7159625"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180"/>
          </w:cols>
          <w:pgMar w:left="340" w:top="1108" w:right="379" w:bottom="1440" w:gutter="0" w:footer="0" w:header="0"/>
          <w:type w:val="continuous"/>
        </w:sectPr>
      </w:pPr>
    </w:p>
    <w:bookmarkStart w:id="22" w:name="page23"/>
    <w:bookmarkEnd w:id="2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215900</wp:posOffset>
            </wp:positionH>
            <wp:positionV relativeFrom="page">
              <wp:posOffset>749935</wp:posOffset>
            </wp:positionV>
            <wp:extent cx="1135380" cy="113538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clrChange>
                        <a:clrFrom>
                          <a:srgbClr val="FFFFFF"/>
                        </a:clrFrom>
                        <a:clrTo>
                          <a:srgbClr val="FFFFFF">
                            <a:alpha val="0"/>
                          </a:srgbClr>
                        </a:clrTo>
                      </a:clrChange>
                      <a:extLst>
                        <a:ext uri="{28A0092B-C50C-407E-A947-70E740481C1C}"/>
                      </a:extLst>
                    </a:blip>
                    <a:srcRect/>
                    <a:stretch>
                      <a:fillRect/>
                    </a:stretch>
                  </pic:blipFill>
                  <pic:spPr bwMode="auto">
                    <a:xfrm>
                      <a:off x="0" y="0"/>
                      <a:ext cx="1135380" cy="11353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color w:val="BF2115"/>
        </w:rPr>
        <w:t>James C. O'Rourke</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Age 64</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Director since 2012</w:t>
      </w:r>
    </w:p>
    <w:p>
      <w:pPr>
        <w:spacing w:after="0" w:line="42" w:lineRule="exact"/>
        <w:rPr>
          <w:sz w:val="20"/>
          <w:szCs w:val="20"/>
          <w:color w:val="auto"/>
        </w:rPr>
      </w:pPr>
    </w:p>
    <w:p>
      <w:pPr>
        <w:spacing w:after="0"/>
        <w:rPr>
          <w:sz w:val="20"/>
          <w:szCs w:val="20"/>
          <w:color w:val="auto"/>
        </w:rPr>
      </w:pPr>
      <w:r>
        <w:rPr>
          <w:rFonts w:ascii="Arial" w:cs="Arial" w:eastAsia="Arial" w:hAnsi="Arial"/>
          <w:sz w:val="18"/>
          <w:szCs w:val="18"/>
          <w:b w:val="1"/>
          <w:bCs w:val="1"/>
          <w:color w:val="BF2115"/>
        </w:rPr>
        <w:t>Committees</w:t>
      </w:r>
    </w:p>
    <w:p>
      <w:pPr>
        <w:ind w:left="160" w:right="140" w:hanging="156"/>
        <w:spacing w:after="0" w:line="245" w:lineRule="auto"/>
        <w:tabs>
          <w:tab w:leader="none" w:pos="155" w:val="left"/>
        </w:tabs>
        <w:numPr>
          <w:ilvl w:val="0"/>
          <w:numId w:val="21"/>
        </w:numPr>
        <w:rPr>
          <w:rFonts w:ascii="Arial" w:cs="Arial" w:eastAsia="Arial" w:hAnsi="Arial"/>
          <w:sz w:val="17"/>
          <w:szCs w:val="17"/>
          <w:color w:val="auto"/>
        </w:rPr>
      </w:pPr>
      <w:r>
        <w:rPr>
          <w:rFonts w:ascii="Arial" w:cs="Arial" w:eastAsia="Arial" w:hAnsi="Arial"/>
          <w:sz w:val="17"/>
          <w:szCs w:val="17"/>
          <w:color w:val="auto"/>
        </w:rPr>
        <w:t>Compensation &amp; Human Resources (Chair)</w:t>
      </w:r>
    </w:p>
    <w:p>
      <w:pPr>
        <w:spacing w:after="0" w:line="1" w:lineRule="exact"/>
        <w:rPr>
          <w:rFonts w:ascii="Arial" w:cs="Arial" w:eastAsia="Arial" w:hAnsi="Arial"/>
          <w:sz w:val="17"/>
          <w:szCs w:val="17"/>
          <w:color w:val="auto"/>
        </w:rPr>
      </w:pPr>
    </w:p>
    <w:p>
      <w:pPr>
        <w:ind w:left="160" w:hanging="156"/>
        <w:spacing w:after="0"/>
        <w:tabs>
          <w:tab w:leader="none" w:pos="160" w:val="left"/>
        </w:tabs>
        <w:numPr>
          <w:ilvl w:val="0"/>
          <w:numId w:val="21"/>
        </w:numPr>
        <w:rPr>
          <w:rFonts w:ascii="Arial" w:cs="Arial" w:eastAsia="Arial" w:hAnsi="Arial"/>
          <w:sz w:val="17"/>
          <w:szCs w:val="17"/>
          <w:color w:val="auto"/>
        </w:rPr>
      </w:pPr>
      <w:r>
        <w:rPr>
          <w:rFonts w:ascii="Arial" w:cs="Arial" w:eastAsia="Arial" w:hAnsi="Arial"/>
          <w:sz w:val="17"/>
          <w:szCs w:val="17"/>
          <w:color w:val="auto"/>
        </w:rPr>
        <w:t>Nominating &amp; Governance</w:t>
      </w:r>
    </w:p>
    <w:p>
      <w:pPr>
        <w:spacing w:after="0" w:line="20" w:lineRule="exact"/>
        <w:rPr>
          <w:sz w:val="20"/>
          <w:szCs w:val="20"/>
          <w:color w:val="auto"/>
        </w:rPr>
      </w:pPr>
      <w:r>
        <w:rPr>
          <w:sz w:val="20"/>
          <w:szCs w:val="20"/>
          <w:color w:val="auto"/>
        </w:rPr>
        <w:br w:type="column"/>
      </w:r>
    </w:p>
    <w:p>
      <w:pPr>
        <w:ind w:left="7"/>
        <w:spacing w:after="0"/>
        <w:rPr>
          <w:sz w:val="20"/>
          <w:szCs w:val="20"/>
          <w:color w:val="auto"/>
        </w:rPr>
      </w:pPr>
      <w:r>
        <w:rPr>
          <w:rFonts w:ascii="Arial" w:cs="Arial" w:eastAsia="Arial" w:hAnsi="Arial"/>
          <w:sz w:val="18"/>
          <w:szCs w:val="18"/>
          <w:b w:val="1"/>
          <w:bCs w:val="1"/>
          <w:color w:val="BF2115"/>
        </w:rPr>
        <w:t>Background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15875</wp:posOffset>
            </wp:positionV>
            <wp:extent cx="5523865"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5523865" cy="8255"/>
                    </a:xfrm>
                    <a:prstGeom prst="rect">
                      <a:avLst/>
                    </a:prstGeom>
                    <a:noFill/>
                  </pic:spPr>
                </pic:pic>
              </a:graphicData>
            </a:graphic>
          </wp:anchor>
        </w:drawing>
      </w:r>
    </w:p>
    <w:p>
      <w:pPr>
        <w:spacing w:after="0" w:line="82" w:lineRule="exact"/>
        <w:rPr>
          <w:sz w:val="20"/>
          <w:szCs w:val="20"/>
          <w:color w:val="auto"/>
        </w:rPr>
      </w:pPr>
    </w:p>
    <w:p>
      <w:pPr>
        <w:ind w:left="7" w:right="20"/>
        <w:spacing w:after="0" w:line="238" w:lineRule="auto"/>
        <w:rPr>
          <w:sz w:val="20"/>
          <w:szCs w:val="20"/>
          <w:color w:val="auto"/>
        </w:rPr>
      </w:pPr>
      <w:r>
        <w:rPr>
          <w:rFonts w:ascii="Arial" w:cs="Arial" w:eastAsia="Arial" w:hAnsi="Arial"/>
          <w:sz w:val="18"/>
          <w:szCs w:val="18"/>
          <w:color w:val="auto"/>
        </w:rPr>
        <w:t>James C. O’Rourke served as Senior Advisor to The Mosaic Company, Tampa, Florida (a global producer and marketer of combined concentrated phosphate and potash crop nutrients for the global agriculture industry) until his retirement in June 2024. He held the following positions, all at The Mosaic Company:</w:t>
      </w:r>
    </w:p>
    <w:p>
      <w:pPr>
        <w:ind w:left="147" w:hanging="147"/>
        <w:spacing w:after="0" w:line="232" w:lineRule="auto"/>
        <w:tabs>
          <w:tab w:leader="none" w:pos="147" w:val="left"/>
        </w:tabs>
        <w:numPr>
          <w:ilvl w:val="0"/>
          <w:numId w:val="22"/>
        </w:numPr>
        <w:rPr>
          <w:rFonts w:ascii="Arial" w:cs="Arial" w:eastAsia="Arial" w:hAnsi="Arial"/>
          <w:sz w:val="18"/>
          <w:szCs w:val="18"/>
          <w:color w:val="auto"/>
        </w:rPr>
      </w:pPr>
      <w:r>
        <w:rPr>
          <w:rFonts w:ascii="Arial" w:cs="Arial" w:eastAsia="Arial" w:hAnsi="Arial"/>
          <w:sz w:val="18"/>
          <w:szCs w:val="18"/>
          <w:color w:val="auto"/>
        </w:rPr>
        <w:t>Chief Executive Officer (August 2015 – December 2023)</w:t>
      </w:r>
    </w:p>
    <w:p>
      <w:pPr>
        <w:ind w:left="147" w:hanging="147"/>
        <w:spacing w:after="0" w:line="216" w:lineRule="auto"/>
        <w:tabs>
          <w:tab w:leader="none" w:pos="147" w:val="left"/>
        </w:tabs>
        <w:numPr>
          <w:ilvl w:val="0"/>
          <w:numId w:val="22"/>
        </w:numPr>
        <w:rPr>
          <w:rFonts w:ascii="Arial" w:cs="Arial" w:eastAsia="Arial" w:hAnsi="Arial"/>
          <w:sz w:val="18"/>
          <w:szCs w:val="18"/>
          <w:color w:val="auto"/>
        </w:rPr>
      </w:pPr>
      <w:r>
        <w:rPr>
          <w:rFonts w:ascii="Arial" w:cs="Arial" w:eastAsia="Arial" w:hAnsi="Arial"/>
          <w:sz w:val="18"/>
          <w:szCs w:val="18"/>
          <w:color w:val="auto"/>
        </w:rPr>
        <w:t>President (August 2015 – August 2023)</w:t>
      </w:r>
    </w:p>
    <w:p>
      <w:pPr>
        <w:ind w:left="147" w:hanging="147"/>
        <w:spacing w:after="0" w:line="232" w:lineRule="auto"/>
        <w:tabs>
          <w:tab w:leader="none" w:pos="147" w:val="left"/>
        </w:tabs>
        <w:numPr>
          <w:ilvl w:val="0"/>
          <w:numId w:val="22"/>
        </w:numPr>
        <w:rPr>
          <w:rFonts w:ascii="Arial" w:cs="Arial" w:eastAsia="Arial" w:hAnsi="Arial"/>
          <w:sz w:val="18"/>
          <w:szCs w:val="18"/>
          <w:color w:val="auto"/>
        </w:rPr>
      </w:pPr>
      <w:r>
        <w:rPr>
          <w:rFonts w:ascii="Arial" w:cs="Arial" w:eastAsia="Arial" w:hAnsi="Arial"/>
          <w:sz w:val="18"/>
          <w:szCs w:val="18"/>
          <w:color w:val="auto"/>
        </w:rPr>
        <w:t>Executive Vice President—Operations and Chief Operating Officer (August 2012 – August 2015)</w:t>
      </w:r>
    </w:p>
    <w:p>
      <w:pPr>
        <w:ind w:left="147" w:hanging="147"/>
        <w:spacing w:after="0"/>
        <w:tabs>
          <w:tab w:leader="none" w:pos="147" w:val="left"/>
        </w:tabs>
        <w:numPr>
          <w:ilvl w:val="0"/>
          <w:numId w:val="22"/>
        </w:numPr>
        <w:rPr>
          <w:rFonts w:ascii="Arial" w:cs="Arial" w:eastAsia="Arial" w:hAnsi="Arial"/>
          <w:sz w:val="18"/>
          <w:szCs w:val="18"/>
          <w:color w:val="auto"/>
        </w:rPr>
      </w:pPr>
      <w:r>
        <w:rPr>
          <w:rFonts w:ascii="Arial" w:cs="Arial" w:eastAsia="Arial" w:hAnsi="Arial"/>
          <w:sz w:val="18"/>
          <w:szCs w:val="18"/>
          <w:color w:val="auto"/>
        </w:rPr>
        <w:t>Executive Vice President—Operations (January 2009 – August 2012)</w:t>
      </w:r>
    </w:p>
    <w:p>
      <w:pPr>
        <w:spacing w:after="0" w:line="82" w:lineRule="exact"/>
        <w:rPr>
          <w:sz w:val="20"/>
          <w:szCs w:val="20"/>
          <w:color w:val="auto"/>
        </w:rPr>
      </w:pPr>
    </w:p>
    <w:p>
      <w:pPr>
        <w:ind w:left="7"/>
        <w:spacing w:after="0"/>
        <w:rPr>
          <w:sz w:val="20"/>
          <w:szCs w:val="20"/>
          <w:color w:val="auto"/>
        </w:rPr>
      </w:pPr>
      <w:r>
        <w:rPr>
          <w:rFonts w:ascii="Arial" w:cs="Arial" w:eastAsia="Arial" w:hAnsi="Arial"/>
          <w:sz w:val="18"/>
          <w:szCs w:val="18"/>
          <w:b w:val="1"/>
          <w:bCs w:val="1"/>
          <w:color w:val="C00000"/>
        </w:rPr>
        <w:t>Qualifications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363220</wp:posOffset>
            </wp:positionV>
            <wp:extent cx="5523865"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552386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left="7"/>
        <w:spacing w:after="0"/>
        <w:rPr>
          <w:sz w:val="20"/>
          <w:szCs w:val="20"/>
          <w:color w:val="auto"/>
        </w:rPr>
      </w:pPr>
      <w:r>
        <w:rPr>
          <w:rFonts w:ascii="Arial" w:cs="Arial" w:eastAsia="Arial" w:hAnsi="Arial"/>
          <w:sz w:val="18"/>
          <w:szCs w:val="18"/>
          <w:color w:val="auto"/>
        </w:rPr>
        <w:t>Mr. O</w:t>
      </w:r>
      <w:r>
        <w:rPr>
          <w:rFonts w:ascii="Arial" w:cs="Arial" w:eastAsia="Arial" w:hAnsi="Arial"/>
          <w:sz w:val="18"/>
          <w:szCs w:val="18"/>
          <w:b w:val="1"/>
          <w:bCs w:val="1"/>
          <w:color w:val="auto"/>
        </w:rPr>
        <w:t>'</w:t>
      </w:r>
      <w:r>
        <w:rPr>
          <w:rFonts w:ascii="Arial" w:cs="Arial" w:eastAsia="Arial" w:hAnsi="Arial"/>
          <w:sz w:val="18"/>
          <w:szCs w:val="18"/>
          <w:color w:val="auto"/>
        </w:rPr>
        <w:t>Rourke brings to our Board significant leadership skills, strategic and innovative thinking from a former</w:t>
      </w:r>
    </w:p>
    <w:p>
      <w:pPr>
        <w:spacing w:after="0" w:line="11" w:lineRule="exact"/>
        <w:rPr>
          <w:sz w:val="20"/>
          <w:szCs w:val="20"/>
          <w:color w:val="auto"/>
        </w:rPr>
      </w:pPr>
    </w:p>
    <w:p>
      <w:pPr>
        <w:ind w:left="7"/>
        <w:spacing w:after="0" w:line="237" w:lineRule="auto"/>
        <w:rPr>
          <w:sz w:val="20"/>
          <w:szCs w:val="20"/>
          <w:color w:val="auto"/>
        </w:rPr>
      </w:pPr>
      <w:r>
        <w:rPr>
          <w:rFonts w:ascii="Arial" w:cs="Arial" w:eastAsia="Arial" w:hAnsi="Arial"/>
          <w:sz w:val="17"/>
          <w:szCs w:val="17"/>
          <w:color w:val="auto"/>
        </w:rPr>
        <w:t>chief executive officer perspective and strong international business expertise. He also contributes substantial knowledge of worldwide manufacturing, distribution and supply chain strategies and environmental, health</w:t>
      </w:r>
    </w:p>
    <w:p>
      <w:pPr>
        <w:spacing w:after="0" w:line="1" w:lineRule="exact"/>
        <w:rPr>
          <w:sz w:val="20"/>
          <w:szCs w:val="20"/>
          <w:color w:val="auto"/>
        </w:rPr>
      </w:pPr>
    </w:p>
    <w:p>
      <w:pPr>
        <w:ind w:left="7"/>
        <w:spacing w:after="0" w:line="243" w:lineRule="auto"/>
        <w:rPr>
          <w:sz w:val="20"/>
          <w:szCs w:val="20"/>
          <w:color w:val="auto"/>
        </w:rPr>
      </w:pPr>
      <w:r>
        <w:rPr>
          <w:rFonts w:ascii="Arial" w:cs="Arial" w:eastAsia="Arial" w:hAnsi="Arial"/>
          <w:sz w:val="18"/>
          <w:szCs w:val="18"/>
          <w:color w:val="auto"/>
        </w:rPr>
        <w:t>and safety matters. In addition, as a public company director and executive, Mr. O'Rourke contributes a solid understanding of executive compensation and corporate governance matters.</w:t>
      </w:r>
    </w:p>
    <w:p>
      <w:pPr>
        <w:spacing w:after="0" w:line="57" w:lineRule="exact"/>
        <w:rPr>
          <w:sz w:val="20"/>
          <w:szCs w:val="20"/>
          <w:color w:val="auto"/>
        </w:rPr>
      </w:pPr>
    </w:p>
    <w:p>
      <w:pPr>
        <w:ind w:left="7"/>
        <w:spacing w:after="0"/>
        <w:rPr>
          <w:sz w:val="20"/>
          <w:szCs w:val="20"/>
          <w:color w:val="auto"/>
        </w:rPr>
      </w:pPr>
      <w:r>
        <w:rPr>
          <w:rFonts w:ascii="Arial" w:cs="Arial" w:eastAsia="Arial" w:hAnsi="Arial"/>
          <w:sz w:val="18"/>
          <w:szCs w:val="18"/>
          <w:b w:val="1"/>
          <w:bCs w:val="1"/>
          <w:color w:val="BF2115"/>
        </w:rPr>
        <w:t>Other Public Company Boards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33020</wp:posOffset>
            </wp:positionV>
            <wp:extent cx="5523865"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5523865" cy="8255"/>
                    </a:xfrm>
                    <a:prstGeom prst="rect">
                      <a:avLst/>
                    </a:prstGeom>
                    <a:noFill/>
                  </pic:spPr>
                </pic:pic>
              </a:graphicData>
            </a:graphic>
          </wp:anchor>
        </w:drawing>
      </w:r>
    </w:p>
    <w:p>
      <w:pPr>
        <w:spacing w:after="0" w:line="53" w:lineRule="exact"/>
        <w:rPr>
          <w:sz w:val="20"/>
          <w:szCs w:val="20"/>
          <w:color w:val="auto"/>
        </w:rPr>
      </w:pPr>
    </w:p>
    <w:p>
      <w:pPr>
        <w:ind w:left="1827"/>
        <w:spacing w:after="0"/>
        <w:tabs>
          <w:tab w:leader="none" w:pos="5967" w:val="left"/>
        </w:tabs>
        <w:rPr>
          <w:sz w:val="20"/>
          <w:szCs w:val="20"/>
          <w:color w:val="auto"/>
        </w:rPr>
      </w:pPr>
      <w:r>
        <w:rPr>
          <w:rFonts w:ascii="Arial" w:cs="Arial" w:eastAsia="Arial" w:hAnsi="Arial"/>
          <w:sz w:val="18"/>
          <w:szCs w:val="18"/>
          <w:b w:val="1"/>
          <w:bCs w:val="1"/>
          <w:color w:val="auto"/>
        </w:rPr>
        <w:t>Current</w:t>
      </w:r>
      <w:r>
        <w:rPr>
          <w:sz w:val="20"/>
          <w:szCs w:val="20"/>
          <w:color w:val="auto"/>
        </w:rPr>
        <w:tab/>
      </w:r>
      <w:r>
        <w:rPr>
          <w:rFonts w:ascii="Arial" w:cs="Arial" w:eastAsia="Arial" w:hAnsi="Arial"/>
          <w:sz w:val="18"/>
          <w:szCs w:val="18"/>
          <w:b w:val="1"/>
          <w:bCs w:val="1"/>
          <w:color w:val="auto"/>
        </w:rPr>
        <w:t>Past 5 Years</w:t>
      </w:r>
    </w:p>
    <w:p>
      <w:pPr>
        <w:spacing w:after="0" w:line="49" w:lineRule="exact"/>
        <w:rPr>
          <w:sz w:val="20"/>
          <w:szCs w:val="20"/>
          <w:color w:val="auto"/>
        </w:rPr>
      </w:pPr>
    </w:p>
    <w:p>
      <w:pPr>
        <w:ind w:left="1667"/>
        <w:spacing w:after="0"/>
        <w:tabs>
          <w:tab w:leader="none" w:pos="5627" w:val="left"/>
        </w:tabs>
        <w:rPr>
          <w:sz w:val="20"/>
          <w:szCs w:val="20"/>
          <w:color w:val="auto"/>
        </w:rPr>
      </w:pPr>
      <w:r>
        <w:rPr>
          <w:rFonts w:ascii="Arial" w:cs="Arial" w:eastAsia="Arial" w:hAnsi="Arial"/>
          <w:sz w:val="18"/>
          <w:szCs w:val="18"/>
          <w:color w:val="auto"/>
        </w:rPr>
        <w:t>Rio Tinto plc</w:t>
      </w:r>
      <w:r>
        <w:rPr>
          <w:sz w:val="20"/>
          <w:szCs w:val="20"/>
          <w:color w:val="auto"/>
        </w:rPr>
        <w:tab/>
      </w:r>
      <w:r>
        <w:rPr>
          <w:rFonts w:ascii="Arial" w:cs="Arial" w:eastAsia="Arial" w:hAnsi="Arial"/>
          <w:sz w:val="17"/>
          <w:szCs w:val="17"/>
          <w:color w:val="auto"/>
        </w:rPr>
        <w:t>The Mosaic Company</w:t>
      </w:r>
    </w:p>
    <w:p>
      <w:pPr>
        <w:spacing w:after="0" w:line="47" w:lineRule="exact"/>
        <w:rPr>
          <w:sz w:val="20"/>
          <w:szCs w:val="20"/>
          <w:color w:val="auto"/>
        </w:rPr>
      </w:pPr>
    </w:p>
    <w:p>
      <w:pPr>
        <w:ind w:left="1167"/>
        <w:spacing w:after="0"/>
        <w:rPr>
          <w:sz w:val="20"/>
          <w:szCs w:val="20"/>
          <w:color w:val="auto"/>
        </w:rPr>
      </w:pPr>
      <w:r>
        <w:rPr>
          <w:rFonts w:ascii="Arial" w:cs="Arial" w:eastAsia="Arial" w:hAnsi="Arial"/>
          <w:sz w:val="18"/>
          <w:szCs w:val="18"/>
          <w:color w:val="auto"/>
        </w:rPr>
        <w:t>Weyerhaeuser Company</w:t>
      </w:r>
    </w:p>
    <w:p>
      <w:pPr>
        <w:spacing w:after="0" w:line="200" w:lineRule="exact"/>
        <w:rPr>
          <w:sz w:val="20"/>
          <w:szCs w:val="20"/>
          <w:color w:val="auto"/>
        </w:rPr>
      </w:pPr>
    </w:p>
    <w:p>
      <w:pPr>
        <w:sectPr>
          <w:pgSz w:w="11900" w:h="16838" w:orient="portrait"/>
          <w:cols w:equalWidth="0" w:num="2">
            <w:col w:w="2240" w:space="273"/>
            <w:col w:w="8667"/>
          </w:cols>
          <w:pgMar w:left="340" w:top="1188" w:right="3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spacing w:after="0"/>
        <w:rPr>
          <w:sz w:val="20"/>
          <w:szCs w:val="20"/>
          <w:color w:val="auto"/>
        </w:rPr>
      </w:pPr>
      <w:r>
        <w:rPr>
          <w:rFonts w:ascii="Arial" w:cs="Arial" w:eastAsia="Arial" w:hAnsi="Arial"/>
          <w:sz w:val="18"/>
          <w:szCs w:val="18"/>
          <w:b w:val="1"/>
          <w:bCs w:val="1"/>
          <w:color w:val="BF2115"/>
        </w:rPr>
        <w:t>Richard M. Olson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-1338580</wp:posOffset>
            </wp:positionV>
            <wp:extent cx="1135380" cy="113538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1135380" cy="1135380"/>
                    </a:xfrm>
                    <a:prstGeom prst="rect">
                      <a:avLst/>
                    </a:prstGeom>
                    <a:noFill/>
                  </pic:spPr>
                </pic:pic>
              </a:graphicData>
            </a:graphic>
          </wp:anchor>
        </w:drawing>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color w:val="auto"/>
        </w:rPr>
        <w:t>Age 61</w:t>
      </w:r>
    </w:p>
    <w:p>
      <w:pPr>
        <w:spacing w:after="0" w:line="44" w:lineRule="exact"/>
        <w:rPr>
          <w:sz w:val="20"/>
          <w:szCs w:val="20"/>
          <w:color w:val="auto"/>
        </w:rPr>
      </w:pPr>
    </w:p>
    <w:p>
      <w:pPr>
        <w:spacing w:after="0"/>
        <w:rPr>
          <w:sz w:val="20"/>
          <w:szCs w:val="20"/>
          <w:color w:val="auto"/>
        </w:rPr>
      </w:pPr>
      <w:r>
        <w:rPr>
          <w:rFonts w:ascii="Arial" w:cs="Arial" w:eastAsia="Arial" w:hAnsi="Arial"/>
          <w:sz w:val="17"/>
          <w:szCs w:val="17"/>
          <w:color w:val="auto"/>
        </w:rPr>
        <w:t>Director since 2016</w:t>
      </w:r>
    </w:p>
    <w:p>
      <w:pPr>
        <w:spacing w:after="0" w:line="56" w:lineRule="exact"/>
        <w:rPr>
          <w:sz w:val="20"/>
          <w:szCs w:val="20"/>
          <w:color w:val="auto"/>
        </w:rPr>
      </w:pPr>
    </w:p>
    <w:p>
      <w:pPr>
        <w:spacing w:after="0"/>
        <w:rPr>
          <w:sz w:val="20"/>
          <w:szCs w:val="20"/>
          <w:color w:val="auto"/>
        </w:rPr>
      </w:pPr>
      <w:r>
        <w:rPr>
          <w:rFonts w:ascii="Arial" w:cs="Arial" w:eastAsia="Arial" w:hAnsi="Arial"/>
          <w:sz w:val="18"/>
          <w:szCs w:val="18"/>
          <w:b w:val="1"/>
          <w:bCs w:val="1"/>
          <w:color w:val="BF2115"/>
        </w:rPr>
        <w:t>Committees</w:t>
      </w:r>
    </w:p>
    <w:p>
      <w:pPr>
        <w:spacing w:after="0" w:line="38" w:lineRule="exact"/>
        <w:rPr>
          <w:sz w:val="20"/>
          <w:szCs w:val="20"/>
          <w:color w:val="auto"/>
        </w:rPr>
      </w:pPr>
    </w:p>
    <w:p>
      <w:pPr>
        <w:ind w:left="160"/>
        <w:spacing w:after="0"/>
        <w:rPr>
          <w:sz w:val="20"/>
          <w:szCs w:val="20"/>
          <w:color w:val="auto"/>
        </w:rPr>
      </w:pPr>
      <w:r>
        <w:rPr>
          <w:rFonts w:ascii="Arial" w:cs="Arial" w:eastAsia="Arial" w:hAnsi="Arial"/>
          <w:sz w:val="18"/>
          <w:szCs w:val="18"/>
          <w:color w:val="auto"/>
        </w:rPr>
        <w:t>None</w:t>
      </w:r>
    </w:p>
    <w:p>
      <w:pPr>
        <w:spacing w:after="0" w:line="20" w:lineRule="exact"/>
        <w:rPr>
          <w:sz w:val="20"/>
          <w:szCs w:val="20"/>
          <w:color w:val="auto"/>
        </w:rPr>
      </w:pPr>
      <w:r>
        <w:rPr>
          <w:sz w:val="20"/>
          <w:szCs w:val="20"/>
          <w:color w:val="auto"/>
        </w:rPr>
        <w:br w:type="column"/>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color w:val="C00000"/>
        </w:rPr>
        <w:t>Director Nominee for Election to the Board for a Term Ending at the 2027 Annual Meeting</w:t>
      </w:r>
    </w:p>
    <w:p>
      <w:pPr>
        <w:spacing w:after="0" w:line="313"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BF2115"/>
        </w:rPr>
        <w:t>Background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403225</wp:posOffset>
            </wp:positionH>
            <wp:positionV relativeFrom="paragraph">
              <wp:posOffset>15875</wp:posOffset>
            </wp:positionV>
            <wp:extent cx="5523865"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5523865" cy="8255"/>
                    </a:xfrm>
                    <a:prstGeom prst="rect">
                      <a:avLst/>
                    </a:prstGeom>
                    <a:noFill/>
                  </pic:spPr>
                </pic:pic>
              </a:graphicData>
            </a:graphic>
          </wp:anchor>
        </w:drawing>
      </w:r>
    </w:p>
    <w:p>
      <w:pPr>
        <w:spacing w:after="0" w:line="82" w:lineRule="exact"/>
        <w:rPr>
          <w:sz w:val="20"/>
          <w:szCs w:val="20"/>
          <w:color w:val="auto"/>
        </w:rPr>
      </w:pPr>
    </w:p>
    <w:p>
      <w:pPr>
        <w:ind w:left="680" w:right="200"/>
        <w:spacing w:after="0" w:line="249" w:lineRule="auto"/>
        <w:rPr>
          <w:sz w:val="20"/>
          <w:szCs w:val="20"/>
          <w:color w:val="auto"/>
        </w:rPr>
      </w:pPr>
      <w:r>
        <w:rPr>
          <w:rFonts w:ascii="Arial" w:cs="Arial" w:eastAsia="Arial" w:hAnsi="Arial"/>
          <w:sz w:val="18"/>
          <w:szCs w:val="18"/>
          <w:color w:val="auto"/>
        </w:rPr>
        <w:t>Richard M. Olson is our Chairman of the Board, President and Chief Executive Officer. He holds or held the following positions, all at The Toro Company:</w:t>
      </w:r>
    </w:p>
    <w:p>
      <w:pPr>
        <w:ind w:left="800" w:hanging="147"/>
        <w:spacing w:after="0" w:line="232" w:lineRule="auto"/>
        <w:tabs>
          <w:tab w:leader="none" w:pos="800" w:val="left"/>
        </w:tabs>
        <w:numPr>
          <w:ilvl w:val="0"/>
          <w:numId w:val="23"/>
        </w:numPr>
        <w:rPr>
          <w:rFonts w:ascii="Times New Roman" w:cs="Times New Roman" w:eastAsia="Times New Roman" w:hAnsi="Times New Roman"/>
          <w:sz w:val="16"/>
          <w:szCs w:val="16"/>
          <w:color w:val="auto"/>
        </w:rPr>
      </w:pPr>
      <w:r>
        <w:rPr>
          <w:rFonts w:ascii="Arial" w:cs="Arial" w:eastAsia="Arial" w:hAnsi="Arial"/>
          <w:sz w:val="18"/>
          <w:szCs w:val="18"/>
          <w:color w:val="auto"/>
        </w:rPr>
        <w:t>Chairman (since November 2017)</w:t>
      </w:r>
    </w:p>
    <w:p>
      <w:pPr>
        <w:ind w:left="800" w:hanging="147"/>
        <w:spacing w:after="0"/>
        <w:tabs>
          <w:tab w:leader="none" w:pos="800" w:val="left"/>
        </w:tabs>
        <w:numPr>
          <w:ilvl w:val="0"/>
          <w:numId w:val="23"/>
        </w:numPr>
        <w:rPr>
          <w:rFonts w:ascii="Times New Roman" w:cs="Times New Roman" w:eastAsia="Times New Roman" w:hAnsi="Times New Roman"/>
          <w:sz w:val="16"/>
          <w:szCs w:val="16"/>
          <w:color w:val="auto"/>
        </w:rPr>
      </w:pPr>
      <w:r>
        <w:rPr>
          <w:rFonts w:ascii="Arial" w:cs="Arial" w:eastAsia="Arial" w:hAnsi="Arial"/>
          <w:sz w:val="18"/>
          <w:szCs w:val="18"/>
          <w:color w:val="auto"/>
        </w:rPr>
        <w:t>Chief Executive Officer (since November 2016)</w:t>
      </w:r>
    </w:p>
    <w:p>
      <w:pPr>
        <w:spacing w:after="0" w:line="6" w:lineRule="exact"/>
        <w:rPr>
          <w:rFonts w:ascii="Times New Roman" w:cs="Times New Roman" w:eastAsia="Times New Roman" w:hAnsi="Times New Roman"/>
          <w:sz w:val="16"/>
          <w:szCs w:val="16"/>
          <w:color w:val="auto"/>
        </w:rPr>
      </w:pPr>
    </w:p>
    <w:p>
      <w:pPr>
        <w:ind w:left="800" w:hanging="147"/>
        <w:spacing w:after="0"/>
        <w:tabs>
          <w:tab w:leader="none" w:pos="800" w:val="left"/>
        </w:tabs>
        <w:numPr>
          <w:ilvl w:val="0"/>
          <w:numId w:val="23"/>
        </w:numPr>
        <w:rPr>
          <w:rFonts w:ascii="Times New Roman" w:cs="Times New Roman" w:eastAsia="Times New Roman" w:hAnsi="Times New Roman"/>
          <w:sz w:val="16"/>
          <w:szCs w:val="16"/>
          <w:color w:val="auto"/>
        </w:rPr>
      </w:pPr>
      <w:r>
        <w:rPr>
          <w:rFonts w:ascii="Arial" w:cs="Arial" w:eastAsia="Arial" w:hAnsi="Arial"/>
          <w:sz w:val="18"/>
          <w:szCs w:val="18"/>
          <w:color w:val="auto"/>
        </w:rPr>
        <w:t>President (since September 2015)</w:t>
      </w:r>
    </w:p>
    <w:p>
      <w:pPr>
        <w:spacing w:after="0" w:line="6" w:lineRule="exact"/>
        <w:rPr>
          <w:rFonts w:ascii="Times New Roman" w:cs="Times New Roman" w:eastAsia="Times New Roman" w:hAnsi="Times New Roman"/>
          <w:sz w:val="16"/>
          <w:szCs w:val="16"/>
          <w:color w:val="auto"/>
        </w:rPr>
      </w:pPr>
    </w:p>
    <w:p>
      <w:pPr>
        <w:ind w:left="800" w:hanging="147"/>
        <w:spacing w:after="0"/>
        <w:tabs>
          <w:tab w:leader="none" w:pos="800" w:val="left"/>
        </w:tabs>
        <w:numPr>
          <w:ilvl w:val="0"/>
          <w:numId w:val="23"/>
        </w:numPr>
        <w:rPr>
          <w:rFonts w:ascii="Times New Roman" w:cs="Times New Roman" w:eastAsia="Times New Roman" w:hAnsi="Times New Roman"/>
          <w:sz w:val="16"/>
          <w:szCs w:val="16"/>
          <w:color w:val="auto"/>
        </w:rPr>
      </w:pPr>
      <w:r>
        <w:rPr>
          <w:rFonts w:ascii="Arial" w:cs="Arial" w:eastAsia="Arial" w:hAnsi="Arial"/>
          <w:sz w:val="18"/>
          <w:szCs w:val="18"/>
          <w:color w:val="auto"/>
        </w:rPr>
        <w:t>Chief Operating Officer (September 2015 – October 2016)</w:t>
      </w:r>
    </w:p>
    <w:p>
      <w:pPr>
        <w:spacing w:after="0" w:line="6" w:lineRule="exact"/>
        <w:rPr>
          <w:rFonts w:ascii="Times New Roman" w:cs="Times New Roman" w:eastAsia="Times New Roman" w:hAnsi="Times New Roman"/>
          <w:sz w:val="16"/>
          <w:szCs w:val="16"/>
          <w:color w:val="auto"/>
        </w:rPr>
      </w:pPr>
    </w:p>
    <w:p>
      <w:pPr>
        <w:ind w:left="820" w:right="140" w:hanging="167"/>
        <w:spacing w:after="0" w:line="239" w:lineRule="auto"/>
        <w:tabs>
          <w:tab w:leader="none" w:pos="809" w:val="left"/>
        </w:tabs>
        <w:numPr>
          <w:ilvl w:val="0"/>
          <w:numId w:val="23"/>
        </w:numPr>
        <w:rPr>
          <w:rFonts w:ascii="Times New Roman" w:cs="Times New Roman" w:eastAsia="Times New Roman" w:hAnsi="Times New Roman"/>
          <w:sz w:val="16"/>
          <w:szCs w:val="16"/>
          <w:color w:val="auto"/>
        </w:rPr>
      </w:pPr>
      <w:r>
        <w:rPr>
          <w:rFonts w:ascii="Arial" w:cs="Arial" w:eastAsia="Arial" w:hAnsi="Arial"/>
          <w:sz w:val="18"/>
          <w:szCs w:val="18"/>
          <w:color w:val="auto"/>
        </w:rPr>
        <w:t>Group Vice President, International Business, Micro Irrigation Business and Distributor Development (June 2014 – September 2015)</w:t>
      </w:r>
    </w:p>
    <w:p>
      <w:pPr>
        <w:spacing w:after="0" w:line="1" w:lineRule="exact"/>
        <w:rPr>
          <w:rFonts w:ascii="Times New Roman" w:cs="Times New Roman" w:eastAsia="Times New Roman" w:hAnsi="Times New Roman"/>
          <w:sz w:val="16"/>
          <w:szCs w:val="16"/>
          <w:color w:val="auto"/>
        </w:rPr>
      </w:pPr>
    </w:p>
    <w:p>
      <w:pPr>
        <w:ind w:left="800" w:hanging="147"/>
        <w:spacing w:after="0"/>
        <w:tabs>
          <w:tab w:leader="none" w:pos="800" w:val="left"/>
        </w:tabs>
        <w:numPr>
          <w:ilvl w:val="0"/>
          <w:numId w:val="23"/>
        </w:numPr>
        <w:rPr>
          <w:rFonts w:ascii="Times New Roman" w:cs="Times New Roman" w:eastAsia="Times New Roman" w:hAnsi="Times New Roman"/>
          <w:sz w:val="16"/>
          <w:szCs w:val="16"/>
          <w:color w:val="auto"/>
        </w:rPr>
      </w:pPr>
      <w:r>
        <w:rPr>
          <w:rFonts w:ascii="Arial" w:cs="Arial" w:eastAsia="Arial" w:hAnsi="Arial"/>
          <w:sz w:val="18"/>
          <w:szCs w:val="18"/>
          <w:color w:val="auto"/>
        </w:rPr>
        <w:t>Vice President, International Business (March 2013 – June 2014)</w:t>
      </w:r>
    </w:p>
    <w:p>
      <w:pPr>
        <w:spacing w:after="0" w:line="6" w:lineRule="exact"/>
        <w:rPr>
          <w:rFonts w:ascii="Times New Roman" w:cs="Times New Roman" w:eastAsia="Times New Roman" w:hAnsi="Times New Roman"/>
          <w:sz w:val="16"/>
          <w:szCs w:val="16"/>
          <w:color w:val="auto"/>
        </w:rPr>
      </w:pPr>
    </w:p>
    <w:p>
      <w:pPr>
        <w:ind w:left="800" w:hanging="147"/>
        <w:spacing w:after="0"/>
        <w:tabs>
          <w:tab w:leader="none" w:pos="800" w:val="left"/>
        </w:tabs>
        <w:numPr>
          <w:ilvl w:val="0"/>
          <w:numId w:val="23"/>
        </w:numPr>
        <w:rPr>
          <w:rFonts w:ascii="Times New Roman" w:cs="Times New Roman" w:eastAsia="Times New Roman" w:hAnsi="Times New Roman"/>
          <w:sz w:val="16"/>
          <w:szCs w:val="16"/>
          <w:color w:val="auto"/>
        </w:rPr>
      </w:pPr>
      <w:r>
        <w:rPr>
          <w:rFonts w:ascii="Arial" w:cs="Arial" w:eastAsia="Arial" w:hAnsi="Arial"/>
          <w:sz w:val="18"/>
          <w:szCs w:val="18"/>
          <w:color w:val="auto"/>
        </w:rPr>
        <w:t>Vice President, Exmark (March 2012 – March 2013)</w:t>
      </w:r>
    </w:p>
    <w:p>
      <w:pPr>
        <w:spacing w:after="0" w:line="82" w:lineRule="exact"/>
        <w:rPr>
          <w:sz w:val="20"/>
          <w:szCs w:val="20"/>
          <w:color w:val="auto"/>
        </w:rPr>
      </w:pPr>
    </w:p>
    <w:p>
      <w:pPr>
        <w:ind w:left="680"/>
        <w:spacing w:after="0"/>
        <w:rPr>
          <w:sz w:val="20"/>
          <w:szCs w:val="20"/>
          <w:color w:val="auto"/>
        </w:rPr>
      </w:pPr>
      <w:r>
        <w:rPr>
          <w:rFonts w:ascii="Arial" w:cs="Arial" w:eastAsia="Arial" w:hAnsi="Arial"/>
          <w:sz w:val="18"/>
          <w:szCs w:val="18"/>
          <w:b w:val="1"/>
          <w:bCs w:val="1"/>
          <w:color w:val="C00000"/>
        </w:rPr>
        <w:t>Qualifications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403225</wp:posOffset>
            </wp:positionH>
            <wp:positionV relativeFrom="paragraph">
              <wp:posOffset>24765</wp:posOffset>
            </wp:positionV>
            <wp:extent cx="5523865"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552386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his more than 38 years with our Company, Mr. Olson has developed and brings to our Board rich</w:t>
      </w:r>
    </w:p>
    <w:p>
      <w:pPr>
        <w:spacing w:after="0" w:line="9" w:lineRule="exact"/>
        <w:rPr>
          <w:sz w:val="20"/>
          <w:szCs w:val="20"/>
          <w:color w:val="auto"/>
        </w:rPr>
      </w:pPr>
    </w:p>
    <w:p>
      <w:pPr>
        <w:ind w:left="660"/>
        <w:spacing w:after="0" w:line="224" w:lineRule="auto"/>
        <w:rPr>
          <w:sz w:val="20"/>
          <w:szCs w:val="20"/>
          <w:color w:val="auto"/>
        </w:rPr>
      </w:pPr>
      <w:r>
        <w:rPr>
          <w:rFonts w:ascii="Arial" w:cs="Arial" w:eastAsia="Arial" w:hAnsi="Arial"/>
          <w:sz w:val="18"/>
          <w:szCs w:val="18"/>
          <w:color w:val="auto"/>
        </w:rPr>
        <w:t>knowledge of the Company, including, in particular, our global businesses and operations, manufacturing processes, supply chain, distribution and channel development, and product development strategies. In</w:t>
      </w:r>
    </w:p>
    <w:p>
      <w:pPr>
        <w:ind w:left="660"/>
        <w:spacing w:after="0" w:line="232" w:lineRule="auto"/>
        <w:rPr>
          <w:sz w:val="20"/>
          <w:szCs w:val="20"/>
          <w:color w:val="auto"/>
        </w:rPr>
      </w:pPr>
      <w:r>
        <w:rPr>
          <w:rFonts w:ascii="Arial" w:cs="Arial" w:eastAsia="Arial" w:hAnsi="Arial"/>
          <w:sz w:val="18"/>
          <w:szCs w:val="18"/>
          <w:color w:val="auto"/>
        </w:rPr>
        <w:t>addition, the broad experience he has gained through his past leadership of various businesses and</w:t>
      </w:r>
    </w:p>
    <w:p>
      <w:pPr>
        <w:spacing w:after="0" w:line="1" w:lineRule="exact"/>
        <w:rPr>
          <w:sz w:val="20"/>
          <w:szCs w:val="20"/>
          <w:color w:val="auto"/>
        </w:rPr>
      </w:pPr>
    </w:p>
    <w:p>
      <w:pPr>
        <w:jc w:val="both"/>
        <w:ind w:left="660"/>
        <w:spacing w:after="0" w:line="224" w:lineRule="auto"/>
        <w:rPr>
          <w:sz w:val="20"/>
          <w:szCs w:val="20"/>
          <w:color w:val="auto"/>
        </w:rPr>
      </w:pPr>
      <w:r>
        <w:rPr>
          <w:rFonts w:ascii="Arial" w:cs="Arial" w:eastAsia="Arial" w:hAnsi="Arial"/>
          <w:sz w:val="18"/>
          <w:szCs w:val="18"/>
          <w:color w:val="auto"/>
        </w:rPr>
        <w:t>manufacturing operations provides him with a unique perspective regarding our growth initiatives and strategic direction. He contributes a deep commitment to quality, technological advancements, innovation,</w:t>
      </w:r>
    </w:p>
    <w:p>
      <w:pPr>
        <w:spacing w:after="0" w:line="1" w:lineRule="exact"/>
        <w:rPr>
          <w:sz w:val="20"/>
          <w:szCs w:val="20"/>
          <w:color w:val="auto"/>
        </w:rPr>
      </w:pPr>
    </w:p>
    <w:p>
      <w:pPr>
        <w:ind w:left="660"/>
        <w:spacing w:after="0"/>
        <w:rPr>
          <w:sz w:val="20"/>
          <w:szCs w:val="20"/>
          <w:color w:val="auto"/>
        </w:rPr>
      </w:pPr>
      <w:r>
        <w:rPr>
          <w:rFonts w:ascii="Arial" w:cs="Arial" w:eastAsia="Arial" w:hAnsi="Arial"/>
          <w:sz w:val="17"/>
          <w:szCs w:val="17"/>
          <w:color w:val="auto"/>
        </w:rPr>
        <w:t>sustainability, diversity, ethical values and business conduct, and focus on customer service. As a result of his</w:t>
      </w:r>
    </w:p>
    <w:p>
      <w:pPr>
        <w:spacing w:after="0" w:line="5" w:lineRule="exact"/>
        <w:rPr>
          <w:sz w:val="20"/>
          <w:szCs w:val="20"/>
          <w:color w:val="auto"/>
        </w:rPr>
      </w:pPr>
    </w:p>
    <w:p>
      <w:pPr>
        <w:ind w:left="660" w:right="20"/>
        <w:spacing w:after="0" w:line="234" w:lineRule="auto"/>
        <w:rPr>
          <w:sz w:val="20"/>
          <w:szCs w:val="20"/>
          <w:color w:val="auto"/>
        </w:rPr>
      </w:pPr>
      <w:r>
        <w:rPr>
          <w:rFonts w:ascii="Arial" w:cs="Arial" w:eastAsia="Arial" w:hAnsi="Arial"/>
          <w:sz w:val="18"/>
          <w:szCs w:val="18"/>
          <w:color w:val="auto"/>
        </w:rPr>
        <w:t>dual role as Chairman and CEO, Mr. Olson provides unique insight into our Company's future strategies, opportunities and challenges and serves as a unifying element between our Board and Management.</w:t>
      </w:r>
    </w:p>
    <w:p>
      <w:pPr>
        <w:spacing w:after="0" w:line="72"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BF2115"/>
        </w:rPr>
        <w:t>Other Public Company Boards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403225</wp:posOffset>
            </wp:positionH>
            <wp:positionV relativeFrom="paragraph">
              <wp:posOffset>33020</wp:posOffset>
            </wp:positionV>
            <wp:extent cx="5523865"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5523865" cy="8255"/>
                    </a:xfrm>
                    <a:prstGeom prst="rect">
                      <a:avLst/>
                    </a:prstGeom>
                    <a:noFill/>
                  </pic:spPr>
                </pic:pic>
              </a:graphicData>
            </a:graphic>
          </wp:anchor>
        </w:drawing>
      </w:r>
    </w:p>
    <w:p>
      <w:pPr>
        <w:spacing w:after="0" w:line="53" w:lineRule="exact"/>
        <w:rPr>
          <w:sz w:val="20"/>
          <w:szCs w:val="20"/>
          <w:color w:val="auto"/>
        </w:rPr>
      </w:pPr>
    </w:p>
    <w:p>
      <w:pPr>
        <w:ind w:left="2480"/>
        <w:spacing w:after="0"/>
        <w:tabs>
          <w:tab w:leader="none" w:pos="6620" w:val="left"/>
        </w:tabs>
        <w:rPr>
          <w:sz w:val="20"/>
          <w:szCs w:val="20"/>
          <w:color w:val="auto"/>
        </w:rPr>
      </w:pPr>
      <w:r>
        <w:rPr>
          <w:rFonts w:ascii="Arial" w:cs="Arial" w:eastAsia="Arial" w:hAnsi="Arial"/>
          <w:sz w:val="18"/>
          <w:szCs w:val="18"/>
          <w:b w:val="1"/>
          <w:bCs w:val="1"/>
          <w:color w:val="auto"/>
        </w:rPr>
        <w:t>Current</w:t>
      </w:r>
      <w:r>
        <w:rPr>
          <w:sz w:val="20"/>
          <w:szCs w:val="20"/>
          <w:color w:val="auto"/>
        </w:rPr>
        <w:tab/>
      </w:r>
      <w:r>
        <w:rPr>
          <w:rFonts w:ascii="Arial" w:cs="Arial" w:eastAsia="Arial" w:hAnsi="Arial"/>
          <w:sz w:val="18"/>
          <w:szCs w:val="18"/>
          <w:b w:val="1"/>
          <w:bCs w:val="1"/>
          <w:color w:val="auto"/>
        </w:rPr>
        <w:t>Past 5 Years</w:t>
      </w:r>
    </w:p>
    <w:p>
      <w:pPr>
        <w:spacing w:after="0" w:line="49" w:lineRule="exact"/>
        <w:rPr>
          <w:sz w:val="20"/>
          <w:szCs w:val="20"/>
          <w:color w:val="auto"/>
        </w:rPr>
      </w:pPr>
    </w:p>
    <w:p>
      <w:pPr>
        <w:ind w:left="1800"/>
        <w:spacing w:after="0"/>
        <w:tabs>
          <w:tab w:leader="none" w:pos="6920" w:val="left"/>
        </w:tabs>
        <w:rPr>
          <w:sz w:val="20"/>
          <w:szCs w:val="20"/>
          <w:color w:val="auto"/>
        </w:rPr>
      </w:pPr>
      <w:r>
        <w:rPr>
          <w:rFonts w:ascii="Arial" w:cs="Arial" w:eastAsia="Arial" w:hAnsi="Arial"/>
          <w:sz w:val="18"/>
          <w:szCs w:val="18"/>
          <w:color w:val="auto"/>
        </w:rPr>
        <w:t>Donaldson Company, Inc.</w:t>
      </w:r>
      <w:r>
        <w:rPr>
          <w:sz w:val="20"/>
          <w:szCs w:val="20"/>
          <w:color w:val="auto"/>
        </w:rPr>
        <w:tab/>
      </w:r>
      <w:r>
        <w:rPr>
          <w:rFonts w:ascii="Arial" w:cs="Arial" w:eastAsia="Arial" w:hAnsi="Arial"/>
          <w:sz w:val="18"/>
          <w:szCs w:val="18"/>
          <w:color w:val="auto"/>
        </w:rPr>
        <w:t>None</w:t>
      </w:r>
    </w:p>
    <w:p>
      <w:pPr>
        <w:spacing w:after="0" w:line="200" w:lineRule="exact"/>
        <w:rPr>
          <w:sz w:val="20"/>
          <w:szCs w:val="20"/>
          <w:color w:val="auto"/>
        </w:rPr>
      </w:pPr>
    </w:p>
    <w:p>
      <w:pPr>
        <w:sectPr>
          <w:pgSz w:w="11900" w:h="16838" w:orient="portrait"/>
          <w:cols w:equalWidth="0" w:num="2">
            <w:col w:w="1540" w:space="320"/>
            <w:col w:w="9320"/>
          </w:cols>
          <w:pgMar w:left="340" w:top="1188" w:right="37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ind w:right="-19"/>
        <w:spacing w:after="0"/>
        <w:rPr>
          <w:sz w:val="20"/>
          <w:szCs w:val="20"/>
          <w:color w:val="auto"/>
        </w:rPr>
      </w:pPr>
      <w:r>
        <w:rPr>
          <w:rFonts w:ascii="Arial" w:cs="Arial" w:eastAsia="Arial" w:hAnsi="Arial"/>
          <w:sz w:val="21"/>
          <w:szCs w:val="21"/>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-20320</wp:posOffset>
            </wp:positionH>
            <wp:positionV relativeFrom="paragraph">
              <wp:posOffset>79375</wp:posOffset>
            </wp:positionV>
            <wp:extent cx="7159625"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180"/>
          </w:cols>
          <w:pgMar w:left="340" w:top="1188" w:right="379" w:bottom="1440" w:gutter="0" w:footer="0" w:header="0"/>
          <w:type w:val="continuous"/>
        </w:sectPr>
      </w:pPr>
    </w:p>
    <w:bookmarkStart w:id="23" w:name="page24"/>
    <w:bookmarkEnd w:id="23"/>
    <w:p>
      <w:pPr>
        <w:jc w:val="center"/>
        <w:ind w:right="-19"/>
        <w:spacing w:after="0"/>
        <w:rPr>
          <w:sz w:val="20"/>
          <w:szCs w:val="20"/>
          <w:color w:val="auto"/>
        </w:rPr>
      </w:pPr>
      <w:r>
        <w:rPr>
          <w:rFonts w:ascii="Arial" w:cs="Arial" w:eastAsia="Arial" w:hAnsi="Arial"/>
          <w:sz w:val="17"/>
          <w:szCs w:val="17"/>
          <w:b w:val="1"/>
          <w:bCs w:val="1"/>
          <w:color w:val="C00000"/>
        </w:rPr>
        <w:t>Continuing Members of the Board — Current Term Ending at the 2027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201295</wp:posOffset>
            </wp:positionV>
            <wp:extent cx="1135380" cy="113538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1135380" cy="1135380"/>
                    </a:xfrm>
                    <a:prstGeom prst="rect">
                      <a:avLst/>
                    </a:prstGeom>
                    <a:noFill/>
                  </pic:spPr>
                </pic:pic>
              </a:graphicData>
            </a:graphic>
          </wp:anchor>
        </w:drawing>
      </w:r>
    </w:p>
    <w:p>
      <w:pPr>
        <w:sectPr>
          <w:pgSz w:w="11900" w:h="16838" w:orient="portrait"/>
          <w:cols w:equalWidth="0" w:num="1">
            <w:col w:w="11180"/>
          </w:cols>
          <w:pgMar w:left="340" w:top="1108" w:right="3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BF2115"/>
        </w:rPr>
        <w:t>Gary L. Ellis</w:t>
      </w:r>
    </w:p>
    <w:p>
      <w:pPr>
        <w:spacing w:after="0" w:line="49" w:lineRule="exact"/>
        <w:rPr>
          <w:sz w:val="20"/>
          <w:szCs w:val="20"/>
          <w:color w:val="auto"/>
        </w:rPr>
      </w:pPr>
    </w:p>
    <w:p>
      <w:pPr>
        <w:spacing w:after="0"/>
        <w:rPr>
          <w:sz w:val="20"/>
          <w:szCs w:val="20"/>
          <w:color w:val="auto"/>
        </w:rPr>
      </w:pPr>
      <w:r>
        <w:rPr>
          <w:rFonts w:ascii="Arial" w:cs="Arial" w:eastAsia="Arial" w:hAnsi="Arial"/>
          <w:sz w:val="18"/>
          <w:szCs w:val="18"/>
          <w:color w:val="auto"/>
        </w:rPr>
        <w:t>Age 68</w:t>
      </w:r>
    </w:p>
    <w:p>
      <w:pPr>
        <w:spacing w:after="0" w:line="33" w:lineRule="exact"/>
        <w:rPr>
          <w:sz w:val="20"/>
          <w:szCs w:val="20"/>
          <w:color w:val="auto"/>
        </w:rPr>
      </w:pPr>
    </w:p>
    <w:p>
      <w:pPr>
        <w:spacing w:after="0"/>
        <w:rPr>
          <w:sz w:val="20"/>
          <w:szCs w:val="20"/>
          <w:color w:val="auto"/>
        </w:rPr>
      </w:pPr>
      <w:r>
        <w:rPr>
          <w:rFonts w:ascii="Arial" w:cs="Arial" w:eastAsia="Arial" w:hAnsi="Arial"/>
          <w:sz w:val="18"/>
          <w:szCs w:val="18"/>
          <w:color w:val="auto"/>
        </w:rPr>
        <w:t>Director since 2006</w:t>
      </w:r>
    </w:p>
    <w:p>
      <w:pPr>
        <w:spacing w:after="0" w:line="47" w:lineRule="exact"/>
        <w:rPr>
          <w:sz w:val="20"/>
          <w:szCs w:val="20"/>
          <w:color w:val="auto"/>
        </w:rPr>
      </w:pPr>
    </w:p>
    <w:p>
      <w:pPr>
        <w:spacing w:after="0"/>
        <w:rPr>
          <w:sz w:val="20"/>
          <w:szCs w:val="20"/>
          <w:color w:val="auto"/>
        </w:rPr>
      </w:pPr>
      <w:r>
        <w:rPr>
          <w:rFonts w:ascii="Arial" w:cs="Arial" w:eastAsia="Arial" w:hAnsi="Arial"/>
          <w:sz w:val="17"/>
          <w:szCs w:val="17"/>
          <w:color w:val="auto"/>
        </w:rPr>
        <w:t>Lead Independent Director</w:t>
      </w:r>
    </w:p>
    <w:p>
      <w:pPr>
        <w:spacing w:after="0" w:line="54" w:lineRule="exact"/>
        <w:rPr>
          <w:sz w:val="20"/>
          <w:szCs w:val="20"/>
          <w:color w:val="auto"/>
        </w:rPr>
      </w:pPr>
    </w:p>
    <w:p>
      <w:pPr>
        <w:spacing w:after="0"/>
        <w:rPr>
          <w:sz w:val="20"/>
          <w:szCs w:val="20"/>
          <w:color w:val="auto"/>
        </w:rPr>
      </w:pPr>
      <w:r>
        <w:rPr>
          <w:rFonts w:ascii="Arial" w:cs="Arial" w:eastAsia="Arial" w:hAnsi="Arial"/>
          <w:sz w:val="18"/>
          <w:szCs w:val="18"/>
          <w:b w:val="1"/>
          <w:bCs w:val="1"/>
          <w:color w:val="BF2115"/>
        </w:rPr>
        <w:t>Committees</w:t>
      </w:r>
    </w:p>
    <w:p>
      <w:pPr>
        <w:ind w:left="160" w:hanging="156"/>
        <w:spacing w:after="0" w:line="232" w:lineRule="auto"/>
        <w:tabs>
          <w:tab w:leader="none" w:pos="1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Audit</w:t>
      </w:r>
    </w:p>
    <w:p>
      <w:pPr>
        <w:ind w:left="160" w:hanging="156"/>
        <w:spacing w:after="0"/>
        <w:tabs>
          <w:tab w:leader="none" w:pos="1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Finance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1326515</wp:posOffset>
            </wp:positionV>
            <wp:extent cx="1135380" cy="113538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1135380" cy="11353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spacing w:after="0"/>
        <w:rPr>
          <w:sz w:val="20"/>
          <w:szCs w:val="20"/>
          <w:color w:val="auto"/>
        </w:rPr>
      </w:pPr>
      <w:r>
        <w:rPr>
          <w:rFonts w:ascii="Arial" w:cs="Arial" w:eastAsia="Arial" w:hAnsi="Arial"/>
          <w:sz w:val="18"/>
          <w:szCs w:val="18"/>
          <w:b w:val="1"/>
          <w:bCs w:val="1"/>
          <w:color w:val="BF2115"/>
        </w:rPr>
        <w:t>Jill M. Pemberton</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Age 54</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Director since 2022</w:t>
      </w:r>
    </w:p>
    <w:p>
      <w:pPr>
        <w:spacing w:after="0" w:line="47" w:lineRule="exact"/>
        <w:rPr>
          <w:sz w:val="20"/>
          <w:szCs w:val="20"/>
          <w:color w:val="auto"/>
        </w:rPr>
      </w:pPr>
    </w:p>
    <w:p>
      <w:pPr>
        <w:spacing w:after="0"/>
        <w:rPr>
          <w:sz w:val="20"/>
          <w:szCs w:val="20"/>
          <w:color w:val="auto"/>
        </w:rPr>
      </w:pPr>
      <w:r>
        <w:rPr>
          <w:rFonts w:ascii="Arial" w:cs="Arial" w:eastAsia="Arial" w:hAnsi="Arial"/>
          <w:sz w:val="18"/>
          <w:szCs w:val="18"/>
          <w:color w:val="auto"/>
        </w:rPr>
        <w:t>Independent</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b w:val="1"/>
          <w:bCs w:val="1"/>
          <w:color w:val="BF2115"/>
        </w:rPr>
        <w:t>Committees</w:t>
      </w:r>
    </w:p>
    <w:p>
      <w:pPr>
        <w:spacing w:after="0" w:line="4" w:lineRule="exact"/>
        <w:rPr>
          <w:sz w:val="20"/>
          <w:szCs w:val="20"/>
          <w:color w:val="auto"/>
        </w:rPr>
      </w:pPr>
    </w:p>
    <w:p>
      <w:pPr>
        <w:ind w:left="160" w:hanging="156"/>
        <w:spacing w:after="0"/>
        <w:tabs>
          <w:tab w:leader="none" w:pos="1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Audit (Chair)</w:t>
      </w:r>
    </w:p>
    <w:p>
      <w:pPr>
        <w:ind w:left="160" w:hanging="156"/>
        <w:spacing w:after="0"/>
        <w:tabs>
          <w:tab w:leader="none" w:pos="1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Finance</w:t>
      </w:r>
    </w:p>
    <w:p>
      <w:pPr>
        <w:spacing w:after="0" w:line="20" w:lineRule="exact"/>
        <w:rPr>
          <w:sz w:val="20"/>
          <w:szCs w:val="20"/>
          <w:color w:val="auto"/>
        </w:rPr>
      </w:pPr>
      <w:r>
        <w:rPr>
          <w:sz w:val="20"/>
          <w:szCs w:val="20"/>
          <w:color w:val="auto"/>
        </w:rPr>
        <w:br w:type="column"/>
      </w:r>
    </w:p>
    <w:p>
      <w:pPr>
        <w:spacing w:after="0" w:line="305" w:lineRule="exact"/>
        <w:rPr>
          <w:sz w:val="20"/>
          <w:szCs w:val="20"/>
          <w:color w:val="auto"/>
        </w:rPr>
      </w:pPr>
    </w:p>
    <w:p>
      <w:pPr>
        <w:ind w:left="7"/>
        <w:spacing w:after="0"/>
        <w:rPr>
          <w:sz w:val="20"/>
          <w:szCs w:val="20"/>
          <w:color w:val="auto"/>
        </w:rPr>
      </w:pPr>
      <w:r>
        <w:rPr>
          <w:rFonts w:ascii="Arial" w:cs="Arial" w:eastAsia="Arial" w:hAnsi="Arial"/>
          <w:sz w:val="18"/>
          <w:szCs w:val="18"/>
          <w:b w:val="1"/>
          <w:bCs w:val="1"/>
          <w:color w:val="BF2115"/>
        </w:rPr>
        <w:t>Background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15875</wp:posOffset>
            </wp:positionV>
            <wp:extent cx="5523865"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5523865" cy="8255"/>
                    </a:xfrm>
                    <a:prstGeom prst="rect">
                      <a:avLst/>
                    </a:prstGeom>
                    <a:noFill/>
                  </pic:spPr>
                </pic:pic>
              </a:graphicData>
            </a:graphic>
          </wp:anchor>
        </w:drawing>
      </w:r>
    </w:p>
    <w:p>
      <w:pPr>
        <w:spacing w:after="0" w:line="82" w:lineRule="exact"/>
        <w:rPr>
          <w:sz w:val="20"/>
          <w:szCs w:val="20"/>
          <w:color w:val="auto"/>
        </w:rPr>
      </w:pPr>
    </w:p>
    <w:p>
      <w:pPr>
        <w:ind w:left="7" w:right="260"/>
        <w:spacing w:after="0" w:line="249" w:lineRule="auto"/>
        <w:rPr>
          <w:sz w:val="20"/>
          <w:szCs w:val="20"/>
          <w:color w:val="auto"/>
        </w:rPr>
      </w:pPr>
      <w:r>
        <w:rPr>
          <w:rFonts w:ascii="Arial" w:cs="Arial" w:eastAsia="Arial" w:hAnsi="Arial"/>
          <w:sz w:val="18"/>
          <w:szCs w:val="18"/>
          <w:color w:val="auto"/>
        </w:rPr>
        <w:t>Gary L. Ellis retired from Medtronic plc, Dublin, Ireland (a global medical technology company). He held the following positions, all at Medtronic:</w:t>
      </w:r>
    </w:p>
    <w:p>
      <w:pPr>
        <w:ind w:left="167" w:right="360" w:hanging="167"/>
        <w:spacing w:after="0" w:line="239" w:lineRule="auto"/>
        <w:tabs>
          <w:tab w:leader="none" w:pos="156" w:val="left"/>
        </w:tabs>
        <w:numPr>
          <w:ilvl w:val="0"/>
          <w:numId w:val="26"/>
        </w:numPr>
        <w:rPr>
          <w:rFonts w:ascii="Times New Roman" w:cs="Times New Roman" w:eastAsia="Times New Roman" w:hAnsi="Times New Roman"/>
          <w:sz w:val="16"/>
          <w:szCs w:val="16"/>
          <w:color w:val="auto"/>
        </w:rPr>
      </w:pPr>
      <w:r>
        <w:rPr>
          <w:rFonts w:ascii="Arial" w:cs="Arial" w:eastAsia="Arial" w:hAnsi="Arial"/>
          <w:sz w:val="18"/>
          <w:szCs w:val="18"/>
          <w:color w:val="auto"/>
        </w:rPr>
        <w:t>Executive Vice President, Global Operations, Information Technology and Facilities &amp; Real Estate (June 2016 – December 2016)</w:t>
      </w:r>
    </w:p>
    <w:p>
      <w:pPr>
        <w:spacing w:after="0" w:line="1" w:lineRule="exact"/>
        <w:rPr>
          <w:rFonts w:ascii="Times New Roman" w:cs="Times New Roman" w:eastAsia="Times New Roman" w:hAnsi="Times New Roman"/>
          <w:sz w:val="16"/>
          <w:szCs w:val="16"/>
          <w:color w:val="auto"/>
        </w:rPr>
      </w:pPr>
    </w:p>
    <w:p>
      <w:pPr>
        <w:ind w:left="147" w:hanging="147"/>
        <w:spacing w:after="0"/>
        <w:tabs>
          <w:tab w:leader="none" w:pos="147" w:val="left"/>
        </w:tabs>
        <w:numPr>
          <w:ilvl w:val="0"/>
          <w:numId w:val="26"/>
        </w:numPr>
        <w:rPr>
          <w:rFonts w:ascii="Times New Roman" w:cs="Times New Roman" w:eastAsia="Times New Roman" w:hAnsi="Times New Roman"/>
          <w:sz w:val="16"/>
          <w:szCs w:val="16"/>
          <w:color w:val="auto"/>
        </w:rPr>
      </w:pPr>
      <w:r>
        <w:rPr>
          <w:rFonts w:ascii="Arial" w:cs="Arial" w:eastAsia="Arial" w:hAnsi="Arial"/>
          <w:sz w:val="18"/>
          <w:szCs w:val="18"/>
          <w:color w:val="auto"/>
        </w:rPr>
        <w:t>Executive Vice President and Chief Financial Officer (April 2014 – June 2016)</w:t>
      </w:r>
    </w:p>
    <w:p>
      <w:pPr>
        <w:spacing w:after="0" w:line="6" w:lineRule="exact"/>
        <w:rPr>
          <w:rFonts w:ascii="Times New Roman" w:cs="Times New Roman" w:eastAsia="Times New Roman" w:hAnsi="Times New Roman"/>
          <w:sz w:val="16"/>
          <w:szCs w:val="16"/>
          <w:color w:val="auto"/>
        </w:rPr>
      </w:pPr>
    </w:p>
    <w:p>
      <w:pPr>
        <w:ind w:left="147" w:hanging="147"/>
        <w:spacing w:after="0"/>
        <w:tabs>
          <w:tab w:leader="none" w:pos="147" w:val="left"/>
        </w:tabs>
        <w:numPr>
          <w:ilvl w:val="0"/>
          <w:numId w:val="26"/>
        </w:numPr>
        <w:rPr>
          <w:rFonts w:ascii="Times New Roman" w:cs="Times New Roman" w:eastAsia="Times New Roman" w:hAnsi="Times New Roman"/>
          <w:sz w:val="16"/>
          <w:szCs w:val="16"/>
          <w:color w:val="auto"/>
        </w:rPr>
      </w:pPr>
      <w:r>
        <w:rPr>
          <w:rFonts w:ascii="Arial" w:cs="Arial" w:eastAsia="Arial" w:hAnsi="Arial"/>
          <w:sz w:val="18"/>
          <w:szCs w:val="18"/>
          <w:color w:val="auto"/>
        </w:rPr>
        <w:t>Senior Vice President and Chief Financial Officer (May 2005 – April 2014)</w:t>
      </w:r>
    </w:p>
    <w:p>
      <w:pPr>
        <w:spacing w:after="0" w:line="6" w:lineRule="exact"/>
        <w:rPr>
          <w:rFonts w:ascii="Times New Roman" w:cs="Times New Roman" w:eastAsia="Times New Roman" w:hAnsi="Times New Roman"/>
          <w:sz w:val="16"/>
          <w:szCs w:val="16"/>
          <w:color w:val="auto"/>
        </w:rPr>
      </w:pPr>
    </w:p>
    <w:p>
      <w:pPr>
        <w:ind w:left="147" w:hanging="147"/>
        <w:spacing w:after="0"/>
        <w:tabs>
          <w:tab w:leader="none" w:pos="147" w:val="left"/>
        </w:tabs>
        <w:numPr>
          <w:ilvl w:val="0"/>
          <w:numId w:val="26"/>
        </w:numPr>
        <w:rPr>
          <w:rFonts w:ascii="Times New Roman" w:cs="Times New Roman" w:eastAsia="Times New Roman" w:hAnsi="Times New Roman"/>
          <w:sz w:val="16"/>
          <w:szCs w:val="16"/>
          <w:color w:val="auto"/>
        </w:rPr>
      </w:pPr>
      <w:r>
        <w:rPr>
          <w:rFonts w:ascii="Arial" w:cs="Arial" w:eastAsia="Arial" w:hAnsi="Arial"/>
          <w:sz w:val="18"/>
          <w:szCs w:val="18"/>
          <w:color w:val="auto"/>
        </w:rPr>
        <w:t>Vice President, Corporate Controller and Treasurer (October 1999 – May 2005)</w:t>
      </w:r>
    </w:p>
    <w:p>
      <w:pPr>
        <w:spacing w:after="0" w:line="82" w:lineRule="exact"/>
        <w:rPr>
          <w:sz w:val="20"/>
          <w:szCs w:val="20"/>
          <w:color w:val="auto"/>
        </w:rPr>
      </w:pPr>
    </w:p>
    <w:p>
      <w:pPr>
        <w:ind w:left="7"/>
        <w:spacing w:after="0"/>
        <w:rPr>
          <w:sz w:val="20"/>
          <w:szCs w:val="20"/>
          <w:color w:val="auto"/>
        </w:rPr>
      </w:pPr>
      <w:r>
        <w:rPr>
          <w:rFonts w:ascii="Arial" w:cs="Arial" w:eastAsia="Arial" w:hAnsi="Arial"/>
          <w:sz w:val="18"/>
          <w:szCs w:val="18"/>
          <w:b w:val="1"/>
          <w:bCs w:val="1"/>
          <w:color w:val="C00000"/>
        </w:rPr>
        <w:t>Qualifications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24765</wp:posOffset>
            </wp:positionV>
            <wp:extent cx="5523865"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5523865" cy="8255"/>
                    </a:xfrm>
                    <a:prstGeom prst="rect">
                      <a:avLst/>
                    </a:prstGeom>
                    <a:noFill/>
                  </pic:spPr>
                </pic:pic>
              </a:graphicData>
            </a:graphic>
          </wp:anchor>
        </w:drawing>
      </w:r>
    </w:p>
    <w:p>
      <w:pPr>
        <w:spacing w:after="0" w:line="200" w:lineRule="exact"/>
        <w:rPr>
          <w:sz w:val="20"/>
          <w:szCs w:val="20"/>
          <w:color w:val="auto"/>
        </w:rPr>
      </w:pPr>
    </w:p>
    <w:p>
      <w:pPr>
        <w:spacing w:after="0" w:line="229" w:lineRule="exact"/>
        <w:rPr>
          <w:sz w:val="20"/>
          <w:szCs w:val="20"/>
          <w:color w:val="auto"/>
        </w:rPr>
      </w:pPr>
    </w:p>
    <w:p>
      <w:pPr>
        <w:ind w:left="7"/>
        <w:spacing w:after="0" w:line="241" w:lineRule="auto"/>
        <w:rPr>
          <w:sz w:val="20"/>
          <w:szCs w:val="20"/>
          <w:color w:val="auto"/>
        </w:rPr>
      </w:pPr>
      <w:r>
        <w:rPr>
          <w:rFonts w:ascii="Arial" w:cs="Arial" w:eastAsia="Arial" w:hAnsi="Arial"/>
          <w:sz w:val="18"/>
          <w:szCs w:val="18"/>
          <w:color w:val="auto"/>
        </w:rPr>
        <w:t>Mr. Ellis brings extensive financial leadership experience to provide oversight regarding capital structure, financial condition and policies, long-range financial objectives, tax strategies, financing requirements and</w:t>
      </w:r>
    </w:p>
    <w:p>
      <w:pPr>
        <w:spacing w:after="0" w:line="1" w:lineRule="exact"/>
        <w:rPr>
          <w:sz w:val="20"/>
          <w:szCs w:val="20"/>
          <w:color w:val="auto"/>
        </w:rPr>
      </w:pPr>
    </w:p>
    <w:p>
      <w:pPr>
        <w:ind w:left="7"/>
        <w:spacing w:after="0" w:line="224" w:lineRule="auto"/>
        <w:rPr>
          <w:sz w:val="20"/>
          <w:szCs w:val="20"/>
          <w:color w:val="auto"/>
        </w:rPr>
      </w:pPr>
      <w:r>
        <w:rPr>
          <w:rFonts w:ascii="Arial" w:cs="Arial" w:eastAsia="Arial" w:hAnsi="Arial"/>
          <w:sz w:val="18"/>
          <w:szCs w:val="18"/>
          <w:color w:val="auto"/>
        </w:rPr>
        <w:t>arrangements, capital budgets and expenditures, risk-management, insurance coverage and strategic planning matters. As our lead independent director he provides balanced, collaborative and challenging</w:t>
      </w:r>
    </w:p>
    <w:p>
      <w:pPr>
        <w:ind w:left="7"/>
        <w:spacing w:after="0" w:line="232" w:lineRule="auto"/>
        <w:rPr>
          <w:sz w:val="20"/>
          <w:szCs w:val="20"/>
          <w:color w:val="auto"/>
        </w:rPr>
      </w:pPr>
      <w:r>
        <w:rPr>
          <w:rFonts w:ascii="Arial" w:cs="Arial" w:eastAsia="Arial" w:hAnsi="Arial"/>
          <w:sz w:val="18"/>
          <w:szCs w:val="18"/>
          <w:color w:val="auto"/>
        </w:rPr>
        <w:t>support to both the Board and our Chairman and CEO. Mr. Ellis contributes enhanced knowledge of public</w:t>
      </w:r>
    </w:p>
    <w:p>
      <w:pPr>
        <w:spacing w:after="0" w:line="1" w:lineRule="exact"/>
        <w:rPr>
          <w:sz w:val="20"/>
          <w:szCs w:val="20"/>
          <w:color w:val="auto"/>
        </w:rPr>
      </w:pPr>
    </w:p>
    <w:p>
      <w:pPr>
        <w:ind w:left="7" w:right="20"/>
        <w:spacing w:after="0" w:line="224" w:lineRule="auto"/>
        <w:rPr>
          <w:sz w:val="20"/>
          <w:szCs w:val="20"/>
          <w:color w:val="auto"/>
        </w:rPr>
      </w:pPr>
      <w:r>
        <w:rPr>
          <w:rFonts w:ascii="Arial" w:cs="Arial" w:eastAsia="Arial" w:hAnsi="Arial"/>
          <w:sz w:val="18"/>
          <w:szCs w:val="18"/>
          <w:color w:val="auto"/>
        </w:rPr>
        <w:t>company requirements and issues. Additionally, Mr. Ellis contributes his experience managing worldwide financial operations and analyzing financial implications of merger and acquisition transactions, as well as</w:t>
      </w:r>
    </w:p>
    <w:p>
      <w:pPr>
        <w:spacing w:after="0" w:line="1" w:lineRule="exact"/>
        <w:rPr>
          <w:sz w:val="20"/>
          <w:szCs w:val="20"/>
          <w:color w:val="auto"/>
        </w:rPr>
      </w:pPr>
    </w:p>
    <w:p>
      <w:pPr>
        <w:ind w:left="7"/>
        <w:spacing w:after="0"/>
        <w:rPr>
          <w:sz w:val="20"/>
          <w:szCs w:val="20"/>
          <w:color w:val="auto"/>
        </w:rPr>
      </w:pPr>
      <w:r>
        <w:rPr>
          <w:rFonts w:ascii="Arial" w:cs="Arial" w:eastAsia="Arial" w:hAnsi="Arial"/>
          <w:sz w:val="18"/>
          <w:szCs w:val="18"/>
          <w:color w:val="auto"/>
        </w:rPr>
        <w:t>aligning business strategies and financial decisions.</w:t>
      </w:r>
    </w:p>
    <w:p>
      <w:pPr>
        <w:spacing w:after="0" w:line="82" w:lineRule="exact"/>
        <w:rPr>
          <w:sz w:val="20"/>
          <w:szCs w:val="20"/>
          <w:color w:val="auto"/>
        </w:rPr>
      </w:pPr>
    </w:p>
    <w:p>
      <w:pPr>
        <w:ind w:left="7"/>
        <w:spacing w:after="0"/>
        <w:rPr>
          <w:sz w:val="20"/>
          <w:szCs w:val="20"/>
          <w:color w:val="auto"/>
        </w:rPr>
      </w:pPr>
      <w:r>
        <w:rPr>
          <w:rFonts w:ascii="Arial" w:cs="Arial" w:eastAsia="Arial" w:hAnsi="Arial"/>
          <w:sz w:val="18"/>
          <w:szCs w:val="18"/>
          <w:b w:val="1"/>
          <w:bCs w:val="1"/>
          <w:color w:val="BF2115"/>
        </w:rPr>
        <w:t>Other Public Company Boards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24765</wp:posOffset>
            </wp:positionV>
            <wp:extent cx="5523865"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5523865" cy="8255"/>
                    </a:xfrm>
                    <a:prstGeom prst="rect">
                      <a:avLst/>
                    </a:prstGeom>
                    <a:noFill/>
                  </pic:spPr>
                </pic:pic>
              </a:graphicData>
            </a:graphic>
          </wp:anchor>
        </w:drawing>
      </w:r>
    </w:p>
    <w:p>
      <w:pPr>
        <w:spacing w:after="0" w:line="40" w:lineRule="exact"/>
        <w:rPr>
          <w:sz w:val="20"/>
          <w:szCs w:val="20"/>
          <w:color w:val="auto"/>
        </w:rPr>
      </w:pPr>
    </w:p>
    <w:p>
      <w:pPr>
        <w:ind w:left="1827"/>
        <w:spacing w:after="0"/>
        <w:tabs>
          <w:tab w:leader="none" w:pos="5967" w:val="left"/>
        </w:tabs>
        <w:rPr>
          <w:sz w:val="20"/>
          <w:szCs w:val="20"/>
          <w:color w:val="auto"/>
        </w:rPr>
      </w:pPr>
      <w:r>
        <w:rPr>
          <w:rFonts w:ascii="Arial" w:cs="Arial" w:eastAsia="Arial" w:hAnsi="Arial"/>
          <w:sz w:val="18"/>
          <w:szCs w:val="18"/>
          <w:b w:val="1"/>
          <w:bCs w:val="1"/>
          <w:color w:val="auto"/>
        </w:rPr>
        <w:t>Current</w:t>
      </w:r>
      <w:r>
        <w:rPr>
          <w:sz w:val="20"/>
          <w:szCs w:val="20"/>
          <w:color w:val="auto"/>
        </w:rPr>
        <w:tab/>
      </w:r>
      <w:r>
        <w:rPr>
          <w:rFonts w:ascii="Arial" w:cs="Arial" w:eastAsia="Arial" w:hAnsi="Arial"/>
          <w:sz w:val="18"/>
          <w:szCs w:val="18"/>
          <w:b w:val="1"/>
          <w:bCs w:val="1"/>
          <w:color w:val="auto"/>
        </w:rPr>
        <w:t>Past 5 Years</w:t>
      </w:r>
    </w:p>
    <w:p>
      <w:pPr>
        <w:spacing w:after="0" w:line="49" w:lineRule="exact"/>
        <w:rPr>
          <w:sz w:val="20"/>
          <w:szCs w:val="20"/>
          <w:color w:val="auto"/>
        </w:rPr>
      </w:pPr>
    </w:p>
    <w:p>
      <w:pPr>
        <w:ind w:left="1007"/>
        <w:spacing w:after="0"/>
        <w:tabs>
          <w:tab w:leader="none" w:pos="5587" w:val="left"/>
        </w:tabs>
        <w:rPr>
          <w:sz w:val="20"/>
          <w:szCs w:val="20"/>
          <w:color w:val="auto"/>
        </w:rPr>
      </w:pPr>
      <w:r>
        <w:rPr>
          <w:rFonts w:ascii="Arial" w:cs="Arial" w:eastAsia="Arial" w:hAnsi="Arial"/>
          <w:sz w:val="18"/>
          <w:szCs w:val="18"/>
          <w:color w:val="auto"/>
        </w:rPr>
        <w:t>Inspire Medical Systems, Inc.</w:t>
      </w:r>
      <w:r>
        <w:rPr>
          <w:sz w:val="20"/>
          <w:szCs w:val="20"/>
          <w:color w:val="auto"/>
        </w:rPr>
        <w:tab/>
      </w:r>
      <w:r>
        <w:rPr>
          <w:rFonts w:ascii="Arial" w:cs="Arial" w:eastAsia="Arial" w:hAnsi="Arial"/>
          <w:sz w:val="17"/>
          <w:szCs w:val="17"/>
          <w:color w:val="auto"/>
        </w:rPr>
        <w:t>Hill-Rom Holdings, Inc.</w:t>
      </w: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7"/>
        <w:spacing w:after="0"/>
        <w:rPr>
          <w:sz w:val="20"/>
          <w:szCs w:val="20"/>
          <w:color w:val="auto"/>
        </w:rPr>
      </w:pPr>
      <w:r>
        <w:rPr>
          <w:rFonts w:ascii="Arial" w:cs="Arial" w:eastAsia="Arial" w:hAnsi="Arial"/>
          <w:sz w:val="18"/>
          <w:szCs w:val="18"/>
          <w:b w:val="1"/>
          <w:bCs w:val="1"/>
          <w:color w:val="BF2115"/>
        </w:rPr>
        <w:t>Background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15875</wp:posOffset>
            </wp:positionV>
            <wp:extent cx="5523865"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5523865" cy="8255"/>
                    </a:xfrm>
                    <a:prstGeom prst="rect">
                      <a:avLst/>
                    </a:prstGeom>
                    <a:noFill/>
                  </pic:spPr>
                </pic:pic>
              </a:graphicData>
            </a:graphic>
          </wp:anchor>
        </w:drawing>
      </w:r>
    </w:p>
    <w:p>
      <w:pPr>
        <w:spacing w:after="0" w:line="215" w:lineRule="exact"/>
        <w:rPr>
          <w:sz w:val="20"/>
          <w:szCs w:val="20"/>
          <w:color w:val="auto"/>
        </w:rPr>
      </w:pPr>
    </w:p>
    <w:p>
      <w:pPr>
        <w:ind w:left="7"/>
        <w:spacing w:after="0"/>
        <w:rPr>
          <w:sz w:val="20"/>
          <w:szCs w:val="20"/>
          <w:color w:val="auto"/>
        </w:rPr>
      </w:pPr>
      <w:r>
        <w:rPr>
          <w:rFonts w:ascii="Arial" w:cs="Arial" w:eastAsia="Arial" w:hAnsi="Arial"/>
          <w:sz w:val="18"/>
          <w:szCs w:val="18"/>
          <w:color w:val="auto"/>
        </w:rPr>
        <w:t>Jill M. Pemberton is the Chief Financial Officer, North America of LVMH Moët Hennessy Louis Vuitton, Paris,</w:t>
      </w:r>
    </w:p>
    <w:p>
      <w:pPr>
        <w:spacing w:after="0" w:line="9" w:lineRule="exact"/>
        <w:rPr>
          <w:sz w:val="20"/>
          <w:szCs w:val="20"/>
          <w:color w:val="auto"/>
        </w:rPr>
      </w:pPr>
    </w:p>
    <w:p>
      <w:pPr>
        <w:ind w:left="7" w:right="220"/>
        <w:spacing w:after="0" w:line="224" w:lineRule="auto"/>
        <w:rPr>
          <w:sz w:val="20"/>
          <w:szCs w:val="20"/>
          <w:color w:val="auto"/>
        </w:rPr>
      </w:pPr>
      <w:r>
        <w:rPr>
          <w:rFonts w:ascii="Arial" w:cs="Arial" w:eastAsia="Arial" w:hAnsi="Arial"/>
          <w:sz w:val="18"/>
          <w:szCs w:val="18"/>
          <w:color w:val="auto"/>
        </w:rPr>
        <w:t>France (a global luxury product company), a position she has held since July 2020. Prior to her current role, she held the following positions:</w:t>
      </w:r>
    </w:p>
    <w:p>
      <w:pPr>
        <w:spacing w:after="0" w:line="1" w:lineRule="exact"/>
        <w:rPr>
          <w:sz w:val="20"/>
          <w:szCs w:val="20"/>
          <w:color w:val="auto"/>
        </w:rPr>
      </w:pPr>
    </w:p>
    <w:p>
      <w:pPr>
        <w:ind w:left="247" w:right="280" w:hanging="247"/>
        <w:spacing w:after="0" w:line="224" w:lineRule="auto"/>
        <w:tabs>
          <w:tab w:leader="none" w:pos="243" w:val="left"/>
        </w:tabs>
        <w:numPr>
          <w:ilvl w:val="0"/>
          <w:numId w:val="27"/>
        </w:numPr>
        <w:rPr>
          <w:rFonts w:ascii="Arial" w:cs="Arial" w:eastAsia="Arial" w:hAnsi="Arial"/>
          <w:sz w:val="18"/>
          <w:szCs w:val="18"/>
          <w:color w:val="auto"/>
        </w:rPr>
      </w:pPr>
      <w:r>
        <w:rPr>
          <w:rFonts w:ascii="Arial" w:cs="Arial" w:eastAsia="Arial" w:hAnsi="Arial"/>
          <w:sz w:val="18"/>
          <w:szCs w:val="18"/>
          <w:color w:val="auto"/>
        </w:rPr>
        <w:t>Senior Vice President, Corporate Financial Planning &amp; Analysis, Viacom Inc. (now known as Paramount Global, a leading global media company) (July 2019 – January 2020)</w:t>
      </w:r>
    </w:p>
    <w:p>
      <w:pPr>
        <w:ind w:left="247" w:right="340" w:hanging="247"/>
        <w:spacing w:after="0" w:line="245" w:lineRule="auto"/>
        <w:tabs>
          <w:tab w:leader="none" w:pos="243" w:val="left"/>
        </w:tabs>
        <w:numPr>
          <w:ilvl w:val="0"/>
          <w:numId w:val="27"/>
        </w:numPr>
        <w:rPr>
          <w:rFonts w:ascii="Arial" w:cs="Arial" w:eastAsia="Arial" w:hAnsi="Arial"/>
          <w:sz w:val="17"/>
          <w:szCs w:val="17"/>
          <w:color w:val="auto"/>
        </w:rPr>
      </w:pPr>
      <w:r>
        <w:rPr>
          <w:rFonts w:ascii="Arial" w:cs="Arial" w:eastAsia="Arial" w:hAnsi="Arial"/>
          <w:sz w:val="17"/>
          <w:szCs w:val="17"/>
          <w:color w:val="auto"/>
        </w:rPr>
        <w:t>Vice President, Finance, Source COE, Supply Chain (February 2017 – June 2019); Vice President, Finance, Global Franchise Organization, Consumer (March 2014 – February 2017; and Vice President,</w:t>
      </w:r>
    </w:p>
    <w:p>
      <w:pPr>
        <w:jc w:val="center"/>
        <w:ind w:right="353"/>
        <w:spacing w:after="0" w:line="217" w:lineRule="auto"/>
        <w:rPr>
          <w:sz w:val="20"/>
          <w:szCs w:val="20"/>
          <w:color w:val="auto"/>
        </w:rPr>
      </w:pPr>
      <w:r>
        <w:rPr>
          <w:rFonts w:ascii="Arial" w:cs="Arial" w:eastAsia="Arial" w:hAnsi="Arial"/>
          <w:sz w:val="18"/>
          <w:szCs w:val="18"/>
          <w:color w:val="auto"/>
        </w:rPr>
        <w:t>Finance (September 2013 – March 2014), all at Johnson &amp; Johnson (a global health care company)</w:t>
      </w:r>
    </w:p>
    <w:p>
      <w:pPr>
        <w:spacing w:after="0" w:line="1" w:lineRule="exact"/>
        <w:rPr>
          <w:sz w:val="20"/>
          <w:szCs w:val="20"/>
          <w:color w:val="auto"/>
        </w:rPr>
      </w:pPr>
    </w:p>
    <w:p>
      <w:pPr>
        <w:ind w:left="7" w:right="360"/>
        <w:spacing w:after="0" w:line="238" w:lineRule="auto"/>
        <w:rPr>
          <w:sz w:val="20"/>
          <w:szCs w:val="20"/>
          <w:color w:val="auto"/>
        </w:rPr>
      </w:pPr>
      <w:r>
        <w:rPr>
          <w:rFonts w:ascii="Arial" w:cs="Arial" w:eastAsia="Arial" w:hAnsi="Arial"/>
          <w:sz w:val="18"/>
          <w:szCs w:val="18"/>
          <w:color w:val="auto"/>
        </w:rPr>
        <w:t>Prior to these roles, Ms. Pemberton served in various finance roles of increasing responsibility at the Kraft Heinz Company, Delta Air Lines, Inc. and ZF Group Inc. She holds a Directorship Certification from the National Association of Corporate Directors.</w:t>
      </w:r>
    </w:p>
    <w:p>
      <w:pPr>
        <w:spacing w:after="0" w:line="60" w:lineRule="exact"/>
        <w:rPr>
          <w:sz w:val="20"/>
          <w:szCs w:val="20"/>
          <w:color w:val="auto"/>
        </w:rPr>
      </w:pPr>
    </w:p>
    <w:p>
      <w:pPr>
        <w:ind w:left="27"/>
        <w:spacing w:after="0"/>
        <w:rPr>
          <w:sz w:val="20"/>
          <w:szCs w:val="20"/>
          <w:color w:val="auto"/>
        </w:rPr>
      </w:pPr>
      <w:r>
        <w:rPr>
          <w:rFonts w:ascii="Arial" w:cs="Arial" w:eastAsia="Arial" w:hAnsi="Arial"/>
          <w:sz w:val="18"/>
          <w:szCs w:val="18"/>
          <w:b w:val="1"/>
          <w:bCs w:val="1"/>
          <w:color w:val="C00000"/>
        </w:rPr>
        <w:t>Qualifications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33020</wp:posOffset>
            </wp:positionV>
            <wp:extent cx="5523865"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5523865" cy="8255"/>
                    </a:xfrm>
                    <a:prstGeom prst="rect">
                      <a:avLst/>
                    </a:prstGeom>
                    <a:noFill/>
                  </pic:spPr>
                </pic:pic>
              </a:graphicData>
            </a:graphic>
          </wp:anchor>
        </w:drawing>
      </w:r>
    </w:p>
    <w:p>
      <w:pPr>
        <w:spacing w:after="0" w:line="200" w:lineRule="exact"/>
        <w:rPr>
          <w:sz w:val="20"/>
          <w:szCs w:val="20"/>
          <w:color w:val="auto"/>
        </w:rPr>
      </w:pPr>
    </w:p>
    <w:p>
      <w:pPr>
        <w:spacing w:after="0" w:line="242" w:lineRule="exact"/>
        <w:rPr>
          <w:sz w:val="20"/>
          <w:szCs w:val="20"/>
          <w:color w:val="auto"/>
        </w:rPr>
      </w:pPr>
    </w:p>
    <w:p>
      <w:pPr>
        <w:ind w:left="7"/>
        <w:spacing w:after="0"/>
        <w:rPr>
          <w:sz w:val="20"/>
          <w:szCs w:val="20"/>
          <w:color w:val="auto"/>
        </w:rPr>
      </w:pPr>
      <w:r>
        <w:rPr>
          <w:rFonts w:ascii="Arial" w:cs="Arial" w:eastAsia="Arial" w:hAnsi="Arial"/>
          <w:sz w:val="18"/>
          <w:szCs w:val="18"/>
          <w:color w:val="auto"/>
        </w:rPr>
        <w:t>Ms. Pemberton brings to our Board strong and broad financial experience and acumen, enterprise risk</w:t>
      </w:r>
    </w:p>
    <w:p>
      <w:pPr>
        <w:spacing w:after="0" w:line="9" w:lineRule="exact"/>
        <w:rPr>
          <w:sz w:val="20"/>
          <w:szCs w:val="20"/>
          <w:color w:val="auto"/>
        </w:rPr>
      </w:pPr>
    </w:p>
    <w:p>
      <w:pPr>
        <w:ind w:left="7"/>
        <w:spacing w:after="0" w:line="224" w:lineRule="auto"/>
        <w:rPr>
          <w:sz w:val="20"/>
          <w:szCs w:val="20"/>
          <w:color w:val="auto"/>
        </w:rPr>
      </w:pPr>
      <w:r>
        <w:rPr>
          <w:rFonts w:ascii="Arial" w:cs="Arial" w:eastAsia="Arial" w:hAnsi="Arial"/>
          <w:sz w:val="18"/>
          <w:szCs w:val="18"/>
          <w:color w:val="auto"/>
        </w:rPr>
        <w:t>management knowledge including relating to cybersecurity and business continuity, investor perspective, strong brand experience and sourcing and supply chain oversight. In addition, she contributes a strategic</w:t>
      </w:r>
    </w:p>
    <w:p>
      <w:pPr>
        <w:spacing w:after="0" w:line="1" w:lineRule="exact"/>
        <w:rPr>
          <w:sz w:val="20"/>
          <w:szCs w:val="20"/>
          <w:color w:val="auto"/>
        </w:rPr>
      </w:pPr>
    </w:p>
    <w:p>
      <w:pPr>
        <w:ind w:left="7"/>
        <w:spacing w:after="0"/>
        <w:rPr>
          <w:sz w:val="20"/>
          <w:szCs w:val="20"/>
          <w:color w:val="auto"/>
        </w:rPr>
      </w:pPr>
      <w:r>
        <w:rPr>
          <w:rFonts w:ascii="Arial" w:cs="Arial" w:eastAsia="Arial" w:hAnsi="Arial"/>
          <w:sz w:val="17"/>
          <w:szCs w:val="17"/>
          <w:color w:val="auto"/>
        </w:rPr>
        <w:t>perspective, with significant acquisition and integration experience, all of which assists our Board in providing</w:t>
      </w:r>
    </w:p>
    <w:p>
      <w:pPr>
        <w:spacing w:after="0" w:line="5" w:lineRule="exact"/>
        <w:rPr>
          <w:sz w:val="20"/>
          <w:szCs w:val="20"/>
          <w:color w:val="auto"/>
        </w:rPr>
      </w:pPr>
    </w:p>
    <w:p>
      <w:pPr>
        <w:ind w:left="7"/>
        <w:spacing w:after="0" w:line="224" w:lineRule="auto"/>
        <w:rPr>
          <w:sz w:val="20"/>
          <w:szCs w:val="20"/>
          <w:color w:val="auto"/>
        </w:rPr>
      </w:pPr>
      <w:r>
        <w:rPr>
          <w:rFonts w:ascii="Arial" w:cs="Arial" w:eastAsia="Arial" w:hAnsi="Arial"/>
          <w:sz w:val="18"/>
          <w:szCs w:val="18"/>
          <w:color w:val="auto"/>
        </w:rPr>
        <w:t>guidance and oversight in these areas. As a female, black leader, Ms. Pemberton champions inclusion and belonging initiatives as an Executive Sponsor of LVMH North America's Women and Black Employee</w:t>
      </w:r>
    </w:p>
    <w:p>
      <w:pPr>
        <w:spacing w:after="0" w:line="1" w:lineRule="exact"/>
        <w:rPr>
          <w:sz w:val="20"/>
          <w:szCs w:val="20"/>
          <w:color w:val="auto"/>
        </w:rPr>
      </w:pPr>
    </w:p>
    <w:p>
      <w:pPr>
        <w:ind w:left="7"/>
        <w:spacing w:after="0"/>
        <w:rPr>
          <w:sz w:val="20"/>
          <w:szCs w:val="20"/>
          <w:color w:val="auto"/>
        </w:rPr>
      </w:pPr>
      <w:r>
        <w:rPr>
          <w:rFonts w:ascii="Arial" w:cs="Arial" w:eastAsia="Arial" w:hAnsi="Arial"/>
          <w:sz w:val="18"/>
          <w:szCs w:val="18"/>
          <w:color w:val="auto"/>
        </w:rPr>
        <w:t>Resource Groups and as a member of our Board.</w:t>
      </w:r>
    </w:p>
    <w:p>
      <w:pPr>
        <w:spacing w:after="0" w:line="82" w:lineRule="exact"/>
        <w:rPr>
          <w:sz w:val="20"/>
          <w:szCs w:val="20"/>
          <w:color w:val="auto"/>
        </w:rPr>
      </w:pPr>
    </w:p>
    <w:p>
      <w:pPr>
        <w:ind w:left="7"/>
        <w:spacing w:after="0"/>
        <w:rPr>
          <w:sz w:val="20"/>
          <w:szCs w:val="20"/>
          <w:color w:val="auto"/>
        </w:rPr>
      </w:pPr>
      <w:r>
        <w:rPr>
          <w:rFonts w:ascii="Arial" w:cs="Arial" w:eastAsia="Arial" w:hAnsi="Arial"/>
          <w:sz w:val="18"/>
          <w:szCs w:val="18"/>
          <w:b w:val="1"/>
          <w:bCs w:val="1"/>
          <w:color w:val="BF2115"/>
        </w:rPr>
        <w:t>Other Public Company Boards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24765</wp:posOffset>
            </wp:positionV>
            <wp:extent cx="5523865"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5523865" cy="8255"/>
                    </a:xfrm>
                    <a:prstGeom prst="rect">
                      <a:avLst/>
                    </a:prstGeom>
                    <a:noFill/>
                  </pic:spPr>
                </pic:pic>
              </a:graphicData>
            </a:graphic>
          </wp:anchor>
        </w:drawing>
      </w:r>
    </w:p>
    <w:p>
      <w:pPr>
        <w:spacing w:after="0" w:line="40" w:lineRule="exact"/>
        <w:rPr>
          <w:sz w:val="20"/>
          <w:szCs w:val="20"/>
          <w:color w:val="auto"/>
        </w:rPr>
      </w:pPr>
    </w:p>
    <w:p>
      <w:pPr>
        <w:ind w:left="1827"/>
        <w:spacing w:after="0"/>
        <w:tabs>
          <w:tab w:leader="none" w:pos="5967" w:val="left"/>
        </w:tabs>
        <w:rPr>
          <w:sz w:val="20"/>
          <w:szCs w:val="20"/>
          <w:color w:val="auto"/>
        </w:rPr>
      </w:pPr>
      <w:r>
        <w:rPr>
          <w:rFonts w:ascii="Arial" w:cs="Arial" w:eastAsia="Arial" w:hAnsi="Arial"/>
          <w:sz w:val="18"/>
          <w:szCs w:val="18"/>
          <w:b w:val="1"/>
          <w:bCs w:val="1"/>
          <w:color w:val="auto"/>
        </w:rPr>
        <w:t>Current</w:t>
      </w:r>
      <w:r>
        <w:rPr>
          <w:sz w:val="20"/>
          <w:szCs w:val="20"/>
          <w:color w:val="auto"/>
        </w:rPr>
        <w:tab/>
      </w:r>
      <w:r>
        <w:rPr>
          <w:rFonts w:ascii="Arial" w:cs="Arial" w:eastAsia="Arial" w:hAnsi="Arial"/>
          <w:sz w:val="18"/>
          <w:szCs w:val="18"/>
          <w:b w:val="1"/>
          <w:bCs w:val="1"/>
          <w:color w:val="auto"/>
        </w:rPr>
        <w:t>Past 5 Years</w:t>
      </w:r>
    </w:p>
    <w:p>
      <w:pPr>
        <w:spacing w:after="0" w:line="49" w:lineRule="exact"/>
        <w:rPr>
          <w:sz w:val="20"/>
          <w:szCs w:val="20"/>
          <w:color w:val="auto"/>
        </w:rPr>
      </w:pPr>
    </w:p>
    <w:p>
      <w:pPr>
        <w:ind w:left="1947"/>
        <w:spacing w:after="0"/>
        <w:tabs>
          <w:tab w:leader="none" w:pos="6267" w:val="left"/>
        </w:tabs>
        <w:rPr>
          <w:sz w:val="20"/>
          <w:szCs w:val="20"/>
          <w:color w:val="auto"/>
        </w:rPr>
      </w:pPr>
      <w:r>
        <w:rPr>
          <w:rFonts w:ascii="Arial" w:cs="Arial" w:eastAsia="Arial" w:hAnsi="Arial"/>
          <w:sz w:val="18"/>
          <w:szCs w:val="18"/>
          <w:color w:val="auto"/>
        </w:rPr>
        <w:t>None</w:t>
      </w:r>
      <w:r>
        <w:rPr>
          <w:sz w:val="20"/>
          <w:szCs w:val="20"/>
          <w:color w:val="auto"/>
        </w:rPr>
        <w:tab/>
      </w:r>
      <w:r>
        <w:rPr>
          <w:rFonts w:ascii="Arial" w:cs="Arial" w:eastAsia="Arial" w:hAnsi="Arial"/>
          <w:sz w:val="18"/>
          <w:szCs w:val="18"/>
          <w:color w:val="auto"/>
        </w:rPr>
        <w:t>None</w:t>
      </w:r>
    </w:p>
    <w:p>
      <w:pPr>
        <w:spacing w:after="0" w:line="200" w:lineRule="exact"/>
        <w:rPr>
          <w:sz w:val="20"/>
          <w:szCs w:val="20"/>
          <w:color w:val="auto"/>
        </w:rPr>
      </w:pPr>
    </w:p>
    <w:p>
      <w:pPr>
        <w:sectPr>
          <w:pgSz w:w="11900" w:h="16838" w:orient="portrait"/>
          <w:cols w:equalWidth="0" w:num="2">
            <w:col w:w="2120" w:space="393"/>
            <w:col w:w="8667"/>
          </w:cols>
          <w:pgMar w:left="340" w:top="1108" w:right="37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ind w:right="-19"/>
        <w:spacing w:after="0"/>
        <w:rPr>
          <w:sz w:val="20"/>
          <w:szCs w:val="20"/>
          <w:color w:val="auto"/>
        </w:rPr>
      </w:pPr>
      <w:r>
        <w:rPr>
          <w:rFonts w:ascii="Arial" w:cs="Arial" w:eastAsia="Arial" w:hAnsi="Arial"/>
          <w:sz w:val="21"/>
          <w:szCs w:val="21"/>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-20320</wp:posOffset>
            </wp:positionH>
            <wp:positionV relativeFrom="paragraph">
              <wp:posOffset>79375</wp:posOffset>
            </wp:positionV>
            <wp:extent cx="7159625"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180"/>
          </w:cols>
          <w:pgMar w:left="340" w:top="1108" w:right="379" w:bottom="1440" w:gutter="0" w:footer="0" w:header="0"/>
          <w:type w:val="continuous"/>
        </w:sectPr>
      </w:pPr>
    </w:p>
    <w:bookmarkStart w:id="24" w:name="page25"/>
    <w:bookmarkEnd w:id="24"/>
    <w:p>
      <w:pPr>
        <w:jc w:val="center"/>
        <w:ind w:right="18"/>
        <w:spacing w:after="0"/>
        <w:rPr>
          <w:sz w:val="20"/>
          <w:szCs w:val="20"/>
          <w:color w:val="auto"/>
        </w:rPr>
      </w:pPr>
      <w:r>
        <w:rPr>
          <w:rFonts w:ascii="Arial" w:cs="Arial" w:eastAsia="Arial" w:hAnsi="Arial"/>
          <w:sz w:val="17"/>
          <w:szCs w:val="17"/>
          <w:b w:val="1"/>
          <w:bCs w:val="1"/>
          <w:color w:val="C00000"/>
        </w:rPr>
        <w:t>Continuing Members of the Board — Current Term Ending at the 2026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201295</wp:posOffset>
            </wp:positionV>
            <wp:extent cx="1135380" cy="113538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1135380" cy="1135380"/>
                    </a:xfrm>
                    <a:prstGeom prst="rect">
                      <a:avLst/>
                    </a:prstGeom>
                    <a:noFill/>
                  </pic:spPr>
                </pic:pic>
              </a:graphicData>
            </a:graphic>
          </wp:anchor>
        </w:drawing>
      </w:r>
    </w:p>
    <w:p>
      <w:pPr>
        <w:sectPr>
          <w:pgSz w:w="11900" w:h="16838" w:orient="portrait"/>
          <w:cols w:equalWidth="0" w:num="1">
            <w:col w:w="11182"/>
          </w:cols>
          <w:pgMar w:left="358" w:top="1348"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left="2"/>
        <w:spacing w:after="0"/>
        <w:rPr>
          <w:sz w:val="20"/>
          <w:szCs w:val="20"/>
          <w:color w:val="auto"/>
        </w:rPr>
      </w:pPr>
      <w:r>
        <w:rPr>
          <w:rFonts w:ascii="Arial" w:cs="Arial" w:eastAsia="Arial" w:hAnsi="Arial"/>
          <w:sz w:val="18"/>
          <w:szCs w:val="18"/>
          <w:b w:val="1"/>
          <w:bCs w:val="1"/>
          <w:color w:val="BF2115"/>
        </w:rPr>
        <w:t>Dianne C. Craig</w:t>
      </w:r>
    </w:p>
    <w:p>
      <w:pPr>
        <w:spacing w:after="0" w:line="49" w:lineRule="exact"/>
        <w:rPr>
          <w:sz w:val="20"/>
          <w:szCs w:val="20"/>
          <w:color w:val="auto"/>
        </w:rPr>
      </w:pPr>
    </w:p>
    <w:p>
      <w:pPr>
        <w:ind w:left="2"/>
        <w:spacing w:after="0"/>
        <w:rPr>
          <w:sz w:val="20"/>
          <w:szCs w:val="20"/>
          <w:color w:val="auto"/>
        </w:rPr>
      </w:pPr>
      <w:r>
        <w:rPr>
          <w:rFonts w:ascii="Arial" w:cs="Arial" w:eastAsia="Arial" w:hAnsi="Arial"/>
          <w:sz w:val="18"/>
          <w:szCs w:val="18"/>
          <w:color w:val="auto"/>
        </w:rPr>
        <w:t>Age 60</w:t>
      </w:r>
    </w:p>
    <w:p>
      <w:pPr>
        <w:spacing w:after="0" w:line="33" w:lineRule="exact"/>
        <w:rPr>
          <w:sz w:val="20"/>
          <w:szCs w:val="20"/>
          <w:color w:val="auto"/>
        </w:rPr>
      </w:pPr>
    </w:p>
    <w:p>
      <w:pPr>
        <w:ind w:left="2"/>
        <w:spacing w:after="0"/>
        <w:rPr>
          <w:sz w:val="20"/>
          <w:szCs w:val="20"/>
          <w:color w:val="auto"/>
        </w:rPr>
      </w:pPr>
      <w:r>
        <w:rPr>
          <w:rFonts w:ascii="Arial" w:cs="Arial" w:eastAsia="Arial" w:hAnsi="Arial"/>
          <w:sz w:val="18"/>
          <w:szCs w:val="18"/>
          <w:color w:val="auto"/>
        </w:rPr>
        <w:t>Director since 2024</w:t>
      </w:r>
    </w:p>
    <w:p>
      <w:pPr>
        <w:spacing w:after="0" w:line="47" w:lineRule="exact"/>
        <w:rPr>
          <w:sz w:val="20"/>
          <w:szCs w:val="20"/>
          <w:color w:val="auto"/>
        </w:rPr>
      </w:pPr>
    </w:p>
    <w:p>
      <w:pPr>
        <w:ind w:left="2"/>
        <w:spacing w:after="0"/>
        <w:rPr>
          <w:sz w:val="20"/>
          <w:szCs w:val="20"/>
          <w:color w:val="auto"/>
        </w:rPr>
      </w:pPr>
      <w:r>
        <w:rPr>
          <w:rFonts w:ascii="Arial" w:cs="Arial" w:eastAsia="Arial" w:hAnsi="Arial"/>
          <w:sz w:val="18"/>
          <w:szCs w:val="18"/>
          <w:color w:val="auto"/>
        </w:rPr>
        <w:t>Independent</w:t>
      </w:r>
    </w:p>
    <w:p>
      <w:pPr>
        <w:spacing w:after="0" w:line="42" w:lineRule="exact"/>
        <w:rPr>
          <w:sz w:val="20"/>
          <w:szCs w:val="20"/>
          <w:color w:val="auto"/>
        </w:rPr>
      </w:pPr>
    </w:p>
    <w:p>
      <w:pPr>
        <w:ind w:left="2"/>
        <w:spacing w:after="0"/>
        <w:rPr>
          <w:sz w:val="20"/>
          <w:szCs w:val="20"/>
          <w:color w:val="auto"/>
        </w:rPr>
      </w:pPr>
      <w:r>
        <w:rPr>
          <w:rFonts w:ascii="Arial" w:cs="Arial" w:eastAsia="Arial" w:hAnsi="Arial"/>
          <w:sz w:val="18"/>
          <w:szCs w:val="18"/>
          <w:b w:val="1"/>
          <w:bCs w:val="1"/>
          <w:color w:val="BF2115"/>
        </w:rPr>
        <w:t>Committees</w:t>
      </w:r>
    </w:p>
    <w:p>
      <w:pPr>
        <w:ind w:left="162" w:hanging="162"/>
        <w:spacing w:after="0" w:line="232" w:lineRule="auto"/>
        <w:tabs>
          <w:tab w:leader="none" w:pos="162" w:val="left"/>
        </w:tabs>
        <w:numPr>
          <w:ilvl w:val="0"/>
          <w:numId w:val="28"/>
        </w:numPr>
        <w:rPr>
          <w:rFonts w:ascii="Arial" w:cs="Arial" w:eastAsia="Arial" w:hAnsi="Arial"/>
          <w:sz w:val="18"/>
          <w:szCs w:val="18"/>
          <w:color w:val="auto"/>
        </w:rPr>
      </w:pPr>
      <w:r>
        <w:rPr>
          <w:rFonts w:ascii="Arial" w:cs="Arial" w:eastAsia="Arial" w:hAnsi="Arial"/>
          <w:sz w:val="18"/>
          <w:szCs w:val="18"/>
          <w:color w:val="auto"/>
        </w:rPr>
        <w:t>Audit</w:t>
      </w:r>
    </w:p>
    <w:p>
      <w:pPr>
        <w:ind w:left="162" w:hanging="162"/>
        <w:spacing w:after="0"/>
        <w:tabs>
          <w:tab w:leader="none" w:pos="162" w:val="left"/>
        </w:tabs>
        <w:numPr>
          <w:ilvl w:val="0"/>
          <w:numId w:val="28"/>
        </w:numPr>
        <w:rPr>
          <w:rFonts w:ascii="Arial" w:cs="Arial" w:eastAsia="Arial" w:hAnsi="Arial"/>
          <w:sz w:val="18"/>
          <w:szCs w:val="18"/>
          <w:color w:val="auto"/>
        </w:rPr>
      </w:pPr>
      <w:r>
        <w:rPr>
          <w:rFonts w:ascii="Arial" w:cs="Arial" w:eastAsia="Arial" w:hAnsi="Arial"/>
          <w:sz w:val="18"/>
          <w:szCs w:val="18"/>
          <w:color w:val="auto"/>
        </w:rPr>
        <w:t>Finance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1156970</wp:posOffset>
            </wp:positionV>
            <wp:extent cx="1135380" cy="113538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1135380" cy="11353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left="2"/>
        <w:spacing w:after="0"/>
        <w:rPr>
          <w:sz w:val="20"/>
          <w:szCs w:val="20"/>
          <w:color w:val="auto"/>
        </w:rPr>
      </w:pPr>
      <w:r>
        <w:rPr>
          <w:rFonts w:ascii="Arial" w:cs="Arial" w:eastAsia="Arial" w:hAnsi="Arial"/>
          <w:sz w:val="18"/>
          <w:szCs w:val="18"/>
          <w:b w:val="1"/>
          <w:bCs w:val="1"/>
          <w:color w:val="BF2115"/>
        </w:rPr>
        <w:t>Eric P. Hansotia</w:t>
      </w:r>
    </w:p>
    <w:p>
      <w:pPr>
        <w:spacing w:after="0" w:line="38" w:lineRule="exact"/>
        <w:rPr>
          <w:sz w:val="20"/>
          <w:szCs w:val="20"/>
          <w:color w:val="auto"/>
        </w:rPr>
      </w:pPr>
    </w:p>
    <w:p>
      <w:pPr>
        <w:ind w:left="2"/>
        <w:spacing w:after="0"/>
        <w:rPr>
          <w:sz w:val="20"/>
          <w:szCs w:val="20"/>
          <w:color w:val="auto"/>
        </w:rPr>
      </w:pPr>
      <w:r>
        <w:rPr>
          <w:rFonts w:ascii="Arial" w:cs="Arial" w:eastAsia="Arial" w:hAnsi="Arial"/>
          <w:sz w:val="18"/>
          <w:szCs w:val="18"/>
          <w:color w:val="auto"/>
        </w:rPr>
        <w:t>Age 56</w:t>
      </w:r>
    </w:p>
    <w:p>
      <w:pPr>
        <w:spacing w:after="0" w:line="44" w:lineRule="exact"/>
        <w:rPr>
          <w:sz w:val="20"/>
          <w:szCs w:val="20"/>
          <w:color w:val="auto"/>
        </w:rPr>
      </w:pPr>
    </w:p>
    <w:p>
      <w:pPr>
        <w:ind w:left="2"/>
        <w:spacing w:after="0"/>
        <w:rPr>
          <w:sz w:val="20"/>
          <w:szCs w:val="20"/>
          <w:color w:val="auto"/>
        </w:rPr>
      </w:pPr>
      <w:r>
        <w:rPr>
          <w:rFonts w:ascii="Arial" w:cs="Arial" w:eastAsia="Arial" w:hAnsi="Arial"/>
          <w:sz w:val="18"/>
          <w:szCs w:val="18"/>
          <w:color w:val="auto"/>
        </w:rPr>
        <w:t>Director since 2022</w:t>
      </w:r>
    </w:p>
    <w:p>
      <w:pPr>
        <w:spacing w:after="0" w:line="47" w:lineRule="exact"/>
        <w:rPr>
          <w:sz w:val="20"/>
          <w:szCs w:val="20"/>
          <w:color w:val="auto"/>
        </w:rPr>
      </w:pPr>
    </w:p>
    <w:p>
      <w:pPr>
        <w:ind w:left="2"/>
        <w:spacing w:after="0"/>
        <w:rPr>
          <w:sz w:val="20"/>
          <w:szCs w:val="20"/>
          <w:color w:val="auto"/>
        </w:rPr>
      </w:pPr>
      <w:r>
        <w:rPr>
          <w:rFonts w:ascii="Arial" w:cs="Arial" w:eastAsia="Arial" w:hAnsi="Arial"/>
          <w:sz w:val="18"/>
          <w:szCs w:val="18"/>
          <w:color w:val="auto"/>
        </w:rPr>
        <w:t>Independent</w:t>
      </w:r>
    </w:p>
    <w:p>
      <w:pPr>
        <w:spacing w:after="0" w:line="31" w:lineRule="exact"/>
        <w:rPr>
          <w:sz w:val="20"/>
          <w:szCs w:val="20"/>
          <w:color w:val="auto"/>
        </w:rPr>
      </w:pPr>
    </w:p>
    <w:p>
      <w:pPr>
        <w:ind w:left="2"/>
        <w:spacing w:after="0"/>
        <w:rPr>
          <w:sz w:val="20"/>
          <w:szCs w:val="20"/>
          <w:color w:val="auto"/>
        </w:rPr>
      </w:pPr>
      <w:r>
        <w:rPr>
          <w:rFonts w:ascii="Arial" w:cs="Arial" w:eastAsia="Arial" w:hAnsi="Arial"/>
          <w:sz w:val="18"/>
          <w:szCs w:val="18"/>
          <w:b w:val="1"/>
          <w:bCs w:val="1"/>
          <w:color w:val="BF2115"/>
        </w:rPr>
        <w:t>Committees</w:t>
      </w:r>
    </w:p>
    <w:p>
      <w:pPr>
        <w:spacing w:after="0" w:line="11" w:lineRule="exact"/>
        <w:rPr>
          <w:sz w:val="20"/>
          <w:szCs w:val="20"/>
          <w:color w:val="auto"/>
        </w:rPr>
      </w:pPr>
    </w:p>
    <w:p>
      <w:pPr>
        <w:ind w:left="162" w:right="140" w:hanging="162"/>
        <w:spacing w:after="0" w:line="224" w:lineRule="auto"/>
        <w:tabs>
          <w:tab w:leader="none" w:pos="158" w:val="left"/>
        </w:tabs>
        <w:numPr>
          <w:ilvl w:val="0"/>
          <w:numId w:val="29"/>
        </w:numPr>
        <w:rPr>
          <w:rFonts w:ascii="Arial" w:cs="Arial" w:eastAsia="Arial" w:hAnsi="Arial"/>
          <w:sz w:val="18"/>
          <w:szCs w:val="18"/>
          <w:color w:val="auto"/>
        </w:rPr>
      </w:pPr>
      <w:r>
        <w:rPr>
          <w:rFonts w:ascii="Arial" w:cs="Arial" w:eastAsia="Arial" w:hAnsi="Arial"/>
          <w:sz w:val="18"/>
          <w:szCs w:val="18"/>
          <w:color w:val="auto"/>
        </w:rPr>
        <w:t>Compensation &amp; Human Resources</w:t>
      </w:r>
    </w:p>
    <w:p>
      <w:pPr>
        <w:ind w:left="162" w:hanging="162"/>
        <w:spacing w:after="0"/>
        <w:tabs>
          <w:tab w:leader="none" w:pos="162" w:val="left"/>
        </w:tabs>
        <w:numPr>
          <w:ilvl w:val="0"/>
          <w:numId w:val="29"/>
        </w:numPr>
        <w:rPr>
          <w:rFonts w:ascii="Arial" w:cs="Arial" w:eastAsia="Arial" w:hAnsi="Arial"/>
          <w:sz w:val="17"/>
          <w:szCs w:val="17"/>
          <w:color w:val="auto"/>
        </w:rPr>
      </w:pPr>
      <w:r>
        <w:rPr>
          <w:rFonts w:ascii="Arial" w:cs="Arial" w:eastAsia="Arial" w:hAnsi="Arial"/>
          <w:sz w:val="17"/>
          <w:szCs w:val="17"/>
          <w:color w:val="auto"/>
        </w:rPr>
        <w:t>Nominating &amp; Governance</w:t>
      </w:r>
    </w:p>
    <w:p>
      <w:pPr>
        <w:spacing w:after="0" w:line="20" w:lineRule="exact"/>
        <w:rPr>
          <w:sz w:val="20"/>
          <w:szCs w:val="20"/>
          <w:color w:val="auto"/>
        </w:rPr>
      </w:pPr>
      <w:r>
        <w:rPr>
          <w:sz w:val="20"/>
          <w:szCs w:val="20"/>
          <w:color w:val="auto"/>
        </w:rPr>
        <w:br w:type="column"/>
      </w: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BF2115"/>
        </w:rPr>
        <w:t>Background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15875</wp:posOffset>
            </wp:positionV>
            <wp:extent cx="5523865"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5523865" cy="8255"/>
                    </a:xfrm>
                    <a:prstGeom prst="rect">
                      <a:avLst/>
                    </a:prstGeom>
                    <a:noFill/>
                  </pic:spPr>
                </pic:pic>
              </a:graphicData>
            </a:graphic>
          </wp:anchor>
        </w:drawing>
      </w:r>
    </w:p>
    <w:p>
      <w:pPr>
        <w:spacing w:after="0" w:line="82" w:lineRule="exact"/>
        <w:rPr>
          <w:sz w:val="20"/>
          <w:szCs w:val="20"/>
          <w:color w:val="auto"/>
        </w:rPr>
      </w:pPr>
    </w:p>
    <w:p>
      <w:pPr>
        <w:ind w:right="80"/>
        <w:spacing w:after="0" w:line="243" w:lineRule="auto"/>
        <w:rPr>
          <w:sz w:val="20"/>
          <w:szCs w:val="20"/>
          <w:color w:val="auto"/>
        </w:rPr>
      </w:pPr>
      <w:r>
        <w:rPr>
          <w:rFonts w:ascii="Arial" w:cs="Arial" w:eastAsia="Arial" w:hAnsi="Arial"/>
          <w:sz w:val="18"/>
          <w:szCs w:val="18"/>
          <w:color w:val="auto"/>
        </w:rPr>
        <w:t>Dianne C. Craig is President, Lincoln, the luxury vehicle division of Ford Motor Company, Dearborn, Michigan (a designer, manufacturer and servicer of cars, trucks, sport utility vehicles and electric vehicles worldwide). She holds or has held the following positions, all at Ford Motor:</w:t>
      </w:r>
    </w:p>
    <w:p>
      <w:pPr>
        <w:spacing w:after="0" w:line="1" w:lineRule="exact"/>
        <w:rPr>
          <w:sz w:val="20"/>
          <w:szCs w:val="20"/>
          <w:color w:val="auto"/>
        </w:rPr>
      </w:pPr>
    </w:p>
    <w:p>
      <w:pPr>
        <w:ind w:left="160" w:hanging="154"/>
        <w:spacing w:after="0"/>
        <w:tabs>
          <w:tab w:leader="none" w:pos="160" w:val="left"/>
        </w:tabs>
        <w:numPr>
          <w:ilvl w:val="0"/>
          <w:numId w:val="30"/>
        </w:numPr>
        <w:rPr>
          <w:rFonts w:ascii="Times New Roman" w:cs="Times New Roman" w:eastAsia="Times New Roman" w:hAnsi="Times New Roman"/>
          <w:sz w:val="16"/>
          <w:szCs w:val="16"/>
          <w:color w:val="auto"/>
        </w:rPr>
      </w:pPr>
      <w:r>
        <w:rPr>
          <w:rFonts w:ascii="Arial" w:cs="Arial" w:eastAsia="Arial" w:hAnsi="Arial"/>
          <w:sz w:val="18"/>
          <w:szCs w:val="18"/>
          <w:color w:val="auto"/>
        </w:rPr>
        <w:t>President, Lincoln (since December 2022)</w:t>
      </w:r>
    </w:p>
    <w:p>
      <w:pPr>
        <w:spacing w:after="0" w:line="6" w:lineRule="exact"/>
        <w:rPr>
          <w:rFonts w:ascii="Times New Roman" w:cs="Times New Roman" w:eastAsia="Times New Roman" w:hAnsi="Times New Roman"/>
          <w:sz w:val="16"/>
          <w:szCs w:val="16"/>
          <w:color w:val="auto"/>
        </w:rPr>
      </w:pPr>
    </w:p>
    <w:p>
      <w:pPr>
        <w:ind w:left="160" w:hanging="154"/>
        <w:spacing w:after="0"/>
        <w:tabs>
          <w:tab w:leader="none" w:pos="160" w:val="left"/>
        </w:tabs>
        <w:numPr>
          <w:ilvl w:val="0"/>
          <w:numId w:val="30"/>
        </w:numPr>
        <w:rPr>
          <w:rFonts w:ascii="Times New Roman" w:cs="Times New Roman" w:eastAsia="Times New Roman" w:hAnsi="Times New Roman"/>
          <w:sz w:val="16"/>
          <w:szCs w:val="16"/>
          <w:color w:val="auto"/>
        </w:rPr>
      </w:pPr>
      <w:r>
        <w:rPr>
          <w:rFonts w:ascii="Arial" w:cs="Arial" w:eastAsia="Arial" w:hAnsi="Arial"/>
          <w:sz w:val="18"/>
          <w:szCs w:val="18"/>
          <w:color w:val="auto"/>
        </w:rPr>
        <w:t>President, International Markets, Thailand (January 2021 – November 2022)</w:t>
      </w:r>
    </w:p>
    <w:p>
      <w:pPr>
        <w:spacing w:after="0" w:line="6" w:lineRule="exact"/>
        <w:rPr>
          <w:rFonts w:ascii="Times New Roman" w:cs="Times New Roman" w:eastAsia="Times New Roman" w:hAnsi="Times New Roman"/>
          <w:sz w:val="16"/>
          <w:szCs w:val="16"/>
          <w:color w:val="auto"/>
        </w:rPr>
      </w:pPr>
    </w:p>
    <w:p>
      <w:pPr>
        <w:ind w:left="160" w:hanging="154"/>
        <w:spacing w:after="0"/>
        <w:tabs>
          <w:tab w:leader="none" w:pos="160" w:val="left"/>
        </w:tabs>
        <w:numPr>
          <w:ilvl w:val="0"/>
          <w:numId w:val="30"/>
        </w:numPr>
        <w:rPr>
          <w:rFonts w:ascii="Times New Roman" w:cs="Times New Roman" w:eastAsia="Times New Roman" w:hAnsi="Times New Roman"/>
          <w:sz w:val="16"/>
          <w:szCs w:val="16"/>
          <w:color w:val="auto"/>
        </w:rPr>
      </w:pPr>
      <w:r>
        <w:rPr>
          <w:rFonts w:ascii="Arial" w:cs="Arial" w:eastAsia="Arial" w:hAnsi="Arial"/>
          <w:sz w:val="18"/>
          <w:szCs w:val="18"/>
          <w:color w:val="auto"/>
        </w:rPr>
        <w:t>Chief Executive Officer, FordDirect (June 2018 – December 2020)</w:t>
      </w:r>
    </w:p>
    <w:p>
      <w:pPr>
        <w:spacing w:after="0" w:line="6" w:lineRule="exact"/>
        <w:rPr>
          <w:rFonts w:ascii="Times New Roman" w:cs="Times New Roman" w:eastAsia="Times New Roman" w:hAnsi="Times New Roman"/>
          <w:sz w:val="16"/>
          <w:szCs w:val="16"/>
          <w:color w:val="auto"/>
        </w:rPr>
      </w:pPr>
    </w:p>
    <w:p>
      <w:pPr>
        <w:ind w:left="160" w:hanging="154"/>
        <w:spacing w:after="0"/>
        <w:tabs>
          <w:tab w:leader="none" w:pos="160" w:val="left"/>
        </w:tabs>
        <w:numPr>
          <w:ilvl w:val="0"/>
          <w:numId w:val="30"/>
        </w:numPr>
        <w:rPr>
          <w:rFonts w:ascii="Times New Roman" w:cs="Times New Roman" w:eastAsia="Times New Roman" w:hAnsi="Times New Roman"/>
          <w:sz w:val="16"/>
          <w:szCs w:val="16"/>
          <w:color w:val="auto"/>
        </w:rPr>
      </w:pPr>
      <w:r>
        <w:rPr>
          <w:rFonts w:ascii="Arial" w:cs="Arial" w:eastAsia="Arial" w:hAnsi="Arial"/>
          <w:sz w:val="18"/>
          <w:szCs w:val="18"/>
          <w:color w:val="auto"/>
        </w:rPr>
        <w:t>Executive Director, U.S. Sales (December 2016 – May 2018)</w:t>
      </w:r>
    </w:p>
    <w:p>
      <w:pPr>
        <w:spacing w:after="0" w:line="6" w:lineRule="exact"/>
        <w:rPr>
          <w:rFonts w:ascii="Times New Roman" w:cs="Times New Roman" w:eastAsia="Times New Roman" w:hAnsi="Times New Roman"/>
          <w:sz w:val="16"/>
          <w:szCs w:val="16"/>
          <w:color w:val="auto"/>
        </w:rPr>
      </w:pPr>
    </w:p>
    <w:p>
      <w:pPr>
        <w:ind w:left="160" w:hanging="154"/>
        <w:spacing w:after="0"/>
        <w:tabs>
          <w:tab w:leader="none" w:pos="160" w:val="left"/>
        </w:tabs>
        <w:numPr>
          <w:ilvl w:val="0"/>
          <w:numId w:val="30"/>
        </w:numPr>
        <w:rPr>
          <w:rFonts w:ascii="Times New Roman" w:cs="Times New Roman" w:eastAsia="Times New Roman" w:hAnsi="Times New Roman"/>
          <w:sz w:val="16"/>
          <w:szCs w:val="16"/>
          <w:color w:val="auto"/>
        </w:rPr>
      </w:pPr>
      <w:r>
        <w:rPr>
          <w:rFonts w:ascii="Arial" w:cs="Arial" w:eastAsia="Arial" w:hAnsi="Arial"/>
          <w:sz w:val="18"/>
          <w:szCs w:val="18"/>
          <w:color w:val="auto"/>
        </w:rPr>
        <w:t>Chief Executive Officer, Ford Motor Company of Canada (November 2011 – November 2016</w:t>
      </w:r>
    </w:p>
    <w:p>
      <w:pPr>
        <w:spacing w:after="0" w:line="69"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C00000"/>
        </w:rPr>
        <w:t>Qualifications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227965</wp:posOffset>
            </wp:positionV>
            <wp:extent cx="5523865"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5523865" cy="8255"/>
                    </a:xfrm>
                    <a:prstGeom prst="rect">
                      <a:avLst/>
                    </a:prstGeom>
                    <a:noFill/>
                  </pic:spPr>
                </pic:pic>
              </a:graphicData>
            </a:graphic>
          </wp:anchor>
        </w:drawing>
      </w:r>
    </w:p>
    <w:p>
      <w:pPr>
        <w:spacing w:after="0" w:line="200" w:lineRule="exact"/>
        <w:rPr>
          <w:sz w:val="20"/>
          <w:szCs w:val="20"/>
          <w:color w:val="auto"/>
        </w:rPr>
      </w:pPr>
    </w:p>
    <w:p>
      <w:pPr>
        <w:spacing w:after="0" w:line="349" w:lineRule="exact"/>
        <w:rPr>
          <w:sz w:val="20"/>
          <w:szCs w:val="20"/>
          <w:color w:val="auto"/>
        </w:rPr>
      </w:pPr>
    </w:p>
    <w:p>
      <w:pPr>
        <w:ind w:right="20"/>
        <w:spacing w:after="0" w:line="241" w:lineRule="auto"/>
        <w:rPr>
          <w:sz w:val="20"/>
          <w:szCs w:val="20"/>
          <w:color w:val="auto"/>
        </w:rPr>
      </w:pPr>
      <w:r>
        <w:rPr>
          <w:rFonts w:ascii="Arial" w:cs="Arial" w:eastAsia="Arial" w:hAnsi="Arial"/>
          <w:sz w:val="18"/>
          <w:szCs w:val="18"/>
          <w:color w:val="auto"/>
        </w:rPr>
        <w:t>Ms. Craig brings to our Board a deep and diverse range of executive leadership experience in an industry applicable to our Company. She contributes a strategic perspective on digital technologies, brand</w:t>
      </w:r>
    </w:p>
    <w:p>
      <w:pPr>
        <w:spacing w:after="0" w:line="1" w:lineRule="exact"/>
        <w:rPr>
          <w:sz w:val="20"/>
          <w:szCs w:val="20"/>
          <w:color w:val="auto"/>
        </w:rPr>
      </w:pPr>
    </w:p>
    <w:p>
      <w:pPr>
        <w:spacing w:after="0" w:line="224" w:lineRule="auto"/>
        <w:rPr>
          <w:sz w:val="20"/>
          <w:szCs w:val="20"/>
          <w:color w:val="auto"/>
        </w:rPr>
      </w:pPr>
      <w:r>
        <w:rPr>
          <w:rFonts w:ascii="Arial" w:cs="Arial" w:eastAsia="Arial" w:hAnsi="Arial"/>
          <w:sz w:val="18"/>
          <w:szCs w:val="18"/>
          <w:color w:val="auto"/>
        </w:rPr>
        <w:t>enhancements and international operations. Furthermore, her extensive background in channel strategy, building dealer relationships and delivering best-in-class marketing solutions brings expertise in areas critical</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to the ongoing success of our Company.</w:t>
      </w:r>
    </w:p>
    <w:p>
      <w:pPr>
        <w:spacing w:after="0" w:line="82" w:lineRule="exact"/>
        <w:rPr>
          <w:sz w:val="20"/>
          <w:szCs w:val="20"/>
          <w:color w:val="auto"/>
        </w:rPr>
      </w:pPr>
    </w:p>
    <w:p>
      <w:pPr>
        <w:spacing w:after="0"/>
        <w:rPr>
          <w:sz w:val="20"/>
          <w:szCs w:val="20"/>
          <w:color w:val="auto"/>
        </w:rPr>
      </w:pPr>
      <w:r>
        <w:rPr>
          <w:rFonts w:ascii="Arial" w:cs="Arial" w:eastAsia="Arial" w:hAnsi="Arial"/>
          <w:sz w:val="18"/>
          <w:szCs w:val="18"/>
          <w:b w:val="1"/>
          <w:bCs w:val="1"/>
          <w:color w:val="BF2115"/>
        </w:rPr>
        <w:t>Other Public Company Boards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24765</wp:posOffset>
            </wp:positionV>
            <wp:extent cx="5523865"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5523865" cy="8255"/>
                    </a:xfrm>
                    <a:prstGeom prst="rect">
                      <a:avLst/>
                    </a:prstGeom>
                    <a:noFill/>
                  </pic:spPr>
                </pic:pic>
              </a:graphicData>
            </a:graphic>
          </wp:anchor>
        </w:drawing>
      </w:r>
    </w:p>
    <w:p>
      <w:pPr>
        <w:spacing w:after="0" w:line="40" w:lineRule="exact"/>
        <w:rPr>
          <w:sz w:val="20"/>
          <w:szCs w:val="20"/>
          <w:color w:val="auto"/>
        </w:rPr>
      </w:pPr>
    </w:p>
    <w:p>
      <w:pPr>
        <w:ind w:left="1840"/>
        <w:spacing w:after="0"/>
        <w:tabs>
          <w:tab w:leader="none" w:pos="5960" w:val="left"/>
        </w:tabs>
        <w:rPr>
          <w:sz w:val="20"/>
          <w:szCs w:val="20"/>
          <w:color w:val="auto"/>
        </w:rPr>
      </w:pPr>
      <w:r>
        <w:rPr>
          <w:rFonts w:ascii="Arial" w:cs="Arial" w:eastAsia="Arial" w:hAnsi="Arial"/>
          <w:sz w:val="18"/>
          <w:szCs w:val="18"/>
          <w:b w:val="1"/>
          <w:bCs w:val="1"/>
          <w:color w:val="auto"/>
        </w:rPr>
        <w:t>Current</w:t>
      </w:r>
      <w:r>
        <w:rPr>
          <w:sz w:val="20"/>
          <w:szCs w:val="20"/>
          <w:color w:val="auto"/>
        </w:rPr>
        <w:tab/>
      </w:r>
      <w:r>
        <w:rPr>
          <w:rFonts w:ascii="Arial" w:cs="Arial" w:eastAsia="Arial" w:hAnsi="Arial"/>
          <w:sz w:val="18"/>
          <w:szCs w:val="18"/>
          <w:b w:val="1"/>
          <w:bCs w:val="1"/>
          <w:color w:val="auto"/>
        </w:rPr>
        <w:t>Past 5 Years</w:t>
      </w:r>
    </w:p>
    <w:p>
      <w:pPr>
        <w:spacing w:after="0" w:line="49" w:lineRule="exact"/>
        <w:rPr>
          <w:sz w:val="20"/>
          <w:szCs w:val="20"/>
          <w:color w:val="auto"/>
        </w:rPr>
      </w:pPr>
    </w:p>
    <w:p>
      <w:pPr>
        <w:ind w:left="1960"/>
        <w:spacing w:after="0"/>
        <w:tabs>
          <w:tab w:leader="none" w:pos="6280" w:val="left"/>
        </w:tabs>
        <w:rPr>
          <w:sz w:val="20"/>
          <w:szCs w:val="20"/>
          <w:color w:val="auto"/>
        </w:rPr>
      </w:pPr>
      <w:r>
        <w:rPr>
          <w:rFonts w:ascii="Arial" w:cs="Arial" w:eastAsia="Arial" w:hAnsi="Arial"/>
          <w:sz w:val="18"/>
          <w:szCs w:val="18"/>
          <w:color w:val="auto"/>
        </w:rPr>
        <w:t>None</w:t>
      </w:r>
      <w:r>
        <w:rPr>
          <w:sz w:val="20"/>
          <w:szCs w:val="20"/>
          <w:color w:val="auto"/>
        </w:rPr>
        <w:tab/>
      </w: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b w:val="1"/>
          <w:bCs w:val="1"/>
          <w:color w:val="BF2115"/>
        </w:rPr>
        <w:t>Background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15875</wp:posOffset>
            </wp:positionV>
            <wp:extent cx="5523865"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5523865" cy="8255"/>
                    </a:xfrm>
                    <a:prstGeom prst="rect">
                      <a:avLst/>
                    </a:prstGeom>
                    <a:noFill/>
                  </pic:spPr>
                </pic:pic>
              </a:graphicData>
            </a:graphic>
          </wp:anchor>
        </w:drawing>
      </w:r>
    </w:p>
    <w:p>
      <w:pPr>
        <w:spacing w:after="0" w:line="82" w:lineRule="exact"/>
        <w:rPr>
          <w:sz w:val="20"/>
          <w:szCs w:val="20"/>
          <w:color w:val="auto"/>
        </w:rPr>
      </w:pPr>
    </w:p>
    <w:p>
      <w:pPr>
        <w:ind w:right="40"/>
        <w:spacing w:after="0" w:line="243" w:lineRule="auto"/>
        <w:rPr>
          <w:sz w:val="20"/>
          <w:szCs w:val="20"/>
          <w:color w:val="auto"/>
        </w:rPr>
      </w:pPr>
      <w:r>
        <w:rPr>
          <w:rFonts w:ascii="Arial" w:cs="Arial" w:eastAsia="Arial" w:hAnsi="Arial"/>
          <w:sz w:val="18"/>
          <w:szCs w:val="18"/>
          <w:color w:val="auto"/>
        </w:rPr>
        <w:t>Eric P. Hansotia is the Chairman, President and Chief Executive Officer of AGCO Corporation, Duluth, Georgia (a global leader in the design, manufacture and distribution of agricultural solutions). He holds or held the following positions at AGCO:</w:t>
      </w:r>
    </w:p>
    <w:p>
      <w:pPr>
        <w:ind w:left="160" w:hanging="154"/>
        <w:spacing w:after="0" w:line="233" w:lineRule="auto"/>
        <w:tabs>
          <w:tab w:leader="none" w:pos="1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Chairman, President and Chief Executive Officer (since January 2021)</w:t>
      </w:r>
    </w:p>
    <w:p>
      <w:pPr>
        <w:ind w:left="160" w:hanging="154"/>
        <w:spacing w:after="0"/>
        <w:tabs>
          <w:tab w:leader="none" w:pos="1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Chief Operating Officer (January 2019 – December 2020)</w:t>
      </w:r>
    </w:p>
    <w:p>
      <w:pPr>
        <w:spacing w:after="0" w:line="6" w:lineRule="exact"/>
        <w:rPr>
          <w:rFonts w:ascii="Arial" w:cs="Arial" w:eastAsia="Arial" w:hAnsi="Arial"/>
          <w:sz w:val="18"/>
          <w:szCs w:val="18"/>
          <w:color w:val="auto"/>
        </w:rPr>
      </w:pPr>
    </w:p>
    <w:p>
      <w:pPr>
        <w:ind w:left="160" w:hanging="154"/>
        <w:spacing w:after="0" w:line="232" w:lineRule="auto"/>
        <w:tabs>
          <w:tab w:leader="none" w:pos="1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Senior Vice President, Global Crop Cycle and Fuse Connected Services (January 2015 – January 2019)</w:t>
      </w:r>
    </w:p>
    <w:p>
      <w:pPr>
        <w:ind w:right="180" w:firstLine="6"/>
        <w:spacing w:after="0" w:line="245" w:lineRule="auto"/>
        <w:tabs>
          <w:tab w:leader="none" w:pos="156" w:val="left"/>
        </w:tabs>
        <w:numPr>
          <w:ilvl w:val="0"/>
          <w:numId w:val="31"/>
        </w:numPr>
        <w:rPr>
          <w:rFonts w:ascii="Arial" w:cs="Arial" w:eastAsia="Arial" w:hAnsi="Arial"/>
          <w:sz w:val="18"/>
          <w:szCs w:val="18"/>
          <w:color w:val="auto"/>
        </w:rPr>
      </w:pPr>
      <w:r>
        <w:rPr>
          <w:rFonts w:ascii="Arial" w:cs="Arial" w:eastAsia="Arial" w:hAnsi="Arial"/>
          <w:sz w:val="18"/>
          <w:szCs w:val="18"/>
          <w:color w:val="auto"/>
        </w:rPr>
        <w:t>Senior Vice President, Global Harvesting and Advanced Technology Solutions (July 2013 – January 2015) Prior to joining AGCO, Mr. Hansotia spent 20 years at Deere &amp; Company in various leadership positions including at the general manager, vice president and senior vice president levels.</w:t>
      </w:r>
    </w:p>
    <w:p>
      <w:pPr>
        <w:spacing w:after="0" w:line="55"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C00000"/>
        </w:rPr>
        <w:t>Qualifications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388620</wp:posOffset>
            </wp:positionV>
            <wp:extent cx="5523865"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552386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color w:val="auto"/>
        </w:rPr>
        <w:t>Mr. Hansotia brings to our Board deep industry experience and a strong strategic perspective and extensive</w:t>
      </w:r>
    </w:p>
    <w:p>
      <w:pPr>
        <w:spacing w:after="0" w:line="9" w:lineRule="exact"/>
        <w:rPr>
          <w:sz w:val="20"/>
          <w:szCs w:val="20"/>
          <w:color w:val="auto"/>
        </w:rPr>
      </w:pPr>
    </w:p>
    <w:p>
      <w:pPr>
        <w:jc w:val="both"/>
        <w:ind w:right="20"/>
        <w:spacing w:after="0" w:line="224" w:lineRule="auto"/>
        <w:rPr>
          <w:sz w:val="20"/>
          <w:szCs w:val="20"/>
          <w:color w:val="auto"/>
        </w:rPr>
      </w:pPr>
      <w:r>
        <w:rPr>
          <w:rFonts w:ascii="Arial" w:cs="Arial" w:eastAsia="Arial" w:hAnsi="Arial"/>
          <w:sz w:val="18"/>
          <w:szCs w:val="18"/>
          <w:color w:val="auto"/>
        </w:rPr>
        <w:t>executive leadership experience in areas critical to our Company's success, including engineering, quality, technology transitions and opportunities, manufacturing, product management, mergers and acquisitions,</w:t>
      </w:r>
    </w:p>
    <w:p>
      <w:pPr>
        <w:spacing w:after="0" w:line="232" w:lineRule="auto"/>
        <w:rPr>
          <w:sz w:val="20"/>
          <w:szCs w:val="20"/>
          <w:color w:val="auto"/>
        </w:rPr>
      </w:pPr>
      <w:r>
        <w:rPr>
          <w:rFonts w:ascii="Arial" w:cs="Arial" w:eastAsia="Arial" w:hAnsi="Arial"/>
          <w:sz w:val="18"/>
          <w:szCs w:val="18"/>
          <w:color w:val="auto"/>
        </w:rPr>
        <w:t>channel development and public company governance. He has significant international experience gained</w:t>
      </w:r>
    </w:p>
    <w:p>
      <w:pPr>
        <w:spacing w:after="0" w:line="217" w:lineRule="auto"/>
        <w:rPr>
          <w:sz w:val="20"/>
          <w:szCs w:val="20"/>
          <w:color w:val="auto"/>
        </w:rPr>
      </w:pPr>
      <w:r>
        <w:rPr>
          <w:rFonts w:ascii="Arial" w:cs="Arial" w:eastAsia="Arial" w:hAnsi="Arial"/>
          <w:sz w:val="18"/>
          <w:szCs w:val="18"/>
          <w:color w:val="auto"/>
        </w:rPr>
        <w:t>from leading global manufacturing and supply chain functions. As an individual of Indian descent, Mr.</w:t>
      </w:r>
    </w:p>
    <w:p>
      <w:pPr>
        <w:spacing w:after="0"/>
        <w:rPr>
          <w:sz w:val="20"/>
          <w:szCs w:val="20"/>
          <w:color w:val="auto"/>
        </w:rPr>
      </w:pPr>
      <w:r>
        <w:rPr>
          <w:rFonts w:ascii="Arial" w:cs="Arial" w:eastAsia="Arial" w:hAnsi="Arial"/>
          <w:sz w:val="18"/>
          <w:szCs w:val="18"/>
          <w:color w:val="auto"/>
        </w:rPr>
        <w:t>Hansotia champions diversity, equity and inclusion at AGCO and as a member of our Board.</w:t>
      </w:r>
    </w:p>
    <w:p>
      <w:pPr>
        <w:spacing w:after="0" w:line="82" w:lineRule="exact"/>
        <w:rPr>
          <w:sz w:val="20"/>
          <w:szCs w:val="20"/>
          <w:color w:val="auto"/>
        </w:rPr>
      </w:pPr>
    </w:p>
    <w:p>
      <w:pPr>
        <w:spacing w:after="0"/>
        <w:rPr>
          <w:sz w:val="20"/>
          <w:szCs w:val="20"/>
          <w:color w:val="auto"/>
        </w:rPr>
      </w:pPr>
      <w:r>
        <w:rPr>
          <w:rFonts w:ascii="Arial" w:cs="Arial" w:eastAsia="Arial" w:hAnsi="Arial"/>
          <w:sz w:val="18"/>
          <w:szCs w:val="18"/>
          <w:b w:val="1"/>
          <w:bCs w:val="1"/>
          <w:color w:val="BF2115"/>
        </w:rPr>
        <w:t>Other Public Company Boards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33020</wp:posOffset>
            </wp:positionV>
            <wp:extent cx="5523865"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5523865" cy="8255"/>
                    </a:xfrm>
                    <a:prstGeom prst="rect">
                      <a:avLst/>
                    </a:prstGeom>
                    <a:noFill/>
                  </pic:spPr>
                </pic:pic>
              </a:graphicData>
            </a:graphic>
          </wp:anchor>
        </w:drawing>
      </w:r>
    </w:p>
    <w:p>
      <w:pPr>
        <w:spacing w:after="0" w:line="53" w:lineRule="exact"/>
        <w:rPr>
          <w:sz w:val="20"/>
          <w:szCs w:val="20"/>
          <w:color w:val="auto"/>
        </w:rPr>
      </w:pPr>
    </w:p>
    <w:p>
      <w:pPr>
        <w:ind w:left="1840"/>
        <w:spacing w:after="0"/>
        <w:tabs>
          <w:tab w:leader="none" w:pos="5960" w:val="left"/>
        </w:tabs>
        <w:rPr>
          <w:sz w:val="20"/>
          <w:szCs w:val="20"/>
          <w:color w:val="auto"/>
        </w:rPr>
      </w:pPr>
      <w:r>
        <w:rPr>
          <w:rFonts w:ascii="Arial" w:cs="Arial" w:eastAsia="Arial" w:hAnsi="Arial"/>
          <w:sz w:val="18"/>
          <w:szCs w:val="18"/>
          <w:b w:val="1"/>
          <w:bCs w:val="1"/>
          <w:color w:val="auto"/>
        </w:rPr>
        <w:t>Current</w:t>
      </w:r>
      <w:r>
        <w:rPr>
          <w:sz w:val="20"/>
          <w:szCs w:val="20"/>
          <w:color w:val="auto"/>
        </w:rPr>
        <w:tab/>
      </w:r>
      <w:r>
        <w:rPr>
          <w:rFonts w:ascii="Arial" w:cs="Arial" w:eastAsia="Arial" w:hAnsi="Arial"/>
          <w:sz w:val="18"/>
          <w:szCs w:val="18"/>
          <w:b w:val="1"/>
          <w:bCs w:val="1"/>
          <w:color w:val="auto"/>
        </w:rPr>
        <w:t>Past 5 Years</w:t>
      </w:r>
    </w:p>
    <w:p>
      <w:pPr>
        <w:spacing w:after="0" w:line="49" w:lineRule="exact"/>
        <w:rPr>
          <w:sz w:val="20"/>
          <w:szCs w:val="20"/>
          <w:color w:val="auto"/>
        </w:rPr>
      </w:pPr>
    </w:p>
    <w:p>
      <w:pPr>
        <w:ind w:left="1420"/>
        <w:spacing w:after="0"/>
        <w:tabs>
          <w:tab w:leader="none" w:pos="6280" w:val="left"/>
        </w:tabs>
        <w:rPr>
          <w:sz w:val="20"/>
          <w:szCs w:val="20"/>
          <w:color w:val="auto"/>
        </w:rPr>
      </w:pPr>
      <w:r>
        <w:rPr>
          <w:rFonts w:ascii="Arial" w:cs="Arial" w:eastAsia="Arial" w:hAnsi="Arial"/>
          <w:sz w:val="18"/>
          <w:szCs w:val="18"/>
          <w:color w:val="auto"/>
        </w:rPr>
        <w:t>AGCO Corporation</w:t>
      </w:r>
      <w:r>
        <w:rPr>
          <w:sz w:val="20"/>
          <w:szCs w:val="20"/>
          <w:color w:val="auto"/>
        </w:rPr>
        <w:tab/>
      </w:r>
      <w:r>
        <w:rPr>
          <w:rFonts w:ascii="Arial" w:cs="Arial" w:eastAsia="Arial" w:hAnsi="Arial"/>
          <w:sz w:val="17"/>
          <w:szCs w:val="17"/>
          <w:color w:val="auto"/>
        </w:rPr>
        <w:t>None</w:t>
      </w:r>
    </w:p>
    <w:p>
      <w:pPr>
        <w:spacing w:after="0" w:line="200" w:lineRule="exact"/>
        <w:rPr>
          <w:sz w:val="20"/>
          <w:szCs w:val="20"/>
          <w:color w:val="auto"/>
        </w:rPr>
      </w:pPr>
    </w:p>
    <w:p>
      <w:pPr>
        <w:sectPr>
          <w:pgSz w:w="11900" w:h="16838" w:orient="portrait"/>
          <w:cols w:equalWidth="0" w:num="2">
            <w:col w:w="2242" w:space="260"/>
            <w:col w:w="8680"/>
          </w:cols>
          <w:pgMar w:left="358" w:top="1348" w:right="35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ind w:right="-1"/>
        <w:spacing w:after="0"/>
        <w:rPr>
          <w:sz w:val="20"/>
          <w:szCs w:val="20"/>
          <w:color w:val="auto"/>
        </w:rPr>
      </w:pPr>
      <w:r>
        <w:rPr>
          <w:rFonts w:ascii="Arial" w:cs="Arial" w:eastAsia="Arial" w:hAnsi="Arial"/>
          <w:sz w:val="19"/>
          <w:szCs w:val="19"/>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-31750</wp:posOffset>
            </wp:positionH>
            <wp:positionV relativeFrom="paragraph">
              <wp:posOffset>93980</wp:posOffset>
            </wp:positionV>
            <wp:extent cx="7159625"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182"/>
          </w:cols>
          <w:pgMar w:left="358" w:top="1348" w:right="359" w:bottom="1440" w:gutter="0" w:footer="0" w:header="0"/>
          <w:type w:val="continuous"/>
        </w:sectPr>
      </w:pPr>
    </w:p>
    <w:bookmarkStart w:id="25" w:name="page26"/>
    <w:bookmarkEnd w:id="2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215900</wp:posOffset>
            </wp:positionH>
            <wp:positionV relativeFrom="page">
              <wp:posOffset>749935</wp:posOffset>
            </wp:positionV>
            <wp:extent cx="1135380" cy="113538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clrChange>
                        <a:clrFrom>
                          <a:srgbClr val="FFFFFF"/>
                        </a:clrFrom>
                        <a:clrTo>
                          <a:srgbClr val="FFFFFF">
                            <a:alpha val="0"/>
                          </a:srgbClr>
                        </a:clrTo>
                      </a:clrChange>
                      <a:extLst>
                        <a:ext uri="{28A0092B-C50C-407E-A947-70E740481C1C}"/>
                      </a:extLst>
                    </a:blip>
                    <a:srcRect/>
                    <a:stretch>
                      <a:fillRect/>
                    </a:stretch>
                  </pic:blipFill>
                  <pic:spPr bwMode="auto">
                    <a:xfrm>
                      <a:off x="0" y="0"/>
                      <a:ext cx="1135380" cy="11353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color w:val="BF2115"/>
        </w:rPr>
        <w:t>D. Christian Koch</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Age 60</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Director since 2016</w:t>
      </w:r>
    </w:p>
    <w:p>
      <w:pPr>
        <w:spacing w:after="0" w:line="47" w:lineRule="exact"/>
        <w:rPr>
          <w:sz w:val="20"/>
          <w:szCs w:val="20"/>
          <w:color w:val="auto"/>
        </w:rPr>
      </w:pPr>
    </w:p>
    <w:p>
      <w:pPr>
        <w:spacing w:after="0"/>
        <w:rPr>
          <w:sz w:val="20"/>
          <w:szCs w:val="20"/>
          <w:color w:val="auto"/>
        </w:rPr>
      </w:pPr>
      <w:r>
        <w:rPr>
          <w:rFonts w:ascii="Arial" w:cs="Arial" w:eastAsia="Arial" w:hAnsi="Arial"/>
          <w:sz w:val="18"/>
          <w:szCs w:val="18"/>
          <w:color w:val="auto"/>
        </w:rPr>
        <w:t>Independent</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b w:val="1"/>
          <w:bCs w:val="1"/>
          <w:color w:val="BF2115"/>
        </w:rPr>
        <w:t>Committees</w:t>
      </w:r>
    </w:p>
    <w:p>
      <w:pPr>
        <w:spacing w:after="0" w:line="11" w:lineRule="exact"/>
        <w:rPr>
          <w:sz w:val="20"/>
          <w:szCs w:val="20"/>
          <w:color w:val="auto"/>
        </w:rPr>
      </w:pPr>
    </w:p>
    <w:p>
      <w:pPr>
        <w:ind w:left="160" w:right="140" w:hanging="156"/>
        <w:spacing w:after="0" w:line="224" w:lineRule="auto"/>
        <w:tabs>
          <w:tab w:leader="none" w:pos="155" w:val="left"/>
        </w:tabs>
        <w:numPr>
          <w:ilvl w:val="0"/>
          <w:numId w:val="32"/>
        </w:numPr>
        <w:rPr>
          <w:rFonts w:ascii="Arial" w:cs="Arial" w:eastAsia="Arial" w:hAnsi="Arial"/>
          <w:sz w:val="18"/>
          <w:szCs w:val="18"/>
          <w:color w:val="auto"/>
        </w:rPr>
      </w:pPr>
      <w:r>
        <w:rPr>
          <w:rFonts w:ascii="Arial" w:cs="Arial" w:eastAsia="Arial" w:hAnsi="Arial"/>
          <w:sz w:val="18"/>
          <w:szCs w:val="18"/>
          <w:color w:val="auto"/>
        </w:rPr>
        <w:t>Compensation &amp; Human Resources</w:t>
      </w:r>
    </w:p>
    <w:p>
      <w:pPr>
        <w:ind w:left="160" w:hanging="156"/>
        <w:spacing w:after="0" w:line="243" w:lineRule="auto"/>
        <w:tabs>
          <w:tab w:leader="none" w:pos="155" w:val="left"/>
        </w:tabs>
        <w:numPr>
          <w:ilvl w:val="0"/>
          <w:numId w:val="32"/>
        </w:numPr>
        <w:rPr>
          <w:rFonts w:ascii="Arial" w:cs="Arial" w:eastAsia="Arial" w:hAnsi="Arial"/>
          <w:sz w:val="18"/>
          <w:szCs w:val="18"/>
          <w:color w:val="auto"/>
        </w:rPr>
      </w:pPr>
      <w:r>
        <w:rPr>
          <w:rFonts w:ascii="Arial" w:cs="Arial" w:eastAsia="Arial" w:hAnsi="Arial"/>
          <w:sz w:val="18"/>
          <w:szCs w:val="18"/>
          <w:color w:val="auto"/>
        </w:rPr>
        <w:t>Nominating &amp; Governance (Chair)</w:t>
      </w:r>
    </w:p>
    <w:p>
      <w:pPr>
        <w:spacing w:after="0" w:line="20" w:lineRule="exact"/>
        <w:rPr>
          <w:sz w:val="20"/>
          <w:szCs w:val="20"/>
          <w:color w:val="auto"/>
        </w:rPr>
      </w:pPr>
      <w:r>
        <w:rPr>
          <w:sz w:val="20"/>
          <w:szCs w:val="20"/>
          <w:color w:val="auto"/>
        </w:rPr>
        <w:br w:type="column"/>
      </w:r>
    </w:p>
    <w:p>
      <w:pPr>
        <w:ind w:left="7"/>
        <w:spacing w:after="0"/>
        <w:rPr>
          <w:sz w:val="20"/>
          <w:szCs w:val="20"/>
          <w:color w:val="auto"/>
        </w:rPr>
      </w:pPr>
      <w:r>
        <w:rPr>
          <w:rFonts w:ascii="Arial" w:cs="Arial" w:eastAsia="Arial" w:hAnsi="Arial"/>
          <w:sz w:val="18"/>
          <w:szCs w:val="18"/>
          <w:b w:val="1"/>
          <w:bCs w:val="1"/>
          <w:color w:val="BF2115"/>
        </w:rPr>
        <w:t>Background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15875</wp:posOffset>
            </wp:positionV>
            <wp:extent cx="5523865"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5523865" cy="8255"/>
                    </a:xfrm>
                    <a:prstGeom prst="rect">
                      <a:avLst/>
                    </a:prstGeom>
                    <a:noFill/>
                  </pic:spPr>
                </pic:pic>
              </a:graphicData>
            </a:graphic>
          </wp:anchor>
        </w:drawing>
      </w:r>
    </w:p>
    <w:p>
      <w:pPr>
        <w:spacing w:after="0" w:line="82" w:lineRule="exact"/>
        <w:rPr>
          <w:sz w:val="20"/>
          <w:szCs w:val="20"/>
          <w:color w:val="auto"/>
        </w:rPr>
      </w:pPr>
    </w:p>
    <w:p>
      <w:pPr>
        <w:ind w:left="7" w:right="80"/>
        <w:spacing w:after="0" w:line="243" w:lineRule="auto"/>
        <w:rPr>
          <w:sz w:val="20"/>
          <w:szCs w:val="20"/>
          <w:color w:val="auto"/>
        </w:rPr>
      </w:pPr>
      <w:r>
        <w:rPr>
          <w:rFonts w:ascii="Arial" w:cs="Arial" w:eastAsia="Arial" w:hAnsi="Arial"/>
          <w:sz w:val="18"/>
          <w:szCs w:val="18"/>
          <w:color w:val="auto"/>
        </w:rPr>
        <w:t>D. Christian Koch is the Chair, President and Chief Executive Officer of Carlisle Companies Incorporated, Scottsdale, Arizona (a portfolio of building product businesses). He holds or held the following positions, all at Carlisle:</w:t>
      </w:r>
    </w:p>
    <w:p>
      <w:pPr>
        <w:spacing w:after="0" w:line="1" w:lineRule="exact"/>
        <w:rPr>
          <w:sz w:val="20"/>
          <w:szCs w:val="20"/>
          <w:color w:val="auto"/>
        </w:rPr>
      </w:pPr>
    </w:p>
    <w:p>
      <w:pPr>
        <w:ind w:left="147" w:hanging="147"/>
        <w:spacing w:after="0"/>
        <w:tabs>
          <w:tab w:leader="none" w:pos="147" w:val="left"/>
        </w:tabs>
        <w:numPr>
          <w:ilvl w:val="0"/>
          <w:numId w:val="33"/>
        </w:numPr>
        <w:rPr>
          <w:rFonts w:ascii="Times New Roman" w:cs="Times New Roman" w:eastAsia="Times New Roman" w:hAnsi="Times New Roman"/>
          <w:sz w:val="16"/>
          <w:szCs w:val="16"/>
          <w:color w:val="auto"/>
        </w:rPr>
      </w:pPr>
      <w:r>
        <w:rPr>
          <w:rFonts w:ascii="Arial" w:cs="Arial" w:eastAsia="Arial" w:hAnsi="Arial"/>
          <w:sz w:val="18"/>
          <w:szCs w:val="18"/>
          <w:color w:val="auto"/>
        </w:rPr>
        <w:t>Chairman (since May 2020)</w:t>
      </w:r>
    </w:p>
    <w:p>
      <w:pPr>
        <w:spacing w:after="0" w:line="6" w:lineRule="exact"/>
        <w:rPr>
          <w:rFonts w:ascii="Times New Roman" w:cs="Times New Roman" w:eastAsia="Times New Roman" w:hAnsi="Times New Roman"/>
          <w:sz w:val="16"/>
          <w:szCs w:val="16"/>
          <w:color w:val="auto"/>
        </w:rPr>
      </w:pPr>
    </w:p>
    <w:p>
      <w:pPr>
        <w:ind w:left="147" w:hanging="147"/>
        <w:spacing w:after="0"/>
        <w:tabs>
          <w:tab w:leader="none" w:pos="147" w:val="left"/>
        </w:tabs>
        <w:numPr>
          <w:ilvl w:val="0"/>
          <w:numId w:val="33"/>
        </w:numPr>
        <w:rPr>
          <w:rFonts w:ascii="Times New Roman" w:cs="Times New Roman" w:eastAsia="Times New Roman" w:hAnsi="Times New Roman"/>
          <w:sz w:val="16"/>
          <w:szCs w:val="16"/>
          <w:color w:val="auto"/>
        </w:rPr>
      </w:pPr>
      <w:r>
        <w:rPr>
          <w:rFonts w:ascii="Arial" w:cs="Arial" w:eastAsia="Arial" w:hAnsi="Arial"/>
          <w:sz w:val="18"/>
          <w:szCs w:val="18"/>
          <w:color w:val="auto"/>
        </w:rPr>
        <w:t>Chief Executive Officer (since January 2016)</w:t>
      </w:r>
    </w:p>
    <w:p>
      <w:pPr>
        <w:spacing w:after="0" w:line="6" w:lineRule="exact"/>
        <w:rPr>
          <w:rFonts w:ascii="Times New Roman" w:cs="Times New Roman" w:eastAsia="Times New Roman" w:hAnsi="Times New Roman"/>
          <w:sz w:val="16"/>
          <w:szCs w:val="16"/>
          <w:color w:val="auto"/>
        </w:rPr>
      </w:pPr>
    </w:p>
    <w:p>
      <w:pPr>
        <w:ind w:left="147" w:hanging="147"/>
        <w:spacing w:after="0" w:line="232" w:lineRule="auto"/>
        <w:tabs>
          <w:tab w:leader="none" w:pos="147" w:val="left"/>
        </w:tabs>
        <w:numPr>
          <w:ilvl w:val="0"/>
          <w:numId w:val="33"/>
        </w:numPr>
        <w:rPr>
          <w:rFonts w:ascii="Arial" w:cs="Arial" w:eastAsia="Arial" w:hAnsi="Arial"/>
          <w:sz w:val="18"/>
          <w:szCs w:val="18"/>
          <w:color w:val="auto"/>
        </w:rPr>
      </w:pPr>
      <w:r>
        <w:rPr>
          <w:rFonts w:ascii="Arial" w:cs="Arial" w:eastAsia="Arial" w:hAnsi="Arial"/>
          <w:sz w:val="18"/>
          <w:szCs w:val="18"/>
          <w:color w:val="auto"/>
        </w:rPr>
        <w:t>President (since May 2014)</w:t>
      </w:r>
    </w:p>
    <w:p>
      <w:pPr>
        <w:ind w:left="147" w:hanging="147"/>
        <w:spacing w:after="0"/>
        <w:tabs>
          <w:tab w:leader="none" w:pos="147" w:val="left"/>
        </w:tabs>
        <w:numPr>
          <w:ilvl w:val="0"/>
          <w:numId w:val="33"/>
        </w:numPr>
        <w:rPr>
          <w:rFonts w:ascii="Times New Roman" w:cs="Times New Roman" w:eastAsia="Times New Roman" w:hAnsi="Times New Roman"/>
          <w:sz w:val="16"/>
          <w:szCs w:val="16"/>
          <w:color w:val="auto"/>
        </w:rPr>
      </w:pPr>
      <w:r>
        <w:rPr>
          <w:rFonts w:ascii="Arial" w:cs="Arial" w:eastAsia="Arial" w:hAnsi="Arial"/>
          <w:sz w:val="18"/>
          <w:szCs w:val="18"/>
          <w:color w:val="auto"/>
        </w:rPr>
        <w:t>Chief Operating Officer (May 2014 – January 2016)</w:t>
      </w:r>
    </w:p>
    <w:p>
      <w:pPr>
        <w:spacing w:after="0" w:line="6" w:lineRule="exact"/>
        <w:rPr>
          <w:rFonts w:ascii="Times New Roman" w:cs="Times New Roman" w:eastAsia="Times New Roman" w:hAnsi="Times New Roman"/>
          <w:sz w:val="16"/>
          <w:szCs w:val="16"/>
          <w:color w:val="auto"/>
        </w:rPr>
      </w:pPr>
    </w:p>
    <w:p>
      <w:pPr>
        <w:ind w:left="147" w:hanging="147"/>
        <w:spacing w:after="0"/>
        <w:tabs>
          <w:tab w:leader="none" w:pos="147" w:val="left"/>
        </w:tabs>
        <w:numPr>
          <w:ilvl w:val="0"/>
          <w:numId w:val="33"/>
        </w:numPr>
        <w:rPr>
          <w:rFonts w:ascii="Times New Roman" w:cs="Times New Roman" w:eastAsia="Times New Roman" w:hAnsi="Times New Roman"/>
          <w:sz w:val="16"/>
          <w:szCs w:val="16"/>
          <w:color w:val="auto"/>
        </w:rPr>
      </w:pPr>
      <w:r>
        <w:rPr>
          <w:rFonts w:ascii="Arial" w:cs="Arial" w:eastAsia="Arial" w:hAnsi="Arial"/>
          <w:sz w:val="18"/>
          <w:szCs w:val="18"/>
          <w:color w:val="auto"/>
        </w:rPr>
        <w:t>Group President, Carlisle Diversified Products (June 2012 – May 2014)</w:t>
      </w:r>
    </w:p>
    <w:p>
      <w:pPr>
        <w:spacing w:after="0" w:line="6" w:lineRule="exact"/>
        <w:rPr>
          <w:rFonts w:ascii="Times New Roman" w:cs="Times New Roman" w:eastAsia="Times New Roman" w:hAnsi="Times New Roman"/>
          <w:sz w:val="16"/>
          <w:szCs w:val="16"/>
          <w:color w:val="auto"/>
        </w:rPr>
      </w:pPr>
    </w:p>
    <w:p>
      <w:pPr>
        <w:ind w:left="147" w:hanging="147"/>
        <w:spacing w:after="0" w:line="232" w:lineRule="auto"/>
        <w:tabs>
          <w:tab w:leader="none" w:pos="147" w:val="left"/>
        </w:tabs>
        <w:numPr>
          <w:ilvl w:val="0"/>
          <w:numId w:val="33"/>
        </w:numPr>
        <w:rPr>
          <w:rFonts w:ascii="Times New Roman" w:cs="Times New Roman" w:eastAsia="Times New Roman" w:hAnsi="Times New Roman"/>
          <w:sz w:val="16"/>
          <w:szCs w:val="16"/>
          <w:color w:val="auto"/>
        </w:rPr>
      </w:pPr>
      <w:r>
        <w:rPr>
          <w:rFonts w:ascii="Arial" w:cs="Arial" w:eastAsia="Arial" w:hAnsi="Arial"/>
          <w:sz w:val="18"/>
          <w:szCs w:val="18"/>
          <w:color w:val="auto"/>
        </w:rPr>
        <w:t>President, Carlisle Brake &amp; Friction (January 2009 – June 2012)</w:t>
      </w:r>
    </w:p>
    <w:p>
      <w:pPr>
        <w:ind w:left="147" w:hanging="147"/>
        <w:spacing w:after="0"/>
        <w:tabs>
          <w:tab w:leader="none" w:pos="147" w:val="left"/>
        </w:tabs>
        <w:numPr>
          <w:ilvl w:val="0"/>
          <w:numId w:val="33"/>
        </w:numPr>
        <w:rPr>
          <w:rFonts w:ascii="Times New Roman" w:cs="Times New Roman" w:eastAsia="Times New Roman" w:hAnsi="Times New Roman"/>
          <w:sz w:val="16"/>
          <w:szCs w:val="16"/>
          <w:color w:val="auto"/>
        </w:rPr>
      </w:pPr>
      <w:r>
        <w:rPr>
          <w:rFonts w:ascii="Arial" w:cs="Arial" w:eastAsia="Arial" w:hAnsi="Arial"/>
          <w:sz w:val="18"/>
          <w:szCs w:val="18"/>
          <w:color w:val="auto"/>
        </w:rPr>
        <w:t>President, Carlisle Asia-Pacific (February 2008 – January 2009)</w:t>
      </w:r>
    </w:p>
    <w:p>
      <w:pPr>
        <w:spacing w:after="0" w:line="82" w:lineRule="exact"/>
        <w:rPr>
          <w:sz w:val="20"/>
          <w:szCs w:val="20"/>
          <w:color w:val="auto"/>
        </w:rPr>
      </w:pPr>
    </w:p>
    <w:p>
      <w:pPr>
        <w:ind w:left="7"/>
        <w:spacing w:after="0"/>
        <w:rPr>
          <w:sz w:val="20"/>
          <w:szCs w:val="20"/>
          <w:color w:val="auto"/>
        </w:rPr>
      </w:pPr>
      <w:r>
        <w:rPr>
          <w:rFonts w:ascii="Arial" w:cs="Arial" w:eastAsia="Arial" w:hAnsi="Arial"/>
          <w:sz w:val="18"/>
          <w:szCs w:val="18"/>
          <w:b w:val="1"/>
          <w:bCs w:val="1"/>
          <w:color w:val="C00000"/>
        </w:rPr>
        <w:t>Qualifications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92075</wp:posOffset>
            </wp:positionV>
            <wp:extent cx="5523865"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5523865" cy="8255"/>
                    </a:xfrm>
                    <a:prstGeom prst="rect">
                      <a:avLst/>
                    </a:prstGeom>
                    <a:noFill/>
                  </pic:spPr>
                </pic:pic>
              </a:graphicData>
            </a:graphic>
          </wp:anchor>
        </w:drawing>
      </w:r>
    </w:p>
    <w:p>
      <w:pPr>
        <w:spacing w:after="0" w:line="335" w:lineRule="exact"/>
        <w:rPr>
          <w:sz w:val="20"/>
          <w:szCs w:val="20"/>
          <w:color w:val="auto"/>
        </w:rPr>
      </w:pPr>
    </w:p>
    <w:p>
      <w:pPr>
        <w:ind w:left="7"/>
        <w:spacing w:after="0"/>
        <w:rPr>
          <w:sz w:val="20"/>
          <w:szCs w:val="20"/>
          <w:color w:val="auto"/>
        </w:rPr>
      </w:pPr>
      <w:r>
        <w:rPr>
          <w:rFonts w:ascii="Arial" w:cs="Arial" w:eastAsia="Arial" w:hAnsi="Arial"/>
          <w:sz w:val="18"/>
          <w:szCs w:val="18"/>
          <w:color w:val="auto"/>
        </w:rPr>
        <w:t>Mr. Koch brings to our Board his experience as a seasoned executive with strong business acumen and</w:t>
      </w:r>
    </w:p>
    <w:p>
      <w:pPr>
        <w:spacing w:after="0" w:line="9" w:lineRule="exact"/>
        <w:rPr>
          <w:sz w:val="20"/>
          <w:szCs w:val="20"/>
          <w:color w:val="auto"/>
        </w:rPr>
      </w:pPr>
    </w:p>
    <w:p>
      <w:pPr>
        <w:ind w:left="7"/>
        <w:spacing w:after="0" w:line="224" w:lineRule="auto"/>
        <w:rPr>
          <w:sz w:val="20"/>
          <w:szCs w:val="20"/>
          <w:color w:val="auto"/>
        </w:rPr>
      </w:pPr>
      <w:r>
        <w:rPr>
          <w:rFonts w:ascii="Arial" w:cs="Arial" w:eastAsia="Arial" w:hAnsi="Arial"/>
          <w:sz w:val="18"/>
          <w:szCs w:val="18"/>
          <w:color w:val="auto"/>
        </w:rPr>
        <w:t>significant experience managing distribution, supply chain, manufacturing and sales operations around the world as well as with mergers and acquisitions and long-range planning. In addition, as a public company</w:t>
      </w:r>
    </w:p>
    <w:p>
      <w:pPr>
        <w:spacing w:after="0" w:line="1" w:lineRule="exact"/>
        <w:rPr>
          <w:sz w:val="20"/>
          <w:szCs w:val="20"/>
          <w:color w:val="auto"/>
        </w:rPr>
      </w:pPr>
    </w:p>
    <w:p>
      <w:pPr>
        <w:ind w:left="7" w:right="20"/>
        <w:spacing w:after="0" w:line="243" w:lineRule="auto"/>
        <w:rPr>
          <w:sz w:val="20"/>
          <w:szCs w:val="20"/>
          <w:color w:val="auto"/>
        </w:rPr>
      </w:pPr>
      <w:r>
        <w:rPr>
          <w:rFonts w:ascii="Arial" w:cs="Arial" w:eastAsia="Arial" w:hAnsi="Arial"/>
          <w:sz w:val="18"/>
          <w:szCs w:val="18"/>
          <w:color w:val="auto"/>
        </w:rPr>
        <w:t>director and executive, Mr. Koch contributes a solid understanding of financial oversight, strategic planning, executive compensation, talent development and corporate governance.</w:t>
      </w:r>
    </w:p>
    <w:p>
      <w:pPr>
        <w:spacing w:after="0" w:line="57" w:lineRule="exact"/>
        <w:rPr>
          <w:sz w:val="20"/>
          <w:szCs w:val="20"/>
          <w:color w:val="auto"/>
        </w:rPr>
      </w:pPr>
    </w:p>
    <w:p>
      <w:pPr>
        <w:ind w:left="7"/>
        <w:spacing w:after="0"/>
        <w:rPr>
          <w:sz w:val="20"/>
          <w:szCs w:val="20"/>
          <w:color w:val="auto"/>
        </w:rPr>
      </w:pPr>
      <w:r>
        <w:rPr>
          <w:rFonts w:ascii="Arial" w:cs="Arial" w:eastAsia="Arial" w:hAnsi="Arial"/>
          <w:sz w:val="18"/>
          <w:szCs w:val="18"/>
          <w:b w:val="1"/>
          <w:bCs w:val="1"/>
          <w:color w:val="BF2115"/>
        </w:rPr>
        <w:t>Other Public Company Boards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33020</wp:posOffset>
            </wp:positionV>
            <wp:extent cx="5523865"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5523865" cy="8255"/>
                    </a:xfrm>
                    <a:prstGeom prst="rect">
                      <a:avLst/>
                    </a:prstGeom>
                    <a:noFill/>
                  </pic:spPr>
                </pic:pic>
              </a:graphicData>
            </a:graphic>
          </wp:anchor>
        </w:drawing>
      </w:r>
    </w:p>
    <w:p>
      <w:pPr>
        <w:spacing w:after="0" w:line="53" w:lineRule="exact"/>
        <w:rPr>
          <w:sz w:val="20"/>
          <w:szCs w:val="20"/>
          <w:color w:val="auto"/>
        </w:rPr>
      </w:pPr>
    </w:p>
    <w:p>
      <w:pPr>
        <w:ind w:left="1827"/>
        <w:spacing w:after="0"/>
        <w:tabs>
          <w:tab w:leader="none" w:pos="5967" w:val="left"/>
        </w:tabs>
        <w:rPr>
          <w:sz w:val="20"/>
          <w:szCs w:val="20"/>
          <w:color w:val="auto"/>
        </w:rPr>
      </w:pPr>
      <w:r>
        <w:rPr>
          <w:rFonts w:ascii="Arial" w:cs="Arial" w:eastAsia="Arial" w:hAnsi="Arial"/>
          <w:sz w:val="18"/>
          <w:szCs w:val="18"/>
          <w:b w:val="1"/>
          <w:bCs w:val="1"/>
          <w:color w:val="auto"/>
        </w:rPr>
        <w:t>Current</w:t>
      </w:r>
      <w:r>
        <w:rPr>
          <w:sz w:val="20"/>
          <w:szCs w:val="20"/>
          <w:color w:val="auto"/>
        </w:rPr>
        <w:tab/>
      </w:r>
      <w:r>
        <w:rPr>
          <w:rFonts w:ascii="Arial" w:cs="Arial" w:eastAsia="Arial" w:hAnsi="Arial"/>
          <w:sz w:val="18"/>
          <w:szCs w:val="18"/>
          <w:b w:val="1"/>
          <w:bCs w:val="1"/>
          <w:color w:val="auto"/>
        </w:rPr>
        <w:t>Past 5 Years</w:t>
      </w:r>
    </w:p>
    <w:p>
      <w:pPr>
        <w:spacing w:after="0" w:line="49" w:lineRule="exact"/>
        <w:rPr>
          <w:sz w:val="20"/>
          <w:szCs w:val="20"/>
          <w:color w:val="auto"/>
        </w:rPr>
      </w:pPr>
    </w:p>
    <w:p>
      <w:pPr>
        <w:ind w:left="1227"/>
        <w:spacing w:after="0"/>
        <w:tabs>
          <w:tab w:leader="none" w:pos="6267" w:val="left"/>
        </w:tabs>
        <w:rPr>
          <w:sz w:val="20"/>
          <w:szCs w:val="20"/>
          <w:color w:val="auto"/>
        </w:rPr>
      </w:pPr>
      <w:r>
        <w:rPr>
          <w:rFonts w:ascii="Arial" w:cs="Arial" w:eastAsia="Arial" w:hAnsi="Arial"/>
          <w:sz w:val="18"/>
          <w:szCs w:val="18"/>
          <w:color w:val="auto"/>
        </w:rPr>
        <w:t>Carlisle Companies Inc.</w:t>
      </w:r>
      <w:r>
        <w:rPr>
          <w:sz w:val="20"/>
          <w:szCs w:val="20"/>
          <w:color w:val="auto"/>
        </w:rPr>
        <w:tab/>
      </w:r>
      <w:r>
        <w:rPr>
          <w:rFonts w:ascii="Arial" w:cs="Arial" w:eastAsia="Arial" w:hAnsi="Arial"/>
          <w:sz w:val="18"/>
          <w:szCs w:val="18"/>
          <w:color w:val="auto"/>
        </w:rPr>
        <w:t>None</w:t>
      </w:r>
    </w:p>
    <w:p>
      <w:pPr>
        <w:spacing w:after="0" w:line="200" w:lineRule="exact"/>
        <w:rPr>
          <w:sz w:val="20"/>
          <w:szCs w:val="20"/>
          <w:color w:val="auto"/>
        </w:rPr>
      </w:pPr>
    </w:p>
    <w:p>
      <w:pPr>
        <w:sectPr>
          <w:pgSz w:w="11900" w:h="16838" w:orient="portrait"/>
          <w:cols w:equalWidth="0" w:num="2">
            <w:col w:w="2240" w:space="273"/>
            <w:col w:w="8667"/>
          </w:cols>
          <w:pgMar w:left="340" w:top="1188" w:right="3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ind w:right="-19"/>
        <w:spacing w:after="0"/>
        <w:rPr>
          <w:sz w:val="20"/>
          <w:szCs w:val="20"/>
          <w:color w:val="auto"/>
        </w:rPr>
      </w:pPr>
      <w:r>
        <w:rPr>
          <w:rFonts w:ascii="Arial" w:cs="Arial" w:eastAsia="Arial" w:hAnsi="Arial"/>
          <w:sz w:val="21"/>
          <w:szCs w:val="21"/>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-20320</wp:posOffset>
            </wp:positionH>
            <wp:positionV relativeFrom="paragraph">
              <wp:posOffset>79375</wp:posOffset>
            </wp:positionV>
            <wp:extent cx="7159625"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180"/>
          </w:cols>
          <w:pgMar w:left="340" w:top="1188" w:right="379" w:bottom="1440" w:gutter="0" w:footer="0" w:header="0"/>
          <w:type w:val="continuous"/>
        </w:sectPr>
      </w:pPr>
    </w:p>
    <w:bookmarkStart w:id="26" w:name="page27"/>
    <w:bookmarkEnd w:id="26"/>
    <w:p>
      <w:pPr>
        <w:jc w:val="center"/>
        <w:spacing w:after="0"/>
        <w:rPr>
          <w:sz w:val="20"/>
          <w:szCs w:val="20"/>
          <w:color w:val="auto"/>
        </w:rPr>
      </w:pPr>
      <w:r>
        <w:rPr>
          <w:rFonts w:ascii="Arial" w:cs="Arial" w:eastAsia="Arial" w:hAnsi="Arial"/>
          <w:sz w:val="21"/>
          <w:szCs w:val="21"/>
          <w:b w:val="1"/>
          <w:bCs w:val="1"/>
          <w:color w:val="FFFFFF"/>
        </w:rPr>
        <w:t>DIRECTOR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-151765</wp:posOffset>
            </wp:positionV>
            <wp:extent cx="7134225" cy="1866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34225" cy="186690"/>
                    </a:xfrm>
                    <a:prstGeom prst="rect">
                      <a:avLst/>
                    </a:prstGeom>
                    <a:noFill/>
                  </pic:spPr>
                </pic:pic>
              </a:graphicData>
            </a:graphic>
          </wp:anchor>
        </w:drawing>
      </w:r>
    </w:p>
    <w:p>
      <w:pPr>
        <w:spacing w:after="0" w:line="317" w:lineRule="exact"/>
        <w:rPr>
          <w:sz w:val="20"/>
          <w:szCs w:val="20"/>
          <w:color w:val="auto"/>
        </w:rPr>
      </w:pPr>
    </w:p>
    <w:p>
      <w:pPr>
        <w:spacing w:after="0"/>
        <w:rPr>
          <w:sz w:val="20"/>
          <w:szCs w:val="20"/>
          <w:color w:val="auto"/>
        </w:rPr>
      </w:pPr>
      <w:r>
        <w:rPr>
          <w:rFonts w:ascii="Arial" w:cs="Arial" w:eastAsia="Arial" w:hAnsi="Arial"/>
          <w:sz w:val="20"/>
          <w:szCs w:val="20"/>
          <w:b w:val="1"/>
          <w:bCs w:val="1"/>
          <w:color w:val="C00000"/>
        </w:rPr>
        <w:t>Director Compensation Program for Fiscal 2024</w:t>
      </w:r>
    </w:p>
    <w:p>
      <w:pPr>
        <w:spacing w:after="0" w:line="82" w:lineRule="exact"/>
        <w:rPr>
          <w:sz w:val="20"/>
          <w:szCs w:val="20"/>
          <w:color w:val="auto"/>
        </w:rPr>
      </w:pPr>
    </w:p>
    <w:p>
      <w:pPr>
        <w:ind w:firstLine="320"/>
        <w:spacing w:after="0" w:line="234" w:lineRule="auto"/>
        <w:rPr>
          <w:sz w:val="20"/>
          <w:szCs w:val="20"/>
          <w:color w:val="auto"/>
        </w:rPr>
      </w:pPr>
      <w:r>
        <w:rPr>
          <w:rFonts w:ascii="Arial" w:cs="Arial" w:eastAsia="Arial" w:hAnsi="Arial"/>
          <w:sz w:val="18"/>
          <w:szCs w:val="18"/>
          <w:b w:val="1"/>
          <w:bCs w:val="1"/>
          <w:color w:val="auto"/>
        </w:rPr>
        <w:t xml:space="preserve">Overview. </w:t>
      </w:r>
      <w:r>
        <w:rPr>
          <w:rFonts w:ascii="Arial" w:cs="Arial" w:eastAsia="Arial" w:hAnsi="Arial"/>
          <w:sz w:val="18"/>
          <w:szCs w:val="18"/>
          <w:color w:val="auto"/>
        </w:rPr>
        <w:t>Our non-employee director compensation program is designed to attract and retain experienced and knowledgeable directors</w:t>
      </w:r>
      <w:r>
        <w:rPr>
          <w:rFonts w:ascii="Arial" w:cs="Arial" w:eastAsia="Arial" w:hAnsi="Arial"/>
          <w:sz w:val="18"/>
          <w:szCs w:val="18"/>
          <w:b w:val="1"/>
          <w:bCs w:val="1"/>
          <w:color w:val="auto"/>
        </w:rPr>
        <w:t xml:space="preserve"> </w:t>
      </w:r>
      <w:r>
        <w:rPr>
          <w:rFonts w:ascii="Arial" w:cs="Arial" w:eastAsia="Arial" w:hAnsi="Arial"/>
          <w:sz w:val="18"/>
          <w:szCs w:val="18"/>
          <w:color w:val="auto"/>
        </w:rPr>
        <w:t>and to provide equity-based compensation to align the interests of our directors with those of our shareholders. In fiscal 2024, our non-</w:t>
      </w:r>
    </w:p>
    <w:p>
      <w:pPr>
        <w:spacing w:after="0" w:line="233" w:lineRule="auto"/>
        <w:rPr>
          <w:sz w:val="20"/>
          <w:szCs w:val="20"/>
          <w:color w:val="auto"/>
        </w:rPr>
      </w:pPr>
      <w:r>
        <w:rPr>
          <w:rFonts w:ascii="Arial" w:cs="Arial" w:eastAsia="Arial" w:hAnsi="Arial"/>
          <w:sz w:val="18"/>
          <w:szCs w:val="18"/>
          <w:color w:val="auto"/>
        </w:rPr>
        <w:t>employee director compensation was comprised of equity compensation, in the form of annual stock and stock option awards, and cash</w:t>
      </w:r>
    </w:p>
    <w:p>
      <w:pPr>
        <w:spacing w:after="0" w:line="1" w:lineRule="exact"/>
        <w:rPr>
          <w:sz w:val="20"/>
          <w:szCs w:val="20"/>
          <w:color w:val="auto"/>
        </w:rPr>
      </w:pPr>
    </w:p>
    <w:p>
      <w:pPr>
        <w:spacing w:after="0" w:line="237" w:lineRule="auto"/>
        <w:rPr>
          <w:sz w:val="20"/>
          <w:szCs w:val="20"/>
          <w:color w:val="auto"/>
        </w:rPr>
      </w:pPr>
      <w:r>
        <w:rPr>
          <w:rFonts w:ascii="Arial" w:cs="Arial" w:eastAsia="Arial" w:hAnsi="Arial"/>
          <w:sz w:val="17"/>
          <w:szCs w:val="17"/>
          <w:color w:val="auto"/>
        </w:rPr>
        <w:t>compensation, in the form of annual retainers that are paid quarterly. Each of the components of our Board compensation is described in more detail below. The Board compensation program structure, together with the feature of the program that enables our directors to elect to receive</w:t>
      </w:r>
    </w:p>
    <w:p>
      <w:pPr>
        <w:spacing w:after="0" w:line="233" w:lineRule="auto"/>
        <w:rPr>
          <w:sz w:val="20"/>
          <w:szCs w:val="20"/>
          <w:color w:val="auto"/>
        </w:rPr>
      </w:pPr>
      <w:r>
        <w:rPr>
          <w:rFonts w:ascii="Arial" w:cs="Arial" w:eastAsia="Arial" w:hAnsi="Arial"/>
          <w:sz w:val="18"/>
          <w:szCs w:val="18"/>
          <w:color w:val="auto"/>
        </w:rPr>
        <w:t>a portion or all of their cash compensation in the form of our common stock, causes a substantial portion of our non-employee director</w:t>
      </w:r>
    </w:p>
    <w:p>
      <w:pPr>
        <w:spacing w:after="0" w:line="237" w:lineRule="auto"/>
        <w:rPr>
          <w:sz w:val="20"/>
          <w:szCs w:val="20"/>
          <w:color w:val="auto"/>
        </w:rPr>
      </w:pPr>
      <w:r>
        <w:rPr>
          <w:rFonts w:ascii="Arial" w:cs="Arial" w:eastAsia="Arial" w:hAnsi="Arial"/>
          <w:sz w:val="17"/>
          <w:szCs w:val="17"/>
          <w:color w:val="auto"/>
        </w:rPr>
        <w:t>compensation to be linked to our common stock performance. All equity-based compensation paid to our non-employee directors is granted under our then current shareholder-approved plan. As a current employee director, Mr. Olson does not receive any additional compensation for</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his service as a director.</w:t>
      </w:r>
    </w:p>
    <w:p>
      <w:pPr>
        <w:spacing w:after="0" w:line="82" w:lineRule="exact"/>
        <w:rPr>
          <w:sz w:val="20"/>
          <w:szCs w:val="20"/>
          <w:color w:val="auto"/>
        </w:rPr>
      </w:pPr>
    </w:p>
    <w:p>
      <w:pPr>
        <w:ind w:firstLine="320"/>
        <w:spacing w:after="0" w:line="248" w:lineRule="auto"/>
        <w:rPr>
          <w:sz w:val="20"/>
          <w:szCs w:val="20"/>
          <w:color w:val="auto"/>
        </w:rPr>
      </w:pPr>
      <w:r>
        <w:rPr>
          <w:rFonts w:ascii="Arial" w:cs="Arial" w:eastAsia="Arial" w:hAnsi="Arial"/>
          <w:sz w:val="17"/>
          <w:szCs w:val="17"/>
          <w:b w:val="1"/>
          <w:bCs w:val="1"/>
          <w:color w:val="auto"/>
        </w:rPr>
        <w:t xml:space="preserve">Process for Consideration and Determination of Director Compensation. </w:t>
      </w:r>
      <w:r>
        <w:rPr>
          <w:rFonts w:ascii="Arial" w:cs="Arial" w:eastAsia="Arial" w:hAnsi="Arial"/>
          <w:sz w:val="17"/>
          <w:szCs w:val="17"/>
          <w:color w:val="auto"/>
        </w:rPr>
        <w:t>The Board has delegated to the Compensation &amp; Human</w:t>
      </w:r>
      <w:r>
        <w:rPr>
          <w:rFonts w:ascii="Arial" w:cs="Arial" w:eastAsia="Arial" w:hAnsi="Arial"/>
          <w:sz w:val="17"/>
          <w:szCs w:val="17"/>
          <w:b w:val="1"/>
          <w:bCs w:val="1"/>
          <w:color w:val="auto"/>
        </w:rPr>
        <w:t xml:space="preserve"> </w:t>
      </w:r>
      <w:r>
        <w:rPr>
          <w:rFonts w:ascii="Arial" w:cs="Arial" w:eastAsia="Arial" w:hAnsi="Arial"/>
          <w:sz w:val="17"/>
          <w:szCs w:val="17"/>
          <w:color w:val="auto"/>
        </w:rPr>
        <w:t>Resources Committee the responsibility, among other things, to review and recommend to the Board any proposed changes in non-employee</w:t>
      </w:r>
    </w:p>
    <w:p>
      <w:pPr>
        <w:spacing w:after="0" w:line="1" w:lineRule="exact"/>
        <w:rPr>
          <w:sz w:val="20"/>
          <w:szCs w:val="20"/>
          <w:color w:val="auto"/>
        </w:rPr>
      </w:pPr>
    </w:p>
    <w:p>
      <w:pPr>
        <w:spacing w:after="0" w:line="243" w:lineRule="auto"/>
        <w:rPr>
          <w:sz w:val="20"/>
          <w:szCs w:val="20"/>
          <w:color w:val="auto"/>
        </w:rPr>
      </w:pPr>
      <w:r>
        <w:rPr>
          <w:rFonts w:ascii="Arial" w:cs="Arial" w:eastAsia="Arial" w:hAnsi="Arial"/>
          <w:sz w:val="18"/>
          <w:szCs w:val="18"/>
          <w:color w:val="auto"/>
        </w:rPr>
        <w:t>director compensation. In connection with such review, the Committee engages an independent external compensation consultant to provide analysis regarding non-employee director compensation.</w:t>
      </w:r>
    </w:p>
    <w:p>
      <w:pPr>
        <w:spacing w:after="0" w:line="59" w:lineRule="exact"/>
        <w:rPr>
          <w:sz w:val="20"/>
          <w:szCs w:val="20"/>
          <w:color w:val="auto"/>
        </w:rPr>
      </w:pPr>
    </w:p>
    <w:p>
      <w:pPr>
        <w:jc w:val="both"/>
        <w:ind w:firstLine="320"/>
        <w:spacing w:after="0" w:line="241" w:lineRule="auto"/>
        <w:rPr>
          <w:sz w:val="20"/>
          <w:szCs w:val="20"/>
          <w:color w:val="auto"/>
        </w:rPr>
      </w:pPr>
      <w:r>
        <w:rPr>
          <w:rFonts w:ascii="Arial" w:cs="Arial" w:eastAsia="Arial" w:hAnsi="Arial"/>
          <w:sz w:val="18"/>
          <w:szCs w:val="18"/>
          <w:color w:val="auto"/>
        </w:rPr>
        <w:t>The Compensation &amp; Human Resources Committee annually engages Willis Towers Watson to review our non-employee director compensation, as was done prior to the Company's fiscal 2024 year and then again prior to the Company's fiscal 2025 year. For both years,</w:t>
      </w:r>
    </w:p>
    <w:p>
      <w:pPr>
        <w:spacing w:after="0" w:line="1" w:lineRule="exact"/>
        <w:rPr>
          <w:sz w:val="20"/>
          <w:szCs w:val="20"/>
          <w:color w:val="auto"/>
        </w:rPr>
      </w:pPr>
    </w:p>
    <w:p>
      <w:pPr>
        <w:spacing w:after="0" w:line="237" w:lineRule="auto"/>
        <w:rPr>
          <w:sz w:val="20"/>
          <w:szCs w:val="20"/>
          <w:color w:val="auto"/>
        </w:rPr>
      </w:pPr>
      <w:r>
        <w:rPr>
          <w:rFonts w:ascii="Arial" w:cs="Arial" w:eastAsia="Arial" w:hAnsi="Arial"/>
          <w:sz w:val="17"/>
          <w:szCs w:val="17"/>
          <w:color w:val="auto"/>
        </w:rPr>
        <w:t>the Willis Towers Watson review consisted of, among other things, analysis of board and committee compensation trends, a competitive assessment based on a selected group of manufacturing companies operating in the United States that are similar in size to us from a revenue</w:t>
      </w:r>
    </w:p>
    <w:p>
      <w:pPr>
        <w:spacing w:after="0" w:line="233" w:lineRule="auto"/>
        <w:rPr>
          <w:sz w:val="20"/>
          <w:szCs w:val="20"/>
          <w:color w:val="auto"/>
        </w:rPr>
      </w:pPr>
      <w:r>
        <w:rPr>
          <w:rFonts w:ascii="Arial" w:cs="Arial" w:eastAsia="Arial" w:hAnsi="Arial"/>
          <w:sz w:val="18"/>
          <w:szCs w:val="18"/>
          <w:color w:val="auto"/>
        </w:rPr>
        <w:t>and market capitalization perspective, and a separate analysis of lead director compensation. Although no changes were made to our non-</w:t>
      </w:r>
    </w:p>
    <w:p>
      <w:pPr>
        <w:spacing w:after="0" w:line="224" w:lineRule="auto"/>
        <w:rPr>
          <w:sz w:val="20"/>
          <w:szCs w:val="20"/>
          <w:color w:val="auto"/>
        </w:rPr>
      </w:pPr>
      <w:r>
        <w:rPr>
          <w:rFonts w:ascii="Arial" w:cs="Arial" w:eastAsia="Arial" w:hAnsi="Arial"/>
          <w:sz w:val="18"/>
          <w:szCs w:val="18"/>
          <w:color w:val="auto"/>
        </w:rPr>
        <w:t>employee director compensation program for fiscal 2024, in September 2024, prior to the beginning of fiscal 2025, the Board, upon recommendation of the Compensation &amp; Human Resources Committee, approved certain changes, including increases in the annual stock</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award, the annual Finance Committee Chair retainer, as described below.</w:t>
      </w:r>
    </w:p>
    <w:p>
      <w:pPr>
        <w:spacing w:after="0" w:line="82" w:lineRule="exact"/>
        <w:rPr>
          <w:sz w:val="20"/>
          <w:szCs w:val="20"/>
          <w:color w:val="auto"/>
        </w:rPr>
      </w:pPr>
    </w:p>
    <w:p>
      <w:pPr>
        <w:ind w:firstLine="320"/>
        <w:spacing w:after="0" w:line="249" w:lineRule="auto"/>
        <w:rPr>
          <w:sz w:val="20"/>
          <w:szCs w:val="20"/>
          <w:color w:val="auto"/>
        </w:rPr>
      </w:pPr>
      <w:r>
        <w:rPr>
          <w:rFonts w:ascii="Arial" w:cs="Arial" w:eastAsia="Arial" w:hAnsi="Arial"/>
          <w:sz w:val="18"/>
          <w:szCs w:val="18"/>
          <w:b w:val="1"/>
          <w:bCs w:val="1"/>
          <w:color w:val="auto"/>
        </w:rPr>
        <w:t xml:space="preserve">Elements of Our Non-Employee Director Compensation Program. </w:t>
      </w:r>
      <w:r>
        <w:rPr>
          <w:rFonts w:ascii="Arial" w:cs="Arial" w:eastAsia="Arial" w:hAnsi="Arial"/>
          <w:sz w:val="18"/>
          <w:szCs w:val="18"/>
          <w:color w:val="auto"/>
        </w:rPr>
        <w:t>The following table sets forth our fiscal 2024 non-employee director</w:t>
      </w:r>
      <w:r>
        <w:rPr>
          <w:rFonts w:ascii="Arial" w:cs="Arial" w:eastAsia="Arial" w:hAnsi="Arial"/>
          <w:sz w:val="18"/>
          <w:szCs w:val="18"/>
          <w:b w:val="1"/>
          <w:bCs w:val="1"/>
          <w:color w:val="auto"/>
        </w:rPr>
        <w:t xml:space="preserve"> </w:t>
      </w:r>
      <w:r>
        <w:rPr>
          <w:rFonts w:ascii="Arial" w:cs="Arial" w:eastAsia="Arial" w:hAnsi="Arial"/>
          <w:sz w:val="18"/>
          <w:szCs w:val="18"/>
          <w:color w:val="auto"/>
        </w:rPr>
        <w:t>compensation program.</w:t>
      </w:r>
    </w:p>
    <w:p>
      <w:pPr>
        <w:spacing w:after="0" w:line="123" w:lineRule="exact"/>
        <w:rPr>
          <w:sz w:val="20"/>
          <w:szCs w:val="20"/>
          <w:color w:val="auto"/>
        </w:rPr>
      </w:pPr>
    </w:p>
    <w:tbl>
      <w:tblPr>
        <w:tblLayout w:type="fixed"/>
        <w:tblInd w:w="1560" w:type="dxa"/>
        <w:tblCellMar>
          <w:top w:w="0" w:type="dxa"/>
          <w:left w:w="0" w:type="dxa"/>
          <w:bottom w:w="0" w:type="dxa"/>
          <w:right w:w="0" w:type="dxa"/>
        </w:tblCellMar>
      </w:tblPr>
      <w:tr>
        <w:trPr>
          <w:trHeight w:val="227"/>
        </w:trPr>
        <w:tc>
          <w:tcPr>
            <w:tcW w:w="6520" w:type="dxa"/>
            <w:vAlign w:val="bottom"/>
            <w:shd w:val="clear" w:color="auto" w:fill="BF2115"/>
          </w:tcPr>
          <w:p>
            <w:pPr>
              <w:ind w:left="2280"/>
              <w:spacing w:after="0"/>
              <w:rPr>
                <w:sz w:val="20"/>
                <w:szCs w:val="20"/>
                <w:color w:val="auto"/>
              </w:rPr>
            </w:pPr>
            <w:r>
              <w:rPr>
                <w:rFonts w:ascii="Arial" w:cs="Arial" w:eastAsia="Arial" w:hAnsi="Arial"/>
                <w:sz w:val="14"/>
                <w:szCs w:val="14"/>
                <w:b w:val="1"/>
                <w:bCs w:val="1"/>
                <w:color w:val="FFFFFF"/>
              </w:rPr>
              <w:t>Non-Employee Director Compensation</w:t>
            </w:r>
          </w:p>
        </w:tc>
        <w:tc>
          <w:tcPr>
            <w:tcW w:w="1600" w:type="dxa"/>
            <w:vAlign w:val="bottom"/>
            <w:shd w:val="clear" w:color="auto" w:fill="BF2115"/>
          </w:tcPr>
          <w:p>
            <w:pPr>
              <w:jc w:val="right"/>
              <w:ind w:right="301"/>
              <w:spacing w:after="0"/>
              <w:rPr>
                <w:sz w:val="20"/>
                <w:szCs w:val="20"/>
                <w:color w:val="auto"/>
              </w:rPr>
            </w:pPr>
            <w:r>
              <w:rPr>
                <w:rFonts w:ascii="Arial" w:cs="Arial" w:eastAsia="Arial" w:hAnsi="Arial"/>
                <w:sz w:val="14"/>
                <w:szCs w:val="14"/>
                <w:b w:val="1"/>
                <w:bCs w:val="1"/>
                <w:color w:val="FFFFFF"/>
              </w:rPr>
              <w:t>($)</w:t>
            </w:r>
          </w:p>
        </w:tc>
      </w:tr>
      <w:tr>
        <w:trPr>
          <w:trHeight w:val="211"/>
        </w:trPr>
        <w:tc>
          <w:tcPr>
            <w:tcW w:w="6520" w:type="dxa"/>
            <w:vAlign w:val="bottom"/>
          </w:tcPr>
          <w:p>
            <w:pPr>
              <w:ind w:left="20"/>
              <w:spacing w:after="0"/>
              <w:rPr>
                <w:sz w:val="20"/>
                <w:szCs w:val="20"/>
                <w:color w:val="auto"/>
              </w:rPr>
            </w:pPr>
            <w:r>
              <w:rPr>
                <w:rFonts w:ascii="Arial" w:cs="Arial" w:eastAsia="Arial" w:hAnsi="Arial"/>
                <w:sz w:val="16"/>
                <w:szCs w:val="16"/>
                <w:color w:val="auto"/>
              </w:rPr>
              <w:t>Annual Stock Award Value</w:t>
            </w:r>
          </w:p>
        </w:tc>
        <w:tc>
          <w:tcPr>
            <w:tcW w:w="1600" w:type="dxa"/>
            <w:vAlign w:val="bottom"/>
          </w:tcPr>
          <w:p>
            <w:pPr>
              <w:jc w:val="right"/>
              <w:spacing w:after="0"/>
              <w:rPr>
                <w:sz w:val="20"/>
                <w:szCs w:val="20"/>
                <w:color w:val="auto"/>
              </w:rPr>
            </w:pPr>
            <w:r>
              <w:rPr>
                <w:rFonts w:ascii="Arial" w:cs="Arial" w:eastAsia="Arial" w:hAnsi="Arial"/>
                <w:sz w:val="16"/>
                <w:szCs w:val="16"/>
                <w:color w:val="auto"/>
              </w:rPr>
              <w:t>85,000*</w:t>
            </w:r>
          </w:p>
        </w:tc>
      </w:tr>
      <w:tr>
        <w:trPr>
          <w:trHeight w:val="29"/>
        </w:trPr>
        <w:tc>
          <w:tcPr>
            <w:tcW w:w="652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20"/>
        </w:trPr>
        <w:tc>
          <w:tcPr>
            <w:tcW w:w="652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6"/>
                <w:szCs w:val="16"/>
                <w:color w:val="auto"/>
              </w:rPr>
              <w:t>Annual Stock Option Award Value</w:t>
            </w:r>
          </w:p>
        </w:tc>
        <w:tc>
          <w:tcPr>
            <w:tcW w:w="160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6"/>
                <w:szCs w:val="16"/>
                <w:color w:val="auto"/>
              </w:rPr>
              <w:t>55,000</w:t>
            </w:r>
          </w:p>
        </w:tc>
      </w:tr>
      <w:tr>
        <w:trPr>
          <w:trHeight w:val="211"/>
        </w:trPr>
        <w:tc>
          <w:tcPr>
            <w:tcW w:w="6520" w:type="dxa"/>
            <w:vAlign w:val="bottom"/>
          </w:tcPr>
          <w:p>
            <w:pPr>
              <w:ind w:left="20"/>
              <w:spacing w:after="0"/>
              <w:rPr>
                <w:sz w:val="20"/>
                <w:szCs w:val="20"/>
                <w:color w:val="auto"/>
              </w:rPr>
            </w:pPr>
            <w:r>
              <w:rPr>
                <w:rFonts w:ascii="Arial" w:cs="Arial" w:eastAsia="Arial" w:hAnsi="Arial"/>
                <w:sz w:val="16"/>
                <w:szCs w:val="16"/>
                <w:color w:val="auto"/>
              </w:rPr>
              <w:t>Annual Board and Committee Member Retainers</w:t>
            </w:r>
          </w:p>
        </w:tc>
        <w:tc>
          <w:tcPr>
            <w:tcW w:w="1600" w:type="dxa"/>
            <w:vAlign w:val="bottom"/>
          </w:tcPr>
          <w:p>
            <w:pPr>
              <w:spacing w:after="0"/>
              <w:rPr>
                <w:sz w:val="18"/>
                <w:szCs w:val="18"/>
                <w:color w:val="auto"/>
              </w:rPr>
            </w:pPr>
          </w:p>
        </w:tc>
      </w:tr>
      <w:tr>
        <w:trPr>
          <w:trHeight w:val="29"/>
        </w:trPr>
        <w:tc>
          <w:tcPr>
            <w:tcW w:w="652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20"/>
        </w:trPr>
        <w:tc>
          <w:tcPr>
            <w:tcW w:w="6520" w:type="dxa"/>
            <w:vAlign w:val="bottom"/>
            <w:tcBorders>
              <w:bottom w:val="single" w:sz="8" w:color="DBDBDB"/>
            </w:tcBorders>
            <w:shd w:val="clear" w:color="auto" w:fill="DBDBDB"/>
          </w:tcPr>
          <w:p>
            <w:pPr>
              <w:ind w:left="220"/>
              <w:spacing w:after="0"/>
              <w:rPr>
                <w:sz w:val="20"/>
                <w:szCs w:val="20"/>
                <w:color w:val="auto"/>
              </w:rPr>
            </w:pPr>
            <w:r>
              <w:rPr>
                <w:rFonts w:ascii="Arial" w:cs="Arial" w:eastAsia="Arial" w:hAnsi="Arial"/>
                <w:sz w:val="16"/>
                <w:szCs w:val="16"/>
                <w:color w:val="auto"/>
              </w:rPr>
              <w:t>Board</w:t>
            </w:r>
          </w:p>
        </w:tc>
        <w:tc>
          <w:tcPr>
            <w:tcW w:w="160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6"/>
                <w:szCs w:val="16"/>
                <w:color w:val="auto"/>
              </w:rPr>
              <w:t>95,000</w:t>
            </w:r>
          </w:p>
        </w:tc>
      </w:tr>
      <w:tr>
        <w:trPr>
          <w:trHeight w:val="211"/>
        </w:trPr>
        <w:tc>
          <w:tcPr>
            <w:tcW w:w="6520" w:type="dxa"/>
            <w:vAlign w:val="bottom"/>
          </w:tcPr>
          <w:p>
            <w:pPr>
              <w:ind w:left="220"/>
              <w:spacing w:after="0"/>
              <w:rPr>
                <w:sz w:val="20"/>
                <w:szCs w:val="20"/>
                <w:color w:val="auto"/>
              </w:rPr>
            </w:pPr>
            <w:r>
              <w:rPr>
                <w:rFonts w:ascii="Arial" w:cs="Arial" w:eastAsia="Arial" w:hAnsi="Arial"/>
                <w:sz w:val="16"/>
                <w:szCs w:val="16"/>
                <w:color w:val="auto"/>
              </w:rPr>
              <w:t>Audit Committee Member</w:t>
            </w:r>
          </w:p>
        </w:tc>
        <w:tc>
          <w:tcPr>
            <w:tcW w:w="1600" w:type="dxa"/>
            <w:vAlign w:val="bottom"/>
          </w:tcPr>
          <w:p>
            <w:pPr>
              <w:jc w:val="right"/>
              <w:spacing w:after="0"/>
              <w:rPr>
                <w:sz w:val="20"/>
                <w:szCs w:val="20"/>
                <w:color w:val="auto"/>
              </w:rPr>
            </w:pPr>
            <w:r>
              <w:rPr>
                <w:rFonts w:ascii="Arial" w:cs="Arial" w:eastAsia="Arial" w:hAnsi="Arial"/>
                <w:sz w:val="16"/>
                <w:szCs w:val="16"/>
                <w:color w:val="auto"/>
              </w:rPr>
              <w:t>12,500</w:t>
            </w:r>
          </w:p>
        </w:tc>
      </w:tr>
      <w:tr>
        <w:trPr>
          <w:trHeight w:val="29"/>
        </w:trPr>
        <w:tc>
          <w:tcPr>
            <w:tcW w:w="652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20"/>
        </w:trPr>
        <w:tc>
          <w:tcPr>
            <w:tcW w:w="6520" w:type="dxa"/>
            <w:vAlign w:val="bottom"/>
            <w:tcBorders>
              <w:bottom w:val="single" w:sz="8" w:color="DBDBDB"/>
            </w:tcBorders>
            <w:shd w:val="clear" w:color="auto" w:fill="DBDBDB"/>
          </w:tcPr>
          <w:p>
            <w:pPr>
              <w:ind w:left="220"/>
              <w:spacing w:after="0"/>
              <w:rPr>
                <w:sz w:val="20"/>
                <w:szCs w:val="20"/>
                <w:color w:val="auto"/>
              </w:rPr>
            </w:pPr>
            <w:r>
              <w:rPr>
                <w:rFonts w:ascii="Arial" w:cs="Arial" w:eastAsia="Arial" w:hAnsi="Arial"/>
                <w:sz w:val="16"/>
                <w:szCs w:val="16"/>
                <w:color w:val="auto"/>
              </w:rPr>
              <w:t>Compensation &amp; Human Resources Committee Member</w:t>
            </w:r>
          </w:p>
        </w:tc>
        <w:tc>
          <w:tcPr>
            <w:tcW w:w="160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6"/>
                <w:szCs w:val="16"/>
                <w:color w:val="auto"/>
              </w:rPr>
              <w:t>7,000</w:t>
            </w:r>
          </w:p>
        </w:tc>
      </w:tr>
      <w:tr>
        <w:trPr>
          <w:trHeight w:val="211"/>
        </w:trPr>
        <w:tc>
          <w:tcPr>
            <w:tcW w:w="6520" w:type="dxa"/>
            <w:vAlign w:val="bottom"/>
          </w:tcPr>
          <w:p>
            <w:pPr>
              <w:ind w:left="220"/>
              <w:spacing w:after="0"/>
              <w:rPr>
                <w:sz w:val="20"/>
                <w:szCs w:val="20"/>
                <w:color w:val="auto"/>
              </w:rPr>
            </w:pPr>
            <w:r>
              <w:rPr>
                <w:rFonts w:ascii="Arial" w:cs="Arial" w:eastAsia="Arial" w:hAnsi="Arial"/>
                <w:sz w:val="16"/>
                <w:szCs w:val="16"/>
                <w:color w:val="auto"/>
              </w:rPr>
              <w:t>Nominating &amp; Governance Committee Member</w:t>
            </w:r>
          </w:p>
        </w:tc>
        <w:tc>
          <w:tcPr>
            <w:tcW w:w="1600" w:type="dxa"/>
            <w:vAlign w:val="bottom"/>
          </w:tcPr>
          <w:p>
            <w:pPr>
              <w:jc w:val="right"/>
              <w:spacing w:after="0"/>
              <w:rPr>
                <w:sz w:val="20"/>
                <w:szCs w:val="20"/>
                <w:color w:val="auto"/>
              </w:rPr>
            </w:pPr>
            <w:r>
              <w:rPr>
                <w:rFonts w:ascii="Arial" w:cs="Arial" w:eastAsia="Arial" w:hAnsi="Arial"/>
                <w:sz w:val="16"/>
                <w:szCs w:val="16"/>
                <w:color w:val="auto"/>
              </w:rPr>
              <w:t>6,000</w:t>
            </w:r>
          </w:p>
        </w:tc>
      </w:tr>
      <w:tr>
        <w:trPr>
          <w:trHeight w:val="29"/>
        </w:trPr>
        <w:tc>
          <w:tcPr>
            <w:tcW w:w="652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20"/>
        </w:trPr>
        <w:tc>
          <w:tcPr>
            <w:tcW w:w="6520" w:type="dxa"/>
            <w:vAlign w:val="bottom"/>
            <w:tcBorders>
              <w:bottom w:val="single" w:sz="8" w:color="DBDBDB"/>
            </w:tcBorders>
            <w:shd w:val="clear" w:color="auto" w:fill="DBDBDB"/>
          </w:tcPr>
          <w:p>
            <w:pPr>
              <w:ind w:left="220"/>
              <w:spacing w:after="0"/>
              <w:rPr>
                <w:sz w:val="20"/>
                <w:szCs w:val="20"/>
                <w:color w:val="auto"/>
              </w:rPr>
            </w:pPr>
            <w:r>
              <w:rPr>
                <w:rFonts w:ascii="Arial" w:cs="Arial" w:eastAsia="Arial" w:hAnsi="Arial"/>
                <w:sz w:val="16"/>
                <w:szCs w:val="16"/>
                <w:color w:val="auto"/>
              </w:rPr>
              <w:t>Finance Committee Member</w:t>
            </w:r>
          </w:p>
        </w:tc>
        <w:tc>
          <w:tcPr>
            <w:tcW w:w="160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6"/>
                <w:szCs w:val="16"/>
                <w:color w:val="auto"/>
              </w:rPr>
              <w:t>6,000</w:t>
            </w:r>
          </w:p>
        </w:tc>
      </w:tr>
      <w:tr>
        <w:trPr>
          <w:trHeight w:val="211"/>
        </w:trPr>
        <w:tc>
          <w:tcPr>
            <w:tcW w:w="6520" w:type="dxa"/>
            <w:vAlign w:val="bottom"/>
          </w:tcPr>
          <w:p>
            <w:pPr>
              <w:ind w:left="20"/>
              <w:spacing w:after="0"/>
              <w:rPr>
                <w:sz w:val="20"/>
                <w:szCs w:val="20"/>
                <w:color w:val="auto"/>
              </w:rPr>
            </w:pPr>
            <w:r>
              <w:rPr>
                <w:rFonts w:ascii="Arial" w:cs="Arial" w:eastAsia="Arial" w:hAnsi="Arial"/>
                <w:sz w:val="16"/>
                <w:szCs w:val="16"/>
                <w:color w:val="auto"/>
              </w:rPr>
              <w:t>Annual Lead Independent Director and Committee Chair Additional Retainers</w:t>
            </w:r>
          </w:p>
        </w:tc>
        <w:tc>
          <w:tcPr>
            <w:tcW w:w="1600" w:type="dxa"/>
            <w:vAlign w:val="bottom"/>
          </w:tcPr>
          <w:p>
            <w:pPr>
              <w:spacing w:after="0"/>
              <w:rPr>
                <w:sz w:val="18"/>
                <w:szCs w:val="18"/>
                <w:color w:val="auto"/>
              </w:rPr>
            </w:pPr>
          </w:p>
        </w:tc>
      </w:tr>
      <w:tr>
        <w:trPr>
          <w:trHeight w:val="29"/>
        </w:trPr>
        <w:tc>
          <w:tcPr>
            <w:tcW w:w="652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20"/>
        </w:trPr>
        <w:tc>
          <w:tcPr>
            <w:tcW w:w="6520" w:type="dxa"/>
            <w:vAlign w:val="bottom"/>
            <w:tcBorders>
              <w:bottom w:val="single" w:sz="8" w:color="DBDBDB"/>
            </w:tcBorders>
            <w:shd w:val="clear" w:color="auto" w:fill="DBDBDB"/>
          </w:tcPr>
          <w:p>
            <w:pPr>
              <w:ind w:left="220"/>
              <w:spacing w:after="0"/>
              <w:rPr>
                <w:sz w:val="20"/>
                <w:szCs w:val="20"/>
                <w:color w:val="auto"/>
              </w:rPr>
            </w:pPr>
            <w:r>
              <w:rPr>
                <w:rFonts w:ascii="Arial" w:cs="Arial" w:eastAsia="Arial" w:hAnsi="Arial"/>
                <w:sz w:val="16"/>
                <w:szCs w:val="16"/>
                <w:color w:val="auto"/>
              </w:rPr>
              <w:t>Lead Independent Director</w:t>
            </w:r>
          </w:p>
        </w:tc>
        <w:tc>
          <w:tcPr>
            <w:tcW w:w="160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6"/>
                <w:szCs w:val="16"/>
                <w:color w:val="auto"/>
              </w:rPr>
              <w:t>30,000</w:t>
            </w:r>
          </w:p>
        </w:tc>
      </w:tr>
      <w:tr>
        <w:trPr>
          <w:trHeight w:val="211"/>
        </w:trPr>
        <w:tc>
          <w:tcPr>
            <w:tcW w:w="6520" w:type="dxa"/>
            <w:vAlign w:val="bottom"/>
          </w:tcPr>
          <w:p>
            <w:pPr>
              <w:ind w:left="220"/>
              <w:spacing w:after="0"/>
              <w:rPr>
                <w:sz w:val="20"/>
                <w:szCs w:val="20"/>
                <w:color w:val="auto"/>
              </w:rPr>
            </w:pPr>
            <w:r>
              <w:rPr>
                <w:rFonts w:ascii="Arial" w:cs="Arial" w:eastAsia="Arial" w:hAnsi="Arial"/>
                <w:sz w:val="16"/>
                <w:szCs w:val="16"/>
                <w:color w:val="auto"/>
              </w:rPr>
              <w:t>Audit Committee Chair</w:t>
            </w:r>
          </w:p>
        </w:tc>
        <w:tc>
          <w:tcPr>
            <w:tcW w:w="1600" w:type="dxa"/>
            <w:vAlign w:val="bottom"/>
          </w:tcPr>
          <w:p>
            <w:pPr>
              <w:jc w:val="right"/>
              <w:spacing w:after="0"/>
              <w:rPr>
                <w:sz w:val="20"/>
                <w:szCs w:val="20"/>
                <w:color w:val="auto"/>
              </w:rPr>
            </w:pPr>
            <w:r>
              <w:rPr>
                <w:rFonts w:ascii="Arial" w:cs="Arial" w:eastAsia="Arial" w:hAnsi="Arial"/>
                <w:sz w:val="16"/>
                <w:szCs w:val="16"/>
                <w:color w:val="auto"/>
              </w:rPr>
              <w:t>20,000</w:t>
            </w:r>
          </w:p>
        </w:tc>
      </w:tr>
      <w:tr>
        <w:trPr>
          <w:trHeight w:val="29"/>
        </w:trPr>
        <w:tc>
          <w:tcPr>
            <w:tcW w:w="652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20"/>
        </w:trPr>
        <w:tc>
          <w:tcPr>
            <w:tcW w:w="6520" w:type="dxa"/>
            <w:vAlign w:val="bottom"/>
            <w:tcBorders>
              <w:bottom w:val="single" w:sz="8" w:color="DBDBDB"/>
            </w:tcBorders>
            <w:shd w:val="clear" w:color="auto" w:fill="DBDBDB"/>
          </w:tcPr>
          <w:p>
            <w:pPr>
              <w:ind w:left="220"/>
              <w:spacing w:after="0"/>
              <w:rPr>
                <w:sz w:val="20"/>
                <w:szCs w:val="20"/>
                <w:color w:val="auto"/>
              </w:rPr>
            </w:pPr>
            <w:r>
              <w:rPr>
                <w:rFonts w:ascii="Arial" w:cs="Arial" w:eastAsia="Arial" w:hAnsi="Arial"/>
                <w:sz w:val="16"/>
                <w:szCs w:val="16"/>
                <w:color w:val="auto"/>
              </w:rPr>
              <w:t>Compensation &amp; Human Resources Committee Chair</w:t>
            </w:r>
          </w:p>
        </w:tc>
        <w:tc>
          <w:tcPr>
            <w:tcW w:w="160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6"/>
                <w:szCs w:val="16"/>
                <w:color w:val="auto"/>
              </w:rPr>
              <w:t>15,000</w:t>
            </w:r>
          </w:p>
        </w:tc>
      </w:tr>
      <w:tr>
        <w:trPr>
          <w:trHeight w:val="211"/>
        </w:trPr>
        <w:tc>
          <w:tcPr>
            <w:tcW w:w="6520" w:type="dxa"/>
            <w:vAlign w:val="bottom"/>
          </w:tcPr>
          <w:p>
            <w:pPr>
              <w:ind w:left="220"/>
              <w:spacing w:after="0"/>
              <w:rPr>
                <w:sz w:val="20"/>
                <w:szCs w:val="20"/>
                <w:color w:val="auto"/>
              </w:rPr>
            </w:pPr>
            <w:r>
              <w:rPr>
                <w:rFonts w:ascii="Arial" w:cs="Arial" w:eastAsia="Arial" w:hAnsi="Arial"/>
                <w:sz w:val="16"/>
                <w:szCs w:val="16"/>
                <w:color w:val="auto"/>
              </w:rPr>
              <w:t>Nominating &amp; Governance Committee Chair</w:t>
            </w:r>
          </w:p>
        </w:tc>
        <w:tc>
          <w:tcPr>
            <w:tcW w:w="1600" w:type="dxa"/>
            <w:vAlign w:val="bottom"/>
          </w:tcPr>
          <w:p>
            <w:pPr>
              <w:jc w:val="right"/>
              <w:spacing w:after="0"/>
              <w:rPr>
                <w:sz w:val="20"/>
                <w:szCs w:val="20"/>
                <w:color w:val="auto"/>
              </w:rPr>
            </w:pPr>
            <w:r>
              <w:rPr>
                <w:rFonts w:ascii="Arial" w:cs="Arial" w:eastAsia="Arial" w:hAnsi="Arial"/>
                <w:sz w:val="16"/>
                <w:szCs w:val="16"/>
                <w:color w:val="auto"/>
              </w:rPr>
              <w:t>7,500*</w:t>
            </w:r>
          </w:p>
        </w:tc>
      </w:tr>
      <w:tr>
        <w:trPr>
          <w:trHeight w:val="29"/>
        </w:trPr>
        <w:tc>
          <w:tcPr>
            <w:tcW w:w="652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11"/>
        </w:trPr>
        <w:tc>
          <w:tcPr>
            <w:tcW w:w="6520" w:type="dxa"/>
            <w:vAlign w:val="bottom"/>
            <w:shd w:val="clear" w:color="auto" w:fill="DBDBDB"/>
          </w:tcPr>
          <w:p>
            <w:pPr>
              <w:ind w:left="220"/>
              <w:spacing w:after="0"/>
              <w:rPr>
                <w:sz w:val="20"/>
                <w:szCs w:val="20"/>
                <w:color w:val="auto"/>
              </w:rPr>
            </w:pPr>
            <w:r>
              <w:rPr>
                <w:rFonts w:ascii="Arial" w:cs="Arial" w:eastAsia="Arial" w:hAnsi="Arial"/>
                <w:sz w:val="16"/>
                <w:szCs w:val="16"/>
                <w:color w:val="auto"/>
              </w:rPr>
              <w:t>Finance Committee Chair</w:t>
            </w:r>
          </w:p>
        </w:tc>
        <w:tc>
          <w:tcPr>
            <w:tcW w:w="1600" w:type="dxa"/>
            <w:vAlign w:val="bottom"/>
            <w:shd w:val="clear" w:color="auto" w:fill="DBDBDB"/>
          </w:tcPr>
          <w:p>
            <w:pPr>
              <w:jc w:val="right"/>
              <w:spacing w:after="0"/>
              <w:rPr>
                <w:sz w:val="20"/>
                <w:szCs w:val="20"/>
                <w:color w:val="auto"/>
              </w:rPr>
            </w:pPr>
            <w:r>
              <w:rPr>
                <w:rFonts w:ascii="Arial" w:cs="Arial" w:eastAsia="Arial" w:hAnsi="Arial"/>
                <w:sz w:val="16"/>
                <w:szCs w:val="16"/>
                <w:color w:val="auto"/>
              </w:rPr>
              <w:t>7,500*</w:t>
            </w:r>
          </w:p>
        </w:tc>
      </w:tr>
      <w:tr>
        <w:trPr>
          <w:trHeight w:val="29"/>
        </w:trPr>
        <w:tc>
          <w:tcPr>
            <w:tcW w:w="6520" w:type="dxa"/>
            <w:vAlign w:val="bottom"/>
            <w:shd w:val="clear" w:color="auto" w:fill="DBDBDB"/>
          </w:tcPr>
          <w:p>
            <w:pPr>
              <w:spacing w:after="0"/>
              <w:rPr>
                <w:sz w:val="2"/>
                <w:szCs w:val="2"/>
                <w:color w:val="auto"/>
              </w:rPr>
            </w:pPr>
          </w:p>
        </w:tc>
        <w:tc>
          <w:tcPr>
            <w:tcW w:w="1600" w:type="dxa"/>
            <w:vAlign w:val="bottom"/>
            <w:shd w:val="clear" w:color="auto" w:fill="DBDBDB"/>
          </w:tcPr>
          <w:p>
            <w:pPr>
              <w:spacing w:after="0"/>
              <w:rPr>
                <w:sz w:val="2"/>
                <w:szCs w:val="2"/>
                <w:color w:val="auto"/>
              </w:rPr>
            </w:pPr>
          </w:p>
        </w:tc>
      </w:tr>
    </w:tbl>
    <w:p>
      <w:pPr>
        <w:spacing w:after="0" w:line="86" w:lineRule="exact"/>
        <w:rPr>
          <w:sz w:val="20"/>
          <w:szCs w:val="20"/>
          <w:color w:val="auto"/>
        </w:rPr>
      </w:pPr>
    </w:p>
    <w:p>
      <w:pPr>
        <w:ind w:right="40" w:firstLine="395"/>
        <w:spacing w:after="0" w:line="277" w:lineRule="auto"/>
        <w:tabs>
          <w:tab w:leader="none" w:pos="483" w:val="left"/>
        </w:tabs>
        <w:numPr>
          <w:ilvl w:val="0"/>
          <w:numId w:val="34"/>
        </w:numPr>
        <w:rPr>
          <w:rFonts w:ascii="Arial" w:cs="Arial" w:eastAsia="Arial" w:hAnsi="Arial"/>
          <w:sz w:val="14"/>
          <w:szCs w:val="14"/>
          <w:i w:val="1"/>
          <w:iCs w:val="1"/>
          <w:color w:val="auto"/>
        </w:rPr>
      </w:pPr>
      <w:r>
        <w:rPr>
          <w:rFonts w:ascii="Arial" w:cs="Arial" w:eastAsia="Arial" w:hAnsi="Arial"/>
          <w:sz w:val="14"/>
          <w:szCs w:val="14"/>
          <w:i w:val="1"/>
          <w:iCs w:val="1"/>
          <w:color w:val="auto"/>
        </w:rPr>
        <w:t>Effective November 1, 2024, the annual stock award increased to $95,000, and each of the Finance Committee Chair and the Nominating &amp; Governance Committee Chair annual retainers increased to $9,000.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152" w:right="339" w:bottom="1440" w:gutter="0" w:footer="0" w:header="0"/>
        </w:sectPr>
      </w:pPr>
    </w:p>
    <w:bookmarkStart w:id="27" w:name="page28"/>
    <w:bookmarkEnd w:id="27"/>
    <w:p>
      <w:pPr>
        <w:ind w:left="320"/>
        <w:spacing w:after="0"/>
        <w:rPr>
          <w:sz w:val="20"/>
          <w:szCs w:val="20"/>
          <w:color w:val="auto"/>
        </w:rPr>
      </w:pPr>
      <w:r>
        <w:rPr>
          <w:rFonts w:ascii="Arial" w:cs="Arial" w:eastAsia="Arial" w:hAnsi="Arial"/>
          <w:sz w:val="18"/>
          <w:szCs w:val="18"/>
          <w:color w:val="auto"/>
        </w:rPr>
        <w:t>The following summarizes our non-employee director compensation program:</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1760" w:type="dxa"/>
            <w:vAlign w:val="bottom"/>
            <w:shd w:val="clear" w:color="auto" w:fill="BF2115"/>
          </w:tcPr>
          <w:p>
            <w:pPr>
              <w:ind w:left="20"/>
              <w:spacing w:after="0"/>
              <w:rPr>
                <w:sz w:val="20"/>
                <w:szCs w:val="20"/>
                <w:color w:val="auto"/>
              </w:rPr>
            </w:pPr>
            <w:r>
              <w:rPr>
                <w:rFonts w:ascii="Arial" w:cs="Arial" w:eastAsia="Arial" w:hAnsi="Arial"/>
                <w:sz w:val="14"/>
                <w:szCs w:val="14"/>
                <w:b w:val="1"/>
                <w:bCs w:val="1"/>
                <w:color w:val="FFFFFF"/>
              </w:rPr>
              <w:t>Element</w:t>
            </w:r>
          </w:p>
        </w:tc>
        <w:tc>
          <w:tcPr>
            <w:tcW w:w="9260" w:type="dxa"/>
            <w:vAlign w:val="bottom"/>
            <w:shd w:val="clear" w:color="auto" w:fill="BF2115"/>
          </w:tcPr>
          <w:p>
            <w:pPr>
              <w:ind w:left="4060"/>
              <w:spacing w:after="0"/>
              <w:rPr>
                <w:sz w:val="20"/>
                <w:szCs w:val="20"/>
                <w:color w:val="auto"/>
              </w:rPr>
            </w:pPr>
            <w:r>
              <w:rPr>
                <w:rFonts w:ascii="Arial" w:cs="Arial" w:eastAsia="Arial" w:hAnsi="Arial"/>
                <w:sz w:val="14"/>
                <w:szCs w:val="14"/>
                <w:b w:val="1"/>
                <w:bCs w:val="1"/>
                <w:color w:val="FFFFFF"/>
              </w:rPr>
              <w:t>Key Characteristics</w:t>
            </w:r>
          </w:p>
        </w:tc>
      </w:tr>
      <w:tr>
        <w:trPr>
          <w:trHeight w:val="173"/>
        </w:trPr>
        <w:tc>
          <w:tcPr>
            <w:tcW w:w="1760" w:type="dxa"/>
            <w:vAlign w:val="bottom"/>
          </w:tcPr>
          <w:p>
            <w:pPr>
              <w:ind w:left="20"/>
              <w:spacing w:after="0" w:line="173" w:lineRule="exact"/>
              <w:rPr>
                <w:sz w:val="20"/>
                <w:szCs w:val="20"/>
                <w:color w:val="auto"/>
              </w:rPr>
            </w:pPr>
            <w:r>
              <w:rPr>
                <w:rFonts w:ascii="Arial" w:cs="Arial" w:eastAsia="Arial" w:hAnsi="Arial"/>
                <w:sz w:val="16"/>
                <w:szCs w:val="16"/>
                <w:color w:val="auto"/>
              </w:rPr>
              <w:t>Annual Retainers</w:t>
            </w:r>
          </w:p>
        </w:tc>
        <w:tc>
          <w:tcPr>
            <w:tcW w:w="9260" w:type="dxa"/>
            <w:vAlign w:val="bottom"/>
          </w:tcPr>
          <w:p>
            <w:pPr>
              <w:ind w:left="220"/>
              <w:spacing w:after="0" w:line="173" w:lineRule="exact"/>
              <w:rPr>
                <w:sz w:val="20"/>
                <w:szCs w:val="20"/>
                <w:color w:val="auto"/>
              </w:rPr>
            </w:pPr>
            <w:r>
              <w:rPr>
                <w:rFonts w:ascii="Arial" w:cs="Arial" w:eastAsia="Arial" w:hAnsi="Arial"/>
                <w:sz w:val="16"/>
                <w:szCs w:val="16"/>
                <w:color w:val="auto"/>
              </w:rPr>
              <w:t>Annual cash retainers are paid quarterly for service on the Board, committees, committee chairs and Lead Independent</w:t>
            </w:r>
          </w:p>
        </w:tc>
      </w:tr>
      <w:tr>
        <w:trPr>
          <w:trHeight w:val="219"/>
        </w:trPr>
        <w:tc>
          <w:tcPr>
            <w:tcW w:w="1760" w:type="dxa"/>
            <w:vAlign w:val="bottom"/>
          </w:tcPr>
          <w:p>
            <w:pPr>
              <w:spacing w:after="0"/>
              <w:rPr>
                <w:sz w:val="19"/>
                <w:szCs w:val="19"/>
                <w:color w:val="auto"/>
              </w:rPr>
            </w:pPr>
          </w:p>
        </w:tc>
        <w:tc>
          <w:tcPr>
            <w:tcW w:w="9260" w:type="dxa"/>
            <w:vAlign w:val="bottom"/>
          </w:tcPr>
          <w:p>
            <w:pPr>
              <w:ind w:left="220"/>
              <w:spacing w:after="0"/>
              <w:rPr>
                <w:sz w:val="20"/>
                <w:szCs w:val="20"/>
                <w:color w:val="auto"/>
              </w:rPr>
            </w:pPr>
            <w:r>
              <w:rPr>
                <w:rFonts w:ascii="Arial" w:cs="Arial" w:eastAsia="Arial" w:hAnsi="Arial"/>
                <w:sz w:val="16"/>
                <w:szCs w:val="16"/>
                <w:color w:val="auto"/>
              </w:rPr>
              <w:t>Director.</w:t>
            </w:r>
          </w:p>
        </w:tc>
      </w:tr>
      <w:tr>
        <w:trPr>
          <w:trHeight w:val="181"/>
        </w:trPr>
        <w:tc>
          <w:tcPr>
            <w:tcW w:w="1760" w:type="dxa"/>
            <w:vAlign w:val="bottom"/>
            <w:shd w:val="clear" w:color="auto" w:fill="DBDBDB"/>
          </w:tcPr>
          <w:p>
            <w:pPr>
              <w:ind w:left="20"/>
              <w:spacing w:after="0" w:line="181" w:lineRule="exact"/>
              <w:rPr>
                <w:sz w:val="20"/>
                <w:szCs w:val="20"/>
                <w:color w:val="auto"/>
              </w:rPr>
            </w:pPr>
            <w:r>
              <w:rPr>
                <w:rFonts w:ascii="Arial" w:cs="Arial" w:eastAsia="Arial" w:hAnsi="Arial"/>
                <w:sz w:val="16"/>
                <w:szCs w:val="16"/>
                <w:color w:val="auto"/>
              </w:rPr>
              <w:t>Annual Stock Awards</w:t>
            </w:r>
          </w:p>
        </w:tc>
        <w:tc>
          <w:tcPr>
            <w:tcW w:w="9260" w:type="dxa"/>
            <w:vAlign w:val="bottom"/>
            <w:shd w:val="clear" w:color="auto" w:fill="DBDBDB"/>
          </w:tcPr>
          <w:p>
            <w:pPr>
              <w:ind w:left="220"/>
              <w:spacing w:after="0" w:line="181" w:lineRule="exact"/>
              <w:rPr>
                <w:sz w:val="20"/>
                <w:szCs w:val="20"/>
                <w:color w:val="auto"/>
              </w:rPr>
            </w:pPr>
            <w:r>
              <w:rPr>
                <w:rFonts w:ascii="Arial" w:cs="Arial" w:eastAsia="Arial" w:hAnsi="Arial"/>
                <w:sz w:val="16"/>
                <w:szCs w:val="16"/>
                <w:color w:val="auto"/>
              </w:rPr>
              <w:t>On the first business day of our fiscal year, a stock award is automatically granted under our then current shareholder-approved</w:t>
            </w:r>
          </w:p>
        </w:tc>
      </w:tr>
      <w:tr>
        <w:trPr>
          <w:trHeight w:val="187"/>
        </w:trPr>
        <w:tc>
          <w:tcPr>
            <w:tcW w:w="1760" w:type="dxa"/>
            <w:vAlign w:val="bottom"/>
            <w:shd w:val="clear" w:color="auto" w:fill="DBDBDB"/>
          </w:tcPr>
          <w:p>
            <w:pPr>
              <w:spacing w:after="0"/>
              <w:rPr>
                <w:sz w:val="16"/>
                <w:szCs w:val="16"/>
                <w:color w:val="auto"/>
              </w:rPr>
            </w:pPr>
          </w:p>
        </w:tc>
        <w:tc>
          <w:tcPr>
            <w:tcW w:w="9260" w:type="dxa"/>
            <w:vAlign w:val="bottom"/>
            <w:shd w:val="clear" w:color="auto" w:fill="DBDBDB"/>
          </w:tcPr>
          <w:p>
            <w:pPr>
              <w:ind w:left="220"/>
              <w:spacing w:after="0"/>
              <w:rPr>
                <w:sz w:val="20"/>
                <w:szCs w:val="20"/>
                <w:color w:val="auto"/>
              </w:rPr>
            </w:pPr>
            <w:r>
              <w:rPr>
                <w:rFonts w:ascii="Arial" w:cs="Arial" w:eastAsia="Arial" w:hAnsi="Arial"/>
                <w:sz w:val="16"/>
                <w:szCs w:val="16"/>
                <w:color w:val="auto"/>
              </w:rPr>
              <w:t>plan. The number of shares is determined by dividing the stock award value by the average of the closing prices of our</w:t>
            </w:r>
          </w:p>
        </w:tc>
      </w:tr>
      <w:tr>
        <w:trPr>
          <w:trHeight w:val="221"/>
        </w:trPr>
        <w:tc>
          <w:tcPr>
            <w:tcW w:w="1760" w:type="dxa"/>
            <w:vAlign w:val="bottom"/>
            <w:tcBorders>
              <w:bottom w:val="single" w:sz="8" w:color="DBDBDB"/>
            </w:tcBorders>
            <w:shd w:val="clear" w:color="auto" w:fill="DBDBDB"/>
          </w:tcPr>
          <w:p>
            <w:pPr>
              <w:spacing w:after="0"/>
              <w:rPr>
                <w:sz w:val="19"/>
                <w:szCs w:val="19"/>
                <w:color w:val="auto"/>
              </w:rPr>
            </w:pPr>
          </w:p>
        </w:tc>
        <w:tc>
          <w:tcPr>
            <w:tcW w:w="9260" w:type="dxa"/>
            <w:vAlign w:val="bottom"/>
            <w:tcBorders>
              <w:bottom w:val="single" w:sz="8" w:color="DBDBDB"/>
            </w:tcBorders>
            <w:shd w:val="clear" w:color="auto" w:fill="DBDBDB"/>
          </w:tcPr>
          <w:p>
            <w:pPr>
              <w:ind w:left="220"/>
              <w:spacing w:after="0"/>
              <w:rPr>
                <w:sz w:val="20"/>
                <w:szCs w:val="20"/>
                <w:color w:val="auto"/>
              </w:rPr>
            </w:pPr>
            <w:r>
              <w:rPr>
                <w:rFonts w:ascii="Arial" w:cs="Arial" w:eastAsia="Arial" w:hAnsi="Arial"/>
                <w:sz w:val="16"/>
                <w:szCs w:val="16"/>
                <w:color w:val="auto"/>
              </w:rPr>
              <w:t>common stock during the three months prior to the grant. The shares are fully vested at the time of grant.</w:t>
            </w:r>
          </w:p>
        </w:tc>
      </w:tr>
      <w:tr>
        <w:trPr>
          <w:trHeight w:val="173"/>
        </w:trPr>
        <w:tc>
          <w:tcPr>
            <w:tcW w:w="1760" w:type="dxa"/>
            <w:vAlign w:val="bottom"/>
          </w:tcPr>
          <w:p>
            <w:pPr>
              <w:ind w:left="20"/>
              <w:spacing w:after="0" w:line="173" w:lineRule="exact"/>
              <w:rPr>
                <w:sz w:val="20"/>
                <w:szCs w:val="20"/>
                <w:color w:val="auto"/>
              </w:rPr>
            </w:pPr>
            <w:r>
              <w:rPr>
                <w:rFonts w:ascii="Arial" w:cs="Arial" w:eastAsia="Arial" w:hAnsi="Arial"/>
                <w:sz w:val="16"/>
                <w:szCs w:val="16"/>
                <w:color w:val="auto"/>
              </w:rPr>
              <w:t>Annual Stock Option</w:t>
            </w:r>
          </w:p>
        </w:tc>
        <w:tc>
          <w:tcPr>
            <w:tcW w:w="9260" w:type="dxa"/>
            <w:vAlign w:val="bottom"/>
          </w:tcPr>
          <w:p>
            <w:pPr>
              <w:ind w:left="220"/>
              <w:spacing w:after="0" w:line="173" w:lineRule="exact"/>
              <w:rPr>
                <w:sz w:val="20"/>
                <w:szCs w:val="20"/>
                <w:color w:val="auto"/>
              </w:rPr>
            </w:pPr>
            <w:r>
              <w:rPr>
                <w:rFonts w:ascii="Arial" w:cs="Arial" w:eastAsia="Arial" w:hAnsi="Arial"/>
                <w:sz w:val="16"/>
                <w:szCs w:val="16"/>
                <w:color w:val="auto"/>
              </w:rPr>
              <w:t>On the first business day of our fiscal year, a stock option to purchase shares of our common stock is automatically granted</w:t>
            </w:r>
          </w:p>
        </w:tc>
      </w:tr>
      <w:tr>
        <w:trPr>
          <w:trHeight w:val="173"/>
        </w:trPr>
        <w:tc>
          <w:tcPr>
            <w:tcW w:w="1760" w:type="dxa"/>
            <w:vAlign w:val="bottom"/>
          </w:tcPr>
          <w:p>
            <w:pPr>
              <w:ind w:left="20"/>
              <w:spacing w:after="0" w:line="174" w:lineRule="exact"/>
              <w:rPr>
                <w:sz w:val="20"/>
                <w:szCs w:val="20"/>
                <w:color w:val="auto"/>
              </w:rPr>
            </w:pPr>
            <w:r>
              <w:rPr>
                <w:rFonts w:ascii="Arial" w:cs="Arial" w:eastAsia="Arial" w:hAnsi="Arial"/>
                <w:sz w:val="16"/>
                <w:szCs w:val="16"/>
                <w:color w:val="auto"/>
              </w:rPr>
              <w:t>Awards</w:t>
            </w:r>
          </w:p>
        </w:tc>
        <w:tc>
          <w:tcPr>
            <w:tcW w:w="9260" w:type="dxa"/>
            <w:vAlign w:val="bottom"/>
          </w:tcPr>
          <w:p>
            <w:pPr>
              <w:ind w:left="220"/>
              <w:spacing w:after="0" w:line="174" w:lineRule="exact"/>
              <w:rPr>
                <w:sz w:val="20"/>
                <w:szCs w:val="20"/>
                <w:color w:val="auto"/>
              </w:rPr>
            </w:pPr>
            <w:r>
              <w:rPr>
                <w:rFonts w:ascii="Arial" w:cs="Arial" w:eastAsia="Arial" w:hAnsi="Arial"/>
                <w:sz w:val="16"/>
                <w:szCs w:val="16"/>
                <w:color w:val="auto"/>
              </w:rPr>
              <w:t>under our then current shareholder-approved plan. The number of stock options is determined by dividing the stock option</w:t>
            </w:r>
          </w:p>
        </w:tc>
      </w:tr>
      <w:tr>
        <w:trPr>
          <w:trHeight w:val="173"/>
        </w:trPr>
        <w:tc>
          <w:tcPr>
            <w:tcW w:w="1760" w:type="dxa"/>
            <w:vAlign w:val="bottom"/>
          </w:tcPr>
          <w:p>
            <w:pPr>
              <w:spacing w:after="0"/>
              <w:rPr>
                <w:sz w:val="15"/>
                <w:szCs w:val="15"/>
                <w:color w:val="auto"/>
              </w:rPr>
            </w:pPr>
          </w:p>
        </w:tc>
        <w:tc>
          <w:tcPr>
            <w:tcW w:w="9260" w:type="dxa"/>
            <w:vAlign w:val="bottom"/>
          </w:tcPr>
          <w:p>
            <w:pPr>
              <w:ind w:left="220"/>
              <w:spacing w:after="0" w:line="174" w:lineRule="exact"/>
              <w:rPr>
                <w:sz w:val="20"/>
                <w:szCs w:val="20"/>
                <w:color w:val="auto"/>
              </w:rPr>
            </w:pPr>
            <w:r>
              <w:rPr>
                <w:rFonts w:ascii="Arial" w:cs="Arial" w:eastAsia="Arial" w:hAnsi="Arial"/>
                <w:sz w:val="16"/>
                <w:szCs w:val="16"/>
                <w:color w:val="auto"/>
              </w:rPr>
              <w:t>award value by the grant date fair value of a stock option to purchase one share of our common stock. See below for additional</w:t>
            </w:r>
          </w:p>
        </w:tc>
      </w:tr>
      <w:tr>
        <w:trPr>
          <w:trHeight w:val="211"/>
        </w:trPr>
        <w:tc>
          <w:tcPr>
            <w:tcW w:w="1760" w:type="dxa"/>
            <w:vAlign w:val="bottom"/>
          </w:tcPr>
          <w:p>
            <w:pPr>
              <w:spacing w:after="0"/>
              <w:rPr>
                <w:sz w:val="18"/>
                <w:szCs w:val="18"/>
                <w:color w:val="auto"/>
              </w:rPr>
            </w:pPr>
          </w:p>
        </w:tc>
        <w:tc>
          <w:tcPr>
            <w:tcW w:w="9260" w:type="dxa"/>
            <w:vAlign w:val="bottom"/>
          </w:tcPr>
          <w:p>
            <w:pPr>
              <w:ind w:left="220"/>
              <w:spacing w:after="0"/>
              <w:rPr>
                <w:sz w:val="20"/>
                <w:szCs w:val="20"/>
                <w:color w:val="auto"/>
              </w:rPr>
            </w:pPr>
            <w:r>
              <w:rPr>
                <w:rFonts w:ascii="Arial" w:cs="Arial" w:eastAsia="Arial" w:hAnsi="Arial"/>
                <w:sz w:val="16"/>
                <w:szCs w:val="16"/>
                <w:color w:val="auto"/>
              </w:rPr>
              <w:t>information regarding vesting of stock option grants.</w:t>
            </w:r>
          </w:p>
        </w:tc>
      </w:tr>
    </w:tbl>
    <w:p>
      <w:pPr>
        <w:spacing w:after="0" w:line="29" w:lineRule="exact"/>
        <w:rPr>
          <w:sz w:val="20"/>
          <w:szCs w:val="20"/>
          <w:color w:val="auto"/>
        </w:rPr>
      </w:pPr>
    </w:p>
    <w:p>
      <w:pPr>
        <w:sectPr>
          <w:pgSz w:w="11900" w:h="16838" w:orient="portrait"/>
          <w:cols w:equalWidth="0" w:num="1">
            <w:col w:w="11240"/>
          </w:cols>
          <w:pgMar w:left="320" w:top="1097" w:right="339" w:bottom="1440" w:gutter="0" w:footer="0" w:header="0"/>
        </w:sectPr>
      </w:pPr>
    </w:p>
    <w:p>
      <w:pPr>
        <w:spacing w:after="0" w:line="14" w:lineRule="exact"/>
        <w:rPr>
          <w:sz w:val="20"/>
          <w:szCs w:val="20"/>
          <w:color w:val="auto"/>
        </w:rPr>
      </w:pPr>
    </w:p>
    <w:p>
      <w:pPr>
        <w:ind w:left="20"/>
        <w:spacing w:after="0" w:line="261" w:lineRule="auto"/>
        <w:rPr>
          <w:sz w:val="20"/>
          <w:szCs w:val="20"/>
          <w:color w:val="auto"/>
        </w:rPr>
      </w:pPr>
      <w:r>
        <w:rPr>
          <w:rFonts w:ascii="Arial" w:cs="Arial" w:eastAsia="Arial" w:hAnsi="Arial"/>
          <w:sz w:val="16"/>
          <w:szCs w:val="16"/>
          <w:color w:val="auto"/>
        </w:rPr>
        <w:t>Common Stock In Lieu of Annual Retainers</w:t>
      </w:r>
    </w:p>
    <w:p>
      <w:pPr>
        <w:spacing w:after="0" w:line="20" w:lineRule="exact"/>
        <w:rPr>
          <w:sz w:val="20"/>
          <w:szCs w:val="20"/>
          <w:color w:val="auto"/>
        </w:rPr>
      </w:pPr>
      <w:r>
        <w:rPr>
          <w:sz w:val="20"/>
          <w:szCs w:val="20"/>
          <w:color w:val="auto"/>
        </w:rPr>
        <w:br w:type="column"/>
      </w:r>
    </w:p>
    <w:p>
      <w:pPr>
        <w:jc w:val="both"/>
        <w:ind w:right="240"/>
        <w:spacing w:after="0" w:line="236" w:lineRule="auto"/>
        <w:rPr>
          <w:sz w:val="20"/>
          <w:szCs w:val="20"/>
          <w:color w:val="auto"/>
        </w:rPr>
      </w:pPr>
      <w:r>
        <w:rPr>
          <w:rFonts w:ascii="Arial" w:cs="Arial" w:eastAsia="Arial" w:hAnsi="Arial"/>
          <w:sz w:val="16"/>
          <w:szCs w:val="16"/>
          <w:color w:val="auto"/>
        </w:rPr>
        <w:t>Non-employee directors may elect to convert a portion or all of their calendar year annual retainers otherwise payable in cash into shares of our common stock. Retainers earned after the date a director makes such election for a calendar year are issued in shares of our common stock in December of that year, the number of which is determined by dividing the dollar amount of the retainers earned in the calendar year and elected to be converted into shares of our common stock by the closing price of our common stock on the date that the shares are issued.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-1252220</wp:posOffset>
            </wp:positionH>
            <wp:positionV relativeFrom="paragraph">
              <wp:posOffset>-573405</wp:posOffset>
            </wp:positionV>
            <wp:extent cx="6990080" cy="5930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990080" cy="593090"/>
                    </a:xfrm>
                    <a:prstGeom prst="rect">
                      <a:avLst/>
                    </a:prstGeom>
                    <a:noFill/>
                  </pic:spPr>
                </pic:pic>
              </a:graphicData>
            </a:graphic>
          </wp:anchor>
        </w:drawing>
      </w:r>
    </w:p>
    <w:p>
      <w:pPr>
        <w:spacing w:after="0" w:line="19" w:lineRule="exact"/>
        <w:rPr>
          <w:sz w:val="20"/>
          <w:szCs w:val="20"/>
          <w:color w:val="auto"/>
        </w:rPr>
      </w:pPr>
    </w:p>
    <w:p>
      <w:pPr>
        <w:sectPr>
          <w:pgSz w:w="11900" w:h="16838" w:orient="portrait"/>
          <w:cols w:equalWidth="0" w:num="2">
            <w:col w:w="1820" w:space="160"/>
            <w:col w:w="9260"/>
          </w:cols>
          <w:pgMar w:left="320" w:top="1097" w:right="339" w:bottom="1440" w:gutter="0" w:footer="0" w:header="0"/>
          <w:type w:val="continuous"/>
        </w:sectPr>
      </w:pPr>
    </w:p>
    <w:tbl>
      <w:tblPr>
        <w:tblLayout w:type="fixed"/>
        <w:tblInd w:w="0" w:type="dxa"/>
        <w:tblCellMar>
          <w:top w:w="0" w:type="dxa"/>
          <w:left w:w="0" w:type="dxa"/>
          <w:bottom w:w="0" w:type="dxa"/>
          <w:right w:w="0" w:type="dxa"/>
        </w:tblCellMar>
      </w:tblPr>
      <w:tr>
        <w:trPr>
          <w:trHeight w:val="184"/>
        </w:trPr>
        <w:tc>
          <w:tcPr>
            <w:tcW w:w="1880" w:type="dxa"/>
            <w:vAlign w:val="bottom"/>
          </w:tcPr>
          <w:p>
            <w:pPr>
              <w:ind w:left="20"/>
              <w:spacing w:after="0"/>
              <w:rPr>
                <w:sz w:val="20"/>
                <w:szCs w:val="20"/>
                <w:color w:val="auto"/>
              </w:rPr>
            </w:pPr>
            <w:r>
              <w:rPr>
                <w:rFonts w:ascii="Arial" w:cs="Arial" w:eastAsia="Arial" w:hAnsi="Arial"/>
                <w:sz w:val="16"/>
                <w:szCs w:val="16"/>
                <w:color w:val="auto"/>
              </w:rPr>
              <w:t>Deferred Compensation</w:t>
            </w:r>
          </w:p>
        </w:tc>
        <w:tc>
          <w:tcPr>
            <w:tcW w:w="9140" w:type="dxa"/>
            <w:vAlign w:val="bottom"/>
          </w:tcPr>
          <w:p>
            <w:pPr>
              <w:ind w:left="100"/>
              <w:spacing w:after="0"/>
              <w:rPr>
                <w:sz w:val="20"/>
                <w:szCs w:val="20"/>
                <w:color w:val="auto"/>
              </w:rPr>
            </w:pPr>
            <w:r>
              <w:rPr>
                <w:rFonts w:ascii="Arial" w:cs="Arial" w:eastAsia="Arial" w:hAnsi="Arial"/>
                <w:sz w:val="16"/>
                <w:szCs w:val="16"/>
                <w:color w:val="auto"/>
              </w:rPr>
              <w:t>Non-employee directors may elect to defer receipt of all or a part of his or her stock award and/or cash compensation on a</w:t>
            </w:r>
          </w:p>
        </w:tc>
      </w:tr>
      <w:tr>
        <w:trPr>
          <w:trHeight w:val="173"/>
        </w:trPr>
        <w:tc>
          <w:tcPr>
            <w:tcW w:w="1880" w:type="dxa"/>
            <w:vAlign w:val="bottom"/>
          </w:tcPr>
          <w:p>
            <w:pPr>
              <w:ind w:left="20"/>
              <w:spacing w:after="0" w:line="174" w:lineRule="exact"/>
              <w:rPr>
                <w:sz w:val="20"/>
                <w:szCs w:val="20"/>
                <w:color w:val="auto"/>
              </w:rPr>
            </w:pPr>
            <w:r>
              <w:rPr>
                <w:rFonts w:ascii="Arial" w:cs="Arial" w:eastAsia="Arial" w:hAnsi="Arial"/>
                <w:sz w:val="16"/>
                <w:szCs w:val="16"/>
                <w:color w:val="auto"/>
              </w:rPr>
              <w:t>Plan</w:t>
            </w:r>
          </w:p>
        </w:tc>
        <w:tc>
          <w:tcPr>
            <w:tcW w:w="9140" w:type="dxa"/>
            <w:vAlign w:val="bottom"/>
          </w:tcPr>
          <w:p>
            <w:pPr>
              <w:ind w:left="100"/>
              <w:spacing w:after="0" w:line="174" w:lineRule="exact"/>
              <w:rPr>
                <w:sz w:val="20"/>
                <w:szCs w:val="20"/>
                <w:color w:val="auto"/>
              </w:rPr>
            </w:pPr>
            <w:r>
              <w:rPr>
                <w:rFonts w:ascii="Arial" w:cs="Arial" w:eastAsia="Arial" w:hAnsi="Arial"/>
                <w:sz w:val="16"/>
                <w:szCs w:val="16"/>
                <w:color w:val="auto"/>
              </w:rPr>
              <w:t>calendar year basis under The Toro Company Deferred Compensation Plan for Non-Employee Directors, or the Deferred Plan</w:t>
            </w:r>
          </w:p>
        </w:tc>
      </w:tr>
      <w:tr>
        <w:trPr>
          <w:trHeight w:val="173"/>
        </w:trPr>
        <w:tc>
          <w:tcPr>
            <w:tcW w:w="1880" w:type="dxa"/>
            <w:vAlign w:val="bottom"/>
          </w:tcPr>
          <w:p>
            <w:pPr>
              <w:spacing w:after="0"/>
              <w:rPr>
                <w:sz w:val="15"/>
                <w:szCs w:val="15"/>
                <w:color w:val="auto"/>
              </w:rPr>
            </w:pPr>
          </w:p>
        </w:tc>
        <w:tc>
          <w:tcPr>
            <w:tcW w:w="9140" w:type="dxa"/>
            <w:vAlign w:val="bottom"/>
          </w:tcPr>
          <w:p>
            <w:pPr>
              <w:ind w:left="100"/>
              <w:spacing w:after="0" w:line="174" w:lineRule="exact"/>
              <w:rPr>
                <w:sz w:val="20"/>
                <w:szCs w:val="20"/>
                <w:color w:val="auto"/>
              </w:rPr>
            </w:pPr>
            <w:r>
              <w:rPr>
                <w:rFonts w:ascii="Arial" w:cs="Arial" w:eastAsia="Arial" w:hAnsi="Arial"/>
                <w:sz w:val="16"/>
                <w:szCs w:val="16"/>
                <w:color w:val="auto"/>
              </w:rPr>
              <w:t>for Directors. Because the value of a director's deferred compensation account fluctuates, as applicable, based on the market</w:t>
            </w:r>
          </w:p>
        </w:tc>
      </w:tr>
      <w:tr>
        <w:trPr>
          <w:trHeight w:val="173"/>
        </w:trPr>
        <w:tc>
          <w:tcPr>
            <w:tcW w:w="1880" w:type="dxa"/>
            <w:vAlign w:val="bottom"/>
          </w:tcPr>
          <w:p>
            <w:pPr>
              <w:spacing w:after="0"/>
              <w:rPr>
                <w:sz w:val="15"/>
                <w:szCs w:val="15"/>
                <w:color w:val="auto"/>
              </w:rPr>
            </w:pPr>
          </w:p>
        </w:tc>
        <w:tc>
          <w:tcPr>
            <w:tcW w:w="9140" w:type="dxa"/>
            <w:vAlign w:val="bottom"/>
          </w:tcPr>
          <w:p>
            <w:pPr>
              <w:ind w:left="100"/>
              <w:spacing w:after="0" w:line="174" w:lineRule="exact"/>
              <w:rPr>
                <w:sz w:val="20"/>
                <w:szCs w:val="20"/>
                <w:color w:val="auto"/>
              </w:rPr>
            </w:pPr>
            <w:r>
              <w:rPr>
                <w:rFonts w:ascii="Arial" w:cs="Arial" w:eastAsia="Arial" w:hAnsi="Arial"/>
                <w:sz w:val="16"/>
                <w:szCs w:val="16"/>
                <w:color w:val="auto"/>
              </w:rPr>
              <w:t>value of our common stock or based on a rate of return on funds that are comparable to funds available in The Toro Company</w:t>
            </w:r>
          </w:p>
        </w:tc>
      </w:tr>
      <w:tr>
        <w:trPr>
          <w:trHeight w:val="187"/>
        </w:trPr>
        <w:tc>
          <w:tcPr>
            <w:tcW w:w="1880" w:type="dxa"/>
            <w:vAlign w:val="bottom"/>
          </w:tcPr>
          <w:p>
            <w:pPr>
              <w:spacing w:after="0"/>
              <w:rPr>
                <w:sz w:val="16"/>
                <w:szCs w:val="16"/>
                <w:color w:val="auto"/>
              </w:rPr>
            </w:pPr>
          </w:p>
        </w:tc>
        <w:tc>
          <w:tcPr>
            <w:tcW w:w="9140" w:type="dxa"/>
            <w:vAlign w:val="bottom"/>
          </w:tcPr>
          <w:p>
            <w:pPr>
              <w:ind w:left="100"/>
              <w:spacing w:after="0"/>
              <w:rPr>
                <w:sz w:val="20"/>
                <w:szCs w:val="20"/>
                <w:color w:val="auto"/>
              </w:rPr>
            </w:pPr>
            <w:r>
              <w:rPr>
                <w:rFonts w:ascii="Arial" w:cs="Arial" w:eastAsia="Arial" w:hAnsi="Arial"/>
                <w:sz w:val="16"/>
                <w:szCs w:val="16"/>
                <w:color w:val="auto"/>
              </w:rPr>
              <w:t>Retirement Plan, or Retirement Plan, earnings on deferred compensation are not preferential. Dividends paid on our common</w:t>
            </w:r>
          </w:p>
        </w:tc>
      </w:tr>
      <w:tr>
        <w:trPr>
          <w:trHeight w:val="173"/>
        </w:trPr>
        <w:tc>
          <w:tcPr>
            <w:tcW w:w="1880" w:type="dxa"/>
            <w:vAlign w:val="bottom"/>
          </w:tcPr>
          <w:p>
            <w:pPr>
              <w:spacing w:after="0"/>
              <w:rPr>
                <w:sz w:val="15"/>
                <w:szCs w:val="15"/>
                <w:color w:val="auto"/>
              </w:rPr>
            </w:pPr>
          </w:p>
        </w:tc>
        <w:tc>
          <w:tcPr>
            <w:tcW w:w="9140" w:type="dxa"/>
            <w:vAlign w:val="bottom"/>
          </w:tcPr>
          <w:p>
            <w:pPr>
              <w:ind w:left="100"/>
              <w:spacing w:after="0" w:line="174" w:lineRule="exact"/>
              <w:rPr>
                <w:sz w:val="20"/>
                <w:szCs w:val="20"/>
                <w:color w:val="auto"/>
              </w:rPr>
            </w:pPr>
            <w:r>
              <w:rPr>
                <w:rFonts w:ascii="Arial" w:cs="Arial" w:eastAsia="Arial" w:hAnsi="Arial"/>
                <w:sz w:val="16"/>
                <w:szCs w:val="16"/>
                <w:color w:val="auto"/>
              </w:rPr>
              <w:t>stock are credited to a director's account as additional common stock units. A director is fully vested in his or her deferred</w:t>
            </w:r>
          </w:p>
        </w:tc>
      </w:tr>
      <w:tr>
        <w:trPr>
          <w:trHeight w:val="173"/>
        </w:trPr>
        <w:tc>
          <w:tcPr>
            <w:tcW w:w="1880" w:type="dxa"/>
            <w:vAlign w:val="bottom"/>
          </w:tcPr>
          <w:p>
            <w:pPr>
              <w:spacing w:after="0"/>
              <w:rPr>
                <w:sz w:val="15"/>
                <w:szCs w:val="15"/>
                <w:color w:val="auto"/>
              </w:rPr>
            </w:pPr>
          </w:p>
        </w:tc>
        <w:tc>
          <w:tcPr>
            <w:tcW w:w="9140" w:type="dxa"/>
            <w:vAlign w:val="bottom"/>
          </w:tcPr>
          <w:p>
            <w:pPr>
              <w:ind w:left="100"/>
              <w:spacing w:after="0" w:line="174" w:lineRule="exact"/>
              <w:rPr>
                <w:sz w:val="20"/>
                <w:szCs w:val="20"/>
                <w:color w:val="auto"/>
              </w:rPr>
            </w:pPr>
            <w:r>
              <w:rPr>
                <w:rFonts w:ascii="Arial" w:cs="Arial" w:eastAsia="Arial" w:hAnsi="Arial"/>
                <w:sz w:val="16"/>
                <w:szCs w:val="16"/>
                <w:color w:val="auto"/>
              </w:rPr>
              <w:t>compensation account. Distributions under the Deferred Plan for Directors are payable in accordance with the director</w:t>
            </w:r>
          </w:p>
        </w:tc>
      </w:tr>
      <w:tr>
        <w:trPr>
          <w:trHeight w:val="173"/>
        </w:trPr>
        <w:tc>
          <w:tcPr>
            <w:tcW w:w="1880" w:type="dxa"/>
            <w:vAlign w:val="bottom"/>
          </w:tcPr>
          <w:p>
            <w:pPr>
              <w:spacing w:after="0"/>
              <w:rPr>
                <w:sz w:val="15"/>
                <w:szCs w:val="15"/>
                <w:color w:val="auto"/>
              </w:rPr>
            </w:pPr>
          </w:p>
        </w:tc>
        <w:tc>
          <w:tcPr>
            <w:tcW w:w="9140" w:type="dxa"/>
            <w:vAlign w:val="bottom"/>
          </w:tcPr>
          <w:p>
            <w:pPr>
              <w:ind w:left="100"/>
              <w:spacing w:after="0" w:line="174" w:lineRule="exact"/>
              <w:rPr>
                <w:sz w:val="20"/>
                <w:szCs w:val="20"/>
                <w:color w:val="auto"/>
              </w:rPr>
            </w:pPr>
            <w:r>
              <w:rPr>
                <w:rFonts w:ascii="Arial" w:cs="Arial" w:eastAsia="Arial" w:hAnsi="Arial"/>
                <w:sz w:val="16"/>
                <w:szCs w:val="16"/>
                <w:color w:val="auto"/>
              </w:rPr>
              <w:t>participant's prior distribution elections upon the earliest of retirement, prior to retirement if a valid election has been made or in</w:t>
            </w:r>
          </w:p>
        </w:tc>
      </w:tr>
      <w:tr>
        <w:trPr>
          <w:trHeight w:val="211"/>
        </w:trPr>
        <w:tc>
          <w:tcPr>
            <w:tcW w:w="1880" w:type="dxa"/>
            <w:vAlign w:val="bottom"/>
          </w:tcPr>
          <w:p>
            <w:pPr>
              <w:spacing w:after="0"/>
              <w:rPr>
                <w:sz w:val="18"/>
                <w:szCs w:val="18"/>
                <w:color w:val="auto"/>
              </w:rPr>
            </w:pPr>
          </w:p>
        </w:tc>
        <w:tc>
          <w:tcPr>
            <w:tcW w:w="9140" w:type="dxa"/>
            <w:vAlign w:val="bottom"/>
          </w:tcPr>
          <w:p>
            <w:pPr>
              <w:ind w:left="100"/>
              <w:spacing w:after="0"/>
              <w:rPr>
                <w:sz w:val="20"/>
                <w:szCs w:val="20"/>
                <w:color w:val="auto"/>
              </w:rPr>
            </w:pPr>
            <w:r>
              <w:rPr>
                <w:rFonts w:ascii="Arial" w:cs="Arial" w:eastAsia="Arial" w:hAnsi="Arial"/>
                <w:sz w:val="16"/>
                <w:szCs w:val="16"/>
                <w:color w:val="auto"/>
              </w:rPr>
              <w:t>an unforeseeable financial emergency.</w:t>
            </w:r>
          </w:p>
        </w:tc>
      </w:tr>
      <w:tr>
        <w:trPr>
          <w:trHeight w:val="30"/>
        </w:trPr>
        <w:tc>
          <w:tcPr>
            <w:tcW w:w="1880" w:type="dxa"/>
            <w:vAlign w:val="bottom"/>
          </w:tcPr>
          <w:p>
            <w:pPr>
              <w:spacing w:after="0"/>
              <w:rPr>
                <w:sz w:val="2"/>
                <w:szCs w:val="2"/>
                <w:color w:val="auto"/>
              </w:rPr>
            </w:pPr>
          </w:p>
        </w:tc>
        <w:tc>
          <w:tcPr>
            <w:tcW w:w="9140" w:type="dxa"/>
            <w:vAlign w:val="bottom"/>
          </w:tcPr>
          <w:p>
            <w:pPr>
              <w:spacing w:after="0"/>
              <w:rPr>
                <w:sz w:val="2"/>
                <w:szCs w:val="2"/>
                <w:color w:val="auto"/>
              </w:rPr>
            </w:pPr>
          </w:p>
        </w:tc>
      </w:tr>
      <w:tr>
        <w:trPr>
          <w:trHeight w:val="173"/>
        </w:trPr>
        <w:tc>
          <w:tcPr>
            <w:tcW w:w="1880" w:type="dxa"/>
            <w:vAlign w:val="bottom"/>
            <w:shd w:val="clear" w:color="auto" w:fill="DBDBDB"/>
          </w:tcPr>
          <w:p>
            <w:pPr>
              <w:ind w:left="20"/>
              <w:spacing w:after="0" w:line="173" w:lineRule="exact"/>
              <w:rPr>
                <w:sz w:val="20"/>
                <w:szCs w:val="20"/>
                <w:color w:val="auto"/>
              </w:rPr>
            </w:pPr>
            <w:r>
              <w:rPr>
                <w:rFonts w:ascii="Arial" w:cs="Arial" w:eastAsia="Arial" w:hAnsi="Arial"/>
                <w:sz w:val="16"/>
                <w:szCs w:val="16"/>
                <w:color w:val="auto"/>
              </w:rPr>
              <w:t>Company Products</w:t>
            </w:r>
          </w:p>
        </w:tc>
        <w:tc>
          <w:tcPr>
            <w:tcW w:w="9140" w:type="dxa"/>
            <w:vAlign w:val="bottom"/>
            <w:shd w:val="clear" w:color="auto" w:fill="DBDBDB"/>
          </w:tcPr>
          <w:p>
            <w:pPr>
              <w:ind w:left="100"/>
              <w:spacing w:after="0" w:line="173" w:lineRule="exact"/>
              <w:rPr>
                <w:sz w:val="20"/>
                <w:szCs w:val="20"/>
                <w:color w:val="auto"/>
              </w:rPr>
            </w:pPr>
            <w:r>
              <w:rPr>
                <w:rFonts w:ascii="Arial" w:cs="Arial" w:eastAsia="Arial" w:hAnsi="Arial"/>
                <w:sz w:val="16"/>
                <w:szCs w:val="16"/>
                <w:color w:val="auto"/>
              </w:rPr>
              <w:t>Each of our non-employee directors is entitled to receive certain Company products and related parts, service and accessories</w:t>
            </w:r>
          </w:p>
        </w:tc>
      </w:tr>
      <w:tr>
        <w:trPr>
          <w:trHeight w:val="173"/>
        </w:trPr>
        <w:tc>
          <w:tcPr>
            <w:tcW w:w="1880" w:type="dxa"/>
            <w:vAlign w:val="bottom"/>
            <w:shd w:val="clear" w:color="auto" w:fill="DBDBDB"/>
          </w:tcPr>
          <w:p>
            <w:pPr>
              <w:spacing w:after="0"/>
              <w:rPr>
                <w:sz w:val="15"/>
                <w:szCs w:val="15"/>
                <w:color w:val="auto"/>
              </w:rPr>
            </w:pPr>
          </w:p>
        </w:tc>
        <w:tc>
          <w:tcPr>
            <w:tcW w:w="9140" w:type="dxa"/>
            <w:vAlign w:val="bottom"/>
            <w:shd w:val="clear" w:color="auto" w:fill="DBDBDB"/>
          </w:tcPr>
          <w:p>
            <w:pPr>
              <w:ind w:left="100"/>
              <w:spacing w:after="0" w:line="174" w:lineRule="exact"/>
              <w:rPr>
                <w:sz w:val="20"/>
                <w:szCs w:val="20"/>
                <w:color w:val="auto"/>
              </w:rPr>
            </w:pPr>
            <w:r>
              <w:rPr>
                <w:rFonts w:ascii="Arial" w:cs="Arial" w:eastAsia="Arial" w:hAnsi="Arial"/>
                <w:sz w:val="16"/>
                <w:szCs w:val="16"/>
                <w:color w:val="auto"/>
              </w:rPr>
              <w:t>for his or her personal use, at no cost; provided, however, that directors are responsible for payment of applicable taxes</w:t>
            </w:r>
          </w:p>
        </w:tc>
      </w:tr>
      <w:tr>
        <w:trPr>
          <w:trHeight w:val="173"/>
        </w:trPr>
        <w:tc>
          <w:tcPr>
            <w:tcW w:w="1880" w:type="dxa"/>
            <w:vAlign w:val="bottom"/>
            <w:shd w:val="clear" w:color="auto" w:fill="DBDBDB"/>
          </w:tcPr>
          <w:p>
            <w:pPr>
              <w:spacing w:after="0"/>
              <w:rPr>
                <w:sz w:val="15"/>
                <w:szCs w:val="15"/>
                <w:color w:val="auto"/>
              </w:rPr>
            </w:pPr>
          </w:p>
        </w:tc>
        <w:tc>
          <w:tcPr>
            <w:tcW w:w="9140" w:type="dxa"/>
            <w:vAlign w:val="bottom"/>
            <w:shd w:val="clear" w:color="auto" w:fill="DBDBDB"/>
          </w:tcPr>
          <w:p>
            <w:pPr>
              <w:ind w:left="100"/>
              <w:spacing w:after="0" w:line="174" w:lineRule="exact"/>
              <w:rPr>
                <w:sz w:val="20"/>
                <w:szCs w:val="20"/>
                <w:color w:val="auto"/>
              </w:rPr>
            </w:pPr>
            <w:r>
              <w:rPr>
                <w:rFonts w:ascii="Arial" w:cs="Arial" w:eastAsia="Arial" w:hAnsi="Arial"/>
                <w:sz w:val="16"/>
                <w:szCs w:val="16"/>
                <w:color w:val="auto"/>
              </w:rPr>
              <w:t>attributable to the value of such items. The value is deemed to be our distributor net price or its equivalent, which is also the</w:t>
            </w:r>
          </w:p>
        </w:tc>
      </w:tr>
      <w:tr>
        <w:trPr>
          <w:trHeight w:val="221"/>
        </w:trPr>
        <w:tc>
          <w:tcPr>
            <w:tcW w:w="1880" w:type="dxa"/>
            <w:vAlign w:val="bottom"/>
            <w:tcBorders>
              <w:bottom w:val="single" w:sz="8" w:color="DBDBDB"/>
            </w:tcBorders>
            <w:shd w:val="clear" w:color="auto" w:fill="DBDBDB"/>
          </w:tcPr>
          <w:p>
            <w:pPr>
              <w:spacing w:after="0"/>
              <w:rPr>
                <w:sz w:val="19"/>
                <w:szCs w:val="19"/>
                <w:color w:val="auto"/>
              </w:rPr>
            </w:pPr>
          </w:p>
        </w:tc>
        <w:tc>
          <w:tcPr>
            <w:tcW w:w="9140" w:type="dxa"/>
            <w:vAlign w:val="bottom"/>
            <w:tcBorders>
              <w:bottom w:val="single" w:sz="8" w:color="DBDBDB"/>
            </w:tcBorders>
            <w:shd w:val="clear" w:color="auto" w:fill="DBDBDB"/>
          </w:tcPr>
          <w:p>
            <w:pPr>
              <w:ind w:left="100"/>
              <w:spacing w:after="0"/>
              <w:rPr>
                <w:sz w:val="20"/>
                <w:szCs w:val="20"/>
                <w:color w:val="auto"/>
              </w:rPr>
            </w:pPr>
            <w:r>
              <w:rPr>
                <w:rFonts w:ascii="Arial" w:cs="Arial" w:eastAsia="Arial" w:hAnsi="Arial"/>
                <w:sz w:val="16"/>
                <w:szCs w:val="16"/>
                <w:color w:val="auto"/>
              </w:rPr>
              <w:t>price at which such items are generally available to our employees for purchase.</w:t>
            </w:r>
          </w:p>
        </w:tc>
      </w:tr>
      <w:tr>
        <w:trPr>
          <w:trHeight w:val="173"/>
        </w:trPr>
        <w:tc>
          <w:tcPr>
            <w:tcW w:w="1880" w:type="dxa"/>
            <w:vAlign w:val="bottom"/>
          </w:tcPr>
          <w:p>
            <w:pPr>
              <w:ind w:left="20"/>
              <w:spacing w:after="0" w:line="173" w:lineRule="exact"/>
              <w:rPr>
                <w:sz w:val="20"/>
                <w:szCs w:val="20"/>
                <w:color w:val="auto"/>
              </w:rPr>
            </w:pPr>
            <w:r>
              <w:rPr>
                <w:rFonts w:ascii="Arial" w:cs="Arial" w:eastAsia="Arial" w:hAnsi="Arial"/>
                <w:sz w:val="16"/>
                <w:szCs w:val="16"/>
                <w:color w:val="auto"/>
              </w:rPr>
              <w:t>Charitable Giving</w:t>
            </w:r>
          </w:p>
        </w:tc>
        <w:tc>
          <w:tcPr>
            <w:tcW w:w="9140" w:type="dxa"/>
            <w:vAlign w:val="bottom"/>
          </w:tcPr>
          <w:p>
            <w:pPr>
              <w:ind w:left="100"/>
              <w:spacing w:after="0" w:line="173" w:lineRule="exact"/>
              <w:rPr>
                <w:sz w:val="20"/>
                <w:szCs w:val="20"/>
                <w:color w:val="auto"/>
              </w:rPr>
            </w:pPr>
            <w:r>
              <w:rPr>
                <w:rFonts w:ascii="Arial" w:cs="Arial" w:eastAsia="Arial" w:hAnsi="Arial"/>
                <w:sz w:val="16"/>
                <w:szCs w:val="16"/>
                <w:color w:val="auto"/>
              </w:rPr>
              <w:t>We offer a matching gift program for our non-employee directors, similar to the matching gift program offered to our employees,</w:t>
            </w:r>
          </w:p>
        </w:tc>
      </w:tr>
      <w:tr>
        <w:trPr>
          <w:trHeight w:val="173"/>
        </w:trPr>
        <w:tc>
          <w:tcPr>
            <w:tcW w:w="1880" w:type="dxa"/>
            <w:vAlign w:val="bottom"/>
          </w:tcPr>
          <w:p>
            <w:pPr>
              <w:spacing w:after="0"/>
              <w:rPr>
                <w:sz w:val="15"/>
                <w:szCs w:val="15"/>
                <w:color w:val="auto"/>
              </w:rPr>
            </w:pPr>
          </w:p>
        </w:tc>
        <w:tc>
          <w:tcPr>
            <w:tcW w:w="9140" w:type="dxa"/>
            <w:vAlign w:val="bottom"/>
          </w:tcPr>
          <w:p>
            <w:pPr>
              <w:ind w:left="100"/>
              <w:spacing w:after="0" w:line="174" w:lineRule="exact"/>
              <w:rPr>
                <w:sz w:val="20"/>
                <w:szCs w:val="20"/>
                <w:color w:val="auto"/>
              </w:rPr>
            </w:pPr>
            <w:r>
              <w:rPr>
                <w:rFonts w:ascii="Arial" w:cs="Arial" w:eastAsia="Arial" w:hAnsi="Arial"/>
                <w:sz w:val="16"/>
                <w:szCs w:val="16"/>
                <w:color w:val="auto"/>
              </w:rPr>
              <w:t>which provides that a gift or gifts by a director to one or more tax exempt 501(c)(3) charitable organizations located in the</w:t>
            </w:r>
          </w:p>
        </w:tc>
      </w:tr>
      <w:tr>
        <w:trPr>
          <w:trHeight w:val="211"/>
        </w:trPr>
        <w:tc>
          <w:tcPr>
            <w:tcW w:w="1880" w:type="dxa"/>
            <w:vAlign w:val="bottom"/>
          </w:tcPr>
          <w:p>
            <w:pPr>
              <w:spacing w:after="0"/>
              <w:rPr>
                <w:sz w:val="18"/>
                <w:szCs w:val="18"/>
                <w:color w:val="auto"/>
              </w:rPr>
            </w:pPr>
          </w:p>
        </w:tc>
        <w:tc>
          <w:tcPr>
            <w:tcW w:w="9140" w:type="dxa"/>
            <w:vAlign w:val="bottom"/>
          </w:tcPr>
          <w:p>
            <w:pPr>
              <w:ind w:left="100"/>
              <w:spacing w:after="0"/>
              <w:rPr>
                <w:sz w:val="20"/>
                <w:szCs w:val="20"/>
                <w:color w:val="auto"/>
              </w:rPr>
            </w:pPr>
            <w:r>
              <w:rPr>
                <w:rFonts w:ascii="Arial" w:cs="Arial" w:eastAsia="Arial" w:hAnsi="Arial"/>
                <w:sz w:val="16"/>
                <w:szCs w:val="16"/>
                <w:color w:val="auto"/>
              </w:rPr>
              <w:t>United States will be matched by us in an aggregate amount of up to $1,000 per director per year.</w:t>
            </w:r>
          </w:p>
        </w:tc>
      </w:tr>
      <w:tr>
        <w:trPr>
          <w:trHeight w:val="30"/>
        </w:trPr>
        <w:tc>
          <w:tcPr>
            <w:tcW w:w="1880" w:type="dxa"/>
            <w:vAlign w:val="bottom"/>
          </w:tcPr>
          <w:p>
            <w:pPr>
              <w:spacing w:after="0"/>
              <w:rPr>
                <w:sz w:val="2"/>
                <w:szCs w:val="2"/>
                <w:color w:val="auto"/>
              </w:rPr>
            </w:pPr>
          </w:p>
        </w:tc>
        <w:tc>
          <w:tcPr>
            <w:tcW w:w="9140" w:type="dxa"/>
            <w:vAlign w:val="bottom"/>
          </w:tcPr>
          <w:p>
            <w:pPr>
              <w:spacing w:after="0"/>
              <w:rPr>
                <w:sz w:val="2"/>
                <w:szCs w:val="2"/>
                <w:color w:val="auto"/>
              </w:rPr>
            </w:pPr>
          </w:p>
        </w:tc>
      </w:tr>
      <w:tr>
        <w:trPr>
          <w:trHeight w:val="173"/>
        </w:trPr>
        <w:tc>
          <w:tcPr>
            <w:tcW w:w="1880" w:type="dxa"/>
            <w:vAlign w:val="bottom"/>
            <w:shd w:val="clear" w:color="auto" w:fill="DBDBDB"/>
          </w:tcPr>
          <w:p>
            <w:pPr>
              <w:ind w:left="20"/>
              <w:spacing w:after="0" w:line="173" w:lineRule="exact"/>
              <w:rPr>
                <w:sz w:val="20"/>
                <w:szCs w:val="20"/>
                <w:color w:val="auto"/>
              </w:rPr>
            </w:pPr>
            <w:r>
              <w:rPr>
                <w:rFonts w:ascii="Arial" w:cs="Arial" w:eastAsia="Arial" w:hAnsi="Arial"/>
                <w:sz w:val="16"/>
                <w:szCs w:val="16"/>
                <w:color w:val="auto"/>
              </w:rPr>
              <w:t>Indemnification and D&amp;O</w:t>
            </w:r>
          </w:p>
        </w:tc>
        <w:tc>
          <w:tcPr>
            <w:tcW w:w="9140" w:type="dxa"/>
            <w:vAlign w:val="bottom"/>
            <w:shd w:val="clear" w:color="auto" w:fill="DBDBDB"/>
          </w:tcPr>
          <w:p>
            <w:pPr>
              <w:ind w:left="100"/>
              <w:spacing w:after="0" w:line="173" w:lineRule="exact"/>
              <w:rPr>
                <w:sz w:val="20"/>
                <w:szCs w:val="20"/>
                <w:color w:val="auto"/>
              </w:rPr>
            </w:pPr>
            <w:r>
              <w:rPr>
                <w:rFonts w:ascii="Arial" w:cs="Arial" w:eastAsia="Arial" w:hAnsi="Arial"/>
                <w:sz w:val="16"/>
                <w:szCs w:val="16"/>
                <w:color w:val="auto"/>
              </w:rPr>
              <w:t>Each non-employee director is a party to an indemnification agreement with us pursuant to which we have agreed to provide</w:t>
            </w:r>
          </w:p>
        </w:tc>
      </w:tr>
      <w:tr>
        <w:trPr>
          <w:trHeight w:val="173"/>
        </w:trPr>
        <w:tc>
          <w:tcPr>
            <w:tcW w:w="1880" w:type="dxa"/>
            <w:vAlign w:val="bottom"/>
            <w:shd w:val="clear" w:color="auto" w:fill="DBDBDB"/>
          </w:tcPr>
          <w:p>
            <w:pPr>
              <w:ind w:left="20"/>
              <w:spacing w:after="0" w:line="174" w:lineRule="exact"/>
              <w:rPr>
                <w:sz w:val="20"/>
                <w:szCs w:val="20"/>
                <w:color w:val="auto"/>
              </w:rPr>
            </w:pPr>
            <w:r>
              <w:rPr>
                <w:rFonts w:ascii="Arial" w:cs="Arial" w:eastAsia="Arial" w:hAnsi="Arial"/>
                <w:sz w:val="16"/>
                <w:szCs w:val="16"/>
                <w:color w:val="auto"/>
              </w:rPr>
              <w:t>Insurance</w:t>
            </w:r>
          </w:p>
        </w:tc>
        <w:tc>
          <w:tcPr>
            <w:tcW w:w="9140" w:type="dxa"/>
            <w:vAlign w:val="bottom"/>
            <w:shd w:val="clear" w:color="auto" w:fill="DBDBDB"/>
          </w:tcPr>
          <w:p>
            <w:pPr>
              <w:ind w:left="100"/>
              <w:spacing w:after="0" w:line="174" w:lineRule="exact"/>
              <w:rPr>
                <w:sz w:val="20"/>
                <w:szCs w:val="20"/>
                <w:color w:val="auto"/>
              </w:rPr>
            </w:pPr>
            <w:r>
              <w:rPr>
                <w:rFonts w:ascii="Arial" w:cs="Arial" w:eastAsia="Arial" w:hAnsi="Arial"/>
                <w:sz w:val="16"/>
                <w:szCs w:val="16"/>
                <w:color w:val="auto"/>
              </w:rPr>
              <w:t>indemnification and advancement of expenses to the fullest extent permitted by Delaware law and our Restated Certificate of</w:t>
            </w:r>
          </w:p>
        </w:tc>
      </w:tr>
      <w:tr>
        <w:trPr>
          <w:trHeight w:val="211"/>
        </w:trPr>
        <w:tc>
          <w:tcPr>
            <w:tcW w:w="1880" w:type="dxa"/>
            <w:vAlign w:val="bottom"/>
            <w:shd w:val="clear" w:color="auto" w:fill="DBDBDB"/>
          </w:tcPr>
          <w:p>
            <w:pPr>
              <w:spacing w:after="0"/>
              <w:rPr>
                <w:sz w:val="18"/>
                <w:szCs w:val="18"/>
                <w:color w:val="auto"/>
              </w:rPr>
            </w:pPr>
          </w:p>
        </w:tc>
        <w:tc>
          <w:tcPr>
            <w:tcW w:w="9140" w:type="dxa"/>
            <w:vAlign w:val="bottom"/>
            <w:shd w:val="clear" w:color="auto" w:fill="DBDBDB"/>
          </w:tcPr>
          <w:p>
            <w:pPr>
              <w:ind w:left="100"/>
              <w:spacing w:after="0"/>
              <w:rPr>
                <w:sz w:val="20"/>
                <w:szCs w:val="20"/>
                <w:color w:val="auto"/>
              </w:rPr>
            </w:pPr>
            <w:r>
              <w:rPr>
                <w:rFonts w:ascii="Arial" w:cs="Arial" w:eastAsia="Arial" w:hAnsi="Arial"/>
                <w:sz w:val="16"/>
                <w:szCs w:val="16"/>
                <w:color w:val="auto"/>
              </w:rPr>
              <w:t>Incorporation and continued coverage under our D&amp;O insurance.</w:t>
            </w:r>
          </w:p>
        </w:tc>
      </w:tr>
      <w:tr>
        <w:trPr>
          <w:trHeight w:val="30"/>
        </w:trPr>
        <w:tc>
          <w:tcPr>
            <w:tcW w:w="1880" w:type="dxa"/>
            <w:vAlign w:val="bottom"/>
            <w:shd w:val="clear" w:color="auto" w:fill="DBDBDB"/>
          </w:tcPr>
          <w:p>
            <w:pPr>
              <w:spacing w:after="0"/>
              <w:rPr>
                <w:sz w:val="2"/>
                <w:szCs w:val="2"/>
                <w:color w:val="auto"/>
              </w:rPr>
            </w:pPr>
          </w:p>
        </w:tc>
        <w:tc>
          <w:tcPr>
            <w:tcW w:w="9140" w:type="dxa"/>
            <w:vAlign w:val="bottom"/>
            <w:shd w:val="clear" w:color="auto" w:fill="DBDBDB"/>
          </w:tcPr>
          <w:p>
            <w:pPr>
              <w:spacing w:after="0"/>
              <w:rPr>
                <w:sz w:val="2"/>
                <w:szCs w:val="2"/>
                <w:color w:val="auto"/>
              </w:rPr>
            </w:pPr>
          </w:p>
        </w:tc>
      </w:tr>
    </w:tbl>
    <w:p>
      <w:pPr>
        <w:spacing w:after="0" w:line="155" w:lineRule="exact"/>
        <w:rPr>
          <w:sz w:val="20"/>
          <w:szCs w:val="20"/>
          <w:color w:val="auto"/>
        </w:rPr>
      </w:pPr>
    </w:p>
    <w:p>
      <w:pPr>
        <w:ind w:firstLine="320"/>
        <w:spacing w:after="0" w:line="264" w:lineRule="auto"/>
        <w:rPr>
          <w:sz w:val="20"/>
          <w:szCs w:val="20"/>
          <w:color w:val="auto"/>
        </w:rPr>
      </w:pPr>
      <w:r>
        <w:rPr>
          <w:rFonts w:ascii="Arial" w:cs="Arial" w:eastAsia="Arial" w:hAnsi="Arial"/>
          <w:sz w:val="18"/>
          <w:szCs w:val="18"/>
          <w:b w:val="1"/>
          <w:bCs w:val="1"/>
          <w:color w:val="auto"/>
        </w:rPr>
        <w:t xml:space="preserve">Stock Option Vesting. </w:t>
      </w:r>
      <w:r>
        <w:rPr>
          <w:rFonts w:ascii="Arial" w:cs="Arial" w:eastAsia="Arial" w:hAnsi="Arial"/>
          <w:sz w:val="18"/>
          <w:szCs w:val="18"/>
          <w:color w:val="auto"/>
        </w:rPr>
        <w:t>Except as described below, stock options granted to our non-employee directors vest in three equal installments</w:t>
      </w:r>
      <w:r>
        <w:rPr>
          <w:rFonts w:ascii="Arial" w:cs="Arial" w:eastAsia="Arial" w:hAnsi="Arial"/>
          <w:sz w:val="18"/>
          <w:szCs w:val="18"/>
          <w:b w:val="1"/>
          <w:bCs w:val="1"/>
          <w:color w:val="auto"/>
        </w:rPr>
        <w:t xml:space="preserve"> </w:t>
      </w:r>
      <w:r>
        <w:rPr>
          <w:rFonts w:ascii="Arial" w:cs="Arial" w:eastAsia="Arial" w:hAnsi="Arial"/>
          <w:sz w:val="18"/>
          <w:szCs w:val="18"/>
          <w:color w:val="auto"/>
        </w:rPr>
        <w:t>on each of the first, second and third year anniversaries of the grant date and remain exercisable for a term of ten years after the grant date.</w:t>
      </w:r>
    </w:p>
    <w:p>
      <w:pPr>
        <w:spacing w:after="0" w:line="54" w:lineRule="exact"/>
        <w:rPr>
          <w:sz w:val="20"/>
          <w:szCs w:val="20"/>
          <w:color w:val="auto"/>
        </w:rPr>
      </w:pPr>
    </w:p>
    <w:p>
      <w:pPr>
        <w:ind w:firstLine="320"/>
        <w:spacing w:after="0" w:line="233" w:lineRule="auto"/>
        <w:rPr>
          <w:sz w:val="20"/>
          <w:szCs w:val="20"/>
          <w:color w:val="auto"/>
        </w:rPr>
      </w:pPr>
      <w:r>
        <w:rPr>
          <w:rFonts w:ascii="Arial" w:cs="Arial" w:eastAsia="Arial" w:hAnsi="Arial"/>
          <w:sz w:val="18"/>
          <w:szCs w:val="18"/>
          <w:color w:val="auto"/>
        </w:rPr>
        <w:t>If a director becomes disabled or dies, all outstanding unvested stock options will vest in full on the date the director's service ceases by reason of such disability or death and all outstanding stock options may be exercised up to the earlier of the date the stock options expire or</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one year after the date the director's service ceased by reason of such disability or death.</w:t>
      </w:r>
    </w:p>
    <w:p>
      <w:pPr>
        <w:spacing w:after="0" w:line="84" w:lineRule="exact"/>
        <w:rPr>
          <w:sz w:val="20"/>
          <w:szCs w:val="20"/>
          <w:color w:val="auto"/>
        </w:rPr>
      </w:pPr>
    </w:p>
    <w:p>
      <w:pPr>
        <w:ind w:firstLine="320"/>
        <w:spacing w:after="0" w:line="233" w:lineRule="auto"/>
        <w:rPr>
          <w:sz w:val="20"/>
          <w:szCs w:val="20"/>
          <w:color w:val="auto"/>
        </w:rPr>
      </w:pPr>
      <w:r>
        <w:rPr>
          <w:rFonts w:ascii="Arial" w:cs="Arial" w:eastAsia="Arial" w:hAnsi="Arial"/>
          <w:sz w:val="18"/>
          <w:szCs w:val="18"/>
          <w:color w:val="auto"/>
        </w:rPr>
        <w:t>If a director has served as a member of the Board for ten full fiscal years or longer and terminates his or her service on the Board, other than due to death or disability, his or her outstanding unvested stock options will continue to vest in accordance with their terms and the</w:t>
      </w:r>
    </w:p>
    <w:p>
      <w:pPr>
        <w:spacing w:after="0" w:line="233" w:lineRule="auto"/>
        <w:rPr>
          <w:sz w:val="20"/>
          <w:szCs w:val="20"/>
          <w:color w:val="auto"/>
        </w:rPr>
      </w:pPr>
      <w:r>
        <w:rPr>
          <w:rFonts w:ascii="Arial" w:cs="Arial" w:eastAsia="Arial" w:hAnsi="Arial"/>
          <w:sz w:val="18"/>
          <w:szCs w:val="18"/>
          <w:color w:val="auto"/>
        </w:rPr>
        <w:t>director may exercise the vested portions of the stock options for up to four years after the director's date of termination, but not later than the</w:t>
      </w:r>
    </w:p>
    <w:p>
      <w:pPr>
        <w:spacing w:after="0" w:line="224" w:lineRule="auto"/>
        <w:rPr>
          <w:sz w:val="20"/>
          <w:szCs w:val="20"/>
          <w:color w:val="auto"/>
        </w:rPr>
      </w:pPr>
      <w:r>
        <w:rPr>
          <w:rFonts w:ascii="Arial" w:cs="Arial" w:eastAsia="Arial" w:hAnsi="Arial"/>
          <w:sz w:val="18"/>
          <w:szCs w:val="18"/>
          <w:color w:val="auto"/>
        </w:rPr>
        <w:t>date the stock options expire. If a director has served as a member of the Board for less than ten full fiscal years and terminates his or her service on the Board, other than due to death or disability, his or her outstanding unvested stock options will expire and be canceled and the</w:t>
      </w:r>
    </w:p>
    <w:p>
      <w:pPr>
        <w:spacing w:after="0" w:line="232" w:lineRule="auto"/>
        <w:rPr>
          <w:sz w:val="20"/>
          <w:szCs w:val="20"/>
          <w:color w:val="auto"/>
        </w:rPr>
      </w:pPr>
      <w:r>
        <w:rPr>
          <w:rFonts w:ascii="Arial" w:cs="Arial" w:eastAsia="Arial" w:hAnsi="Arial"/>
          <w:sz w:val="18"/>
          <w:szCs w:val="18"/>
          <w:color w:val="auto"/>
        </w:rPr>
        <w:t>director may exercise any vested portions of the stock options for up to three months after the director's date of termination, but not later than</w:t>
      </w:r>
    </w:p>
    <w:p>
      <w:pPr>
        <w:spacing w:after="0" w:line="217" w:lineRule="auto"/>
        <w:rPr>
          <w:sz w:val="20"/>
          <w:szCs w:val="20"/>
          <w:color w:val="auto"/>
        </w:rPr>
      </w:pPr>
      <w:r>
        <w:rPr>
          <w:rFonts w:ascii="Arial" w:cs="Arial" w:eastAsia="Arial" w:hAnsi="Arial"/>
          <w:sz w:val="18"/>
          <w:szCs w:val="18"/>
          <w:color w:val="auto"/>
        </w:rPr>
        <w:t>the date the stock options expire. The following directors who served during all or part of fiscal 2024 have ten or more fiscal years of service:</w:t>
      </w:r>
    </w:p>
    <w:p>
      <w:pPr>
        <w:spacing w:after="0"/>
        <w:rPr>
          <w:sz w:val="20"/>
          <w:szCs w:val="20"/>
          <w:color w:val="auto"/>
        </w:rPr>
      </w:pPr>
      <w:r>
        <w:rPr>
          <w:rFonts w:ascii="Arial" w:cs="Arial" w:eastAsia="Arial" w:hAnsi="Arial"/>
          <w:sz w:val="18"/>
          <w:szCs w:val="18"/>
          <w:color w:val="auto"/>
        </w:rPr>
        <w:t>Janet K. Cooper,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79375</wp:posOffset>
            </wp:positionV>
            <wp:extent cx="7159625"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097" w:right="339" w:bottom="1440" w:gutter="0" w:footer="0" w:header="0"/>
          <w:type w:val="continuous"/>
        </w:sectPr>
      </w:pPr>
    </w:p>
    <w:bookmarkStart w:id="28" w:name="page29"/>
    <w:bookmarkEnd w:id="28"/>
    <w:p>
      <w:pPr>
        <w:jc w:val="both"/>
        <w:spacing w:after="0" w:line="262" w:lineRule="auto"/>
        <w:rPr>
          <w:sz w:val="20"/>
          <w:szCs w:val="20"/>
          <w:color w:val="auto"/>
        </w:rPr>
      </w:pPr>
      <w:r>
        <w:rPr>
          <w:rFonts w:ascii="Arial" w:cs="Arial" w:eastAsia="Arial" w:hAnsi="Arial"/>
          <w:sz w:val="18"/>
          <w:szCs w:val="18"/>
          <w:color w:val="auto"/>
        </w:rPr>
        <w:t>Gary L. Ellis and James C. O'Rourke. Ms. Cooper retired from our Board upon expiration of her term at the 2024 annual meeting of shareholders.</w:t>
      </w:r>
    </w:p>
    <w:p>
      <w:pPr>
        <w:spacing w:after="0" w:line="42" w:lineRule="exact"/>
        <w:rPr>
          <w:sz w:val="20"/>
          <w:szCs w:val="20"/>
          <w:color w:val="auto"/>
        </w:rPr>
      </w:pPr>
    </w:p>
    <w:p>
      <w:pPr>
        <w:jc w:val="both"/>
        <w:ind w:firstLine="320"/>
        <w:spacing w:after="0" w:line="247" w:lineRule="auto"/>
        <w:rPr>
          <w:sz w:val="20"/>
          <w:szCs w:val="20"/>
          <w:color w:val="auto"/>
        </w:rPr>
      </w:pPr>
      <w:r>
        <w:rPr>
          <w:rFonts w:ascii="Arial" w:cs="Arial" w:eastAsia="Arial" w:hAnsi="Arial"/>
          <w:sz w:val="18"/>
          <w:szCs w:val="18"/>
          <w:color w:val="auto"/>
        </w:rPr>
        <w:t>If there is a change in control of our Company, stock options held by directors will vest immediately and remain exercisable for the remaining term. The general definition of a change in control for these purposes is described under "Potential Payments upon Termination or Change in Control - Change in Control."</w:t>
      </w:r>
    </w:p>
    <w:p>
      <w:pPr>
        <w:spacing w:after="0" w:line="115" w:lineRule="exact"/>
        <w:rPr>
          <w:sz w:val="20"/>
          <w:szCs w:val="20"/>
          <w:color w:val="auto"/>
        </w:rPr>
      </w:pPr>
    </w:p>
    <w:p>
      <w:pPr>
        <w:spacing w:after="0"/>
        <w:rPr>
          <w:sz w:val="20"/>
          <w:szCs w:val="20"/>
          <w:color w:val="auto"/>
        </w:rPr>
      </w:pPr>
      <w:r>
        <w:rPr>
          <w:rFonts w:ascii="Arial" w:cs="Arial" w:eastAsia="Arial" w:hAnsi="Arial"/>
          <w:sz w:val="20"/>
          <w:szCs w:val="20"/>
          <w:b w:val="1"/>
          <w:bCs w:val="1"/>
          <w:color w:val="C00000"/>
        </w:rPr>
        <w:t>Director Compensation for Fiscal 2024</w:t>
      </w:r>
    </w:p>
    <w:p>
      <w:pPr>
        <w:spacing w:after="0" w:line="84" w:lineRule="exact"/>
        <w:rPr>
          <w:sz w:val="20"/>
          <w:szCs w:val="20"/>
          <w:color w:val="auto"/>
        </w:rPr>
      </w:pPr>
    </w:p>
    <w:p>
      <w:pPr>
        <w:jc w:val="both"/>
        <w:ind w:firstLine="320"/>
        <w:spacing w:after="0" w:line="241" w:lineRule="auto"/>
        <w:rPr>
          <w:sz w:val="20"/>
          <w:szCs w:val="20"/>
          <w:color w:val="auto"/>
        </w:rPr>
      </w:pPr>
      <w:r>
        <w:rPr>
          <w:rFonts w:ascii="Arial" w:cs="Arial" w:eastAsia="Arial" w:hAnsi="Arial"/>
          <w:sz w:val="18"/>
          <w:szCs w:val="18"/>
          <w:color w:val="auto"/>
        </w:rPr>
        <w:t>The following table provides summary information concerning the compensation of each individual non-employee director who served during fiscal 2024. Amounts in the table are not reduced to reflect elections, if any, by the non-employee directors to defer receipt of</w:t>
      </w:r>
    </w:p>
    <w:p>
      <w:pPr>
        <w:spacing w:after="0" w:line="1" w:lineRule="exact"/>
        <w:rPr>
          <w:sz w:val="20"/>
          <w:szCs w:val="20"/>
          <w:color w:val="auto"/>
        </w:rPr>
      </w:pPr>
    </w:p>
    <w:p>
      <w:pPr>
        <w:jc w:val="both"/>
        <w:spacing w:after="0" w:line="234" w:lineRule="auto"/>
        <w:rPr>
          <w:sz w:val="20"/>
          <w:szCs w:val="20"/>
          <w:color w:val="auto"/>
        </w:rPr>
      </w:pPr>
      <w:r>
        <w:rPr>
          <w:rFonts w:ascii="Arial" w:cs="Arial" w:eastAsia="Arial" w:hAnsi="Arial"/>
          <w:sz w:val="18"/>
          <w:szCs w:val="18"/>
          <w:color w:val="auto"/>
        </w:rPr>
        <w:t>compensation. Deferral elections are described in more detail in the footnotes to the table. Earnings on nonqualified deferred compensation are not on a basis that is considered to be above-market or preferential.</w:t>
      </w:r>
    </w:p>
    <w:p>
      <w:pPr>
        <w:spacing w:after="0" w:line="131" w:lineRule="exact"/>
        <w:rPr>
          <w:sz w:val="20"/>
          <w:szCs w:val="20"/>
          <w:color w:val="auto"/>
        </w:rPr>
      </w:pPr>
    </w:p>
    <w:tbl>
      <w:tblPr>
        <w:tblLayout w:type="fixed"/>
        <w:tblInd w:w="160" w:type="dxa"/>
        <w:tblCellMar>
          <w:top w:w="0" w:type="dxa"/>
          <w:left w:w="0" w:type="dxa"/>
          <w:bottom w:w="0" w:type="dxa"/>
          <w:right w:w="0" w:type="dxa"/>
        </w:tblCellMar>
      </w:tblPr>
      <w:tr>
        <w:trPr>
          <w:trHeight w:val="213"/>
        </w:trPr>
        <w:tc>
          <w:tcPr>
            <w:tcW w:w="2180" w:type="dxa"/>
            <w:vAlign w:val="bottom"/>
            <w:shd w:val="clear" w:color="auto" w:fill="BF2115"/>
          </w:tcPr>
          <w:p>
            <w:pPr>
              <w:spacing w:after="0"/>
              <w:rPr>
                <w:sz w:val="18"/>
                <w:szCs w:val="18"/>
                <w:color w:val="auto"/>
              </w:rPr>
            </w:pPr>
          </w:p>
        </w:tc>
        <w:tc>
          <w:tcPr>
            <w:tcW w:w="2320" w:type="dxa"/>
            <w:vAlign w:val="bottom"/>
            <w:shd w:val="clear" w:color="auto" w:fill="BF2115"/>
          </w:tcPr>
          <w:p>
            <w:pPr>
              <w:jc w:val="center"/>
              <w:ind w:left="143"/>
              <w:spacing w:after="0"/>
              <w:rPr>
                <w:sz w:val="20"/>
                <w:szCs w:val="20"/>
                <w:color w:val="auto"/>
              </w:rPr>
            </w:pPr>
            <w:r>
              <w:rPr>
                <w:rFonts w:ascii="Arial" w:cs="Arial" w:eastAsia="Arial" w:hAnsi="Arial"/>
                <w:sz w:val="16"/>
                <w:szCs w:val="16"/>
                <w:b w:val="1"/>
                <w:bCs w:val="1"/>
                <w:color w:val="FFFFFF"/>
                <w:w w:val="98"/>
              </w:rPr>
              <w:t>Fees Earned or</w:t>
            </w:r>
          </w:p>
        </w:tc>
        <w:tc>
          <w:tcPr>
            <w:tcW w:w="1760" w:type="dxa"/>
            <w:vAlign w:val="bottom"/>
            <w:vMerge w:val="restart"/>
            <w:shd w:val="clear" w:color="auto" w:fill="BF2115"/>
          </w:tcPr>
          <w:p>
            <w:pPr>
              <w:jc w:val="right"/>
              <w:ind w:right="420"/>
              <w:spacing w:after="0"/>
              <w:rPr>
                <w:sz w:val="20"/>
                <w:szCs w:val="20"/>
                <w:color w:val="auto"/>
              </w:rPr>
            </w:pPr>
            <w:r>
              <w:rPr>
                <w:rFonts w:ascii="Arial" w:cs="Arial" w:eastAsia="Arial" w:hAnsi="Arial"/>
                <w:sz w:val="16"/>
                <w:szCs w:val="16"/>
                <w:b w:val="1"/>
                <w:bCs w:val="1"/>
                <w:color w:val="FFFFFF"/>
              </w:rPr>
              <w:t>Stock Awards</w:t>
            </w:r>
          </w:p>
        </w:tc>
        <w:tc>
          <w:tcPr>
            <w:tcW w:w="1800" w:type="dxa"/>
            <w:vAlign w:val="bottom"/>
            <w:vMerge w:val="restart"/>
            <w:shd w:val="clear" w:color="auto" w:fill="BF2115"/>
          </w:tcPr>
          <w:p>
            <w:pPr>
              <w:jc w:val="right"/>
              <w:ind w:right="380"/>
              <w:spacing w:after="0"/>
              <w:rPr>
                <w:sz w:val="20"/>
                <w:szCs w:val="20"/>
                <w:color w:val="auto"/>
              </w:rPr>
            </w:pPr>
            <w:r>
              <w:rPr>
                <w:rFonts w:ascii="Arial" w:cs="Arial" w:eastAsia="Arial" w:hAnsi="Arial"/>
                <w:sz w:val="16"/>
                <w:szCs w:val="16"/>
                <w:b w:val="1"/>
                <w:bCs w:val="1"/>
                <w:color w:val="FFFFFF"/>
              </w:rPr>
              <w:t>Option Awards</w:t>
            </w:r>
          </w:p>
        </w:tc>
        <w:tc>
          <w:tcPr>
            <w:tcW w:w="1840" w:type="dxa"/>
            <w:vAlign w:val="bottom"/>
            <w:shd w:val="clear" w:color="auto" w:fill="BF2115"/>
          </w:tcPr>
          <w:p>
            <w:pPr>
              <w:jc w:val="center"/>
              <w:ind w:right="240"/>
              <w:spacing w:after="0"/>
              <w:rPr>
                <w:sz w:val="20"/>
                <w:szCs w:val="20"/>
                <w:color w:val="auto"/>
              </w:rPr>
            </w:pPr>
            <w:r>
              <w:rPr>
                <w:rFonts w:ascii="Arial" w:cs="Arial" w:eastAsia="Arial" w:hAnsi="Arial"/>
                <w:sz w:val="16"/>
                <w:szCs w:val="16"/>
                <w:b w:val="1"/>
                <w:bCs w:val="1"/>
                <w:color w:val="FFFFFF"/>
              </w:rPr>
              <w:t>All Other</w:t>
            </w:r>
          </w:p>
        </w:tc>
        <w:tc>
          <w:tcPr>
            <w:tcW w:w="1020" w:type="dxa"/>
            <w:vAlign w:val="bottom"/>
            <w:vMerge w:val="restart"/>
            <w:shd w:val="clear" w:color="auto" w:fill="BF2115"/>
          </w:tcPr>
          <w:p>
            <w:pPr>
              <w:jc w:val="right"/>
              <w:ind w:right="300"/>
              <w:spacing w:after="0"/>
              <w:rPr>
                <w:sz w:val="20"/>
                <w:szCs w:val="20"/>
                <w:color w:val="auto"/>
              </w:rPr>
            </w:pPr>
            <w:r>
              <w:rPr>
                <w:rFonts w:ascii="Arial" w:cs="Arial" w:eastAsia="Arial" w:hAnsi="Arial"/>
                <w:sz w:val="16"/>
                <w:szCs w:val="16"/>
                <w:b w:val="1"/>
                <w:bCs w:val="1"/>
                <w:color w:val="FFFFFF"/>
              </w:rPr>
              <w:t>Total</w:t>
            </w:r>
          </w:p>
        </w:tc>
        <w:tc>
          <w:tcPr>
            <w:tcW w:w="0" w:type="dxa"/>
            <w:vAlign w:val="bottom"/>
          </w:tcPr>
          <w:p>
            <w:pPr>
              <w:spacing w:after="0"/>
              <w:rPr>
                <w:sz w:val="1"/>
                <w:szCs w:val="1"/>
                <w:color w:val="auto"/>
              </w:rPr>
            </w:pPr>
          </w:p>
        </w:tc>
      </w:tr>
      <w:tr>
        <w:trPr>
          <w:trHeight w:val="187"/>
        </w:trPr>
        <w:tc>
          <w:tcPr>
            <w:tcW w:w="2180" w:type="dxa"/>
            <w:vAlign w:val="bottom"/>
            <w:shd w:val="clear" w:color="auto" w:fill="BF2115"/>
          </w:tcPr>
          <w:p>
            <w:pPr>
              <w:spacing w:after="0"/>
              <w:rPr>
                <w:sz w:val="16"/>
                <w:szCs w:val="16"/>
                <w:color w:val="auto"/>
              </w:rPr>
            </w:pPr>
          </w:p>
        </w:tc>
        <w:tc>
          <w:tcPr>
            <w:tcW w:w="2320" w:type="dxa"/>
            <w:vAlign w:val="bottom"/>
            <w:shd w:val="clear" w:color="auto" w:fill="BF2115"/>
          </w:tcPr>
          <w:p>
            <w:pPr>
              <w:jc w:val="center"/>
              <w:ind w:left="123"/>
              <w:spacing w:after="0"/>
              <w:rPr>
                <w:sz w:val="20"/>
                <w:szCs w:val="20"/>
                <w:color w:val="auto"/>
              </w:rPr>
            </w:pPr>
            <w:r>
              <w:rPr>
                <w:rFonts w:ascii="Arial" w:cs="Arial" w:eastAsia="Arial" w:hAnsi="Arial"/>
                <w:sz w:val="16"/>
                <w:szCs w:val="16"/>
                <w:b w:val="1"/>
                <w:bCs w:val="1"/>
                <w:color w:val="FFFFFF"/>
                <w:w w:val="99"/>
              </w:rPr>
              <w:t>Paid in Cash</w:t>
            </w:r>
          </w:p>
        </w:tc>
        <w:tc>
          <w:tcPr>
            <w:tcW w:w="1760" w:type="dxa"/>
            <w:vAlign w:val="bottom"/>
            <w:vMerge w:val="continue"/>
            <w:shd w:val="clear" w:color="auto" w:fill="BF2115"/>
          </w:tcPr>
          <w:p>
            <w:pPr>
              <w:spacing w:after="0"/>
              <w:rPr>
                <w:sz w:val="16"/>
                <w:szCs w:val="16"/>
                <w:color w:val="auto"/>
              </w:rPr>
            </w:pPr>
          </w:p>
        </w:tc>
        <w:tc>
          <w:tcPr>
            <w:tcW w:w="1800" w:type="dxa"/>
            <w:vAlign w:val="bottom"/>
            <w:vMerge w:val="continue"/>
            <w:shd w:val="clear" w:color="auto" w:fill="BF2115"/>
          </w:tcPr>
          <w:p>
            <w:pPr>
              <w:spacing w:after="0"/>
              <w:rPr>
                <w:sz w:val="16"/>
                <w:szCs w:val="16"/>
                <w:color w:val="auto"/>
              </w:rPr>
            </w:pPr>
          </w:p>
        </w:tc>
        <w:tc>
          <w:tcPr>
            <w:tcW w:w="1840" w:type="dxa"/>
            <w:vAlign w:val="bottom"/>
            <w:shd w:val="clear" w:color="auto" w:fill="BF2115"/>
          </w:tcPr>
          <w:p>
            <w:pPr>
              <w:jc w:val="center"/>
              <w:ind w:right="240"/>
              <w:spacing w:after="0"/>
              <w:rPr>
                <w:sz w:val="20"/>
                <w:szCs w:val="20"/>
                <w:color w:val="auto"/>
              </w:rPr>
            </w:pPr>
            <w:r>
              <w:rPr>
                <w:rFonts w:ascii="Arial" w:cs="Arial" w:eastAsia="Arial" w:hAnsi="Arial"/>
                <w:sz w:val="16"/>
                <w:szCs w:val="16"/>
                <w:b w:val="1"/>
                <w:bCs w:val="1"/>
                <w:color w:val="FFFFFF"/>
              </w:rPr>
              <w:t>Compensation</w:t>
            </w:r>
          </w:p>
        </w:tc>
        <w:tc>
          <w:tcPr>
            <w:tcW w:w="1020" w:type="dxa"/>
            <w:vAlign w:val="bottom"/>
            <w:vMerge w:val="continue"/>
            <w:shd w:val="clear" w:color="auto" w:fill="BF2115"/>
          </w:tcPr>
          <w:p>
            <w:pPr>
              <w:spacing w:after="0"/>
              <w:rPr>
                <w:sz w:val="16"/>
                <w:szCs w:val="16"/>
                <w:color w:val="auto"/>
              </w:rPr>
            </w:pPr>
          </w:p>
        </w:tc>
        <w:tc>
          <w:tcPr>
            <w:tcW w:w="0" w:type="dxa"/>
            <w:vAlign w:val="bottom"/>
          </w:tcPr>
          <w:p>
            <w:pPr>
              <w:spacing w:after="0"/>
              <w:rPr>
                <w:sz w:val="1"/>
                <w:szCs w:val="1"/>
                <w:color w:val="auto"/>
              </w:rPr>
            </w:pPr>
          </w:p>
        </w:tc>
      </w:tr>
      <w:tr>
        <w:trPr>
          <w:trHeight w:val="241"/>
        </w:trPr>
        <w:tc>
          <w:tcPr>
            <w:tcW w:w="2180" w:type="dxa"/>
            <w:vAlign w:val="bottom"/>
            <w:shd w:val="clear" w:color="auto" w:fill="BF2115"/>
          </w:tcPr>
          <w:p>
            <w:pPr>
              <w:ind w:left="1040"/>
              <w:spacing w:after="0"/>
              <w:rPr>
                <w:sz w:val="20"/>
                <w:szCs w:val="20"/>
                <w:color w:val="auto"/>
              </w:rPr>
            </w:pPr>
            <w:r>
              <w:rPr>
                <w:rFonts w:ascii="Arial" w:cs="Arial" w:eastAsia="Arial" w:hAnsi="Arial"/>
                <w:sz w:val="16"/>
                <w:szCs w:val="16"/>
                <w:b w:val="1"/>
                <w:bCs w:val="1"/>
                <w:color w:val="FFFFFF"/>
              </w:rPr>
              <w:t>Name</w:t>
            </w:r>
          </w:p>
        </w:tc>
        <w:tc>
          <w:tcPr>
            <w:tcW w:w="2320" w:type="dxa"/>
            <w:vAlign w:val="bottom"/>
            <w:shd w:val="clear" w:color="auto" w:fill="BF2115"/>
          </w:tcPr>
          <w:p>
            <w:pPr>
              <w:jc w:val="center"/>
              <w:ind w:left="143"/>
              <w:spacing w:after="0" w:line="241" w:lineRule="exact"/>
              <w:rPr>
                <w:sz w:val="20"/>
                <w:szCs w:val="20"/>
                <w:color w:val="auto"/>
              </w:rPr>
            </w:pPr>
            <w:r>
              <w:rPr>
                <w:rFonts w:ascii="Arial" w:cs="Arial" w:eastAsia="Arial" w:hAnsi="Arial"/>
                <w:sz w:val="27"/>
                <w:szCs w:val="27"/>
                <w:b w:val="1"/>
                <w:bCs w:val="1"/>
                <w:color w:val="FFFFFF"/>
                <w:w w:val="98"/>
                <w:vertAlign w:val="subscript"/>
              </w:rPr>
              <w:t>($)</w:t>
            </w:r>
            <w:r>
              <w:rPr>
                <w:rFonts w:ascii="Arial" w:cs="Arial" w:eastAsia="Arial" w:hAnsi="Arial"/>
                <w:sz w:val="10"/>
                <w:szCs w:val="10"/>
                <w:b w:val="1"/>
                <w:bCs w:val="1"/>
                <w:color w:val="FFFFFF"/>
                <w:w w:val="98"/>
              </w:rPr>
              <w:t>1, 2</w:t>
            </w:r>
          </w:p>
        </w:tc>
        <w:tc>
          <w:tcPr>
            <w:tcW w:w="1760" w:type="dxa"/>
            <w:vAlign w:val="bottom"/>
            <w:shd w:val="clear" w:color="auto" w:fill="BF2115"/>
          </w:tcPr>
          <w:p>
            <w:pPr>
              <w:jc w:val="right"/>
              <w:ind w:right="820"/>
              <w:spacing w:after="0"/>
              <w:rPr>
                <w:sz w:val="20"/>
                <w:szCs w:val="20"/>
                <w:color w:val="auto"/>
              </w:rPr>
            </w:pPr>
            <w:r>
              <w:rPr>
                <w:rFonts w:ascii="Arial" w:cs="Arial" w:eastAsia="Arial" w:hAnsi="Arial"/>
                <w:sz w:val="16"/>
                <w:szCs w:val="16"/>
                <w:b w:val="1"/>
                <w:bCs w:val="1"/>
                <w:color w:val="FFFFFF"/>
              </w:rPr>
              <w:t>($)</w:t>
            </w:r>
            <w:r>
              <w:rPr>
                <w:rFonts w:ascii="Arial" w:cs="Arial" w:eastAsia="Arial" w:hAnsi="Arial"/>
                <w:sz w:val="20"/>
                <w:szCs w:val="20"/>
                <w:b w:val="1"/>
                <w:bCs w:val="1"/>
                <w:color w:val="FFFFFF"/>
                <w:vertAlign w:val="superscript"/>
              </w:rPr>
              <w:t>3</w:t>
            </w:r>
          </w:p>
        </w:tc>
        <w:tc>
          <w:tcPr>
            <w:tcW w:w="1800" w:type="dxa"/>
            <w:vAlign w:val="bottom"/>
            <w:shd w:val="clear" w:color="auto" w:fill="BF2115"/>
          </w:tcPr>
          <w:p>
            <w:pPr>
              <w:jc w:val="right"/>
              <w:ind w:right="780"/>
              <w:spacing w:after="0"/>
              <w:rPr>
                <w:sz w:val="20"/>
                <w:szCs w:val="20"/>
                <w:color w:val="auto"/>
              </w:rPr>
            </w:pPr>
            <w:r>
              <w:rPr>
                <w:rFonts w:ascii="Arial" w:cs="Arial" w:eastAsia="Arial" w:hAnsi="Arial"/>
                <w:sz w:val="16"/>
                <w:szCs w:val="16"/>
                <w:b w:val="1"/>
                <w:bCs w:val="1"/>
                <w:color w:val="FFFFFF"/>
              </w:rPr>
              <w:t>($)</w:t>
            </w:r>
            <w:r>
              <w:rPr>
                <w:rFonts w:ascii="Arial" w:cs="Arial" w:eastAsia="Arial" w:hAnsi="Arial"/>
                <w:sz w:val="20"/>
                <w:szCs w:val="20"/>
                <w:b w:val="1"/>
                <w:bCs w:val="1"/>
                <w:color w:val="FFFFFF"/>
                <w:vertAlign w:val="superscript"/>
              </w:rPr>
              <w:t>4, 5</w:t>
            </w:r>
          </w:p>
        </w:tc>
        <w:tc>
          <w:tcPr>
            <w:tcW w:w="1840" w:type="dxa"/>
            <w:vAlign w:val="bottom"/>
            <w:shd w:val="clear" w:color="auto" w:fill="BF2115"/>
          </w:tcPr>
          <w:p>
            <w:pPr>
              <w:jc w:val="center"/>
              <w:ind w:right="240"/>
              <w:spacing w:after="0"/>
              <w:rPr>
                <w:sz w:val="20"/>
                <w:szCs w:val="20"/>
                <w:color w:val="auto"/>
              </w:rPr>
            </w:pPr>
            <w:r>
              <w:rPr>
                <w:rFonts w:ascii="Arial" w:cs="Arial" w:eastAsia="Arial" w:hAnsi="Arial"/>
                <w:sz w:val="16"/>
                <w:szCs w:val="16"/>
                <w:b w:val="1"/>
                <w:bCs w:val="1"/>
                <w:color w:val="FFFFFF"/>
                <w:w w:val="88"/>
              </w:rPr>
              <w:t>($)</w:t>
            </w:r>
            <w:r>
              <w:rPr>
                <w:rFonts w:ascii="Arial" w:cs="Arial" w:eastAsia="Arial" w:hAnsi="Arial"/>
                <w:sz w:val="20"/>
                <w:szCs w:val="20"/>
                <w:b w:val="1"/>
                <w:bCs w:val="1"/>
                <w:color w:val="FFFFFF"/>
                <w:w w:val="88"/>
                <w:vertAlign w:val="superscript"/>
              </w:rPr>
              <w:t>6</w:t>
            </w:r>
          </w:p>
        </w:tc>
        <w:tc>
          <w:tcPr>
            <w:tcW w:w="1020" w:type="dxa"/>
            <w:vAlign w:val="bottom"/>
            <w:shd w:val="clear" w:color="auto" w:fill="BF2115"/>
          </w:tcPr>
          <w:p>
            <w:pPr>
              <w:jc w:val="right"/>
              <w:ind w:right="400"/>
              <w:spacing w:after="0"/>
              <w:rPr>
                <w:sz w:val="20"/>
                <w:szCs w:val="20"/>
                <w:color w:val="auto"/>
              </w:rPr>
            </w:pPr>
            <w:r>
              <w:rPr>
                <w:rFonts w:ascii="Arial" w:cs="Arial" w:eastAsia="Arial" w:hAnsi="Arial"/>
                <w:sz w:val="16"/>
                <w:szCs w:val="16"/>
                <w:b w:val="1"/>
                <w:bCs w:val="1"/>
                <w:color w:val="FFFFFF"/>
              </w:rPr>
              <w:t>($)</w:t>
            </w:r>
          </w:p>
        </w:tc>
        <w:tc>
          <w:tcPr>
            <w:tcW w:w="0" w:type="dxa"/>
            <w:vAlign w:val="bottom"/>
          </w:tcPr>
          <w:p>
            <w:pPr>
              <w:spacing w:after="0"/>
              <w:rPr>
                <w:sz w:val="1"/>
                <w:szCs w:val="1"/>
                <w:color w:val="auto"/>
              </w:rPr>
            </w:pPr>
          </w:p>
        </w:tc>
      </w:tr>
      <w:tr>
        <w:trPr>
          <w:trHeight w:val="240"/>
        </w:trPr>
        <w:tc>
          <w:tcPr>
            <w:tcW w:w="2180" w:type="dxa"/>
            <w:vAlign w:val="bottom"/>
            <w:shd w:val="clear" w:color="auto" w:fill="DBDBDB"/>
          </w:tcPr>
          <w:p>
            <w:pPr>
              <w:ind w:left="20"/>
              <w:spacing w:after="0"/>
              <w:rPr>
                <w:sz w:val="20"/>
                <w:szCs w:val="20"/>
                <w:color w:val="auto"/>
              </w:rPr>
            </w:pPr>
            <w:r>
              <w:rPr>
                <w:rFonts w:ascii="Arial" w:cs="Arial" w:eastAsia="Arial" w:hAnsi="Arial"/>
                <w:sz w:val="16"/>
                <w:szCs w:val="16"/>
                <w:color w:val="auto"/>
              </w:rPr>
              <w:t>Janet K. Cooper</w:t>
            </w:r>
            <w:r>
              <w:rPr>
                <w:rFonts w:ascii="Arial" w:cs="Arial" w:eastAsia="Arial" w:hAnsi="Arial"/>
                <w:sz w:val="20"/>
                <w:szCs w:val="20"/>
                <w:color w:val="auto"/>
                <w:vertAlign w:val="superscript"/>
              </w:rPr>
              <w:t>7</w:t>
            </w:r>
          </w:p>
        </w:tc>
        <w:tc>
          <w:tcPr>
            <w:tcW w:w="2320" w:type="dxa"/>
            <w:vAlign w:val="bottom"/>
            <w:shd w:val="clear" w:color="auto" w:fill="DBDBDB"/>
          </w:tcPr>
          <w:p>
            <w:pPr>
              <w:jc w:val="right"/>
              <w:ind w:right="143"/>
              <w:spacing w:after="0"/>
              <w:rPr>
                <w:sz w:val="20"/>
                <w:szCs w:val="20"/>
                <w:color w:val="auto"/>
              </w:rPr>
            </w:pPr>
            <w:r>
              <w:rPr>
                <w:rFonts w:ascii="Arial" w:cs="Arial" w:eastAsia="Arial" w:hAnsi="Arial"/>
                <w:sz w:val="16"/>
                <w:szCs w:val="16"/>
                <w:color w:val="auto"/>
              </w:rPr>
              <w:t>47,679</w:t>
            </w:r>
          </w:p>
        </w:tc>
        <w:tc>
          <w:tcPr>
            <w:tcW w:w="1760" w:type="dxa"/>
            <w:vAlign w:val="bottom"/>
            <w:shd w:val="clear" w:color="auto" w:fill="DBDBDB"/>
          </w:tcPr>
          <w:p>
            <w:pPr>
              <w:jc w:val="right"/>
              <w:ind w:right="120"/>
              <w:spacing w:after="0"/>
              <w:rPr>
                <w:sz w:val="20"/>
                <w:szCs w:val="20"/>
                <w:color w:val="auto"/>
              </w:rPr>
            </w:pPr>
            <w:r>
              <w:rPr>
                <w:rFonts w:ascii="Arial" w:cs="Arial" w:eastAsia="Arial" w:hAnsi="Arial"/>
                <w:sz w:val="16"/>
                <w:szCs w:val="16"/>
                <w:color w:val="auto"/>
              </w:rPr>
              <w:t>76,411</w:t>
            </w:r>
          </w:p>
        </w:tc>
        <w:tc>
          <w:tcPr>
            <w:tcW w:w="1800" w:type="dxa"/>
            <w:vAlign w:val="bottom"/>
            <w:shd w:val="clear" w:color="auto" w:fill="DBDBDB"/>
          </w:tcPr>
          <w:p>
            <w:pPr>
              <w:jc w:val="right"/>
              <w:ind w:right="140"/>
              <w:spacing w:after="0"/>
              <w:rPr>
                <w:sz w:val="20"/>
                <w:szCs w:val="20"/>
                <w:color w:val="auto"/>
              </w:rPr>
            </w:pPr>
            <w:r>
              <w:rPr>
                <w:rFonts w:ascii="Arial" w:cs="Arial" w:eastAsia="Arial" w:hAnsi="Arial"/>
                <w:sz w:val="16"/>
                <w:szCs w:val="16"/>
                <w:color w:val="auto"/>
              </w:rPr>
              <w:t>54,975</w:t>
            </w:r>
          </w:p>
        </w:tc>
        <w:tc>
          <w:tcPr>
            <w:tcW w:w="1840" w:type="dxa"/>
            <w:vAlign w:val="bottom"/>
            <w:shd w:val="clear" w:color="auto" w:fill="DBDBDB"/>
          </w:tcPr>
          <w:p>
            <w:pPr>
              <w:spacing w:after="0"/>
              <w:rPr>
                <w:sz w:val="20"/>
                <w:szCs w:val="20"/>
                <w:color w:val="auto"/>
              </w:rPr>
            </w:pPr>
          </w:p>
        </w:tc>
        <w:tc>
          <w:tcPr>
            <w:tcW w:w="102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179,066</w:t>
            </w:r>
          </w:p>
        </w:tc>
        <w:tc>
          <w:tcPr>
            <w:tcW w:w="0" w:type="dxa"/>
            <w:vAlign w:val="bottom"/>
          </w:tcPr>
          <w:p>
            <w:pPr>
              <w:spacing w:after="0"/>
              <w:rPr>
                <w:sz w:val="1"/>
                <w:szCs w:val="1"/>
                <w:color w:val="auto"/>
              </w:rPr>
            </w:pPr>
          </w:p>
        </w:tc>
      </w:tr>
      <w:tr>
        <w:trPr>
          <w:trHeight w:val="211"/>
        </w:trPr>
        <w:tc>
          <w:tcPr>
            <w:tcW w:w="2180" w:type="dxa"/>
            <w:vAlign w:val="bottom"/>
          </w:tcPr>
          <w:p>
            <w:pPr>
              <w:ind w:left="20"/>
              <w:spacing w:after="0"/>
              <w:rPr>
                <w:sz w:val="20"/>
                <w:szCs w:val="20"/>
                <w:color w:val="auto"/>
              </w:rPr>
            </w:pPr>
            <w:r>
              <w:rPr>
                <w:rFonts w:ascii="Arial" w:cs="Arial" w:eastAsia="Arial" w:hAnsi="Arial"/>
                <w:sz w:val="16"/>
                <w:szCs w:val="16"/>
                <w:color w:val="auto"/>
              </w:rPr>
              <w:t>Dianne C. Craig</w:t>
            </w:r>
          </w:p>
        </w:tc>
        <w:tc>
          <w:tcPr>
            <w:tcW w:w="2320" w:type="dxa"/>
            <w:vAlign w:val="bottom"/>
          </w:tcPr>
          <w:p>
            <w:pPr>
              <w:jc w:val="right"/>
              <w:ind w:right="143"/>
              <w:spacing w:after="0"/>
              <w:rPr>
                <w:sz w:val="20"/>
                <w:szCs w:val="20"/>
                <w:color w:val="auto"/>
              </w:rPr>
            </w:pPr>
            <w:r>
              <w:rPr>
                <w:rFonts w:ascii="Arial" w:cs="Arial" w:eastAsia="Arial" w:hAnsi="Arial"/>
                <w:sz w:val="16"/>
                <w:szCs w:val="16"/>
                <w:color w:val="auto"/>
              </w:rPr>
              <w:t>95,076</w:t>
            </w:r>
          </w:p>
        </w:tc>
        <w:tc>
          <w:tcPr>
            <w:tcW w:w="1760" w:type="dxa"/>
            <w:vAlign w:val="bottom"/>
          </w:tcPr>
          <w:p>
            <w:pPr>
              <w:jc w:val="right"/>
              <w:ind w:right="120"/>
              <w:spacing w:after="0"/>
              <w:rPr>
                <w:sz w:val="20"/>
                <w:szCs w:val="20"/>
                <w:color w:val="auto"/>
              </w:rPr>
            </w:pPr>
            <w:r>
              <w:rPr>
                <w:rFonts w:ascii="Arial" w:cs="Arial" w:eastAsia="Arial" w:hAnsi="Arial"/>
                <w:sz w:val="16"/>
                <w:szCs w:val="16"/>
                <w:color w:val="auto"/>
              </w:rPr>
              <w:t>0</w:t>
            </w:r>
          </w:p>
        </w:tc>
        <w:tc>
          <w:tcPr>
            <w:tcW w:w="1800" w:type="dxa"/>
            <w:vAlign w:val="bottom"/>
          </w:tcPr>
          <w:p>
            <w:pPr>
              <w:jc w:val="right"/>
              <w:ind w:right="140"/>
              <w:spacing w:after="0"/>
              <w:rPr>
                <w:sz w:val="20"/>
                <w:szCs w:val="20"/>
                <w:color w:val="auto"/>
              </w:rPr>
            </w:pPr>
            <w:r>
              <w:rPr>
                <w:rFonts w:ascii="Arial" w:cs="Arial" w:eastAsia="Arial" w:hAnsi="Arial"/>
                <w:sz w:val="16"/>
                <w:szCs w:val="16"/>
                <w:color w:val="auto"/>
              </w:rPr>
              <w:t>0</w:t>
            </w:r>
          </w:p>
        </w:tc>
        <w:tc>
          <w:tcPr>
            <w:tcW w:w="18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95,076</w:t>
            </w:r>
          </w:p>
        </w:tc>
        <w:tc>
          <w:tcPr>
            <w:tcW w:w="0" w:type="dxa"/>
            <w:vAlign w:val="bottom"/>
          </w:tcPr>
          <w:p>
            <w:pPr>
              <w:spacing w:after="0"/>
              <w:rPr>
                <w:sz w:val="1"/>
                <w:szCs w:val="1"/>
                <w:color w:val="auto"/>
              </w:rPr>
            </w:pPr>
          </w:p>
        </w:tc>
      </w:tr>
      <w:tr>
        <w:trPr>
          <w:trHeight w:val="29"/>
        </w:trPr>
        <w:tc>
          <w:tcPr>
            <w:tcW w:w="2180" w:type="dxa"/>
            <w:vAlign w:val="bottom"/>
          </w:tcPr>
          <w:p>
            <w:pPr>
              <w:spacing w:after="0"/>
              <w:rPr>
                <w:sz w:val="2"/>
                <w:szCs w:val="2"/>
                <w:color w:val="auto"/>
              </w:rPr>
            </w:pPr>
          </w:p>
        </w:tc>
        <w:tc>
          <w:tcPr>
            <w:tcW w:w="232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218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6"/>
                <w:szCs w:val="16"/>
                <w:color w:val="auto"/>
              </w:rPr>
              <w:t>Gary L. Ellis</w:t>
            </w:r>
          </w:p>
        </w:tc>
        <w:tc>
          <w:tcPr>
            <w:tcW w:w="2320" w:type="dxa"/>
            <w:vAlign w:val="bottom"/>
            <w:tcBorders>
              <w:bottom w:val="single" w:sz="8" w:color="DBDBDB"/>
            </w:tcBorders>
            <w:shd w:val="clear" w:color="auto" w:fill="DBDBDB"/>
          </w:tcPr>
          <w:p>
            <w:pPr>
              <w:jc w:val="right"/>
              <w:ind w:right="143"/>
              <w:spacing w:after="0"/>
              <w:rPr>
                <w:sz w:val="20"/>
                <w:szCs w:val="20"/>
                <w:color w:val="auto"/>
              </w:rPr>
            </w:pPr>
            <w:r>
              <w:rPr>
                <w:rFonts w:ascii="Arial" w:cs="Arial" w:eastAsia="Arial" w:hAnsi="Arial"/>
                <w:sz w:val="16"/>
                <w:szCs w:val="16"/>
                <w:color w:val="auto"/>
              </w:rPr>
              <w:t>146,875</w:t>
            </w:r>
          </w:p>
        </w:tc>
        <w:tc>
          <w:tcPr>
            <w:tcW w:w="1760" w:type="dxa"/>
            <w:vAlign w:val="bottom"/>
            <w:tcBorders>
              <w:bottom w:val="single" w:sz="8" w:color="DBDBDB"/>
            </w:tcBorders>
            <w:shd w:val="clear" w:color="auto" w:fill="DBDBDB"/>
          </w:tcPr>
          <w:p>
            <w:pPr>
              <w:jc w:val="right"/>
              <w:ind w:right="120"/>
              <w:spacing w:after="0"/>
              <w:rPr>
                <w:sz w:val="20"/>
                <w:szCs w:val="20"/>
                <w:color w:val="auto"/>
              </w:rPr>
            </w:pPr>
            <w:r>
              <w:rPr>
                <w:rFonts w:ascii="Arial" w:cs="Arial" w:eastAsia="Arial" w:hAnsi="Arial"/>
                <w:sz w:val="16"/>
                <w:szCs w:val="16"/>
                <w:color w:val="auto"/>
              </w:rPr>
              <w:t>76,411</w:t>
            </w:r>
          </w:p>
        </w:tc>
        <w:tc>
          <w:tcPr>
            <w:tcW w:w="1800" w:type="dxa"/>
            <w:vAlign w:val="bottom"/>
            <w:tcBorders>
              <w:bottom w:val="single" w:sz="8" w:color="DBDBDB"/>
            </w:tcBorders>
            <w:shd w:val="clear" w:color="auto" w:fill="DBDBDB"/>
          </w:tcPr>
          <w:p>
            <w:pPr>
              <w:jc w:val="right"/>
              <w:ind w:right="140"/>
              <w:spacing w:after="0"/>
              <w:rPr>
                <w:sz w:val="20"/>
                <w:szCs w:val="20"/>
                <w:color w:val="auto"/>
              </w:rPr>
            </w:pPr>
            <w:r>
              <w:rPr>
                <w:rFonts w:ascii="Arial" w:cs="Arial" w:eastAsia="Arial" w:hAnsi="Arial"/>
                <w:sz w:val="16"/>
                <w:szCs w:val="16"/>
                <w:color w:val="auto"/>
              </w:rPr>
              <w:t>54,975</w:t>
            </w:r>
          </w:p>
        </w:tc>
        <w:tc>
          <w:tcPr>
            <w:tcW w:w="1840" w:type="dxa"/>
            <w:vAlign w:val="bottom"/>
            <w:tcBorders>
              <w:bottom w:val="single" w:sz="8" w:color="DBDBDB"/>
            </w:tcBorders>
            <w:shd w:val="clear" w:color="auto" w:fill="DBDBDB"/>
          </w:tcPr>
          <w:p>
            <w:pPr>
              <w:spacing w:after="0"/>
              <w:rPr>
                <w:sz w:val="19"/>
                <w:szCs w:val="19"/>
                <w:color w:val="auto"/>
              </w:rPr>
            </w:pPr>
          </w:p>
        </w:tc>
        <w:tc>
          <w:tcPr>
            <w:tcW w:w="102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6"/>
                <w:szCs w:val="16"/>
                <w:color w:val="auto"/>
              </w:rPr>
              <w:t>278,262</w:t>
            </w:r>
          </w:p>
        </w:tc>
        <w:tc>
          <w:tcPr>
            <w:tcW w:w="0" w:type="dxa"/>
            <w:vAlign w:val="bottom"/>
          </w:tcPr>
          <w:p>
            <w:pPr>
              <w:spacing w:after="0"/>
              <w:rPr>
                <w:sz w:val="1"/>
                <w:szCs w:val="1"/>
                <w:color w:val="auto"/>
              </w:rPr>
            </w:pPr>
          </w:p>
        </w:tc>
      </w:tr>
      <w:tr>
        <w:trPr>
          <w:trHeight w:val="223"/>
        </w:trPr>
        <w:tc>
          <w:tcPr>
            <w:tcW w:w="2180" w:type="dxa"/>
            <w:vAlign w:val="bottom"/>
          </w:tcPr>
          <w:p>
            <w:pPr>
              <w:ind w:left="20"/>
              <w:spacing w:after="0"/>
              <w:rPr>
                <w:sz w:val="20"/>
                <w:szCs w:val="20"/>
                <w:color w:val="auto"/>
              </w:rPr>
            </w:pPr>
            <w:r>
              <w:rPr>
                <w:rFonts w:ascii="Arial" w:cs="Arial" w:eastAsia="Arial" w:hAnsi="Arial"/>
                <w:sz w:val="16"/>
                <w:szCs w:val="16"/>
                <w:color w:val="auto"/>
              </w:rPr>
              <w:t>Eric P. Hansotia</w:t>
            </w:r>
          </w:p>
        </w:tc>
        <w:tc>
          <w:tcPr>
            <w:tcW w:w="2320" w:type="dxa"/>
            <w:vAlign w:val="bottom"/>
          </w:tcPr>
          <w:p>
            <w:pPr>
              <w:jc w:val="right"/>
              <w:ind w:right="143"/>
              <w:spacing w:after="0"/>
              <w:rPr>
                <w:sz w:val="20"/>
                <w:szCs w:val="20"/>
                <w:color w:val="auto"/>
              </w:rPr>
            </w:pPr>
            <w:r>
              <w:rPr>
                <w:rFonts w:ascii="Arial" w:cs="Arial" w:eastAsia="Arial" w:hAnsi="Arial"/>
                <w:sz w:val="16"/>
                <w:szCs w:val="16"/>
                <w:color w:val="auto"/>
              </w:rPr>
              <w:t>108,000</w:t>
            </w:r>
          </w:p>
        </w:tc>
        <w:tc>
          <w:tcPr>
            <w:tcW w:w="1760" w:type="dxa"/>
            <w:vAlign w:val="bottom"/>
          </w:tcPr>
          <w:p>
            <w:pPr>
              <w:jc w:val="right"/>
              <w:ind w:right="120"/>
              <w:spacing w:after="0"/>
              <w:rPr>
                <w:sz w:val="20"/>
                <w:szCs w:val="20"/>
                <w:color w:val="auto"/>
              </w:rPr>
            </w:pPr>
            <w:r>
              <w:rPr>
                <w:rFonts w:ascii="Arial" w:cs="Arial" w:eastAsia="Arial" w:hAnsi="Arial"/>
                <w:sz w:val="16"/>
                <w:szCs w:val="16"/>
                <w:color w:val="auto"/>
              </w:rPr>
              <w:t>76,411</w:t>
            </w:r>
          </w:p>
        </w:tc>
        <w:tc>
          <w:tcPr>
            <w:tcW w:w="1800" w:type="dxa"/>
            <w:vAlign w:val="bottom"/>
          </w:tcPr>
          <w:p>
            <w:pPr>
              <w:jc w:val="right"/>
              <w:ind w:right="140"/>
              <w:spacing w:after="0"/>
              <w:rPr>
                <w:sz w:val="20"/>
                <w:szCs w:val="20"/>
                <w:color w:val="auto"/>
              </w:rPr>
            </w:pPr>
            <w:r>
              <w:rPr>
                <w:rFonts w:ascii="Arial" w:cs="Arial" w:eastAsia="Arial" w:hAnsi="Arial"/>
                <w:sz w:val="16"/>
                <w:szCs w:val="16"/>
                <w:color w:val="auto"/>
              </w:rPr>
              <w:t>54,975</w:t>
            </w:r>
          </w:p>
        </w:tc>
        <w:tc>
          <w:tcPr>
            <w:tcW w:w="1840" w:type="dxa"/>
            <w:vAlign w:val="bottom"/>
          </w:tcPr>
          <w:p>
            <w:pPr>
              <w:jc w:val="right"/>
              <w:ind w:right="180"/>
              <w:spacing w:after="0"/>
              <w:rPr>
                <w:sz w:val="20"/>
                <w:szCs w:val="20"/>
                <w:color w:val="auto"/>
              </w:rPr>
            </w:pPr>
            <w:r>
              <w:rPr>
                <w:rFonts w:ascii="Arial" w:cs="Arial" w:eastAsia="Arial" w:hAnsi="Arial"/>
                <w:sz w:val="16"/>
                <w:szCs w:val="16"/>
                <w:color w:val="auto"/>
              </w:rPr>
              <w:t>1,000</w:t>
            </w:r>
          </w:p>
        </w:tc>
        <w:tc>
          <w:tcPr>
            <w:tcW w:w="1020" w:type="dxa"/>
            <w:vAlign w:val="bottom"/>
          </w:tcPr>
          <w:p>
            <w:pPr>
              <w:jc w:val="right"/>
              <w:spacing w:after="0"/>
              <w:rPr>
                <w:sz w:val="20"/>
                <w:szCs w:val="20"/>
                <w:color w:val="auto"/>
              </w:rPr>
            </w:pPr>
            <w:r>
              <w:rPr>
                <w:rFonts w:ascii="Arial" w:cs="Arial" w:eastAsia="Arial" w:hAnsi="Arial"/>
                <w:sz w:val="16"/>
                <w:szCs w:val="16"/>
                <w:color w:val="auto"/>
              </w:rPr>
              <w:t>240,387</w:t>
            </w:r>
          </w:p>
        </w:tc>
        <w:tc>
          <w:tcPr>
            <w:tcW w:w="0" w:type="dxa"/>
            <w:vAlign w:val="bottom"/>
          </w:tcPr>
          <w:p>
            <w:pPr>
              <w:spacing w:after="0"/>
              <w:rPr>
                <w:sz w:val="1"/>
                <w:szCs w:val="1"/>
                <w:color w:val="auto"/>
              </w:rPr>
            </w:pPr>
          </w:p>
        </w:tc>
      </w:tr>
      <w:tr>
        <w:trPr>
          <w:trHeight w:val="30"/>
        </w:trPr>
        <w:tc>
          <w:tcPr>
            <w:tcW w:w="2180" w:type="dxa"/>
            <w:vAlign w:val="bottom"/>
          </w:tcPr>
          <w:p>
            <w:pPr>
              <w:spacing w:after="0"/>
              <w:rPr>
                <w:sz w:val="2"/>
                <w:szCs w:val="2"/>
                <w:color w:val="auto"/>
              </w:rPr>
            </w:pPr>
          </w:p>
        </w:tc>
        <w:tc>
          <w:tcPr>
            <w:tcW w:w="232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218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6"/>
                <w:szCs w:val="16"/>
                <w:color w:val="auto"/>
              </w:rPr>
              <w:t>Jeffrey L. Harmening</w:t>
            </w:r>
          </w:p>
        </w:tc>
        <w:tc>
          <w:tcPr>
            <w:tcW w:w="2320" w:type="dxa"/>
            <w:vAlign w:val="bottom"/>
            <w:tcBorders>
              <w:bottom w:val="single" w:sz="8" w:color="DBDBDB"/>
            </w:tcBorders>
            <w:shd w:val="clear" w:color="auto" w:fill="DBDBDB"/>
          </w:tcPr>
          <w:p>
            <w:pPr>
              <w:jc w:val="right"/>
              <w:ind w:right="143"/>
              <w:spacing w:after="0"/>
              <w:rPr>
                <w:sz w:val="20"/>
                <w:szCs w:val="20"/>
                <w:color w:val="auto"/>
              </w:rPr>
            </w:pPr>
            <w:r>
              <w:rPr>
                <w:rFonts w:ascii="Arial" w:cs="Arial" w:eastAsia="Arial" w:hAnsi="Arial"/>
                <w:sz w:val="16"/>
                <w:szCs w:val="16"/>
                <w:color w:val="auto"/>
              </w:rPr>
              <w:t>121,000</w:t>
            </w:r>
          </w:p>
        </w:tc>
        <w:tc>
          <w:tcPr>
            <w:tcW w:w="1760" w:type="dxa"/>
            <w:vAlign w:val="bottom"/>
            <w:tcBorders>
              <w:bottom w:val="single" w:sz="8" w:color="DBDBDB"/>
            </w:tcBorders>
            <w:shd w:val="clear" w:color="auto" w:fill="DBDBDB"/>
          </w:tcPr>
          <w:p>
            <w:pPr>
              <w:jc w:val="right"/>
              <w:ind w:right="120"/>
              <w:spacing w:after="0"/>
              <w:rPr>
                <w:sz w:val="20"/>
                <w:szCs w:val="20"/>
                <w:color w:val="auto"/>
              </w:rPr>
            </w:pPr>
            <w:r>
              <w:rPr>
                <w:rFonts w:ascii="Arial" w:cs="Arial" w:eastAsia="Arial" w:hAnsi="Arial"/>
                <w:sz w:val="16"/>
                <w:szCs w:val="16"/>
                <w:color w:val="auto"/>
              </w:rPr>
              <w:t>76,411</w:t>
            </w:r>
          </w:p>
        </w:tc>
        <w:tc>
          <w:tcPr>
            <w:tcW w:w="1800" w:type="dxa"/>
            <w:vAlign w:val="bottom"/>
            <w:tcBorders>
              <w:bottom w:val="single" w:sz="8" w:color="DBDBDB"/>
            </w:tcBorders>
            <w:shd w:val="clear" w:color="auto" w:fill="DBDBDB"/>
          </w:tcPr>
          <w:p>
            <w:pPr>
              <w:jc w:val="right"/>
              <w:ind w:right="140"/>
              <w:spacing w:after="0"/>
              <w:rPr>
                <w:sz w:val="20"/>
                <w:szCs w:val="20"/>
                <w:color w:val="auto"/>
              </w:rPr>
            </w:pPr>
            <w:r>
              <w:rPr>
                <w:rFonts w:ascii="Arial" w:cs="Arial" w:eastAsia="Arial" w:hAnsi="Arial"/>
                <w:sz w:val="16"/>
                <w:szCs w:val="16"/>
                <w:color w:val="auto"/>
              </w:rPr>
              <w:t>54,975</w:t>
            </w:r>
          </w:p>
        </w:tc>
        <w:tc>
          <w:tcPr>
            <w:tcW w:w="1840" w:type="dxa"/>
            <w:vAlign w:val="bottom"/>
            <w:tcBorders>
              <w:bottom w:val="single" w:sz="8" w:color="DBDBDB"/>
            </w:tcBorders>
            <w:shd w:val="clear" w:color="auto" w:fill="DBDBDB"/>
          </w:tcPr>
          <w:p>
            <w:pPr>
              <w:jc w:val="right"/>
              <w:ind w:right="180"/>
              <w:spacing w:after="0"/>
              <w:rPr>
                <w:sz w:val="20"/>
                <w:szCs w:val="20"/>
                <w:color w:val="auto"/>
              </w:rPr>
            </w:pPr>
            <w:r>
              <w:rPr>
                <w:rFonts w:ascii="Arial" w:cs="Arial" w:eastAsia="Arial" w:hAnsi="Arial"/>
                <w:sz w:val="16"/>
                <w:szCs w:val="16"/>
                <w:color w:val="auto"/>
              </w:rPr>
              <w:t>1,220</w:t>
            </w:r>
          </w:p>
        </w:tc>
        <w:tc>
          <w:tcPr>
            <w:tcW w:w="102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6"/>
                <w:szCs w:val="16"/>
                <w:color w:val="auto"/>
              </w:rPr>
              <w:t>253,607</w:t>
            </w:r>
          </w:p>
        </w:tc>
        <w:tc>
          <w:tcPr>
            <w:tcW w:w="0" w:type="dxa"/>
            <w:vAlign w:val="bottom"/>
          </w:tcPr>
          <w:p>
            <w:pPr>
              <w:spacing w:after="0"/>
              <w:rPr>
                <w:sz w:val="1"/>
                <w:szCs w:val="1"/>
                <w:color w:val="auto"/>
              </w:rPr>
            </w:pPr>
          </w:p>
        </w:tc>
      </w:tr>
      <w:tr>
        <w:trPr>
          <w:trHeight w:val="211"/>
        </w:trPr>
        <w:tc>
          <w:tcPr>
            <w:tcW w:w="2180" w:type="dxa"/>
            <w:vAlign w:val="bottom"/>
          </w:tcPr>
          <w:p>
            <w:pPr>
              <w:ind w:left="20"/>
              <w:spacing w:after="0"/>
              <w:rPr>
                <w:sz w:val="20"/>
                <w:szCs w:val="20"/>
                <w:color w:val="auto"/>
              </w:rPr>
            </w:pPr>
            <w:r>
              <w:rPr>
                <w:rFonts w:ascii="Arial" w:cs="Arial" w:eastAsia="Arial" w:hAnsi="Arial"/>
                <w:sz w:val="16"/>
                <w:szCs w:val="16"/>
                <w:color w:val="auto"/>
              </w:rPr>
              <w:t>D. Christian Koch</w:t>
            </w:r>
          </w:p>
        </w:tc>
        <w:tc>
          <w:tcPr>
            <w:tcW w:w="2320" w:type="dxa"/>
            <w:vAlign w:val="bottom"/>
          </w:tcPr>
          <w:p>
            <w:pPr>
              <w:jc w:val="right"/>
              <w:ind w:right="143"/>
              <w:spacing w:after="0"/>
              <w:rPr>
                <w:sz w:val="20"/>
                <w:szCs w:val="20"/>
                <w:color w:val="auto"/>
              </w:rPr>
            </w:pPr>
            <w:r>
              <w:rPr>
                <w:rFonts w:ascii="Arial" w:cs="Arial" w:eastAsia="Arial" w:hAnsi="Arial"/>
                <w:sz w:val="16"/>
                <w:szCs w:val="16"/>
                <w:color w:val="auto"/>
              </w:rPr>
              <w:t>113,666</w:t>
            </w:r>
          </w:p>
        </w:tc>
        <w:tc>
          <w:tcPr>
            <w:tcW w:w="1760" w:type="dxa"/>
            <w:vAlign w:val="bottom"/>
          </w:tcPr>
          <w:p>
            <w:pPr>
              <w:jc w:val="right"/>
              <w:ind w:right="120"/>
              <w:spacing w:after="0"/>
              <w:rPr>
                <w:sz w:val="20"/>
                <w:szCs w:val="20"/>
                <w:color w:val="auto"/>
              </w:rPr>
            </w:pPr>
            <w:r>
              <w:rPr>
                <w:rFonts w:ascii="Arial" w:cs="Arial" w:eastAsia="Arial" w:hAnsi="Arial"/>
                <w:sz w:val="16"/>
                <w:szCs w:val="16"/>
                <w:color w:val="auto"/>
              </w:rPr>
              <w:t>76,411</w:t>
            </w:r>
          </w:p>
        </w:tc>
        <w:tc>
          <w:tcPr>
            <w:tcW w:w="1800" w:type="dxa"/>
            <w:vAlign w:val="bottom"/>
          </w:tcPr>
          <w:p>
            <w:pPr>
              <w:jc w:val="right"/>
              <w:ind w:right="140"/>
              <w:spacing w:after="0"/>
              <w:rPr>
                <w:sz w:val="20"/>
                <w:szCs w:val="20"/>
                <w:color w:val="auto"/>
              </w:rPr>
            </w:pPr>
            <w:r>
              <w:rPr>
                <w:rFonts w:ascii="Arial" w:cs="Arial" w:eastAsia="Arial" w:hAnsi="Arial"/>
                <w:sz w:val="16"/>
                <w:szCs w:val="16"/>
                <w:color w:val="auto"/>
              </w:rPr>
              <w:t>54,975</w:t>
            </w:r>
          </w:p>
        </w:tc>
        <w:tc>
          <w:tcPr>
            <w:tcW w:w="18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245,053</w:t>
            </w:r>
          </w:p>
        </w:tc>
        <w:tc>
          <w:tcPr>
            <w:tcW w:w="0" w:type="dxa"/>
            <w:vAlign w:val="bottom"/>
          </w:tcPr>
          <w:p>
            <w:pPr>
              <w:spacing w:after="0"/>
              <w:rPr>
                <w:sz w:val="1"/>
                <w:szCs w:val="1"/>
                <w:color w:val="auto"/>
              </w:rPr>
            </w:pPr>
          </w:p>
        </w:tc>
      </w:tr>
      <w:tr>
        <w:trPr>
          <w:trHeight w:val="29"/>
        </w:trPr>
        <w:tc>
          <w:tcPr>
            <w:tcW w:w="2180" w:type="dxa"/>
            <w:vAlign w:val="bottom"/>
          </w:tcPr>
          <w:p>
            <w:pPr>
              <w:spacing w:after="0"/>
              <w:rPr>
                <w:sz w:val="2"/>
                <w:szCs w:val="2"/>
                <w:color w:val="auto"/>
              </w:rPr>
            </w:pPr>
          </w:p>
        </w:tc>
        <w:tc>
          <w:tcPr>
            <w:tcW w:w="232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4"/>
        </w:trPr>
        <w:tc>
          <w:tcPr>
            <w:tcW w:w="2180" w:type="dxa"/>
            <w:vAlign w:val="bottom"/>
            <w:shd w:val="clear" w:color="auto" w:fill="DBDBDB"/>
          </w:tcPr>
          <w:p>
            <w:pPr>
              <w:ind w:left="20"/>
              <w:spacing w:after="0"/>
              <w:rPr>
                <w:sz w:val="20"/>
                <w:szCs w:val="20"/>
                <w:color w:val="auto"/>
              </w:rPr>
            </w:pPr>
            <w:r>
              <w:rPr>
                <w:rFonts w:ascii="Arial" w:cs="Arial" w:eastAsia="Arial" w:hAnsi="Arial"/>
                <w:sz w:val="16"/>
                <w:szCs w:val="16"/>
                <w:color w:val="auto"/>
              </w:rPr>
              <w:t>Joyce A. Mullen</w:t>
            </w:r>
            <w:r>
              <w:rPr>
                <w:rFonts w:ascii="Arial" w:cs="Arial" w:eastAsia="Arial" w:hAnsi="Arial"/>
                <w:sz w:val="20"/>
                <w:szCs w:val="20"/>
                <w:color w:val="auto"/>
                <w:vertAlign w:val="superscript"/>
              </w:rPr>
              <w:t>8</w:t>
            </w:r>
          </w:p>
        </w:tc>
        <w:tc>
          <w:tcPr>
            <w:tcW w:w="2320" w:type="dxa"/>
            <w:vAlign w:val="bottom"/>
            <w:shd w:val="clear" w:color="auto" w:fill="DBDBDB"/>
          </w:tcPr>
          <w:p>
            <w:pPr>
              <w:jc w:val="right"/>
              <w:ind w:right="143"/>
              <w:spacing w:after="0"/>
              <w:rPr>
                <w:sz w:val="20"/>
                <w:szCs w:val="20"/>
                <w:color w:val="auto"/>
              </w:rPr>
            </w:pPr>
            <w:r>
              <w:rPr>
                <w:rFonts w:ascii="Arial" w:cs="Arial" w:eastAsia="Arial" w:hAnsi="Arial"/>
                <w:sz w:val="16"/>
                <w:szCs w:val="16"/>
                <w:color w:val="auto"/>
              </w:rPr>
              <w:t>108,000</w:t>
            </w:r>
          </w:p>
        </w:tc>
        <w:tc>
          <w:tcPr>
            <w:tcW w:w="1760" w:type="dxa"/>
            <w:vAlign w:val="bottom"/>
            <w:shd w:val="clear" w:color="auto" w:fill="DBDBDB"/>
          </w:tcPr>
          <w:p>
            <w:pPr>
              <w:jc w:val="right"/>
              <w:ind w:right="120"/>
              <w:spacing w:after="0"/>
              <w:rPr>
                <w:sz w:val="20"/>
                <w:szCs w:val="20"/>
                <w:color w:val="auto"/>
              </w:rPr>
            </w:pPr>
            <w:r>
              <w:rPr>
                <w:rFonts w:ascii="Arial" w:cs="Arial" w:eastAsia="Arial" w:hAnsi="Arial"/>
                <w:sz w:val="16"/>
                <w:szCs w:val="16"/>
                <w:color w:val="auto"/>
              </w:rPr>
              <w:t>76,411</w:t>
            </w:r>
          </w:p>
        </w:tc>
        <w:tc>
          <w:tcPr>
            <w:tcW w:w="1800" w:type="dxa"/>
            <w:vAlign w:val="bottom"/>
            <w:shd w:val="clear" w:color="auto" w:fill="DBDBDB"/>
          </w:tcPr>
          <w:p>
            <w:pPr>
              <w:jc w:val="right"/>
              <w:ind w:right="140"/>
              <w:spacing w:after="0"/>
              <w:rPr>
                <w:sz w:val="20"/>
                <w:szCs w:val="20"/>
                <w:color w:val="auto"/>
              </w:rPr>
            </w:pPr>
            <w:r>
              <w:rPr>
                <w:rFonts w:ascii="Arial" w:cs="Arial" w:eastAsia="Arial" w:hAnsi="Arial"/>
                <w:sz w:val="16"/>
                <w:szCs w:val="16"/>
                <w:color w:val="auto"/>
              </w:rPr>
              <w:t>54,975</w:t>
            </w:r>
          </w:p>
        </w:tc>
        <w:tc>
          <w:tcPr>
            <w:tcW w:w="1840" w:type="dxa"/>
            <w:vAlign w:val="bottom"/>
            <w:shd w:val="clear" w:color="auto" w:fill="DBDBDB"/>
          </w:tcPr>
          <w:p>
            <w:pPr>
              <w:spacing w:after="0"/>
              <w:rPr>
                <w:sz w:val="22"/>
                <w:szCs w:val="22"/>
                <w:color w:val="auto"/>
              </w:rPr>
            </w:pPr>
          </w:p>
        </w:tc>
        <w:tc>
          <w:tcPr>
            <w:tcW w:w="1020" w:type="dxa"/>
            <w:vAlign w:val="bottom"/>
            <w:shd w:val="clear" w:color="auto" w:fill="DBDBDB"/>
          </w:tcPr>
          <w:p>
            <w:pPr>
              <w:jc w:val="right"/>
              <w:spacing w:after="0"/>
              <w:rPr>
                <w:sz w:val="20"/>
                <w:szCs w:val="20"/>
                <w:color w:val="auto"/>
              </w:rPr>
            </w:pPr>
            <w:r>
              <w:rPr>
                <w:rFonts w:ascii="Arial" w:cs="Arial" w:eastAsia="Arial" w:hAnsi="Arial"/>
                <w:sz w:val="16"/>
                <w:szCs w:val="16"/>
                <w:color w:val="auto"/>
              </w:rPr>
              <w:t>239,387</w:t>
            </w:r>
          </w:p>
        </w:tc>
        <w:tc>
          <w:tcPr>
            <w:tcW w:w="0" w:type="dxa"/>
            <w:vAlign w:val="bottom"/>
          </w:tcPr>
          <w:p>
            <w:pPr>
              <w:spacing w:after="0"/>
              <w:rPr>
                <w:sz w:val="1"/>
                <w:szCs w:val="1"/>
                <w:color w:val="auto"/>
              </w:rPr>
            </w:pPr>
          </w:p>
        </w:tc>
      </w:tr>
      <w:tr>
        <w:trPr>
          <w:trHeight w:val="211"/>
        </w:trPr>
        <w:tc>
          <w:tcPr>
            <w:tcW w:w="2180" w:type="dxa"/>
            <w:vAlign w:val="bottom"/>
          </w:tcPr>
          <w:p>
            <w:pPr>
              <w:ind w:left="20"/>
              <w:spacing w:after="0"/>
              <w:rPr>
                <w:sz w:val="20"/>
                <w:szCs w:val="20"/>
                <w:color w:val="auto"/>
              </w:rPr>
            </w:pPr>
            <w:r>
              <w:rPr>
                <w:rFonts w:ascii="Arial" w:cs="Arial" w:eastAsia="Arial" w:hAnsi="Arial"/>
                <w:sz w:val="16"/>
                <w:szCs w:val="16"/>
                <w:color w:val="auto"/>
              </w:rPr>
              <w:t>James C. O'Rourke</w:t>
            </w:r>
          </w:p>
        </w:tc>
        <w:tc>
          <w:tcPr>
            <w:tcW w:w="2320" w:type="dxa"/>
            <w:vAlign w:val="bottom"/>
          </w:tcPr>
          <w:p>
            <w:pPr>
              <w:jc w:val="right"/>
              <w:ind w:right="143"/>
              <w:spacing w:after="0"/>
              <w:rPr>
                <w:sz w:val="20"/>
                <w:szCs w:val="20"/>
                <w:color w:val="auto"/>
              </w:rPr>
            </w:pPr>
            <w:r>
              <w:rPr>
                <w:rFonts w:ascii="Arial" w:cs="Arial" w:eastAsia="Arial" w:hAnsi="Arial"/>
                <w:sz w:val="16"/>
                <w:szCs w:val="16"/>
                <w:color w:val="auto"/>
              </w:rPr>
              <w:t>123,000</w:t>
            </w:r>
          </w:p>
        </w:tc>
        <w:tc>
          <w:tcPr>
            <w:tcW w:w="1760" w:type="dxa"/>
            <w:vAlign w:val="bottom"/>
          </w:tcPr>
          <w:p>
            <w:pPr>
              <w:jc w:val="right"/>
              <w:ind w:right="120"/>
              <w:spacing w:after="0"/>
              <w:rPr>
                <w:sz w:val="20"/>
                <w:szCs w:val="20"/>
                <w:color w:val="auto"/>
              </w:rPr>
            </w:pPr>
            <w:r>
              <w:rPr>
                <w:rFonts w:ascii="Arial" w:cs="Arial" w:eastAsia="Arial" w:hAnsi="Arial"/>
                <w:sz w:val="16"/>
                <w:szCs w:val="16"/>
                <w:color w:val="auto"/>
              </w:rPr>
              <w:t>76,411</w:t>
            </w:r>
          </w:p>
        </w:tc>
        <w:tc>
          <w:tcPr>
            <w:tcW w:w="1800" w:type="dxa"/>
            <w:vAlign w:val="bottom"/>
          </w:tcPr>
          <w:p>
            <w:pPr>
              <w:jc w:val="right"/>
              <w:ind w:right="140"/>
              <w:spacing w:after="0"/>
              <w:rPr>
                <w:sz w:val="20"/>
                <w:szCs w:val="20"/>
                <w:color w:val="auto"/>
              </w:rPr>
            </w:pPr>
            <w:r>
              <w:rPr>
                <w:rFonts w:ascii="Arial" w:cs="Arial" w:eastAsia="Arial" w:hAnsi="Arial"/>
                <w:sz w:val="16"/>
                <w:szCs w:val="16"/>
                <w:color w:val="auto"/>
              </w:rPr>
              <w:t>54,975</w:t>
            </w:r>
          </w:p>
        </w:tc>
        <w:tc>
          <w:tcPr>
            <w:tcW w:w="18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254,387</w:t>
            </w:r>
          </w:p>
        </w:tc>
        <w:tc>
          <w:tcPr>
            <w:tcW w:w="0" w:type="dxa"/>
            <w:vAlign w:val="bottom"/>
          </w:tcPr>
          <w:p>
            <w:pPr>
              <w:spacing w:after="0"/>
              <w:rPr>
                <w:sz w:val="1"/>
                <w:szCs w:val="1"/>
                <w:color w:val="auto"/>
              </w:rPr>
            </w:pPr>
          </w:p>
        </w:tc>
      </w:tr>
      <w:tr>
        <w:trPr>
          <w:trHeight w:val="29"/>
        </w:trPr>
        <w:tc>
          <w:tcPr>
            <w:tcW w:w="2180" w:type="dxa"/>
            <w:vAlign w:val="bottom"/>
          </w:tcPr>
          <w:p>
            <w:pPr>
              <w:spacing w:after="0"/>
              <w:rPr>
                <w:sz w:val="2"/>
                <w:szCs w:val="2"/>
                <w:color w:val="auto"/>
              </w:rPr>
            </w:pPr>
          </w:p>
        </w:tc>
        <w:tc>
          <w:tcPr>
            <w:tcW w:w="232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180" w:type="dxa"/>
            <w:vAlign w:val="bottom"/>
            <w:shd w:val="clear" w:color="auto" w:fill="DBDBDB"/>
          </w:tcPr>
          <w:p>
            <w:pPr>
              <w:ind w:left="20"/>
              <w:spacing w:after="0"/>
              <w:rPr>
                <w:sz w:val="20"/>
                <w:szCs w:val="20"/>
                <w:color w:val="auto"/>
              </w:rPr>
            </w:pPr>
            <w:r>
              <w:rPr>
                <w:rFonts w:ascii="Arial" w:cs="Arial" w:eastAsia="Arial" w:hAnsi="Arial"/>
                <w:sz w:val="16"/>
                <w:szCs w:val="16"/>
                <w:color w:val="auto"/>
              </w:rPr>
              <w:t>Jill M. Pemberton</w:t>
            </w:r>
          </w:p>
        </w:tc>
        <w:tc>
          <w:tcPr>
            <w:tcW w:w="2320" w:type="dxa"/>
            <w:vAlign w:val="bottom"/>
            <w:shd w:val="clear" w:color="auto" w:fill="DBDBDB"/>
          </w:tcPr>
          <w:p>
            <w:pPr>
              <w:jc w:val="right"/>
              <w:ind w:right="143"/>
              <w:spacing w:after="0"/>
              <w:rPr>
                <w:sz w:val="20"/>
                <w:szCs w:val="20"/>
                <w:color w:val="auto"/>
              </w:rPr>
            </w:pPr>
            <w:r>
              <w:rPr>
                <w:rFonts w:ascii="Arial" w:cs="Arial" w:eastAsia="Arial" w:hAnsi="Arial"/>
                <w:sz w:val="16"/>
                <w:szCs w:val="16"/>
                <w:color w:val="auto"/>
              </w:rPr>
              <w:t>128,610</w:t>
            </w:r>
          </w:p>
        </w:tc>
        <w:tc>
          <w:tcPr>
            <w:tcW w:w="1760" w:type="dxa"/>
            <w:vAlign w:val="bottom"/>
            <w:shd w:val="clear" w:color="auto" w:fill="DBDBDB"/>
          </w:tcPr>
          <w:p>
            <w:pPr>
              <w:jc w:val="right"/>
              <w:ind w:right="120"/>
              <w:spacing w:after="0"/>
              <w:rPr>
                <w:sz w:val="20"/>
                <w:szCs w:val="20"/>
                <w:color w:val="auto"/>
              </w:rPr>
            </w:pPr>
            <w:r>
              <w:rPr>
                <w:rFonts w:ascii="Arial" w:cs="Arial" w:eastAsia="Arial" w:hAnsi="Arial"/>
                <w:sz w:val="16"/>
                <w:szCs w:val="16"/>
                <w:color w:val="auto"/>
              </w:rPr>
              <w:t>76,411</w:t>
            </w:r>
          </w:p>
        </w:tc>
        <w:tc>
          <w:tcPr>
            <w:tcW w:w="1800" w:type="dxa"/>
            <w:vAlign w:val="bottom"/>
            <w:shd w:val="clear" w:color="auto" w:fill="DBDBDB"/>
          </w:tcPr>
          <w:p>
            <w:pPr>
              <w:jc w:val="right"/>
              <w:ind w:right="140"/>
              <w:spacing w:after="0"/>
              <w:rPr>
                <w:sz w:val="20"/>
                <w:szCs w:val="20"/>
                <w:color w:val="auto"/>
              </w:rPr>
            </w:pPr>
            <w:r>
              <w:rPr>
                <w:rFonts w:ascii="Arial" w:cs="Arial" w:eastAsia="Arial" w:hAnsi="Arial"/>
                <w:sz w:val="16"/>
                <w:szCs w:val="16"/>
                <w:color w:val="auto"/>
              </w:rPr>
              <w:t>54,975</w:t>
            </w:r>
          </w:p>
        </w:tc>
        <w:tc>
          <w:tcPr>
            <w:tcW w:w="1840" w:type="dxa"/>
            <w:vAlign w:val="bottom"/>
            <w:shd w:val="clear" w:color="auto" w:fill="DBDBDB"/>
          </w:tcPr>
          <w:p>
            <w:pPr>
              <w:spacing w:after="0"/>
              <w:rPr>
                <w:sz w:val="19"/>
                <w:szCs w:val="19"/>
                <w:color w:val="auto"/>
              </w:rPr>
            </w:pPr>
          </w:p>
        </w:tc>
        <w:tc>
          <w:tcPr>
            <w:tcW w:w="1020" w:type="dxa"/>
            <w:vAlign w:val="bottom"/>
            <w:shd w:val="clear" w:color="auto" w:fill="DBDBDB"/>
          </w:tcPr>
          <w:p>
            <w:pPr>
              <w:jc w:val="right"/>
              <w:spacing w:after="0"/>
              <w:rPr>
                <w:sz w:val="20"/>
                <w:szCs w:val="20"/>
                <w:color w:val="auto"/>
              </w:rPr>
            </w:pPr>
            <w:r>
              <w:rPr>
                <w:rFonts w:ascii="Arial" w:cs="Arial" w:eastAsia="Arial" w:hAnsi="Arial"/>
                <w:sz w:val="16"/>
                <w:szCs w:val="16"/>
                <w:color w:val="auto"/>
              </w:rPr>
              <w:t>259,996</w:t>
            </w:r>
          </w:p>
        </w:tc>
        <w:tc>
          <w:tcPr>
            <w:tcW w:w="0" w:type="dxa"/>
            <w:vAlign w:val="bottom"/>
          </w:tcPr>
          <w:p>
            <w:pPr>
              <w:spacing w:after="0"/>
              <w:rPr>
                <w:sz w:val="1"/>
                <w:szCs w:val="1"/>
                <w:color w:val="auto"/>
              </w:rPr>
            </w:pPr>
          </w:p>
        </w:tc>
      </w:tr>
      <w:tr>
        <w:trPr>
          <w:trHeight w:val="30"/>
        </w:trPr>
        <w:tc>
          <w:tcPr>
            <w:tcW w:w="2180" w:type="dxa"/>
            <w:vAlign w:val="bottom"/>
            <w:shd w:val="clear" w:color="auto" w:fill="DBDBDB"/>
          </w:tcPr>
          <w:p>
            <w:pPr>
              <w:spacing w:after="0"/>
              <w:rPr>
                <w:sz w:val="2"/>
                <w:szCs w:val="2"/>
                <w:color w:val="auto"/>
              </w:rPr>
            </w:pPr>
          </w:p>
        </w:tc>
        <w:tc>
          <w:tcPr>
            <w:tcW w:w="2320" w:type="dxa"/>
            <w:vAlign w:val="bottom"/>
            <w:shd w:val="clear" w:color="auto" w:fill="DBDBDB"/>
          </w:tcPr>
          <w:p>
            <w:pPr>
              <w:spacing w:after="0"/>
              <w:rPr>
                <w:sz w:val="2"/>
                <w:szCs w:val="2"/>
                <w:color w:val="auto"/>
              </w:rPr>
            </w:pPr>
          </w:p>
        </w:tc>
        <w:tc>
          <w:tcPr>
            <w:tcW w:w="1760" w:type="dxa"/>
            <w:vAlign w:val="bottom"/>
            <w:shd w:val="clear" w:color="auto" w:fill="DBDBDB"/>
          </w:tcPr>
          <w:p>
            <w:pPr>
              <w:spacing w:after="0"/>
              <w:rPr>
                <w:sz w:val="2"/>
                <w:szCs w:val="2"/>
                <w:color w:val="auto"/>
              </w:rPr>
            </w:pPr>
          </w:p>
        </w:tc>
        <w:tc>
          <w:tcPr>
            <w:tcW w:w="1800" w:type="dxa"/>
            <w:vAlign w:val="bottom"/>
            <w:shd w:val="clear" w:color="auto" w:fill="DBDBDB"/>
          </w:tcPr>
          <w:p>
            <w:pPr>
              <w:spacing w:after="0"/>
              <w:rPr>
                <w:sz w:val="2"/>
                <w:szCs w:val="2"/>
                <w:color w:val="auto"/>
              </w:rPr>
            </w:pPr>
          </w:p>
        </w:tc>
        <w:tc>
          <w:tcPr>
            <w:tcW w:w="1840" w:type="dxa"/>
            <w:vAlign w:val="bottom"/>
            <w:shd w:val="clear" w:color="auto" w:fill="DBDBDB"/>
          </w:tcPr>
          <w:p>
            <w:pPr>
              <w:spacing w:after="0"/>
              <w:rPr>
                <w:sz w:val="2"/>
                <w:szCs w:val="2"/>
                <w:color w:val="auto"/>
              </w:rPr>
            </w:pPr>
          </w:p>
        </w:tc>
        <w:tc>
          <w:tcPr>
            <w:tcW w:w="1020" w:type="dxa"/>
            <w:vAlign w:val="bottom"/>
            <w:shd w:val="clear" w:color="auto" w:fill="DBDBDB"/>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118745</wp:posOffset>
            </wp:positionV>
            <wp:extent cx="1991360"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1991360" cy="8255"/>
                    </a:xfrm>
                    <a:prstGeom prst="rect">
                      <a:avLst/>
                    </a:prstGeom>
                    <a:noFill/>
                  </pic:spPr>
                </pic:pic>
              </a:graphicData>
            </a:graphic>
          </wp:anchor>
        </w:drawing>
      </w:r>
    </w:p>
    <w:p>
      <w:pPr>
        <w:spacing w:after="0" w:line="257" w:lineRule="exact"/>
        <w:rPr>
          <w:sz w:val="20"/>
          <w:szCs w:val="20"/>
          <w:color w:val="auto"/>
        </w:rPr>
      </w:pPr>
    </w:p>
    <w:p>
      <w:pPr>
        <w:ind w:left="320" w:hanging="313"/>
        <w:spacing w:after="0" w:line="246" w:lineRule="auto"/>
        <w:tabs>
          <w:tab w:leader="none" w:pos="308" w:val="left"/>
        </w:tabs>
        <w:numPr>
          <w:ilvl w:val="0"/>
          <w:numId w:val="35"/>
        </w:numPr>
        <w:rPr>
          <w:rFonts w:ascii="Arial" w:cs="Arial" w:eastAsia="Arial" w:hAnsi="Arial"/>
          <w:sz w:val="18"/>
          <w:szCs w:val="18"/>
          <w:color w:val="auto"/>
        </w:rPr>
      </w:pPr>
      <w:r>
        <w:rPr>
          <w:rFonts w:ascii="Arial" w:cs="Arial" w:eastAsia="Arial" w:hAnsi="Arial"/>
          <w:sz w:val="18"/>
          <w:szCs w:val="18"/>
          <w:color w:val="auto"/>
        </w:rPr>
        <w:t>Unless a director elected to defer receipt or convert a portion or all of his or her annual retainers into shares of our common stock, annual retainers were paid in cash at the beginning of each fiscal quarter.</w:t>
      </w:r>
    </w:p>
    <w:p>
      <w:pPr>
        <w:spacing w:after="0" w:line="15" w:lineRule="exact"/>
        <w:rPr>
          <w:rFonts w:ascii="Arial" w:cs="Arial" w:eastAsia="Arial" w:hAnsi="Arial"/>
          <w:sz w:val="18"/>
          <w:szCs w:val="18"/>
          <w:color w:val="auto"/>
        </w:rPr>
      </w:pPr>
    </w:p>
    <w:p>
      <w:pPr>
        <w:jc w:val="both"/>
        <w:ind w:left="320" w:hanging="313"/>
        <w:spacing w:after="0" w:line="239" w:lineRule="auto"/>
        <w:tabs>
          <w:tab w:leader="none" w:pos="308"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following directors elected to convert all or a portion of their calendar 2024 cash retainers into shares of our common stock, which number of shares received was based on the closing price of our common stock on December 16, 2024, of $86.36: Mr. Koch—1,007 shares; Ms. Craig—1,429 shares; and Ms. Pemberton—1,547 shares.</w:t>
      </w:r>
    </w:p>
    <w:p>
      <w:pPr>
        <w:spacing w:after="0" w:line="22" w:lineRule="exact"/>
        <w:rPr>
          <w:rFonts w:ascii="Arial" w:cs="Arial" w:eastAsia="Arial" w:hAnsi="Arial"/>
          <w:sz w:val="18"/>
          <w:szCs w:val="18"/>
          <w:color w:val="auto"/>
        </w:rPr>
      </w:pPr>
    </w:p>
    <w:p>
      <w:pPr>
        <w:jc w:val="both"/>
        <w:ind w:left="320" w:hanging="313"/>
        <w:spacing w:after="0" w:line="233" w:lineRule="auto"/>
        <w:tabs>
          <w:tab w:leader="none" w:pos="308" w:val="left"/>
        </w:tabs>
        <w:numPr>
          <w:ilvl w:val="0"/>
          <w:numId w:val="35"/>
        </w:numPr>
        <w:rPr>
          <w:rFonts w:ascii="Arial" w:cs="Arial" w:eastAsia="Arial" w:hAnsi="Arial"/>
          <w:sz w:val="18"/>
          <w:szCs w:val="18"/>
          <w:color w:val="auto"/>
        </w:rPr>
      </w:pPr>
      <w:r>
        <w:rPr>
          <w:rFonts w:ascii="Arial" w:cs="Arial" w:eastAsia="Arial" w:hAnsi="Arial"/>
          <w:sz w:val="18"/>
          <w:szCs w:val="18"/>
          <w:color w:val="auto"/>
        </w:rPr>
        <w:t>On November 1, 2023, 943 shares of our common stock were granted to each non-employee director with the calculation as to the number of shares based on the average of the closing prices of our common stock during the three months prior to the grant, which was $90.06. However, the amount reported in the table represents the grant date fair value of $81.03, the closing price on the grant date, computed in accordance with Financial Accounting Standards Board (FASB) Accounting Standard Codification (ASC) Topic 718. These stock awards were the only stock awards granted to directors during fiscal 2024. As of October 31, 2024, no directors held any restricted stock or other unvested stock awards.</w:t>
      </w:r>
    </w:p>
    <w:p>
      <w:pPr>
        <w:spacing w:after="0" w:line="21" w:lineRule="exact"/>
        <w:rPr>
          <w:rFonts w:ascii="Arial" w:cs="Arial" w:eastAsia="Arial" w:hAnsi="Arial"/>
          <w:sz w:val="18"/>
          <w:szCs w:val="18"/>
          <w:color w:val="auto"/>
        </w:rPr>
      </w:pPr>
    </w:p>
    <w:p>
      <w:pPr>
        <w:jc w:val="both"/>
        <w:ind w:left="320" w:hanging="313"/>
        <w:spacing w:after="0" w:line="239" w:lineRule="auto"/>
        <w:tabs>
          <w:tab w:leader="none" w:pos="308" w:val="left"/>
        </w:tabs>
        <w:numPr>
          <w:ilvl w:val="0"/>
          <w:numId w:val="35"/>
        </w:numPr>
        <w:rPr>
          <w:rFonts w:ascii="Arial" w:cs="Arial" w:eastAsia="Arial" w:hAnsi="Arial"/>
          <w:sz w:val="18"/>
          <w:szCs w:val="18"/>
          <w:color w:val="auto"/>
        </w:rPr>
      </w:pPr>
      <w:r>
        <w:rPr>
          <w:rFonts w:ascii="Arial" w:cs="Arial" w:eastAsia="Arial" w:hAnsi="Arial"/>
          <w:sz w:val="18"/>
          <w:szCs w:val="18"/>
          <w:color w:val="auto"/>
        </w:rPr>
        <w:t>On November 1, 2023, a stock option to purchase 2,130 shares of our common stock was granted to each non-employee director. The amount reported in the table represents the grant date fair value computed in accordance with FASB ASC Topic 718. The following is a summary of the specific assumptions used in the valuation of the option awards:</w:t>
      </w:r>
    </w:p>
    <w:p>
      <w:pPr>
        <w:spacing w:after="0" w:line="69" w:lineRule="exact"/>
        <w:rPr>
          <w:sz w:val="20"/>
          <w:szCs w:val="20"/>
          <w:color w:val="auto"/>
        </w:rPr>
      </w:pPr>
    </w:p>
    <w:tbl>
      <w:tblPr>
        <w:tblLayout w:type="fixed"/>
        <w:tblInd w:w="320" w:type="dxa"/>
        <w:tblCellMar>
          <w:top w:w="0" w:type="dxa"/>
          <w:left w:w="0" w:type="dxa"/>
          <w:bottom w:w="0" w:type="dxa"/>
          <w:right w:w="0" w:type="dxa"/>
        </w:tblCellMar>
      </w:tblPr>
      <w:tr>
        <w:trPr>
          <w:trHeight w:val="161"/>
        </w:trPr>
        <w:tc>
          <w:tcPr>
            <w:tcW w:w="1480" w:type="dxa"/>
            <w:vAlign w:val="bottom"/>
            <w:vMerge w:val="restart"/>
            <w:shd w:val="clear" w:color="auto" w:fill="BF2115"/>
          </w:tcPr>
          <w:p>
            <w:pPr>
              <w:ind w:left="20"/>
              <w:spacing w:after="0"/>
              <w:rPr>
                <w:sz w:val="20"/>
                <w:szCs w:val="20"/>
                <w:color w:val="auto"/>
              </w:rPr>
            </w:pPr>
            <w:r>
              <w:rPr>
                <w:rFonts w:ascii="Arial" w:cs="Arial" w:eastAsia="Arial" w:hAnsi="Arial"/>
                <w:sz w:val="14"/>
                <w:szCs w:val="14"/>
                <w:b w:val="1"/>
                <w:bCs w:val="1"/>
                <w:color w:val="FFFFFF"/>
              </w:rPr>
              <w:t>Grant Date</w:t>
            </w:r>
          </w:p>
        </w:tc>
        <w:tc>
          <w:tcPr>
            <w:tcW w:w="2040" w:type="dxa"/>
            <w:vAlign w:val="bottom"/>
            <w:vMerge w:val="restart"/>
            <w:shd w:val="clear" w:color="auto" w:fill="BF2115"/>
          </w:tcPr>
          <w:p>
            <w:pPr>
              <w:jc w:val="center"/>
              <w:ind w:left="160"/>
              <w:spacing w:after="0"/>
              <w:rPr>
                <w:sz w:val="20"/>
                <w:szCs w:val="20"/>
                <w:color w:val="auto"/>
              </w:rPr>
            </w:pPr>
            <w:r>
              <w:rPr>
                <w:rFonts w:ascii="Arial" w:cs="Arial" w:eastAsia="Arial" w:hAnsi="Arial"/>
                <w:sz w:val="14"/>
                <w:szCs w:val="14"/>
                <w:color w:val="FFFFFF"/>
              </w:rPr>
              <w:t>Risk Free Rate</w:t>
            </w:r>
          </w:p>
        </w:tc>
        <w:tc>
          <w:tcPr>
            <w:tcW w:w="1640" w:type="dxa"/>
            <w:vAlign w:val="bottom"/>
            <w:vMerge w:val="restart"/>
            <w:shd w:val="clear" w:color="auto" w:fill="BF2115"/>
          </w:tcPr>
          <w:p>
            <w:pPr>
              <w:jc w:val="center"/>
              <w:spacing w:after="0"/>
              <w:rPr>
                <w:sz w:val="20"/>
                <w:szCs w:val="20"/>
                <w:color w:val="auto"/>
              </w:rPr>
            </w:pPr>
            <w:r>
              <w:rPr>
                <w:rFonts w:ascii="Arial" w:cs="Arial" w:eastAsia="Arial" w:hAnsi="Arial"/>
                <w:sz w:val="14"/>
                <w:szCs w:val="14"/>
                <w:color w:val="FFFFFF"/>
              </w:rPr>
              <w:t>Expected Life</w:t>
            </w:r>
          </w:p>
        </w:tc>
        <w:tc>
          <w:tcPr>
            <w:tcW w:w="1700" w:type="dxa"/>
            <w:vAlign w:val="bottom"/>
            <w:vMerge w:val="restart"/>
            <w:shd w:val="clear" w:color="auto" w:fill="BF2115"/>
          </w:tcPr>
          <w:p>
            <w:pPr>
              <w:jc w:val="center"/>
              <w:ind w:left="80"/>
              <w:spacing w:after="0"/>
              <w:rPr>
                <w:sz w:val="20"/>
                <w:szCs w:val="20"/>
                <w:color w:val="auto"/>
              </w:rPr>
            </w:pPr>
            <w:r>
              <w:rPr>
                <w:rFonts w:ascii="Arial" w:cs="Arial" w:eastAsia="Arial" w:hAnsi="Arial"/>
                <w:sz w:val="14"/>
                <w:szCs w:val="14"/>
                <w:color w:val="FFFFFF"/>
                <w:w w:val="99"/>
              </w:rPr>
              <w:t>Expected Volatility</w:t>
            </w:r>
          </w:p>
        </w:tc>
        <w:tc>
          <w:tcPr>
            <w:tcW w:w="1820" w:type="dxa"/>
            <w:vAlign w:val="bottom"/>
            <w:vMerge w:val="restart"/>
            <w:shd w:val="clear" w:color="auto" w:fill="BF2115"/>
          </w:tcPr>
          <w:p>
            <w:pPr>
              <w:jc w:val="center"/>
              <w:ind w:left="40"/>
              <w:spacing w:after="0"/>
              <w:rPr>
                <w:sz w:val="20"/>
                <w:szCs w:val="20"/>
                <w:color w:val="auto"/>
              </w:rPr>
            </w:pPr>
            <w:r>
              <w:rPr>
                <w:rFonts w:ascii="Arial" w:cs="Arial" w:eastAsia="Arial" w:hAnsi="Arial"/>
                <w:sz w:val="14"/>
                <w:szCs w:val="14"/>
                <w:color w:val="FFFFFF"/>
              </w:rPr>
              <w:t>Expected Dividend Yield</w:t>
            </w:r>
          </w:p>
        </w:tc>
        <w:tc>
          <w:tcPr>
            <w:tcW w:w="1740" w:type="dxa"/>
            <w:vAlign w:val="bottom"/>
            <w:shd w:val="clear" w:color="auto" w:fill="BF2115"/>
          </w:tcPr>
          <w:p>
            <w:pPr>
              <w:jc w:val="center"/>
              <w:spacing w:after="0"/>
              <w:rPr>
                <w:sz w:val="20"/>
                <w:szCs w:val="20"/>
                <w:color w:val="auto"/>
              </w:rPr>
            </w:pPr>
            <w:r>
              <w:rPr>
                <w:rFonts w:ascii="Arial" w:cs="Arial" w:eastAsia="Arial" w:hAnsi="Arial"/>
                <w:sz w:val="14"/>
                <w:szCs w:val="14"/>
                <w:color w:val="FFFFFF"/>
              </w:rPr>
              <w:t>Per Share Black-Scholes</w:t>
            </w:r>
          </w:p>
        </w:tc>
        <w:tc>
          <w:tcPr>
            <w:tcW w:w="0" w:type="dxa"/>
            <w:vAlign w:val="bottom"/>
          </w:tcPr>
          <w:p>
            <w:pPr>
              <w:spacing w:after="0"/>
              <w:rPr>
                <w:sz w:val="1"/>
                <w:szCs w:val="1"/>
                <w:color w:val="auto"/>
              </w:rPr>
            </w:pPr>
          </w:p>
        </w:tc>
      </w:tr>
      <w:tr>
        <w:trPr>
          <w:trHeight w:val="183"/>
        </w:trPr>
        <w:tc>
          <w:tcPr>
            <w:tcW w:w="1480" w:type="dxa"/>
            <w:vAlign w:val="bottom"/>
            <w:vMerge w:val="continue"/>
            <w:shd w:val="clear" w:color="auto" w:fill="BF2115"/>
          </w:tcPr>
          <w:p>
            <w:pPr>
              <w:spacing w:after="0"/>
              <w:rPr>
                <w:sz w:val="15"/>
                <w:szCs w:val="15"/>
                <w:color w:val="auto"/>
              </w:rPr>
            </w:pPr>
          </w:p>
        </w:tc>
        <w:tc>
          <w:tcPr>
            <w:tcW w:w="2040" w:type="dxa"/>
            <w:vAlign w:val="bottom"/>
            <w:vMerge w:val="continue"/>
            <w:shd w:val="clear" w:color="auto" w:fill="BF2115"/>
          </w:tcPr>
          <w:p>
            <w:pPr>
              <w:spacing w:after="0"/>
              <w:rPr>
                <w:sz w:val="15"/>
                <w:szCs w:val="15"/>
                <w:color w:val="auto"/>
              </w:rPr>
            </w:pPr>
          </w:p>
        </w:tc>
        <w:tc>
          <w:tcPr>
            <w:tcW w:w="1640" w:type="dxa"/>
            <w:vAlign w:val="bottom"/>
            <w:vMerge w:val="continue"/>
            <w:shd w:val="clear" w:color="auto" w:fill="BF2115"/>
          </w:tcPr>
          <w:p>
            <w:pPr>
              <w:spacing w:after="0"/>
              <w:rPr>
                <w:sz w:val="15"/>
                <w:szCs w:val="15"/>
                <w:color w:val="auto"/>
              </w:rPr>
            </w:pPr>
          </w:p>
        </w:tc>
        <w:tc>
          <w:tcPr>
            <w:tcW w:w="1700" w:type="dxa"/>
            <w:vAlign w:val="bottom"/>
            <w:vMerge w:val="continue"/>
            <w:shd w:val="clear" w:color="auto" w:fill="BF2115"/>
          </w:tcPr>
          <w:p>
            <w:pPr>
              <w:spacing w:after="0"/>
              <w:rPr>
                <w:sz w:val="15"/>
                <w:szCs w:val="15"/>
                <w:color w:val="auto"/>
              </w:rPr>
            </w:pPr>
          </w:p>
        </w:tc>
        <w:tc>
          <w:tcPr>
            <w:tcW w:w="1820" w:type="dxa"/>
            <w:vAlign w:val="bottom"/>
            <w:vMerge w:val="continue"/>
            <w:shd w:val="clear" w:color="auto" w:fill="BF2115"/>
          </w:tcPr>
          <w:p>
            <w:pPr>
              <w:spacing w:after="0"/>
              <w:rPr>
                <w:sz w:val="15"/>
                <w:szCs w:val="15"/>
                <w:color w:val="auto"/>
              </w:rPr>
            </w:pPr>
          </w:p>
        </w:tc>
        <w:tc>
          <w:tcPr>
            <w:tcW w:w="1740" w:type="dxa"/>
            <w:vAlign w:val="bottom"/>
            <w:shd w:val="clear" w:color="auto" w:fill="BF2115"/>
          </w:tcPr>
          <w:p>
            <w:pPr>
              <w:jc w:val="center"/>
              <w:spacing w:after="0"/>
              <w:rPr>
                <w:sz w:val="20"/>
                <w:szCs w:val="20"/>
                <w:color w:val="auto"/>
              </w:rPr>
            </w:pPr>
            <w:r>
              <w:rPr>
                <w:rFonts w:ascii="Arial" w:cs="Arial" w:eastAsia="Arial" w:hAnsi="Arial"/>
                <w:sz w:val="14"/>
                <w:szCs w:val="14"/>
                <w:color w:val="FFFFFF"/>
              </w:rPr>
              <w:t>Value</w:t>
            </w:r>
          </w:p>
        </w:tc>
        <w:tc>
          <w:tcPr>
            <w:tcW w:w="0" w:type="dxa"/>
            <w:vAlign w:val="bottom"/>
          </w:tcPr>
          <w:p>
            <w:pPr>
              <w:spacing w:after="0"/>
              <w:rPr>
                <w:sz w:val="1"/>
                <w:szCs w:val="1"/>
                <w:color w:val="auto"/>
              </w:rPr>
            </w:pPr>
          </w:p>
        </w:tc>
      </w:tr>
      <w:tr>
        <w:trPr>
          <w:trHeight w:val="243"/>
        </w:trPr>
        <w:tc>
          <w:tcPr>
            <w:tcW w:w="1480" w:type="dxa"/>
            <w:vAlign w:val="bottom"/>
          </w:tcPr>
          <w:p>
            <w:pPr>
              <w:ind w:left="20"/>
              <w:spacing w:after="0"/>
              <w:rPr>
                <w:sz w:val="20"/>
                <w:szCs w:val="20"/>
                <w:color w:val="auto"/>
              </w:rPr>
            </w:pPr>
            <w:r>
              <w:rPr>
                <w:rFonts w:ascii="Arial" w:cs="Arial" w:eastAsia="Arial" w:hAnsi="Arial"/>
                <w:sz w:val="18"/>
                <w:szCs w:val="18"/>
                <w:color w:val="auto"/>
              </w:rPr>
              <w:t>11/1/2023</w:t>
            </w:r>
          </w:p>
        </w:tc>
        <w:tc>
          <w:tcPr>
            <w:tcW w:w="2040" w:type="dxa"/>
            <w:vAlign w:val="bottom"/>
          </w:tcPr>
          <w:p>
            <w:pPr>
              <w:jc w:val="right"/>
              <w:ind w:right="560"/>
              <w:spacing w:after="0"/>
              <w:rPr>
                <w:sz w:val="20"/>
                <w:szCs w:val="20"/>
                <w:color w:val="auto"/>
              </w:rPr>
            </w:pPr>
            <w:r>
              <w:rPr>
                <w:rFonts w:ascii="Arial" w:cs="Arial" w:eastAsia="Arial" w:hAnsi="Arial"/>
                <w:sz w:val="18"/>
                <w:szCs w:val="18"/>
                <w:color w:val="auto"/>
              </w:rPr>
              <w:t>4.88%</w:t>
            </w:r>
          </w:p>
        </w:tc>
        <w:tc>
          <w:tcPr>
            <w:tcW w:w="1640" w:type="dxa"/>
            <w:vAlign w:val="bottom"/>
          </w:tcPr>
          <w:p>
            <w:pPr>
              <w:jc w:val="right"/>
              <w:ind w:right="600"/>
              <w:spacing w:after="0"/>
              <w:rPr>
                <w:sz w:val="20"/>
                <w:szCs w:val="20"/>
                <w:color w:val="auto"/>
              </w:rPr>
            </w:pPr>
            <w:r>
              <w:rPr>
                <w:rFonts w:ascii="Arial" w:cs="Arial" w:eastAsia="Arial" w:hAnsi="Arial"/>
                <w:sz w:val="18"/>
                <w:szCs w:val="18"/>
                <w:color w:val="auto"/>
              </w:rPr>
              <w:t>6.7</w:t>
            </w:r>
          </w:p>
        </w:tc>
        <w:tc>
          <w:tcPr>
            <w:tcW w:w="1700" w:type="dxa"/>
            <w:vAlign w:val="bottom"/>
          </w:tcPr>
          <w:p>
            <w:pPr>
              <w:jc w:val="right"/>
              <w:ind w:right="380"/>
              <w:spacing w:after="0"/>
              <w:rPr>
                <w:sz w:val="20"/>
                <w:szCs w:val="20"/>
                <w:color w:val="auto"/>
              </w:rPr>
            </w:pPr>
            <w:r>
              <w:rPr>
                <w:rFonts w:ascii="Arial" w:cs="Arial" w:eastAsia="Arial" w:hAnsi="Arial"/>
                <w:sz w:val="18"/>
                <w:szCs w:val="18"/>
                <w:color w:val="auto"/>
              </w:rPr>
              <w:t>26.01%</w:t>
            </w:r>
          </w:p>
        </w:tc>
        <w:tc>
          <w:tcPr>
            <w:tcW w:w="1820" w:type="dxa"/>
            <w:vAlign w:val="bottom"/>
          </w:tcPr>
          <w:p>
            <w:pPr>
              <w:jc w:val="right"/>
              <w:ind w:right="520"/>
              <w:spacing w:after="0"/>
              <w:rPr>
                <w:sz w:val="20"/>
                <w:szCs w:val="20"/>
                <w:color w:val="auto"/>
              </w:rPr>
            </w:pPr>
            <w:r>
              <w:rPr>
                <w:rFonts w:ascii="Arial" w:cs="Arial" w:eastAsia="Arial" w:hAnsi="Arial"/>
                <w:sz w:val="18"/>
                <w:szCs w:val="18"/>
                <w:color w:val="auto"/>
              </w:rPr>
              <w:t>1.41%</w:t>
            </w:r>
          </w:p>
        </w:tc>
        <w:tc>
          <w:tcPr>
            <w:tcW w:w="1740" w:type="dxa"/>
            <w:vAlign w:val="bottom"/>
          </w:tcPr>
          <w:p>
            <w:pPr>
              <w:jc w:val="center"/>
              <w:spacing w:after="0"/>
              <w:rPr>
                <w:sz w:val="20"/>
                <w:szCs w:val="20"/>
                <w:color w:val="auto"/>
              </w:rPr>
            </w:pPr>
            <w:r>
              <w:rPr>
                <w:rFonts w:ascii="Arial" w:cs="Arial" w:eastAsia="Arial" w:hAnsi="Arial"/>
                <w:sz w:val="18"/>
                <w:szCs w:val="18"/>
                <w:color w:val="auto"/>
              </w:rPr>
              <w:t>$25.81</w:t>
            </w:r>
          </w:p>
        </w:tc>
        <w:tc>
          <w:tcPr>
            <w:tcW w:w="0" w:type="dxa"/>
            <w:vAlign w:val="bottom"/>
          </w:tcPr>
          <w:p>
            <w:pPr>
              <w:spacing w:after="0"/>
              <w:rPr>
                <w:sz w:val="1"/>
                <w:szCs w:val="1"/>
                <w:color w:val="auto"/>
              </w:rPr>
            </w:pPr>
          </w:p>
        </w:tc>
      </w:tr>
    </w:tbl>
    <w:p>
      <w:pPr>
        <w:spacing w:after="0" w:line="74" w:lineRule="exact"/>
        <w:rPr>
          <w:sz w:val="20"/>
          <w:szCs w:val="20"/>
          <w:color w:val="auto"/>
        </w:rPr>
      </w:pPr>
    </w:p>
    <w:p>
      <w:pPr>
        <w:ind w:left="320"/>
        <w:spacing w:after="0" w:line="247" w:lineRule="auto"/>
        <w:rPr>
          <w:sz w:val="20"/>
          <w:szCs w:val="20"/>
          <w:color w:val="auto"/>
        </w:rPr>
      </w:pPr>
      <w:r>
        <w:rPr>
          <w:rFonts w:ascii="Arial" w:cs="Arial" w:eastAsia="Arial" w:hAnsi="Arial"/>
          <w:sz w:val="17"/>
          <w:szCs w:val="17"/>
          <w:color w:val="auto"/>
        </w:rPr>
        <w:t>The exercise price per share is $ 81.03, which is equal to 100% of the fair market value of our common stock on the grant date, determined by the closing price on that date. The actual value of the stock option awards, if any, to be realized by a director depends upon whether the</w:t>
      </w:r>
    </w:p>
    <w:p>
      <w:pPr>
        <w:spacing w:after="0" w:line="1" w:lineRule="exact"/>
        <w:rPr>
          <w:sz w:val="20"/>
          <w:szCs w:val="20"/>
          <w:color w:val="auto"/>
        </w:rPr>
      </w:pPr>
    </w:p>
    <w:p>
      <w:pPr>
        <w:ind w:left="320"/>
        <w:spacing w:after="0" w:line="234" w:lineRule="auto"/>
        <w:rPr>
          <w:sz w:val="20"/>
          <w:szCs w:val="20"/>
          <w:color w:val="auto"/>
        </w:rPr>
      </w:pPr>
      <w:r>
        <w:rPr>
          <w:rFonts w:ascii="Arial" w:cs="Arial" w:eastAsia="Arial" w:hAnsi="Arial"/>
          <w:sz w:val="18"/>
          <w:szCs w:val="18"/>
          <w:color w:val="auto"/>
        </w:rPr>
        <w:t>price of our common stock at exercise is greater than the exercise price on the stock options. These stock option awards were the only stock option awards granted to directors during fiscal 2024.</w:t>
      </w:r>
    </w:p>
    <w:p>
      <w:pPr>
        <w:spacing w:after="0" w:line="21" w:lineRule="exact"/>
        <w:rPr>
          <w:sz w:val="20"/>
          <w:szCs w:val="20"/>
          <w:color w:val="auto"/>
        </w:rPr>
      </w:pPr>
    </w:p>
    <w:p>
      <w:pPr>
        <w:jc w:val="both"/>
        <w:ind w:left="320" w:hanging="313"/>
        <w:spacing w:after="0" w:line="237" w:lineRule="auto"/>
        <w:tabs>
          <w:tab w:leader="none" w:pos="308" w:val="left"/>
        </w:tabs>
        <w:numPr>
          <w:ilvl w:val="0"/>
          <w:numId w:val="36"/>
        </w:numPr>
        <w:rPr>
          <w:rFonts w:ascii="Arial" w:cs="Arial" w:eastAsia="Arial" w:hAnsi="Arial"/>
          <w:sz w:val="18"/>
          <w:szCs w:val="18"/>
          <w:color w:val="auto"/>
        </w:rPr>
      </w:pPr>
      <w:r>
        <w:rPr>
          <w:rFonts w:ascii="Arial" w:cs="Arial" w:eastAsia="Arial" w:hAnsi="Arial"/>
          <w:sz w:val="18"/>
          <w:szCs w:val="18"/>
          <w:color w:val="auto"/>
        </w:rPr>
        <w:t>As of October 31, 2024, the aggregate number of stock options (exercisable and unexercisable) held by each non-employee director who served during all or part of fiscal 2024 was as follows: Ms. Cooper—9,436; Mr. Craig—0; Mr. Ellis—31,274; Mr. Hansotia—3,800; Mr. Harmening—12,957; Mr. Koch—26,236; Ms. Mullen—12,957; Mr. O'Rourke—31,274; and Ms. Pemberton—3,800. These numbers are different from the numbers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79375</wp:posOffset>
            </wp:positionV>
            <wp:extent cx="7159625"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097" w:right="339" w:bottom="1440" w:gutter="0" w:footer="0" w:header="0"/>
        </w:sectPr>
      </w:pPr>
    </w:p>
    <w:bookmarkStart w:id="29" w:name="page30"/>
    <w:bookmarkEnd w:id="29"/>
    <w:p>
      <w:pPr>
        <w:ind w:left="320"/>
        <w:spacing w:after="0"/>
        <w:rPr>
          <w:sz w:val="20"/>
          <w:szCs w:val="20"/>
          <w:color w:val="auto"/>
        </w:rPr>
      </w:pPr>
      <w:r>
        <w:rPr>
          <w:rFonts w:ascii="Arial" w:cs="Arial" w:eastAsia="Arial" w:hAnsi="Arial"/>
          <w:sz w:val="18"/>
          <w:szCs w:val="18"/>
          <w:color w:val="auto"/>
        </w:rPr>
        <w:t>set forth in the Stock Options column in footnote 2. to the Directors and Executive Officers stock ownership table which: (i) sets forth</w:t>
      </w:r>
    </w:p>
    <w:p>
      <w:pPr>
        <w:spacing w:after="0" w:line="9" w:lineRule="exact"/>
        <w:rPr>
          <w:sz w:val="20"/>
          <w:szCs w:val="20"/>
          <w:color w:val="auto"/>
        </w:rPr>
      </w:pPr>
    </w:p>
    <w:p>
      <w:pPr>
        <w:ind w:left="320"/>
        <w:spacing w:after="0" w:line="234" w:lineRule="auto"/>
        <w:rPr>
          <w:sz w:val="20"/>
          <w:szCs w:val="20"/>
          <w:color w:val="auto"/>
        </w:rPr>
      </w:pPr>
      <w:r>
        <w:rPr>
          <w:rFonts w:ascii="Arial" w:cs="Arial" w:eastAsia="Arial" w:hAnsi="Arial"/>
          <w:sz w:val="18"/>
          <w:szCs w:val="18"/>
          <w:color w:val="auto"/>
        </w:rPr>
        <w:t>information as of January 21, 2025 and (ii) does not include options that will become exercisable more than 60 days after January 21, 2025.</w:t>
      </w:r>
    </w:p>
    <w:p>
      <w:pPr>
        <w:spacing w:after="0" w:line="21" w:lineRule="exact"/>
        <w:rPr>
          <w:sz w:val="20"/>
          <w:szCs w:val="20"/>
          <w:color w:val="auto"/>
        </w:rPr>
      </w:pPr>
    </w:p>
    <w:p>
      <w:pPr>
        <w:jc w:val="both"/>
        <w:ind w:left="320" w:hanging="313"/>
        <w:spacing w:after="0" w:line="237" w:lineRule="auto"/>
        <w:tabs>
          <w:tab w:leader="none" w:pos="308" w:val="left"/>
        </w:tabs>
        <w:numPr>
          <w:ilvl w:val="0"/>
          <w:numId w:val="37"/>
        </w:numPr>
        <w:rPr>
          <w:rFonts w:ascii="Arial" w:cs="Arial" w:eastAsia="Arial" w:hAnsi="Arial"/>
          <w:sz w:val="18"/>
          <w:szCs w:val="18"/>
          <w:color w:val="auto"/>
        </w:rPr>
      </w:pPr>
      <w:r>
        <w:rPr>
          <w:rFonts w:ascii="Arial" w:cs="Arial" w:eastAsia="Arial" w:hAnsi="Arial"/>
          <w:sz w:val="18"/>
          <w:szCs w:val="18"/>
          <w:color w:val="auto"/>
        </w:rPr>
        <w:t>We generally do not provide perquisites and other personal benefits to our non-employee directors, other than Company products for personal use and occasional travel for guests of non-employee directors and officers. The amount reported for Mr. Hansotia includes a matching gift to one or more tax exempt 501(c)(3) charitable organizations, as described under Charitable Giving above. The amount reported for Mr. Harmening includes the value of products, parts, service or accessories, as described under Company Products above.</w:t>
      </w:r>
    </w:p>
    <w:p>
      <w:pPr>
        <w:spacing w:after="0" w:line="23" w:lineRule="exact"/>
        <w:rPr>
          <w:rFonts w:ascii="Arial" w:cs="Arial" w:eastAsia="Arial" w:hAnsi="Arial"/>
          <w:sz w:val="18"/>
          <w:szCs w:val="18"/>
          <w:color w:val="auto"/>
        </w:rPr>
      </w:pPr>
    </w:p>
    <w:p>
      <w:pPr>
        <w:ind w:left="320" w:hanging="313"/>
        <w:spacing w:after="0"/>
        <w:tabs>
          <w:tab w:leader="none" w:pos="3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Ms. Cooper retired from our Board upon expiration of her term at the 2024 annual meeting of shareholders.</w:t>
      </w:r>
    </w:p>
    <w:p>
      <w:pPr>
        <w:spacing w:after="0" w:line="33" w:lineRule="exact"/>
        <w:rPr>
          <w:rFonts w:ascii="Arial" w:cs="Arial" w:eastAsia="Arial" w:hAnsi="Arial"/>
          <w:sz w:val="18"/>
          <w:szCs w:val="18"/>
          <w:color w:val="auto"/>
        </w:rPr>
      </w:pPr>
    </w:p>
    <w:p>
      <w:pPr>
        <w:ind w:left="320" w:hanging="313"/>
        <w:spacing w:after="0" w:line="262" w:lineRule="auto"/>
        <w:tabs>
          <w:tab w:leader="none" w:pos="308" w:val="left"/>
        </w:tabs>
        <w:numPr>
          <w:ilvl w:val="0"/>
          <w:numId w:val="37"/>
        </w:numPr>
        <w:rPr>
          <w:rFonts w:ascii="Arial" w:cs="Arial" w:eastAsia="Arial" w:hAnsi="Arial"/>
          <w:sz w:val="18"/>
          <w:szCs w:val="18"/>
          <w:color w:val="auto"/>
        </w:rPr>
      </w:pPr>
      <w:r>
        <w:rPr>
          <w:rFonts w:ascii="Arial" w:cs="Arial" w:eastAsia="Arial" w:hAnsi="Arial"/>
          <w:sz w:val="18"/>
          <w:szCs w:val="18"/>
          <w:color w:val="auto"/>
        </w:rPr>
        <w:t>Under the Deferred Plan for Directors Ms. Mullen elected to defer receipt of her: (i) calendar 2023 and calendar 2024 retainers earned in fiscal 2024; and (ii) the annual stock award granted on November 1,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79375</wp:posOffset>
            </wp:positionV>
            <wp:extent cx="7159625"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097" w:right="339" w:bottom="1440" w:gutter="0" w:footer="0" w:header="0"/>
        </w:sectPr>
      </w:pPr>
    </w:p>
    <w:bookmarkStart w:id="30" w:name="page31"/>
    <w:bookmarkEnd w:id="30"/>
    <w:p>
      <w:pPr>
        <w:jc w:val="center"/>
        <w:spacing w:after="0"/>
        <w:rPr>
          <w:sz w:val="20"/>
          <w:szCs w:val="20"/>
          <w:color w:val="auto"/>
        </w:rPr>
      </w:pPr>
      <w:r>
        <w:rPr>
          <w:rFonts w:ascii="Arial" w:cs="Arial" w:eastAsia="Arial" w:hAnsi="Arial"/>
          <w:sz w:val="21"/>
          <w:szCs w:val="21"/>
          <w:b w:val="1"/>
          <w:bCs w:val="1"/>
          <w:color w:val="FFFFFF"/>
        </w:rPr>
        <w:t>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-151765</wp:posOffset>
            </wp:positionV>
            <wp:extent cx="6998335" cy="1866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998335" cy="186690"/>
                    </a:xfrm>
                    <a:prstGeom prst="rect">
                      <a:avLst/>
                    </a:prstGeom>
                    <a:noFill/>
                  </pic:spPr>
                </pic:pic>
              </a:graphicData>
            </a:graphic>
          </wp:anchor>
        </w:drawing>
      </w:r>
    </w:p>
    <w:p>
      <w:pPr>
        <w:spacing w:after="0" w:line="317" w:lineRule="exact"/>
        <w:rPr>
          <w:sz w:val="20"/>
          <w:szCs w:val="20"/>
          <w:color w:val="auto"/>
        </w:rPr>
      </w:pPr>
    </w:p>
    <w:p>
      <w:pPr>
        <w:spacing w:after="0"/>
        <w:rPr>
          <w:sz w:val="20"/>
          <w:szCs w:val="20"/>
          <w:color w:val="auto"/>
        </w:rPr>
      </w:pPr>
      <w:r>
        <w:rPr>
          <w:rFonts w:ascii="Arial" w:cs="Arial" w:eastAsia="Arial" w:hAnsi="Arial"/>
          <w:sz w:val="20"/>
          <w:szCs w:val="20"/>
          <w:b w:val="1"/>
          <w:bCs w:val="1"/>
          <w:color w:val="C00000"/>
        </w:rPr>
        <w:t>Corporate Governance Guidelines</w:t>
      </w:r>
    </w:p>
    <w:p>
      <w:pPr>
        <w:spacing w:after="0" w:line="84" w:lineRule="exact"/>
        <w:rPr>
          <w:sz w:val="20"/>
          <w:szCs w:val="20"/>
          <w:color w:val="auto"/>
        </w:rPr>
      </w:pPr>
    </w:p>
    <w:p>
      <w:pPr>
        <w:ind w:firstLine="320"/>
        <w:spacing w:after="0" w:line="233" w:lineRule="auto"/>
        <w:rPr>
          <w:sz w:val="20"/>
          <w:szCs w:val="20"/>
          <w:color w:val="auto"/>
        </w:rPr>
      </w:pPr>
      <w:r>
        <w:rPr>
          <w:rFonts w:ascii="Arial" w:cs="Arial" w:eastAsia="Arial" w:hAnsi="Arial"/>
          <w:sz w:val="18"/>
          <w:szCs w:val="18"/>
          <w:color w:val="auto"/>
        </w:rPr>
        <w:t>The Board has adopted Corporate Governance Guidelines which describe our corporate governance practices and policies and provide a framework for our Board governance. The topics addressed in our Corporate Governance Guidelines include: director qualifications and</w:t>
      </w:r>
    </w:p>
    <w:p>
      <w:pPr>
        <w:spacing w:after="0" w:line="233" w:lineRule="auto"/>
        <w:rPr>
          <w:sz w:val="20"/>
          <w:szCs w:val="20"/>
          <w:color w:val="auto"/>
        </w:rPr>
      </w:pPr>
      <w:r>
        <w:rPr>
          <w:rFonts w:ascii="Arial" w:cs="Arial" w:eastAsia="Arial" w:hAnsi="Arial"/>
          <w:sz w:val="18"/>
          <w:szCs w:val="18"/>
          <w:color w:val="auto"/>
        </w:rPr>
        <w:t>responsibilities; Board committees; director board limits; conflicts of interest, confidentiality and ethics; director access to officers and</w:t>
      </w:r>
    </w:p>
    <w:p>
      <w:pPr>
        <w:spacing w:after="0" w:line="234" w:lineRule="auto"/>
        <w:rPr>
          <w:sz w:val="20"/>
          <w:szCs w:val="20"/>
          <w:color w:val="auto"/>
        </w:rPr>
      </w:pPr>
      <w:r>
        <w:rPr>
          <w:rFonts w:ascii="Arial" w:cs="Arial" w:eastAsia="Arial" w:hAnsi="Arial"/>
          <w:sz w:val="18"/>
          <w:szCs w:val="18"/>
          <w:color w:val="auto"/>
        </w:rPr>
        <w:t>employees; director compensation; director independence; related party transactions; director orientation and continuing education; CEO evaluation and management succession; and Board annual self-evaluation.</w:t>
      </w:r>
    </w:p>
    <w:p>
      <w:pPr>
        <w:spacing w:after="0" w:line="74" w:lineRule="exact"/>
        <w:rPr>
          <w:sz w:val="20"/>
          <w:szCs w:val="20"/>
          <w:color w:val="auto"/>
        </w:rPr>
      </w:pPr>
    </w:p>
    <w:p>
      <w:pPr>
        <w:ind w:left="320"/>
        <w:spacing w:after="0"/>
        <w:rPr>
          <w:sz w:val="20"/>
          <w:szCs w:val="20"/>
          <w:color w:val="auto"/>
        </w:rPr>
      </w:pPr>
      <w:r>
        <w:rPr>
          <w:rFonts w:ascii="Arial" w:cs="Arial" w:eastAsia="Arial" w:hAnsi="Arial"/>
          <w:sz w:val="17"/>
          <w:szCs w:val="17"/>
          <w:color w:val="auto"/>
        </w:rPr>
        <w:t>Annually, the Board, upon recommendation of the Nominating &amp; Governance Committee, reviews and updates our Corporate Governance</w:t>
      </w:r>
    </w:p>
    <w:p>
      <w:pPr>
        <w:spacing w:after="0" w:line="21" w:lineRule="exact"/>
        <w:rPr>
          <w:sz w:val="20"/>
          <w:szCs w:val="20"/>
          <w:color w:val="auto"/>
        </w:rPr>
      </w:pPr>
    </w:p>
    <w:p>
      <w:pPr>
        <w:spacing w:after="0" w:line="234" w:lineRule="auto"/>
        <w:rPr>
          <w:sz w:val="20"/>
          <w:szCs w:val="20"/>
          <w:color w:val="auto"/>
        </w:rPr>
      </w:pPr>
      <w:r>
        <w:rPr>
          <w:rFonts w:ascii="Arial" w:cs="Arial" w:eastAsia="Arial" w:hAnsi="Arial"/>
          <w:sz w:val="18"/>
          <w:szCs w:val="18"/>
          <w:color w:val="auto"/>
        </w:rPr>
        <w:t>Guidelines as it deems necessary and appropriate. Our Corporate Governance Guidelines can be found on our website at www.thetorocompany.com/corporategovernance.</w:t>
      </w:r>
    </w:p>
    <w:p>
      <w:pPr>
        <w:spacing w:after="0" w:line="74" w:lineRule="exact"/>
        <w:rPr>
          <w:sz w:val="20"/>
          <w:szCs w:val="20"/>
          <w:color w:val="auto"/>
        </w:rPr>
      </w:pPr>
    </w:p>
    <w:p>
      <w:pPr>
        <w:ind w:left="320"/>
        <w:spacing w:after="0"/>
        <w:rPr>
          <w:sz w:val="20"/>
          <w:szCs w:val="20"/>
          <w:color w:val="auto"/>
        </w:rPr>
      </w:pPr>
      <w:r>
        <w:rPr>
          <w:rFonts w:ascii="Arial" w:cs="Arial" w:eastAsia="Arial" w:hAnsi="Arial"/>
          <w:sz w:val="17"/>
          <w:szCs w:val="17"/>
          <w:color w:val="auto"/>
        </w:rPr>
        <w:t>Our Corporate Governance Guidelines provide that our Board has no policy with respect to the separation of the offices of the Chair of the</w:t>
      </w:r>
    </w:p>
    <w:p>
      <w:pPr>
        <w:spacing w:after="0" w:line="21" w:lineRule="exact"/>
        <w:rPr>
          <w:sz w:val="20"/>
          <w:szCs w:val="20"/>
          <w:color w:val="auto"/>
        </w:rPr>
      </w:pPr>
    </w:p>
    <w:p>
      <w:pPr>
        <w:jc w:val="both"/>
        <w:spacing w:after="0" w:line="224" w:lineRule="auto"/>
        <w:rPr>
          <w:sz w:val="20"/>
          <w:szCs w:val="20"/>
          <w:color w:val="auto"/>
        </w:rPr>
      </w:pPr>
      <w:r>
        <w:rPr>
          <w:rFonts w:ascii="Arial" w:cs="Arial" w:eastAsia="Arial" w:hAnsi="Arial"/>
          <w:sz w:val="18"/>
          <w:szCs w:val="18"/>
          <w:color w:val="auto"/>
        </w:rPr>
        <w:t>Board and the CEO. The Board believes it is appropriate not to have a policy requiring the separation of the offices of the Chair of the Board and the CEO so that the Board may make this determination based on what it believes is best under the current circumstances. Additionally,</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our Board believes that this issue is part of the succession planning process and will be reviewed as the Nominating &amp; Governance Committee</w:t>
      </w:r>
    </w:p>
    <w:p>
      <w:pPr>
        <w:spacing w:after="0" w:line="5" w:lineRule="exact"/>
        <w:rPr>
          <w:sz w:val="20"/>
          <w:szCs w:val="20"/>
          <w:color w:val="auto"/>
        </w:rPr>
      </w:pPr>
    </w:p>
    <w:p>
      <w:pPr>
        <w:spacing w:after="0" w:line="224" w:lineRule="auto"/>
        <w:rPr>
          <w:sz w:val="20"/>
          <w:szCs w:val="20"/>
          <w:color w:val="auto"/>
        </w:rPr>
      </w:pPr>
      <w:r>
        <w:rPr>
          <w:rFonts w:ascii="Arial" w:cs="Arial" w:eastAsia="Arial" w:hAnsi="Arial"/>
          <w:sz w:val="18"/>
          <w:szCs w:val="18"/>
          <w:color w:val="auto"/>
        </w:rPr>
        <w:t>deems it appropriate. However, at any time that: (i) the offices of Chair of the Board and CEO are held by the same person; or (ii) the Chair of the Board does not meet the criteria for "independence" as established by applicable law, the rules and regulations of the SEC or the NYSE</w:t>
      </w:r>
    </w:p>
    <w:p>
      <w:pPr>
        <w:spacing w:after="0" w:line="1" w:lineRule="exact"/>
        <w:rPr>
          <w:sz w:val="20"/>
          <w:szCs w:val="20"/>
          <w:color w:val="auto"/>
        </w:rPr>
      </w:pPr>
    </w:p>
    <w:p>
      <w:pPr>
        <w:spacing w:after="0" w:line="243" w:lineRule="auto"/>
        <w:rPr>
          <w:sz w:val="20"/>
          <w:szCs w:val="20"/>
          <w:color w:val="auto"/>
        </w:rPr>
      </w:pPr>
      <w:r>
        <w:rPr>
          <w:rFonts w:ascii="Arial" w:cs="Arial" w:eastAsia="Arial" w:hAnsi="Arial"/>
          <w:sz w:val="18"/>
          <w:szCs w:val="18"/>
          <w:color w:val="auto"/>
        </w:rPr>
        <w:t>listing standards, then the Board, upon recommendation of the Nominating &amp; Governance Committee, shall appoint a Lead Independent Director, who shall have such duties as are described in the Corporate Governance Guidelines or otherwise determined by the Board.</w:t>
      </w:r>
    </w:p>
    <w:p>
      <w:pPr>
        <w:spacing w:after="0" w:line="172" w:lineRule="exact"/>
        <w:rPr>
          <w:sz w:val="20"/>
          <w:szCs w:val="20"/>
          <w:color w:val="auto"/>
        </w:rPr>
      </w:pPr>
    </w:p>
    <w:p>
      <w:pPr>
        <w:spacing w:after="0"/>
        <w:rPr>
          <w:sz w:val="20"/>
          <w:szCs w:val="20"/>
          <w:color w:val="auto"/>
        </w:rPr>
      </w:pPr>
      <w:r>
        <w:rPr>
          <w:rFonts w:ascii="Arial" w:cs="Arial" w:eastAsia="Arial" w:hAnsi="Arial"/>
          <w:sz w:val="20"/>
          <w:szCs w:val="20"/>
          <w:b w:val="1"/>
          <w:bCs w:val="1"/>
          <w:color w:val="C00000"/>
        </w:rPr>
        <w:t>Board Leadership Structure</w:t>
      </w:r>
    </w:p>
    <w:p>
      <w:pPr>
        <w:spacing w:after="0" w:line="84" w:lineRule="exact"/>
        <w:rPr>
          <w:sz w:val="20"/>
          <w:szCs w:val="20"/>
          <w:color w:val="auto"/>
        </w:rPr>
      </w:pPr>
    </w:p>
    <w:p>
      <w:pPr>
        <w:ind w:firstLine="320"/>
        <w:spacing w:after="0" w:line="241" w:lineRule="auto"/>
        <w:rPr>
          <w:sz w:val="20"/>
          <w:szCs w:val="20"/>
          <w:color w:val="auto"/>
        </w:rPr>
      </w:pPr>
      <w:r>
        <w:rPr>
          <w:rFonts w:ascii="Arial" w:cs="Arial" w:eastAsia="Arial" w:hAnsi="Arial"/>
          <w:sz w:val="18"/>
          <w:szCs w:val="18"/>
          <w:color w:val="auto"/>
        </w:rPr>
        <w:t>Our Board is currently chaired by Richard M. Olson, our Chairman and CEO. Our Lead Independent Director, selected by the Board, is Gary L. Ellis. Our Nominating &amp; Governance Committee and Board believe that our current Board leadership structure ensures a strong and</w:t>
      </w:r>
    </w:p>
    <w:p>
      <w:pPr>
        <w:spacing w:after="0" w:line="1" w:lineRule="exact"/>
        <w:rPr>
          <w:sz w:val="20"/>
          <w:szCs w:val="20"/>
          <w:color w:val="auto"/>
        </w:rPr>
      </w:pPr>
    </w:p>
    <w:p>
      <w:pPr>
        <w:jc w:val="both"/>
        <w:spacing w:after="0" w:line="224" w:lineRule="auto"/>
        <w:rPr>
          <w:sz w:val="20"/>
          <w:szCs w:val="20"/>
          <w:color w:val="auto"/>
        </w:rPr>
      </w:pPr>
      <w:r>
        <w:rPr>
          <w:rFonts w:ascii="Arial" w:cs="Arial" w:eastAsia="Arial" w:hAnsi="Arial"/>
          <w:sz w:val="18"/>
          <w:szCs w:val="18"/>
          <w:color w:val="auto"/>
        </w:rPr>
        <w:t>independent Board of Directors, provides effective governance, creates appropriate oversight for the long-term benefit of our shareholders and is appropriate for several reasons, including: (i) Mr. Olson's extensive knowledge of our Company, our business, operations and industry,</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obtained through his more than 38 years of service to our Company, which benefit Board leadership and the Board's decision-making process</w:t>
      </w:r>
    </w:p>
    <w:p>
      <w:pPr>
        <w:spacing w:after="0" w:line="5" w:lineRule="exact"/>
        <w:rPr>
          <w:sz w:val="20"/>
          <w:szCs w:val="20"/>
          <w:color w:val="auto"/>
        </w:rPr>
      </w:pPr>
    </w:p>
    <w:p>
      <w:pPr>
        <w:spacing w:after="0" w:line="224" w:lineRule="auto"/>
        <w:rPr>
          <w:sz w:val="20"/>
          <w:szCs w:val="20"/>
          <w:color w:val="auto"/>
        </w:rPr>
      </w:pPr>
      <w:r>
        <w:rPr>
          <w:rFonts w:ascii="Arial" w:cs="Arial" w:eastAsia="Arial" w:hAnsi="Arial"/>
          <w:sz w:val="18"/>
          <w:szCs w:val="18"/>
          <w:color w:val="auto"/>
        </w:rPr>
        <w:t>through his active role as Chairman; (ii) unification of Board leadership and strategic direction as implemented by our Management; and (iii) appropriate balance of risks relating to concentration of authority through the oversight of our independent and engaged Lead Independent</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Director and Board.</w:t>
      </w:r>
    </w:p>
    <w:p>
      <w:pPr>
        <w:spacing w:after="0" w:line="84" w:lineRule="exact"/>
        <w:rPr>
          <w:sz w:val="20"/>
          <w:szCs w:val="20"/>
          <w:color w:val="auto"/>
        </w:rPr>
      </w:pPr>
    </w:p>
    <w:p>
      <w:pPr>
        <w:ind w:firstLine="320"/>
        <w:spacing w:after="0" w:line="233" w:lineRule="auto"/>
        <w:rPr>
          <w:sz w:val="20"/>
          <w:szCs w:val="20"/>
          <w:color w:val="auto"/>
        </w:rPr>
      </w:pPr>
      <w:r>
        <w:rPr>
          <w:rFonts w:ascii="Arial" w:cs="Arial" w:eastAsia="Arial" w:hAnsi="Arial"/>
          <w:sz w:val="18"/>
          <w:szCs w:val="18"/>
          <w:color w:val="auto"/>
        </w:rPr>
        <w:t>As our Lead Independent Director, Mr. Ellis: (i) assists Mr. Olson in establishing the agendas for Board meetings and the schedule of agenda subjects to be discussed during the year, to the extent such subjects can be foreseen; (ii) presides at regularly scheduled executive</w:t>
      </w:r>
    </w:p>
    <w:p>
      <w:pPr>
        <w:spacing w:after="0" w:line="233" w:lineRule="auto"/>
        <w:rPr>
          <w:sz w:val="20"/>
          <w:szCs w:val="20"/>
          <w:color w:val="auto"/>
        </w:rPr>
      </w:pPr>
      <w:r>
        <w:rPr>
          <w:rFonts w:ascii="Arial" w:cs="Arial" w:eastAsia="Arial" w:hAnsi="Arial"/>
          <w:sz w:val="18"/>
          <w:szCs w:val="18"/>
          <w:color w:val="auto"/>
        </w:rPr>
        <w:t>sessions of the non-employee directors without Management present; (iii) together with the Chair of the Compensation &amp; Human Resources</w:t>
      </w:r>
    </w:p>
    <w:p>
      <w:pPr>
        <w:spacing w:after="0" w:line="237" w:lineRule="auto"/>
        <w:rPr>
          <w:sz w:val="20"/>
          <w:szCs w:val="20"/>
          <w:color w:val="auto"/>
        </w:rPr>
      </w:pPr>
      <w:r>
        <w:rPr>
          <w:rFonts w:ascii="Arial" w:cs="Arial" w:eastAsia="Arial" w:hAnsi="Arial"/>
          <w:sz w:val="17"/>
          <w:szCs w:val="17"/>
          <w:color w:val="auto"/>
        </w:rPr>
        <w:t>Committee, communicates to Mr. Olson the results of his annual performance review and compensation; and (iv) together with the Chair of the Nominating &amp; Governance Committee, leads the Board's annual self-evaluation. With more than 19 years of service on our Board, Mr. Ellis has</w:t>
      </w:r>
    </w:p>
    <w:p>
      <w:pPr>
        <w:spacing w:after="0" w:line="1" w:lineRule="exact"/>
        <w:rPr>
          <w:sz w:val="20"/>
          <w:szCs w:val="20"/>
          <w:color w:val="auto"/>
        </w:rPr>
      </w:pPr>
    </w:p>
    <w:p>
      <w:pPr>
        <w:ind w:right="20"/>
        <w:spacing w:after="0" w:line="243" w:lineRule="auto"/>
        <w:rPr>
          <w:sz w:val="20"/>
          <w:szCs w:val="20"/>
          <w:color w:val="auto"/>
        </w:rPr>
      </w:pPr>
      <w:r>
        <w:rPr>
          <w:rFonts w:ascii="Arial" w:cs="Arial" w:eastAsia="Arial" w:hAnsi="Arial"/>
          <w:sz w:val="18"/>
          <w:szCs w:val="18"/>
          <w:color w:val="auto"/>
        </w:rPr>
        <w:t>developed considerable knowledge of our Company, our business and our industry. Mr. Ellis also has significant public company governance experience.</w:t>
      </w:r>
    </w:p>
    <w:p>
      <w:pPr>
        <w:spacing w:after="0" w:line="119" w:lineRule="exact"/>
        <w:rPr>
          <w:sz w:val="20"/>
          <w:szCs w:val="20"/>
          <w:color w:val="auto"/>
        </w:rPr>
      </w:pPr>
    </w:p>
    <w:p>
      <w:pPr>
        <w:spacing w:after="0"/>
        <w:rPr>
          <w:sz w:val="20"/>
          <w:szCs w:val="20"/>
          <w:color w:val="auto"/>
        </w:rPr>
      </w:pPr>
      <w:r>
        <w:rPr>
          <w:rFonts w:ascii="Arial" w:cs="Arial" w:eastAsia="Arial" w:hAnsi="Arial"/>
          <w:sz w:val="20"/>
          <w:szCs w:val="20"/>
          <w:b w:val="1"/>
          <w:bCs w:val="1"/>
          <w:color w:val="C00000"/>
        </w:rPr>
        <w:t>Director Independence</w:t>
      </w:r>
    </w:p>
    <w:p>
      <w:pPr>
        <w:spacing w:after="0" w:line="84" w:lineRule="exact"/>
        <w:rPr>
          <w:sz w:val="20"/>
          <w:szCs w:val="20"/>
          <w:color w:val="auto"/>
        </w:rPr>
      </w:pPr>
    </w:p>
    <w:p>
      <w:pPr>
        <w:ind w:firstLine="320"/>
        <w:spacing w:after="0" w:line="241" w:lineRule="auto"/>
        <w:rPr>
          <w:sz w:val="20"/>
          <w:szCs w:val="20"/>
          <w:color w:val="auto"/>
        </w:rPr>
      </w:pPr>
      <w:r>
        <w:rPr>
          <w:rFonts w:ascii="Arial" w:cs="Arial" w:eastAsia="Arial" w:hAnsi="Arial"/>
          <w:sz w:val="18"/>
          <w:szCs w:val="18"/>
          <w:color w:val="auto"/>
        </w:rPr>
        <w:t>The Board, following consideration of all relevant facts and circumstances and upon recommendation of the Nominating &amp; Governance Committee, has affirmatively determined that each of the following directors, comprising all of our current non-employee directors, is</w:t>
      </w:r>
    </w:p>
    <w:p>
      <w:pPr>
        <w:spacing w:after="0" w:line="1" w:lineRule="exact"/>
        <w:rPr>
          <w:sz w:val="20"/>
          <w:szCs w:val="20"/>
          <w:color w:val="auto"/>
        </w:rPr>
      </w:pPr>
    </w:p>
    <w:p>
      <w:pPr>
        <w:spacing w:after="0" w:line="237" w:lineRule="auto"/>
        <w:rPr>
          <w:sz w:val="20"/>
          <w:szCs w:val="20"/>
          <w:color w:val="auto"/>
        </w:rPr>
      </w:pPr>
      <w:r>
        <w:rPr>
          <w:rFonts w:ascii="Arial" w:cs="Arial" w:eastAsia="Arial" w:hAnsi="Arial"/>
          <w:sz w:val="17"/>
          <w:szCs w:val="17"/>
          <w:color w:val="auto"/>
        </w:rPr>
        <w:t>independent: Dianne C. Craig, Gary L. Ellis, Eric P. Hansotia, Jeffrey L. Harmening, D. Christian Koch, Joyce A. Mullen, Jill M. Pemberton and James C. O'Rourke. Richard M. Olson, our Chairman and CEO, is not independent. The Board had determined that Janet K. Cooper was an</w:t>
      </w:r>
    </w:p>
    <w:p>
      <w:pPr>
        <w:spacing w:after="0" w:line="233" w:lineRule="auto"/>
        <w:rPr>
          <w:sz w:val="20"/>
          <w:szCs w:val="20"/>
          <w:color w:val="auto"/>
        </w:rPr>
      </w:pPr>
      <w:r>
        <w:rPr>
          <w:rFonts w:ascii="Arial" w:cs="Arial" w:eastAsia="Arial" w:hAnsi="Arial"/>
          <w:sz w:val="18"/>
          <w:szCs w:val="18"/>
          <w:color w:val="auto"/>
        </w:rPr>
        <w:t>independent director prior to her retirement from the Board in March 2024. These independence determinations were made because each</w:t>
      </w:r>
    </w:p>
    <w:p>
      <w:pPr>
        <w:spacing w:after="0" w:line="224" w:lineRule="auto"/>
        <w:rPr>
          <w:sz w:val="20"/>
          <w:szCs w:val="20"/>
          <w:color w:val="auto"/>
        </w:rPr>
      </w:pPr>
      <w:r>
        <w:rPr>
          <w:rFonts w:ascii="Arial" w:cs="Arial" w:eastAsia="Arial" w:hAnsi="Arial"/>
          <w:sz w:val="18"/>
          <w:szCs w:val="18"/>
          <w:color w:val="auto"/>
        </w:rPr>
        <w:t>such non-employee director has no material relationship with our Company, our Management, our independent registered public accounting firm, or external auditor, our independent external compensation consultant or our external compensation legal advisers and otherwise meets</w:t>
      </w:r>
    </w:p>
    <w:p>
      <w:pPr>
        <w:spacing w:after="0" w:line="1" w:lineRule="exact"/>
        <w:rPr>
          <w:sz w:val="20"/>
          <w:szCs w:val="20"/>
          <w:color w:val="auto"/>
        </w:rPr>
      </w:pPr>
    </w:p>
    <w:p>
      <w:pPr>
        <w:spacing w:after="0" w:line="243" w:lineRule="auto"/>
        <w:rPr>
          <w:sz w:val="20"/>
          <w:szCs w:val="20"/>
          <w:color w:val="auto"/>
        </w:rPr>
      </w:pPr>
      <w:r>
        <w:rPr>
          <w:rFonts w:ascii="Arial" w:cs="Arial" w:eastAsia="Arial" w:hAnsi="Arial"/>
          <w:sz w:val="18"/>
          <w:szCs w:val="18"/>
          <w:color w:val="auto"/>
        </w:rPr>
        <w:t>the independence requirements as established by applicable law, the rules and regulations of the SEC and the NYSE listing standards. The Board based its independence determinations, in part, upon a review by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152" w:right="339" w:bottom="1440" w:gutter="0" w:footer="0" w:header="0"/>
        </w:sectPr>
      </w:pPr>
    </w:p>
    <w:bookmarkStart w:id="31" w:name="page32"/>
    <w:bookmarkEnd w:id="31"/>
    <w:p>
      <w:pPr>
        <w:spacing w:after="0"/>
        <w:rPr>
          <w:sz w:val="20"/>
          <w:szCs w:val="20"/>
          <w:color w:val="auto"/>
        </w:rPr>
      </w:pPr>
      <w:r>
        <w:rPr>
          <w:rFonts w:ascii="Arial" w:cs="Arial" w:eastAsia="Arial" w:hAnsi="Arial"/>
          <w:sz w:val="17"/>
          <w:szCs w:val="17"/>
          <w:color w:val="auto"/>
        </w:rPr>
        <w:t>Nominating &amp; Governance Committee and the Board of certain transactions between us and the employers of certain of our directors, each of</w:t>
      </w:r>
    </w:p>
    <w:p>
      <w:pPr>
        <w:spacing w:after="0" w:line="21" w:lineRule="exact"/>
        <w:rPr>
          <w:sz w:val="20"/>
          <w:szCs w:val="20"/>
          <w:color w:val="auto"/>
        </w:rPr>
      </w:pPr>
    </w:p>
    <w:p>
      <w:pPr>
        <w:jc w:val="both"/>
        <w:spacing w:after="0" w:line="224" w:lineRule="auto"/>
        <w:rPr>
          <w:sz w:val="20"/>
          <w:szCs w:val="20"/>
          <w:color w:val="auto"/>
        </w:rPr>
      </w:pPr>
      <w:r>
        <w:rPr>
          <w:rFonts w:ascii="Arial" w:cs="Arial" w:eastAsia="Arial" w:hAnsi="Arial"/>
          <w:sz w:val="18"/>
          <w:szCs w:val="18"/>
          <w:color w:val="auto"/>
        </w:rPr>
        <w:t>which was deemed to be pre-approved under our Corporate Governance Guidelines in that each such transaction was made in the ordinary course of business, at arm's length, at prices and on terms customarily available to unrelated third party vendors or customers generally, in</w:t>
      </w:r>
    </w:p>
    <w:p>
      <w:pPr>
        <w:spacing w:after="0" w:line="1" w:lineRule="exact"/>
        <w:rPr>
          <w:sz w:val="20"/>
          <w:szCs w:val="20"/>
          <w:color w:val="auto"/>
        </w:rPr>
      </w:pPr>
    </w:p>
    <w:p>
      <w:pPr>
        <w:jc w:val="both"/>
        <w:spacing w:after="0" w:line="243" w:lineRule="auto"/>
        <w:rPr>
          <w:sz w:val="20"/>
          <w:szCs w:val="20"/>
          <w:color w:val="auto"/>
        </w:rPr>
      </w:pPr>
      <w:r>
        <w:rPr>
          <w:rFonts w:ascii="Arial" w:cs="Arial" w:eastAsia="Arial" w:hAnsi="Arial"/>
          <w:sz w:val="18"/>
          <w:szCs w:val="18"/>
          <w:color w:val="auto"/>
        </w:rPr>
        <w:t>amounts that are not material to us or such unaffiliated corporation and in which the director had no direct or indirect personal interest, nor received any personal benefit.</w:t>
      </w:r>
    </w:p>
    <w:p>
      <w:pPr>
        <w:spacing w:after="0" w:line="119" w:lineRule="exact"/>
        <w:rPr>
          <w:sz w:val="20"/>
          <w:szCs w:val="20"/>
          <w:color w:val="auto"/>
        </w:rPr>
      </w:pPr>
    </w:p>
    <w:p>
      <w:pPr>
        <w:spacing w:after="0"/>
        <w:rPr>
          <w:sz w:val="20"/>
          <w:szCs w:val="20"/>
          <w:color w:val="auto"/>
        </w:rPr>
      </w:pPr>
      <w:r>
        <w:rPr>
          <w:rFonts w:ascii="Arial" w:cs="Arial" w:eastAsia="Arial" w:hAnsi="Arial"/>
          <w:sz w:val="20"/>
          <w:szCs w:val="20"/>
          <w:b w:val="1"/>
          <w:bCs w:val="1"/>
          <w:color w:val="C00000"/>
        </w:rPr>
        <w:t>Director Attendance; Executive Sessions</w:t>
      </w:r>
    </w:p>
    <w:p>
      <w:pPr>
        <w:spacing w:after="0" w:line="84" w:lineRule="exact"/>
        <w:rPr>
          <w:sz w:val="20"/>
          <w:szCs w:val="20"/>
          <w:color w:val="auto"/>
        </w:rPr>
      </w:pPr>
    </w:p>
    <w:p>
      <w:pPr>
        <w:jc w:val="both"/>
        <w:ind w:firstLine="320"/>
        <w:spacing w:after="0" w:line="255" w:lineRule="auto"/>
        <w:rPr>
          <w:sz w:val="20"/>
          <w:szCs w:val="20"/>
          <w:color w:val="auto"/>
        </w:rPr>
      </w:pPr>
      <w:r>
        <w:rPr>
          <w:rFonts w:ascii="Arial" w:cs="Arial" w:eastAsia="Arial" w:hAnsi="Arial"/>
          <w:sz w:val="17"/>
          <w:szCs w:val="17"/>
          <w:color w:val="auto"/>
        </w:rPr>
        <w:t>The Board held six meetings during fiscal 2024. Each incumbent director attended at least 75% of the aggregate total number of meetings held by the Board and all committees on which he or she served. Our Corporate Governance Guidelines provide that the non-employee</w:t>
      </w:r>
    </w:p>
    <w:p>
      <w:pPr>
        <w:spacing w:after="0" w:line="1" w:lineRule="exact"/>
        <w:rPr>
          <w:sz w:val="20"/>
          <w:szCs w:val="20"/>
          <w:color w:val="auto"/>
        </w:rPr>
      </w:pPr>
    </w:p>
    <w:p>
      <w:pPr>
        <w:jc w:val="both"/>
        <w:spacing w:after="0" w:line="224" w:lineRule="auto"/>
        <w:rPr>
          <w:sz w:val="20"/>
          <w:szCs w:val="20"/>
          <w:color w:val="auto"/>
        </w:rPr>
      </w:pPr>
      <w:r>
        <w:rPr>
          <w:rFonts w:ascii="Arial" w:cs="Arial" w:eastAsia="Arial" w:hAnsi="Arial"/>
          <w:sz w:val="18"/>
          <w:szCs w:val="18"/>
          <w:color w:val="auto"/>
        </w:rPr>
        <w:t>directors will meet in regularly scheduled executive sessions without Management. At each regular Board meeting held during fiscal 2024 our non-employee directors met in executive session without Management present and such meetings were presided over by our Lead</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Independent Director, Gary L. Ellis.</w:t>
      </w:r>
    </w:p>
    <w:p>
      <w:pPr>
        <w:spacing w:after="0" w:line="84" w:lineRule="exact"/>
        <w:rPr>
          <w:sz w:val="20"/>
          <w:szCs w:val="20"/>
          <w:color w:val="auto"/>
        </w:rPr>
      </w:pPr>
    </w:p>
    <w:p>
      <w:pPr>
        <w:jc w:val="both"/>
        <w:ind w:firstLine="320"/>
        <w:spacing w:after="0" w:line="246" w:lineRule="auto"/>
        <w:rPr>
          <w:sz w:val="20"/>
          <w:szCs w:val="20"/>
          <w:color w:val="auto"/>
        </w:rPr>
      </w:pPr>
      <w:r>
        <w:rPr>
          <w:rFonts w:ascii="Arial" w:cs="Arial" w:eastAsia="Arial" w:hAnsi="Arial"/>
          <w:sz w:val="18"/>
          <w:szCs w:val="18"/>
          <w:color w:val="auto"/>
        </w:rPr>
        <w:t>Directors are expected to attend the Company’s annual meeting of shareholders, but are not required to do so. Five of our directors serving at the time of the Annual Meeting of Shareholders held on March 19, 2024, attended that meeting.</w:t>
      </w:r>
    </w:p>
    <w:p>
      <w:pPr>
        <w:spacing w:after="0" w:line="129" w:lineRule="exact"/>
        <w:rPr>
          <w:sz w:val="20"/>
          <w:szCs w:val="20"/>
          <w:color w:val="auto"/>
        </w:rPr>
      </w:pPr>
    </w:p>
    <w:p>
      <w:pPr>
        <w:spacing w:after="0"/>
        <w:rPr>
          <w:sz w:val="20"/>
          <w:szCs w:val="20"/>
          <w:color w:val="auto"/>
        </w:rPr>
      </w:pPr>
      <w:r>
        <w:rPr>
          <w:rFonts w:ascii="Arial" w:cs="Arial" w:eastAsia="Arial" w:hAnsi="Arial"/>
          <w:sz w:val="20"/>
          <w:szCs w:val="20"/>
          <w:b w:val="1"/>
          <w:bCs w:val="1"/>
          <w:color w:val="C00000"/>
        </w:rPr>
        <w:t>Board Committees</w:t>
      </w:r>
    </w:p>
    <w:p>
      <w:pPr>
        <w:spacing w:after="0" w:line="84"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Board has four committees, the Audit Committee, Compensation &amp; Human Resources Committee, Nominating &amp; Governance</w:t>
      </w:r>
    </w:p>
    <w:p>
      <w:pPr>
        <w:spacing w:after="0" w:line="9" w:lineRule="exact"/>
        <w:rPr>
          <w:sz w:val="20"/>
          <w:szCs w:val="20"/>
          <w:color w:val="auto"/>
        </w:rPr>
      </w:pPr>
    </w:p>
    <w:p>
      <w:pPr>
        <w:jc w:val="both"/>
        <w:spacing w:after="0" w:line="237" w:lineRule="auto"/>
        <w:rPr>
          <w:sz w:val="20"/>
          <w:szCs w:val="20"/>
          <w:color w:val="auto"/>
        </w:rPr>
      </w:pPr>
      <w:r>
        <w:rPr>
          <w:rFonts w:ascii="Arial" w:cs="Arial" w:eastAsia="Arial" w:hAnsi="Arial"/>
          <w:sz w:val="17"/>
          <w:szCs w:val="17"/>
          <w:color w:val="auto"/>
        </w:rPr>
        <w:t>Committee and Finance Committee. Each committee has a charter that describes the principal functions of the committee and is posted on our website at www.thetorocompany.com/corporategovernance. As provided in their respective charters, each of the Compensation &amp; Human</w:t>
      </w:r>
    </w:p>
    <w:p>
      <w:pPr>
        <w:spacing w:after="0" w:line="233" w:lineRule="auto"/>
        <w:rPr>
          <w:sz w:val="20"/>
          <w:szCs w:val="20"/>
          <w:color w:val="auto"/>
        </w:rPr>
      </w:pPr>
      <w:r>
        <w:rPr>
          <w:rFonts w:ascii="Arial" w:cs="Arial" w:eastAsia="Arial" w:hAnsi="Arial"/>
          <w:sz w:val="18"/>
          <w:szCs w:val="18"/>
          <w:color w:val="auto"/>
        </w:rPr>
        <w:t>Resources Committee, Nominating &amp; Governance Committee and Finance Committee may form and delegate authority to subcommittees</w:t>
      </w:r>
    </w:p>
    <w:p>
      <w:pPr>
        <w:jc w:val="both"/>
        <w:spacing w:after="0" w:line="224" w:lineRule="auto"/>
        <w:rPr>
          <w:sz w:val="20"/>
          <w:szCs w:val="20"/>
          <w:color w:val="auto"/>
        </w:rPr>
      </w:pPr>
      <w:r>
        <w:rPr>
          <w:rFonts w:ascii="Arial" w:cs="Arial" w:eastAsia="Arial" w:hAnsi="Arial"/>
          <w:sz w:val="18"/>
          <w:szCs w:val="18"/>
          <w:color w:val="auto"/>
        </w:rPr>
        <w:t>when appropriate. Additionally, the Compensation &amp; Human Resources Committee may delegate to one or more executive officers of the Company the authority to approve equity compensation awards under established equity compensation plans of the Company to employees</w:t>
      </w:r>
    </w:p>
    <w:p>
      <w:pPr>
        <w:spacing w:after="0" w:line="232" w:lineRule="auto"/>
        <w:rPr>
          <w:sz w:val="20"/>
          <w:szCs w:val="20"/>
          <w:color w:val="auto"/>
        </w:rPr>
      </w:pPr>
      <w:r>
        <w:rPr>
          <w:rFonts w:ascii="Arial" w:cs="Arial" w:eastAsia="Arial" w:hAnsi="Arial"/>
          <w:sz w:val="18"/>
          <w:szCs w:val="18"/>
          <w:color w:val="auto"/>
        </w:rPr>
        <w:t>other than the executive officers of the Company. On an annual basis the Audit Committee, Nominating &amp; Governance Committee and</w:t>
      </w:r>
    </w:p>
    <w:p>
      <w:pPr>
        <w:spacing w:after="0" w:line="1" w:lineRule="exact"/>
        <w:rPr>
          <w:sz w:val="20"/>
          <w:szCs w:val="20"/>
          <w:color w:val="auto"/>
        </w:rPr>
      </w:pPr>
    </w:p>
    <w:p>
      <w:pPr>
        <w:jc w:val="both"/>
        <w:spacing w:after="0" w:line="224" w:lineRule="auto"/>
        <w:rPr>
          <w:sz w:val="20"/>
          <w:szCs w:val="20"/>
          <w:color w:val="auto"/>
        </w:rPr>
      </w:pPr>
      <w:r>
        <w:rPr>
          <w:rFonts w:ascii="Arial" w:cs="Arial" w:eastAsia="Arial" w:hAnsi="Arial"/>
          <w:sz w:val="18"/>
          <w:szCs w:val="18"/>
          <w:color w:val="auto"/>
        </w:rPr>
        <w:t>Compensation &amp; Human Resources Committee review the adequacy of their charter and their performance. The Finance Committee periodically reviews its charter and performance, with such review historically conducted on an annual basis. The Chair of each Board</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committee provides a summary of the matters discussed in their committee meeting to the full Board.</w:t>
      </w:r>
    </w:p>
    <w:p>
      <w:pPr>
        <w:spacing w:after="0" w:line="84" w:lineRule="exact"/>
        <w:rPr>
          <w:sz w:val="20"/>
          <w:szCs w:val="20"/>
          <w:color w:val="auto"/>
        </w:rPr>
      </w:pPr>
    </w:p>
    <w:p>
      <w:pPr>
        <w:jc w:val="both"/>
        <w:ind w:firstLine="320"/>
        <w:spacing w:after="0" w:line="233" w:lineRule="auto"/>
        <w:rPr>
          <w:sz w:val="20"/>
          <w:szCs w:val="20"/>
          <w:color w:val="auto"/>
        </w:rPr>
      </w:pPr>
      <w:r>
        <w:rPr>
          <w:rFonts w:ascii="Arial" w:cs="Arial" w:eastAsia="Arial" w:hAnsi="Arial"/>
          <w:sz w:val="18"/>
          <w:szCs w:val="18"/>
          <w:color w:val="auto"/>
        </w:rPr>
        <w:t>The Board has determined that each of the current and former members of the Audit Committee, Compensation &amp; Human Resources Committee and Nominating &amp; Governance Committee meets the independence and other requirements established by applicable law, the</w:t>
      </w:r>
    </w:p>
    <w:p>
      <w:pPr>
        <w:spacing w:after="0" w:line="1"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rules and regulations of the SEC and the NYSE listing standards and the Internal Revenue Code of 1986, as amended, or Code, as applicable. The current membership of each committee, the number of times each committee met, including by executive session, during fiscal 2024 and key functions of each committee are noted in the following table. Mr. Olson is not a member of any Board committee. In fiscal 2024, Mr. Olson attended, and currently may attend, various committee meetings, or portions of such meetings as appropriate, as a member of Management at the invitation of such Board committees.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097" w:right="339" w:bottom="1440" w:gutter="0" w:footer="0" w:header="0"/>
        </w:sectPr>
      </w:pPr>
    </w:p>
    <w:bookmarkStart w:id="32" w:name="page33"/>
    <w:bookmarkEnd w:id="3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732790</wp:posOffset>
            </wp:positionV>
            <wp:extent cx="1042035" cy="223647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1042035" cy="22364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ind w:left="413"/>
        <w:spacing w:after="0"/>
        <w:rPr>
          <w:sz w:val="20"/>
          <w:szCs w:val="20"/>
          <w:color w:val="auto"/>
        </w:rPr>
      </w:pPr>
      <w:r>
        <w:rPr>
          <w:rFonts w:ascii="Arial" w:cs="Arial" w:eastAsia="Arial" w:hAnsi="Arial"/>
          <w:sz w:val="16"/>
          <w:szCs w:val="16"/>
          <w:b w:val="1"/>
          <w:bCs w:val="1"/>
          <w:color w:val="FFFFFF"/>
        </w:rPr>
        <w:t>Audit</w:t>
      </w:r>
    </w:p>
    <w:p>
      <w:pPr>
        <w:spacing w:after="0" w:line="32" w:lineRule="exact"/>
        <w:rPr>
          <w:sz w:val="20"/>
          <w:szCs w:val="20"/>
          <w:color w:val="auto"/>
        </w:rPr>
      </w:pPr>
    </w:p>
    <w:p>
      <w:pPr>
        <w:jc w:val="center"/>
        <w:ind w:left="413"/>
        <w:spacing w:after="0"/>
        <w:rPr>
          <w:sz w:val="20"/>
          <w:szCs w:val="20"/>
          <w:color w:val="auto"/>
        </w:rPr>
      </w:pPr>
      <w:r>
        <w:rPr>
          <w:rFonts w:ascii="Arial" w:cs="Arial" w:eastAsia="Arial" w:hAnsi="Arial"/>
          <w:sz w:val="15"/>
          <w:szCs w:val="15"/>
          <w:b w:val="1"/>
          <w:bCs w:val="1"/>
          <w:color w:val="FFFFFF"/>
        </w:rPr>
        <w:t>Committee</w:t>
      </w:r>
    </w:p>
    <w:p>
      <w:pPr>
        <w:spacing w:after="0" w:line="20" w:lineRule="exact"/>
        <w:rPr>
          <w:sz w:val="20"/>
          <w:szCs w:val="20"/>
          <w:color w:val="auto"/>
        </w:rPr>
      </w:pPr>
      <w:r>
        <w:rPr>
          <w:sz w:val="20"/>
          <w:szCs w:val="20"/>
          <w:color w:val="auto"/>
        </w:rPr>
        <w:br w:type="column"/>
      </w:r>
    </w:p>
    <w:p>
      <w:pPr>
        <w:ind w:left="14"/>
        <w:spacing w:after="0"/>
        <w:rPr>
          <w:sz w:val="20"/>
          <w:szCs w:val="20"/>
          <w:color w:val="auto"/>
        </w:rPr>
      </w:pPr>
      <w:r>
        <w:rPr>
          <w:rFonts w:ascii="Arial" w:cs="Arial" w:eastAsia="Arial" w:hAnsi="Arial"/>
          <w:sz w:val="16"/>
          <w:szCs w:val="16"/>
          <w:b w:val="1"/>
          <w:bCs w:val="1"/>
          <w:color w:val="C00000"/>
        </w:rPr>
        <w:t>Key Committee Functions</w:t>
      </w:r>
    </w:p>
    <w:p>
      <w:pPr>
        <w:spacing w:after="0" w:line="32" w:lineRule="exact"/>
        <w:rPr>
          <w:sz w:val="20"/>
          <w:szCs w:val="20"/>
          <w:color w:val="auto"/>
        </w:rPr>
      </w:pPr>
    </w:p>
    <w:p>
      <w:pPr>
        <w:ind w:left="154" w:right="40" w:hanging="154"/>
        <w:spacing w:after="0" w:line="233" w:lineRule="auto"/>
        <w:tabs>
          <w:tab w:leader="none" w:pos="143" w:val="left"/>
        </w:tabs>
        <w:numPr>
          <w:ilvl w:val="0"/>
          <w:numId w:val="38"/>
        </w:numPr>
        <w:rPr>
          <w:rFonts w:ascii="Arial" w:cs="Arial" w:eastAsia="Arial" w:hAnsi="Arial"/>
          <w:sz w:val="16"/>
          <w:szCs w:val="16"/>
          <w:color w:val="auto"/>
        </w:rPr>
      </w:pPr>
      <w:r>
        <w:rPr>
          <w:rFonts w:ascii="Arial" w:cs="Arial" w:eastAsia="Arial" w:hAnsi="Arial"/>
          <w:sz w:val="16"/>
          <w:szCs w:val="16"/>
          <w:color w:val="auto"/>
        </w:rPr>
        <w:t>Oversees the accounting and financial reporting processes, audits of consolidated financial statements and internal controls over financial reporting</w:t>
      </w:r>
    </w:p>
    <w:p>
      <w:pPr>
        <w:ind w:left="154" w:hanging="154"/>
        <w:spacing w:after="0" w:line="237" w:lineRule="auto"/>
        <w:tabs>
          <w:tab w:leader="none" w:pos="143" w:val="left"/>
        </w:tabs>
        <w:numPr>
          <w:ilvl w:val="0"/>
          <w:numId w:val="38"/>
        </w:numPr>
        <w:rPr>
          <w:rFonts w:ascii="Arial" w:cs="Arial" w:eastAsia="Arial" w:hAnsi="Arial"/>
          <w:sz w:val="16"/>
          <w:szCs w:val="16"/>
          <w:color w:val="auto"/>
        </w:rPr>
      </w:pPr>
      <w:r>
        <w:rPr>
          <w:rFonts w:ascii="Arial" w:cs="Arial" w:eastAsia="Arial" w:hAnsi="Arial"/>
          <w:sz w:val="16"/>
          <w:szCs w:val="16"/>
          <w:color w:val="auto"/>
        </w:rPr>
        <w:t>Selects, compensates, evaluates and reviews critical audit matters with independent external auditor</w:t>
      </w:r>
    </w:p>
    <w:p>
      <w:pPr>
        <w:spacing w:after="0" w:line="1" w:lineRule="exact"/>
        <w:rPr>
          <w:rFonts w:ascii="Arial" w:cs="Arial" w:eastAsia="Arial" w:hAnsi="Arial"/>
          <w:sz w:val="16"/>
          <w:szCs w:val="16"/>
          <w:color w:val="auto"/>
        </w:rPr>
      </w:pPr>
    </w:p>
    <w:p>
      <w:pPr>
        <w:ind w:left="154" w:right="20" w:hanging="154"/>
        <w:spacing w:after="0" w:line="234" w:lineRule="auto"/>
        <w:tabs>
          <w:tab w:leader="none" w:pos="143" w:val="left"/>
        </w:tabs>
        <w:numPr>
          <w:ilvl w:val="0"/>
          <w:numId w:val="38"/>
        </w:numPr>
        <w:rPr>
          <w:rFonts w:ascii="Arial" w:cs="Arial" w:eastAsia="Arial" w:hAnsi="Arial"/>
          <w:sz w:val="16"/>
          <w:szCs w:val="16"/>
          <w:color w:val="auto"/>
        </w:rPr>
      </w:pPr>
      <w:r>
        <w:rPr>
          <w:rFonts w:ascii="Arial" w:cs="Arial" w:eastAsia="Arial" w:hAnsi="Arial"/>
          <w:sz w:val="16"/>
          <w:szCs w:val="16"/>
          <w:color w:val="auto"/>
        </w:rPr>
        <w:t>Reviews with Management and external auditor Annual Reports on Form 10-K, Quarterly Reports on Form 10-Q and earnings releases</w:t>
      </w:r>
    </w:p>
    <w:p>
      <w:pPr>
        <w:spacing w:after="0" w:line="2" w:lineRule="exact"/>
        <w:rPr>
          <w:rFonts w:ascii="Arial" w:cs="Arial" w:eastAsia="Arial" w:hAnsi="Arial"/>
          <w:sz w:val="16"/>
          <w:szCs w:val="16"/>
          <w:color w:val="auto"/>
        </w:rPr>
      </w:pPr>
    </w:p>
    <w:p>
      <w:pPr>
        <w:ind w:left="154" w:right="60" w:hanging="154"/>
        <w:spacing w:after="0" w:line="250" w:lineRule="auto"/>
        <w:tabs>
          <w:tab w:leader="none" w:pos="143" w:val="left"/>
        </w:tabs>
        <w:numPr>
          <w:ilvl w:val="0"/>
          <w:numId w:val="38"/>
        </w:numPr>
        <w:rPr>
          <w:rFonts w:ascii="Arial" w:cs="Arial" w:eastAsia="Arial" w:hAnsi="Arial"/>
          <w:sz w:val="15"/>
          <w:szCs w:val="15"/>
          <w:color w:val="auto"/>
        </w:rPr>
      </w:pPr>
      <w:r>
        <w:rPr>
          <w:rFonts w:ascii="Arial" w:cs="Arial" w:eastAsia="Arial" w:hAnsi="Arial"/>
          <w:sz w:val="15"/>
          <w:szCs w:val="15"/>
          <w:color w:val="auto"/>
        </w:rPr>
        <w:t>Reviews and approves internal audit's functions and effectiveness; reviews scope and performance of internal audit's plans; and oversees internal audit's significant findings, including responses from Management</w:t>
      </w:r>
    </w:p>
    <w:p>
      <w:pPr>
        <w:ind w:left="154" w:right="80" w:hanging="154"/>
        <w:spacing w:after="0"/>
        <w:tabs>
          <w:tab w:leader="none" w:pos="143" w:val="left"/>
        </w:tabs>
        <w:numPr>
          <w:ilvl w:val="0"/>
          <w:numId w:val="38"/>
        </w:numPr>
        <w:rPr>
          <w:rFonts w:ascii="Arial" w:cs="Arial" w:eastAsia="Arial" w:hAnsi="Arial"/>
          <w:sz w:val="16"/>
          <w:szCs w:val="16"/>
          <w:color w:val="auto"/>
        </w:rPr>
      </w:pPr>
      <w:r>
        <w:rPr>
          <w:rFonts w:ascii="Arial" w:cs="Arial" w:eastAsia="Arial" w:hAnsi="Arial"/>
          <w:sz w:val="16"/>
          <w:szCs w:val="16"/>
          <w:color w:val="auto"/>
        </w:rPr>
        <w:t>Reviews Information Technology strategy and security activities</w:t>
      </w:r>
    </w:p>
    <w:p>
      <w:pPr>
        <w:spacing w:after="0" w:line="20" w:lineRule="exact"/>
        <w:rPr>
          <w:sz w:val="20"/>
          <w:szCs w:val="20"/>
          <w:color w:val="auto"/>
        </w:rPr>
      </w:pPr>
      <w:r>
        <w:rPr>
          <w:sz w:val="20"/>
          <w:szCs w:val="20"/>
          <w:color w:val="auto"/>
        </w:rPr>
        <w:br w:type="column"/>
      </w:r>
    </w:p>
    <w:p>
      <w:pPr>
        <w:spacing w:after="0" w:line="194" w:lineRule="exact"/>
        <w:rPr>
          <w:sz w:val="20"/>
          <w:szCs w:val="20"/>
          <w:color w:val="auto"/>
        </w:rPr>
      </w:pPr>
    </w:p>
    <w:p>
      <w:pPr>
        <w:ind w:left="152" w:right="20" w:hanging="152"/>
        <w:spacing w:after="0" w:line="237" w:lineRule="auto"/>
        <w:tabs>
          <w:tab w:leader="none" w:pos="141" w:val="left"/>
        </w:tabs>
        <w:numPr>
          <w:ilvl w:val="0"/>
          <w:numId w:val="39"/>
        </w:numPr>
        <w:rPr>
          <w:rFonts w:ascii="Arial" w:cs="Arial" w:eastAsia="Arial" w:hAnsi="Arial"/>
          <w:sz w:val="16"/>
          <w:szCs w:val="16"/>
          <w:color w:val="auto"/>
        </w:rPr>
      </w:pPr>
      <w:r>
        <w:rPr>
          <w:rFonts w:ascii="Arial" w:cs="Arial" w:eastAsia="Arial" w:hAnsi="Arial"/>
          <w:sz w:val="16"/>
          <w:szCs w:val="16"/>
          <w:color w:val="auto"/>
        </w:rPr>
        <w:t>Reviews general policies and procedures with respect to accounting and financial matters, internal controls and disclosure controls and procedures, and sustainability metrics and disclosures</w:t>
      </w:r>
    </w:p>
    <w:p>
      <w:pPr>
        <w:spacing w:after="0" w:line="1" w:lineRule="exact"/>
        <w:rPr>
          <w:rFonts w:ascii="Arial" w:cs="Arial" w:eastAsia="Arial" w:hAnsi="Arial"/>
          <w:sz w:val="16"/>
          <w:szCs w:val="16"/>
          <w:color w:val="auto"/>
        </w:rPr>
      </w:pPr>
    </w:p>
    <w:p>
      <w:pPr>
        <w:ind w:left="152" w:hanging="152"/>
        <w:spacing w:after="0" w:line="233" w:lineRule="auto"/>
        <w:tabs>
          <w:tab w:leader="none" w:pos="141" w:val="left"/>
        </w:tabs>
        <w:numPr>
          <w:ilvl w:val="0"/>
          <w:numId w:val="39"/>
        </w:numPr>
        <w:rPr>
          <w:rFonts w:ascii="Arial" w:cs="Arial" w:eastAsia="Arial" w:hAnsi="Arial"/>
          <w:sz w:val="16"/>
          <w:szCs w:val="16"/>
          <w:color w:val="auto"/>
        </w:rPr>
      </w:pPr>
      <w:r>
        <w:rPr>
          <w:rFonts w:ascii="Arial" w:cs="Arial" w:eastAsia="Arial" w:hAnsi="Arial"/>
          <w:sz w:val="16"/>
          <w:szCs w:val="16"/>
          <w:color w:val="auto"/>
        </w:rPr>
        <w:t>Reviews Code of Conduct and Code of Ethics for CEO and Senior Financial Personnel, and policies and procedures for the receipt, retention and treatment of complaints from employees on accounting, internal accounting controls or auditing matters</w:t>
      </w:r>
    </w:p>
    <w:p>
      <w:pPr>
        <w:spacing w:after="0" w:line="3" w:lineRule="exact"/>
        <w:rPr>
          <w:rFonts w:ascii="Arial" w:cs="Arial" w:eastAsia="Arial" w:hAnsi="Arial"/>
          <w:sz w:val="16"/>
          <w:szCs w:val="16"/>
          <w:color w:val="auto"/>
        </w:rPr>
      </w:pPr>
    </w:p>
    <w:p>
      <w:pPr>
        <w:ind w:left="152" w:right="320" w:hanging="152"/>
        <w:spacing w:after="0" w:line="247" w:lineRule="auto"/>
        <w:tabs>
          <w:tab w:leader="none" w:pos="141" w:val="left"/>
        </w:tabs>
        <w:numPr>
          <w:ilvl w:val="0"/>
          <w:numId w:val="39"/>
        </w:numPr>
        <w:rPr>
          <w:rFonts w:ascii="Arial" w:cs="Arial" w:eastAsia="Arial" w:hAnsi="Arial"/>
          <w:sz w:val="16"/>
          <w:szCs w:val="16"/>
          <w:color w:val="auto"/>
        </w:rPr>
      </w:pPr>
      <w:r>
        <w:rPr>
          <w:rFonts w:ascii="Arial" w:cs="Arial" w:eastAsia="Arial" w:hAnsi="Arial"/>
          <w:sz w:val="16"/>
          <w:szCs w:val="16"/>
          <w:color w:val="auto"/>
        </w:rPr>
        <w:t>Provides oversight for the Enterprise Risk Management, or ERM, process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-3314700</wp:posOffset>
            </wp:positionH>
            <wp:positionV relativeFrom="paragraph">
              <wp:posOffset>600710</wp:posOffset>
            </wp:positionV>
            <wp:extent cx="7099935"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09993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b w:val="1"/>
          <w:bCs w:val="1"/>
          <w:color w:val="C00000"/>
        </w:rPr>
        <w:t>Committee Members</w:t>
      </w:r>
      <w:r>
        <w:rPr>
          <w:rFonts w:ascii="Arial" w:cs="Arial" w:eastAsia="Arial" w:hAnsi="Arial"/>
          <w:sz w:val="20"/>
          <w:szCs w:val="20"/>
          <w:b w:val="1"/>
          <w:bCs w:val="1"/>
          <w:color w:val="C00000"/>
          <w:vertAlign w:val="superscript"/>
        </w:rPr>
        <w:t>1</w:t>
      </w:r>
    </w:p>
    <w:p>
      <w:pPr>
        <w:spacing w:after="0"/>
        <w:rPr>
          <w:sz w:val="20"/>
          <w:szCs w:val="20"/>
          <w:color w:val="auto"/>
        </w:rPr>
      </w:pPr>
      <w:r>
        <w:rPr>
          <w:rFonts w:ascii="Arial" w:cs="Arial" w:eastAsia="Arial" w:hAnsi="Arial"/>
          <w:sz w:val="16"/>
          <w:szCs w:val="16"/>
          <w:color w:val="auto"/>
        </w:rPr>
        <w:t>Ms. Pemberton (Chair)</w:t>
      </w:r>
    </w:p>
    <w:p>
      <w:pPr>
        <w:spacing w:after="0" w:line="3" w:lineRule="exact"/>
        <w:rPr>
          <w:sz w:val="20"/>
          <w:szCs w:val="20"/>
          <w:color w:val="auto"/>
        </w:rPr>
      </w:pPr>
    </w:p>
    <w:p>
      <w:pPr>
        <w:spacing w:after="0"/>
        <w:rPr>
          <w:sz w:val="20"/>
          <w:szCs w:val="20"/>
          <w:color w:val="auto"/>
        </w:rPr>
      </w:pPr>
      <w:r>
        <w:rPr>
          <w:rFonts w:ascii="Arial" w:cs="Arial" w:eastAsia="Arial" w:hAnsi="Arial"/>
          <w:sz w:val="16"/>
          <w:szCs w:val="16"/>
          <w:color w:val="auto"/>
        </w:rPr>
        <w:t>Ms. Craig</w:t>
      </w:r>
    </w:p>
    <w:p>
      <w:pPr>
        <w:spacing w:after="0" w:line="229" w:lineRule="auto"/>
        <w:rPr>
          <w:sz w:val="20"/>
          <w:szCs w:val="20"/>
          <w:color w:val="auto"/>
        </w:rPr>
      </w:pPr>
      <w:r>
        <w:rPr>
          <w:rFonts w:ascii="Arial" w:cs="Arial" w:eastAsia="Arial" w:hAnsi="Arial"/>
          <w:sz w:val="16"/>
          <w:szCs w:val="16"/>
          <w:color w:val="auto"/>
        </w:rPr>
        <w:t>Mr. Ellis</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Mr. Harmening</w:t>
      </w:r>
    </w:p>
    <w:p>
      <w:pPr>
        <w:spacing w:after="0" w:line="214" w:lineRule="exact"/>
        <w:rPr>
          <w:sz w:val="20"/>
          <w:szCs w:val="20"/>
          <w:color w:val="auto"/>
        </w:rPr>
      </w:pPr>
    </w:p>
    <w:p>
      <w:pPr>
        <w:spacing w:after="0"/>
        <w:rPr>
          <w:sz w:val="20"/>
          <w:szCs w:val="20"/>
          <w:color w:val="auto"/>
        </w:rPr>
      </w:pPr>
      <w:r>
        <w:rPr>
          <w:rFonts w:ascii="Arial" w:cs="Arial" w:eastAsia="Arial" w:hAnsi="Arial"/>
          <w:sz w:val="16"/>
          <w:szCs w:val="16"/>
          <w:b w:val="1"/>
          <w:bCs w:val="1"/>
          <w:color w:val="C00000"/>
        </w:rPr>
        <w:t>During Fiscal 2024</w:t>
      </w:r>
    </w:p>
    <w:p>
      <w:pPr>
        <w:spacing w:after="0" w:line="43" w:lineRule="exact"/>
        <w:rPr>
          <w:sz w:val="20"/>
          <w:szCs w:val="20"/>
          <w:color w:val="auto"/>
        </w:rPr>
      </w:pPr>
    </w:p>
    <w:p>
      <w:pPr>
        <w:spacing w:after="0"/>
        <w:rPr>
          <w:sz w:val="20"/>
          <w:szCs w:val="20"/>
          <w:color w:val="auto"/>
        </w:rPr>
      </w:pPr>
      <w:r>
        <w:rPr>
          <w:rFonts w:ascii="Arial" w:cs="Arial" w:eastAsia="Arial" w:hAnsi="Arial"/>
          <w:sz w:val="16"/>
          <w:szCs w:val="16"/>
          <w:color w:val="auto"/>
        </w:rPr>
        <w:t>Number of Meetings: 10</w:t>
      </w:r>
    </w:p>
    <w:p>
      <w:pPr>
        <w:spacing w:after="0" w:line="43" w:lineRule="exact"/>
        <w:rPr>
          <w:sz w:val="20"/>
          <w:szCs w:val="20"/>
          <w:color w:val="auto"/>
        </w:rPr>
      </w:pPr>
    </w:p>
    <w:p>
      <w:pPr>
        <w:spacing w:after="0"/>
        <w:rPr>
          <w:sz w:val="20"/>
          <w:szCs w:val="20"/>
          <w:color w:val="auto"/>
        </w:rPr>
      </w:pPr>
      <w:r>
        <w:rPr>
          <w:rFonts w:ascii="Arial" w:cs="Arial" w:eastAsia="Arial" w:hAnsi="Arial"/>
          <w:sz w:val="15"/>
          <w:szCs w:val="15"/>
          <w:color w:val="auto"/>
        </w:rPr>
        <w:t>Number of Executive Sessions:</w:t>
      </w:r>
    </w:p>
    <w:p>
      <w:pPr>
        <w:spacing w:after="0" w:line="17" w:lineRule="exact"/>
        <w:rPr>
          <w:sz w:val="20"/>
          <w:szCs w:val="20"/>
          <w:color w:val="auto"/>
        </w:rPr>
      </w:pPr>
    </w:p>
    <w:p>
      <w:pPr>
        <w:spacing w:after="0"/>
        <w:rPr>
          <w:sz w:val="20"/>
          <w:szCs w:val="20"/>
          <w:color w:val="auto"/>
        </w:rPr>
      </w:pPr>
      <w:r>
        <w:rPr>
          <w:rFonts w:ascii="Arial" w:cs="Arial" w:eastAsia="Arial" w:hAnsi="Arial"/>
          <w:sz w:val="16"/>
          <w:szCs w:val="16"/>
          <w:color w:val="auto"/>
        </w:rPr>
        <w:t>with Committee - 7</w:t>
      </w:r>
    </w:p>
    <w:p>
      <w:pPr>
        <w:spacing w:after="0" w:line="3" w:lineRule="exact"/>
        <w:rPr>
          <w:sz w:val="20"/>
          <w:szCs w:val="20"/>
          <w:color w:val="auto"/>
        </w:rPr>
      </w:pPr>
    </w:p>
    <w:p>
      <w:pPr>
        <w:ind w:right="780"/>
        <w:spacing w:after="0" w:line="256" w:lineRule="auto"/>
        <w:rPr>
          <w:sz w:val="20"/>
          <w:szCs w:val="20"/>
          <w:color w:val="auto"/>
        </w:rPr>
      </w:pPr>
      <w:r>
        <w:rPr>
          <w:rFonts w:ascii="Arial" w:cs="Arial" w:eastAsia="Arial" w:hAnsi="Arial"/>
          <w:sz w:val="15"/>
          <w:szCs w:val="15"/>
          <w:color w:val="auto"/>
        </w:rPr>
        <w:t>with Management - 6 with internal auditor - 5 with external auditor - 5</w:t>
      </w:r>
    </w:p>
    <w:p>
      <w:pPr>
        <w:spacing w:after="0" w:line="1099" w:lineRule="exact"/>
        <w:rPr>
          <w:sz w:val="20"/>
          <w:szCs w:val="20"/>
          <w:color w:val="auto"/>
        </w:rPr>
      </w:pPr>
    </w:p>
    <w:p>
      <w:pPr>
        <w:sectPr>
          <w:pgSz w:w="11900" w:h="16838" w:orient="portrait"/>
          <w:cols w:equalWidth="0" w:num="4">
            <w:col w:w="1233" w:space="426"/>
            <w:col w:w="3454" w:space="108"/>
            <w:col w:w="3412" w:space="160"/>
            <w:col w:w="2440"/>
          </w:cols>
          <w:pgMar w:left="327" w:top="1152" w:right="339" w:bottom="1440" w:gutter="0" w:footer="0" w:header="0"/>
        </w:sectPr>
      </w:pPr>
    </w:p>
    <w:p>
      <w:pPr>
        <w:ind w:left="313" w:hanging="313"/>
        <w:spacing w:after="0" w:line="243" w:lineRule="auto"/>
        <w:tabs>
          <w:tab w:leader="none" w:pos="313" w:val="left"/>
        </w:tabs>
        <w:numPr>
          <w:ilvl w:val="0"/>
          <w:numId w:val="40"/>
        </w:numPr>
        <w:rPr>
          <w:rFonts w:ascii="Arial" w:cs="Arial" w:eastAsia="Arial" w:hAnsi="Arial"/>
          <w:sz w:val="16"/>
          <w:szCs w:val="16"/>
          <w:color w:val="auto"/>
        </w:rPr>
      </w:pPr>
      <w:r>
        <w:rPr>
          <w:rFonts w:ascii="Arial" w:cs="Arial" w:eastAsia="Arial" w:hAnsi="Arial"/>
          <w:sz w:val="16"/>
          <w:szCs w:val="16"/>
          <w:color w:val="auto"/>
        </w:rPr>
        <w:t>The Board has determined that all members of the Audit Committee are financially literate and that both Gary L. Ellis and Jill M. Pemberton meet the definition of "audit committee financial expert." Other members of the Audit Committee who currently are serving or have served as chief executive officers or chief financial officers of other public companies also may be considered financial experts, but the Board has not so designated them.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77470</wp:posOffset>
            </wp:positionV>
            <wp:extent cx="1042035" cy="179641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1042035" cy="1796415"/>
                    </a:xfrm>
                    <a:prstGeom prst="rect">
                      <a:avLst/>
                    </a:prstGeom>
                    <a:noFill/>
                  </pic:spPr>
                </pic:pic>
              </a:graphicData>
            </a:graphic>
          </wp:anchor>
        </w:drawing>
      </w:r>
    </w:p>
    <w:p>
      <w:pPr>
        <w:sectPr>
          <w:pgSz w:w="11900" w:h="16838" w:orient="portrait"/>
          <w:cols w:equalWidth="0" w:num="1">
            <w:col w:w="11233"/>
          </w:cols>
          <w:pgMar w:left="327" w:top="1152"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left="33"/>
        <w:spacing w:after="0"/>
        <w:rPr>
          <w:sz w:val="20"/>
          <w:szCs w:val="20"/>
          <w:color w:val="auto"/>
        </w:rPr>
      </w:pPr>
      <w:r>
        <w:rPr>
          <w:rFonts w:ascii="Arial" w:cs="Arial" w:eastAsia="Arial" w:hAnsi="Arial"/>
          <w:sz w:val="16"/>
          <w:szCs w:val="16"/>
          <w:b w:val="1"/>
          <w:bCs w:val="1"/>
          <w:color w:val="FFFFFF"/>
        </w:rPr>
        <w:t>Compensation</w:t>
      </w:r>
    </w:p>
    <w:p>
      <w:pPr>
        <w:spacing w:after="0" w:line="32" w:lineRule="exact"/>
        <w:rPr>
          <w:sz w:val="20"/>
          <w:szCs w:val="20"/>
          <w:color w:val="auto"/>
        </w:rPr>
      </w:pPr>
    </w:p>
    <w:p>
      <w:pPr>
        <w:ind w:left="413" w:hanging="376"/>
        <w:spacing w:after="0" w:line="253" w:lineRule="auto"/>
        <w:tabs>
          <w:tab w:leader="none" w:pos="204" w:val="left"/>
        </w:tabs>
        <w:numPr>
          <w:ilvl w:val="0"/>
          <w:numId w:val="41"/>
        </w:numPr>
        <w:rPr>
          <w:rFonts w:ascii="Arial" w:cs="Arial" w:eastAsia="Arial" w:hAnsi="Arial"/>
          <w:sz w:val="16"/>
          <w:szCs w:val="16"/>
          <w:b w:val="1"/>
          <w:bCs w:val="1"/>
          <w:color w:val="FFFFFF"/>
        </w:rPr>
      </w:pPr>
      <w:r>
        <w:rPr>
          <w:rFonts w:ascii="Arial" w:cs="Arial" w:eastAsia="Arial" w:hAnsi="Arial"/>
          <w:sz w:val="16"/>
          <w:szCs w:val="16"/>
          <w:b w:val="1"/>
          <w:bCs w:val="1"/>
          <w:color w:val="FFFFFF"/>
        </w:rPr>
        <w:t>Human Resources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794385</wp:posOffset>
            </wp:positionV>
            <wp:extent cx="1042035" cy="122872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1042035" cy="122872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28" w:lineRule="exact"/>
        <w:rPr>
          <w:sz w:val="20"/>
          <w:szCs w:val="20"/>
          <w:color w:val="auto"/>
        </w:rPr>
      </w:pPr>
    </w:p>
    <w:p>
      <w:pPr>
        <w:ind w:left="14"/>
        <w:spacing w:after="0"/>
        <w:rPr>
          <w:sz w:val="20"/>
          <w:szCs w:val="20"/>
          <w:color w:val="auto"/>
        </w:rPr>
      </w:pPr>
      <w:r>
        <w:rPr>
          <w:rFonts w:ascii="Arial" w:cs="Arial" w:eastAsia="Arial" w:hAnsi="Arial"/>
          <w:sz w:val="16"/>
          <w:szCs w:val="16"/>
          <w:b w:val="1"/>
          <w:bCs w:val="1"/>
          <w:color w:val="C00000"/>
        </w:rPr>
        <w:t>Key Committee Functions</w:t>
      </w:r>
    </w:p>
    <w:p>
      <w:pPr>
        <w:spacing w:after="0" w:line="19" w:lineRule="exact"/>
        <w:rPr>
          <w:sz w:val="20"/>
          <w:szCs w:val="20"/>
          <w:color w:val="auto"/>
        </w:rPr>
      </w:pPr>
    </w:p>
    <w:p>
      <w:pPr>
        <w:ind w:left="154" w:right="200" w:hanging="154"/>
        <w:spacing w:after="0" w:line="234" w:lineRule="auto"/>
        <w:tabs>
          <w:tab w:leader="none" w:pos="143" w:val="left"/>
        </w:tabs>
        <w:numPr>
          <w:ilvl w:val="0"/>
          <w:numId w:val="42"/>
        </w:numPr>
        <w:rPr>
          <w:rFonts w:ascii="Times New Roman" w:cs="Times New Roman" w:eastAsia="Times New Roman" w:hAnsi="Times New Roman"/>
          <w:sz w:val="16"/>
          <w:szCs w:val="16"/>
          <w:color w:val="auto"/>
        </w:rPr>
      </w:pPr>
      <w:r>
        <w:rPr>
          <w:rFonts w:ascii="Arial" w:cs="Arial" w:eastAsia="Arial" w:hAnsi="Arial"/>
          <w:sz w:val="16"/>
          <w:szCs w:val="16"/>
          <w:color w:val="auto"/>
        </w:rPr>
        <w:t>Approves the annual base salaries, annual and long-term incentive opportunities and other compensation arrangements for the CEO and other executive officers</w:t>
      </w:r>
    </w:p>
    <w:p>
      <w:pPr>
        <w:spacing w:after="0" w:line="2" w:lineRule="exact"/>
        <w:rPr>
          <w:rFonts w:ascii="Times New Roman" w:cs="Times New Roman" w:eastAsia="Times New Roman" w:hAnsi="Times New Roman"/>
          <w:sz w:val="16"/>
          <w:szCs w:val="16"/>
          <w:color w:val="auto"/>
        </w:rPr>
      </w:pPr>
    </w:p>
    <w:p>
      <w:pPr>
        <w:ind w:left="154" w:hanging="154"/>
        <w:spacing w:after="0" w:line="234" w:lineRule="auto"/>
        <w:tabs>
          <w:tab w:leader="none" w:pos="143" w:val="left"/>
        </w:tabs>
        <w:numPr>
          <w:ilvl w:val="0"/>
          <w:numId w:val="42"/>
        </w:numPr>
        <w:rPr>
          <w:rFonts w:ascii="Times New Roman" w:cs="Times New Roman" w:eastAsia="Times New Roman" w:hAnsi="Times New Roman"/>
          <w:sz w:val="16"/>
          <w:szCs w:val="16"/>
          <w:color w:val="auto"/>
        </w:rPr>
      </w:pPr>
      <w:r>
        <w:rPr>
          <w:rFonts w:ascii="Arial" w:cs="Arial" w:eastAsia="Arial" w:hAnsi="Arial"/>
          <w:sz w:val="16"/>
          <w:szCs w:val="16"/>
          <w:color w:val="auto"/>
        </w:rPr>
        <w:t>Reviews compensation policies and practices as they affect all employees and relate to risk management practices and risk-taking incentives</w:t>
      </w:r>
    </w:p>
    <w:p>
      <w:pPr>
        <w:spacing w:after="0" w:line="2" w:lineRule="exact"/>
        <w:rPr>
          <w:rFonts w:ascii="Times New Roman" w:cs="Times New Roman" w:eastAsia="Times New Roman" w:hAnsi="Times New Roman"/>
          <w:sz w:val="16"/>
          <w:szCs w:val="16"/>
          <w:color w:val="auto"/>
        </w:rPr>
      </w:pPr>
    </w:p>
    <w:p>
      <w:pPr>
        <w:ind w:left="154" w:right="120" w:hanging="154"/>
        <w:spacing w:after="0" w:line="237" w:lineRule="auto"/>
        <w:tabs>
          <w:tab w:leader="none" w:pos="143" w:val="left"/>
        </w:tabs>
        <w:numPr>
          <w:ilvl w:val="0"/>
          <w:numId w:val="42"/>
        </w:numPr>
        <w:rPr>
          <w:rFonts w:ascii="Times New Roman" w:cs="Times New Roman" w:eastAsia="Times New Roman" w:hAnsi="Times New Roman"/>
          <w:sz w:val="16"/>
          <w:szCs w:val="16"/>
          <w:color w:val="auto"/>
        </w:rPr>
      </w:pPr>
      <w:r>
        <w:rPr>
          <w:rFonts w:ascii="Arial" w:cs="Arial" w:eastAsia="Arial" w:hAnsi="Arial"/>
          <w:sz w:val="16"/>
          <w:szCs w:val="16"/>
          <w:color w:val="auto"/>
        </w:rPr>
        <w:t>Oversees strategies for human capital management, including diversity, equity and inclusion initiatives</w:t>
      </w:r>
    </w:p>
    <w:p>
      <w:pPr>
        <w:spacing w:after="0" w:line="1" w:lineRule="exact"/>
        <w:rPr>
          <w:rFonts w:ascii="Times New Roman" w:cs="Times New Roman" w:eastAsia="Times New Roman" w:hAnsi="Times New Roman"/>
          <w:sz w:val="16"/>
          <w:szCs w:val="16"/>
          <w:color w:val="auto"/>
        </w:rPr>
      </w:pPr>
    </w:p>
    <w:p>
      <w:pPr>
        <w:ind w:left="154" w:right="160" w:hanging="154"/>
        <w:spacing w:after="0" w:line="235" w:lineRule="auto"/>
        <w:tabs>
          <w:tab w:leader="none" w:pos="143" w:val="left"/>
        </w:tabs>
        <w:numPr>
          <w:ilvl w:val="0"/>
          <w:numId w:val="42"/>
        </w:numPr>
        <w:rPr>
          <w:rFonts w:ascii="Arial" w:cs="Arial" w:eastAsia="Arial" w:hAnsi="Arial"/>
          <w:sz w:val="16"/>
          <w:szCs w:val="16"/>
          <w:color w:val="auto"/>
        </w:rPr>
      </w:pPr>
      <w:r>
        <w:rPr>
          <w:rFonts w:ascii="Arial" w:cs="Arial" w:eastAsia="Arial" w:hAnsi="Arial"/>
          <w:sz w:val="16"/>
          <w:szCs w:val="16"/>
          <w:color w:val="auto"/>
        </w:rPr>
        <w:t>Reviews stock ownership guidelines for the CEO, other executive officers, senior management and the Board</w:t>
      </w:r>
    </w:p>
    <w:p>
      <w:pPr>
        <w:spacing w:after="0" w:line="20" w:lineRule="exact"/>
        <w:rPr>
          <w:sz w:val="20"/>
          <w:szCs w:val="20"/>
          <w:color w:val="auto"/>
        </w:rPr>
      </w:pPr>
      <w:r>
        <w:rPr>
          <w:sz w:val="20"/>
          <w:szCs w:val="20"/>
          <w:color w:val="auto"/>
        </w:rPr>
        <w:br w:type="column"/>
      </w:r>
    </w:p>
    <w:p>
      <w:pPr>
        <w:spacing w:after="0" w:line="328" w:lineRule="exact"/>
        <w:rPr>
          <w:sz w:val="20"/>
          <w:szCs w:val="20"/>
          <w:color w:val="auto"/>
        </w:rPr>
      </w:pPr>
    </w:p>
    <w:p>
      <w:pPr>
        <w:ind w:left="152" w:hanging="152"/>
        <w:spacing w:after="0"/>
        <w:tabs>
          <w:tab w:leader="none" w:pos="152" w:val="left"/>
        </w:tabs>
        <w:numPr>
          <w:ilvl w:val="0"/>
          <w:numId w:val="43"/>
        </w:numPr>
        <w:rPr>
          <w:rFonts w:ascii="Times New Roman" w:cs="Times New Roman" w:eastAsia="Times New Roman" w:hAnsi="Times New Roman"/>
          <w:sz w:val="16"/>
          <w:szCs w:val="16"/>
          <w:color w:val="auto"/>
        </w:rPr>
      </w:pPr>
      <w:r>
        <w:rPr>
          <w:rFonts w:ascii="Arial" w:cs="Arial" w:eastAsia="Arial" w:hAnsi="Arial"/>
          <w:sz w:val="16"/>
          <w:szCs w:val="16"/>
          <w:color w:val="auto"/>
        </w:rPr>
        <w:t>Evaluates the CEO's performance</w:t>
      </w:r>
    </w:p>
    <w:p>
      <w:pPr>
        <w:spacing w:after="0" w:line="18" w:lineRule="exact"/>
        <w:rPr>
          <w:rFonts w:ascii="Times New Roman" w:cs="Times New Roman" w:eastAsia="Times New Roman" w:hAnsi="Times New Roman"/>
          <w:sz w:val="16"/>
          <w:szCs w:val="16"/>
          <w:color w:val="auto"/>
        </w:rPr>
      </w:pPr>
    </w:p>
    <w:p>
      <w:pPr>
        <w:ind w:left="152" w:right="60" w:hanging="152"/>
        <w:spacing w:after="0" w:line="239" w:lineRule="auto"/>
        <w:tabs>
          <w:tab w:leader="none" w:pos="141" w:val="left"/>
        </w:tabs>
        <w:numPr>
          <w:ilvl w:val="0"/>
          <w:numId w:val="43"/>
        </w:numPr>
        <w:rPr>
          <w:rFonts w:ascii="Times New Roman" w:cs="Times New Roman" w:eastAsia="Times New Roman" w:hAnsi="Times New Roman"/>
          <w:sz w:val="16"/>
          <w:szCs w:val="16"/>
          <w:color w:val="auto"/>
        </w:rPr>
      </w:pPr>
      <w:r>
        <w:rPr>
          <w:rFonts w:ascii="Arial" w:cs="Arial" w:eastAsia="Arial" w:hAnsi="Arial"/>
          <w:sz w:val="16"/>
          <w:szCs w:val="16"/>
          <w:color w:val="auto"/>
        </w:rPr>
        <w:t>Approves performance goals for performance based awards</w:t>
      </w:r>
    </w:p>
    <w:p>
      <w:pPr>
        <w:spacing w:after="0" w:line="1" w:lineRule="exact"/>
        <w:rPr>
          <w:rFonts w:ascii="Times New Roman" w:cs="Times New Roman" w:eastAsia="Times New Roman" w:hAnsi="Times New Roman"/>
          <w:sz w:val="16"/>
          <w:szCs w:val="16"/>
          <w:color w:val="auto"/>
        </w:rPr>
      </w:pPr>
    </w:p>
    <w:p>
      <w:pPr>
        <w:ind w:left="152" w:right="20" w:hanging="152"/>
        <w:spacing w:after="0" w:line="233" w:lineRule="auto"/>
        <w:tabs>
          <w:tab w:leader="none" w:pos="141" w:val="left"/>
        </w:tabs>
        <w:numPr>
          <w:ilvl w:val="0"/>
          <w:numId w:val="43"/>
        </w:numPr>
        <w:rPr>
          <w:rFonts w:ascii="Times New Roman" w:cs="Times New Roman" w:eastAsia="Times New Roman" w:hAnsi="Times New Roman"/>
          <w:sz w:val="16"/>
          <w:szCs w:val="16"/>
          <w:color w:val="auto"/>
        </w:rPr>
      </w:pPr>
      <w:r>
        <w:rPr>
          <w:rFonts w:ascii="Arial" w:cs="Arial" w:eastAsia="Arial" w:hAnsi="Arial"/>
          <w:sz w:val="16"/>
          <w:szCs w:val="16"/>
          <w:color w:val="auto"/>
        </w:rPr>
        <w:t>Reviews with Management the Compensation Discussion and Analysis, the Committee report on executive compensation and any compensation-related proposals, including say-on-pay and frequency of say-on-pay proposals</w:t>
      </w:r>
    </w:p>
    <w:p>
      <w:pPr>
        <w:ind w:left="152" w:hanging="152"/>
        <w:spacing w:after="0" w:line="243" w:lineRule="auto"/>
        <w:tabs>
          <w:tab w:leader="none" w:pos="141" w:val="left"/>
        </w:tabs>
        <w:numPr>
          <w:ilvl w:val="0"/>
          <w:numId w:val="43"/>
        </w:numPr>
        <w:rPr>
          <w:rFonts w:ascii="Times New Roman" w:cs="Times New Roman" w:eastAsia="Times New Roman" w:hAnsi="Times New Roman"/>
          <w:sz w:val="16"/>
          <w:szCs w:val="16"/>
          <w:color w:val="auto"/>
        </w:rPr>
      </w:pPr>
      <w:r>
        <w:rPr>
          <w:rFonts w:ascii="Arial" w:cs="Arial" w:eastAsia="Arial" w:hAnsi="Arial"/>
          <w:sz w:val="16"/>
          <w:szCs w:val="16"/>
          <w:color w:val="auto"/>
        </w:rPr>
        <w:t>Reviews non-employee director compensation components and amounts</w:t>
      </w:r>
    </w:p>
    <w:p>
      <w:pPr>
        <w:ind w:left="152" w:right="100" w:hanging="152"/>
        <w:spacing w:after="0" w:line="235" w:lineRule="auto"/>
        <w:tabs>
          <w:tab w:leader="none" w:pos="141" w:val="left"/>
        </w:tabs>
        <w:numPr>
          <w:ilvl w:val="0"/>
          <w:numId w:val="43"/>
        </w:numPr>
        <w:rPr>
          <w:rFonts w:ascii="Arial" w:cs="Arial" w:eastAsia="Arial" w:hAnsi="Arial"/>
          <w:sz w:val="16"/>
          <w:szCs w:val="16"/>
          <w:color w:val="auto"/>
        </w:rPr>
      </w:pPr>
      <w:r>
        <w:rPr>
          <w:rFonts w:ascii="Arial" w:cs="Arial" w:eastAsia="Arial" w:hAnsi="Arial"/>
          <w:sz w:val="16"/>
          <w:szCs w:val="16"/>
          <w:color w:val="auto"/>
        </w:rPr>
        <w:t>Reviews succession planning and short-term contingency plans for emergencies for the CEO and other executive officers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-3314700</wp:posOffset>
            </wp:positionH>
            <wp:positionV relativeFrom="paragraph">
              <wp:posOffset>28575</wp:posOffset>
            </wp:positionV>
            <wp:extent cx="7099935"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09993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28" w:lineRule="exact"/>
        <w:rPr>
          <w:sz w:val="20"/>
          <w:szCs w:val="20"/>
          <w:color w:val="auto"/>
        </w:rPr>
      </w:pPr>
    </w:p>
    <w:p>
      <w:pPr>
        <w:spacing w:after="0"/>
        <w:rPr>
          <w:sz w:val="20"/>
          <w:szCs w:val="20"/>
          <w:color w:val="auto"/>
        </w:rPr>
      </w:pPr>
      <w:r>
        <w:rPr>
          <w:rFonts w:ascii="Arial" w:cs="Arial" w:eastAsia="Arial" w:hAnsi="Arial"/>
          <w:sz w:val="16"/>
          <w:szCs w:val="16"/>
          <w:b w:val="1"/>
          <w:bCs w:val="1"/>
          <w:color w:val="C00000"/>
        </w:rPr>
        <w:t>Committee Members</w:t>
      </w:r>
    </w:p>
    <w:p>
      <w:pPr>
        <w:spacing w:after="0" w:line="19" w:lineRule="exact"/>
        <w:rPr>
          <w:sz w:val="20"/>
          <w:szCs w:val="20"/>
          <w:color w:val="auto"/>
        </w:rPr>
      </w:pPr>
    </w:p>
    <w:p>
      <w:pPr>
        <w:ind w:right="980"/>
        <w:spacing w:after="0" w:line="232" w:lineRule="auto"/>
        <w:rPr>
          <w:sz w:val="20"/>
          <w:szCs w:val="20"/>
          <w:color w:val="auto"/>
        </w:rPr>
      </w:pPr>
      <w:r>
        <w:rPr>
          <w:rFonts w:ascii="Arial" w:cs="Arial" w:eastAsia="Arial" w:hAnsi="Arial"/>
          <w:sz w:val="16"/>
          <w:szCs w:val="16"/>
          <w:color w:val="auto"/>
        </w:rPr>
        <w:t>Mr. O'Rourke (Chair) Mr. Hansotia Mr. Koch</w:t>
      </w:r>
    </w:p>
    <w:p>
      <w:pPr>
        <w:spacing w:after="0"/>
        <w:rPr>
          <w:sz w:val="20"/>
          <w:szCs w:val="20"/>
          <w:color w:val="auto"/>
        </w:rPr>
      </w:pPr>
      <w:r>
        <w:rPr>
          <w:rFonts w:ascii="Arial" w:cs="Arial" w:eastAsia="Arial" w:hAnsi="Arial"/>
          <w:sz w:val="16"/>
          <w:szCs w:val="16"/>
          <w:color w:val="auto"/>
        </w:rPr>
        <w:t>Ms. Mullen</w:t>
      </w:r>
    </w:p>
    <w:p>
      <w:pPr>
        <w:spacing w:after="0" w:line="147" w:lineRule="exact"/>
        <w:rPr>
          <w:sz w:val="20"/>
          <w:szCs w:val="20"/>
          <w:color w:val="auto"/>
        </w:rPr>
      </w:pPr>
    </w:p>
    <w:p>
      <w:pPr>
        <w:spacing w:after="0"/>
        <w:rPr>
          <w:sz w:val="20"/>
          <w:szCs w:val="20"/>
          <w:color w:val="auto"/>
        </w:rPr>
      </w:pPr>
      <w:r>
        <w:rPr>
          <w:rFonts w:ascii="Arial" w:cs="Arial" w:eastAsia="Arial" w:hAnsi="Arial"/>
          <w:sz w:val="16"/>
          <w:szCs w:val="16"/>
          <w:b w:val="1"/>
          <w:bCs w:val="1"/>
          <w:color w:val="C00000"/>
        </w:rPr>
        <w:t>During Fiscal 2024</w:t>
      </w:r>
    </w:p>
    <w:p>
      <w:pPr>
        <w:spacing w:after="0" w:line="43" w:lineRule="exact"/>
        <w:rPr>
          <w:sz w:val="20"/>
          <w:szCs w:val="20"/>
          <w:color w:val="auto"/>
        </w:rPr>
      </w:pPr>
    </w:p>
    <w:p>
      <w:pPr>
        <w:spacing w:after="0"/>
        <w:rPr>
          <w:sz w:val="20"/>
          <w:szCs w:val="20"/>
          <w:color w:val="auto"/>
        </w:rPr>
      </w:pPr>
      <w:r>
        <w:rPr>
          <w:rFonts w:ascii="Arial" w:cs="Arial" w:eastAsia="Arial" w:hAnsi="Arial"/>
          <w:sz w:val="16"/>
          <w:szCs w:val="16"/>
          <w:color w:val="auto"/>
        </w:rPr>
        <w:t>Number of Meetings: 4</w:t>
      </w:r>
    </w:p>
    <w:p>
      <w:pPr>
        <w:spacing w:after="0" w:line="43" w:lineRule="exact"/>
        <w:rPr>
          <w:sz w:val="20"/>
          <w:szCs w:val="20"/>
          <w:color w:val="auto"/>
        </w:rPr>
      </w:pPr>
    </w:p>
    <w:p>
      <w:pPr>
        <w:spacing w:after="0"/>
        <w:rPr>
          <w:sz w:val="20"/>
          <w:szCs w:val="20"/>
          <w:color w:val="auto"/>
        </w:rPr>
      </w:pPr>
      <w:r>
        <w:rPr>
          <w:rFonts w:ascii="Arial" w:cs="Arial" w:eastAsia="Arial" w:hAnsi="Arial"/>
          <w:sz w:val="15"/>
          <w:szCs w:val="15"/>
          <w:color w:val="auto"/>
        </w:rPr>
        <w:t>Number of Executive Sessions: 4</w:t>
      </w:r>
    </w:p>
    <w:p>
      <w:pPr>
        <w:spacing w:after="0" w:line="1255" w:lineRule="exact"/>
        <w:rPr>
          <w:sz w:val="20"/>
          <w:szCs w:val="20"/>
          <w:color w:val="auto"/>
        </w:rPr>
      </w:pPr>
    </w:p>
    <w:p>
      <w:pPr>
        <w:sectPr>
          <w:pgSz w:w="11900" w:h="16838" w:orient="portrait"/>
          <w:cols w:equalWidth="0" w:num="4">
            <w:col w:w="1613" w:space="46"/>
            <w:col w:w="3374" w:space="188"/>
            <w:col w:w="3432" w:space="140"/>
            <w:col w:w="2440"/>
          </w:cols>
          <w:pgMar w:left="327" w:top="1152"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left="293"/>
        <w:spacing w:after="0"/>
        <w:rPr>
          <w:sz w:val="20"/>
          <w:szCs w:val="20"/>
          <w:color w:val="auto"/>
        </w:rPr>
      </w:pPr>
      <w:r>
        <w:rPr>
          <w:rFonts w:ascii="Arial" w:cs="Arial" w:eastAsia="Arial" w:hAnsi="Arial"/>
          <w:sz w:val="15"/>
          <w:szCs w:val="15"/>
          <w:b w:val="1"/>
          <w:bCs w:val="1"/>
          <w:color w:val="FFFFFF"/>
        </w:rPr>
        <w:t>Nominating &amp;</w:t>
      </w:r>
    </w:p>
    <w:p>
      <w:pPr>
        <w:spacing w:after="0" w:line="20" w:lineRule="exact"/>
        <w:rPr>
          <w:sz w:val="20"/>
          <w:szCs w:val="20"/>
          <w:color w:val="auto"/>
        </w:rPr>
      </w:pPr>
    </w:p>
    <w:p>
      <w:pPr>
        <w:ind w:left="353"/>
        <w:spacing w:after="0"/>
        <w:rPr>
          <w:sz w:val="20"/>
          <w:szCs w:val="20"/>
          <w:color w:val="auto"/>
        </w:rPr>
      </w:pPr>
      <w:r>
        <w:rPr>
          <w:rFonts w:ascii="Arial" w:cs="Arial" w:eastAsia="Arial" w:hAnsi="Arial"/>
          <w:sz w:val="16"/>
          <w:szCs w:val="16"/>
          <w:b w:val="1"/>
          <w:bCs w:val="1"/>
          <w:color w:val="FFFFFF"/>
        </w:rPr>
        <w:t>Governance</w:t>
      </w:r>
    </w:p>
    <w:p>
      <w:pPr>
        <w:jc w:val="center"/>
        <w:ind w:left="293"/>
        <w:spacing w:after="0"/>
        <w:rPr>
          <w:sz w:val="20"/>
          <w:szCs w:val="20"/>
          <w:color w:val="auto"/>
        </w:rPr>
      </w:pPr>
      <w:r>
        <w:rPr>
          <w:rFonts w:ascii="Arial" w:cs="Arial" w:eastAsia="Arial" w:hAnsi="Arial"/>
          <w:sz w:val="16"/>
          <w:szCs w:val="16"/>
          <w:b w:val="1"/>
          <w:bCs w:val="1"/>
          <w:color w:val="FFFFFF"/>
        </w:rPr>
        <w:t>Committee</w:t>
      </w:r>
    </w:p>
    <w:p>
      <w:pPr>
        <w:spacing w:after="0" w:line="20" w:lineRule="exact"/>
        <w:rPr>
          <w:sz w:val="20"/>
          <w:szCs w:val="20"/>
          <w:color w:val="auto"/>
        </w:rPr>
      </w:pPr>
      <w:r>
        <w:rPr>
          <w:sz w:val="20"/>
          <w:szCs w:val="20"/>
          <w:color w:val="auto"/>
        </w:rPr>
        <w:br w:type="column"/>
      </w:r>
    </w:p>
    <w:p>
      <w:pPr>
        <w:ind w:left="14"/>
        <w:spacing w:after="0"/>
        <w:rPr>
          <w:sz w:val="20"/>
          <w:szCs w:val="20"/>
          <w:color w:val="auto"/>
        </w:rPr>
      </w:pPr>
      <w:r>
        <w:rPr>
          <w:rFonts w:ascii="Arial" w:cs="Arial" w:eastAsia="Arial" w:hAnsi="Arial"/>
          <w:sz w:val="16"/>
          <w:szCs w:val="16"/>
          <w:b w:val="1"/>
          <w:bCs w:val="1"/>
          <w:color w:val="C00000"/>
        </w:rPr>
        <w:t>Key Committee Functions</w:t>
      </w:r>
    </w:p>
    <w:p>
      <w:pPr>
        <w:spacing w:after="0" w:line="32" w:lineRule="exact"/>
        <w:rPr>
          <w:sz w:val="20"/>
          <w:szCs w:val="20"/>
          <w:color w:val="auto"/>
        </w:rPr>
      </w:pPr>
    </w:p>
    <w:p>
      <w:pPr>
        <w:ind w:left="154" w:right="160" w:hanging="154"/>
        <w:spacing w:after="0" w:line="235" w:lineRule="auto"/>
        <w:tabs>
          <w:tab w:leader="none" w:pos="143" w:val="left"/>
        </w:tabs>
        <w:numPr>
          <w:ilvl w:val="0"/>
          <w:numId w:val="44"/>
        </w:numPr>
        <w:rPr>
          <w:rFonts w:ascii="Times New Roman" w:cs="Times New Roman" w:eastAsia="Times New Roman" w:hAnsi="Times New Roman"/>
          <w:sz w:val="16"/>
          <w:szCs w:val="16"/>
          <w:color w:val="auto"/>
        </w:rPr>
      </w:pPr>
      <w:r>
        <w:rPr>
          <w:rFonts w:ascii="Arial" w:cs="Arial" w:eastAsia="Arial" w:hAnsi="Arial"/>
          <w:sz w:val="16"/>
          <w:szCs w:val="16"/>
          <w:color w:val="auto"/>
        </w:rPr>
        <w:t>Reviews and recommends to the Board the size and composition of the Board and its committees</w:t>
      </w:r>
    </w:p>
    <w:p>
      <w:pPr>
        <w:ind w:left="154" w:right="360" w:hanging="154"/>
        <w:spacing w:after="0" w:line="237" w:lineRule="auto"/>
        <w:tabs>
          <w:tab w:leader="none" w:pos="143" w:val="left"/>
        </w:tabs>
        <w:numPr>
          <w:ilvl w:val="0"/>
          <w:numId w:val="44"/>
        </w:numPr>
        <w:rPr>
          <w:rFonts w:ascii="Times New Roman" w:cs="Times New Roman" w:eastAsia="Times New Roman" w:hAnsi="Times New Roman"/>
          <w:sz w:val="16"/>
          <w:szCs w:val="16"/>
          <w:color w:val="auto"/>
        </w:rPr>
      </w:pPr>
      <w:r>
        <w:rPr>
          <w:rFonts w:ascii="Arial" w:cs="Arial" w:eastAsia="Arial" w:hAnsi="Arial"/>
          <w:sz w:val="16"/>
          <w:szCs w:val="16"/>
          <w:color w:val="auto"/>
        </w:rPr>
        <w:t>Identifies individuals qualified to become Board members</w:t>
      </w:r>
    </w:p>
    <w:p>
      <w:pPr>
        <w:spacing w:after="0" w:line="1" w:lineRule="exact"/>
        <w:rPr>
          <w:rFonts w:ascii="Times New Roman" w:cs="Times New Roman" w:eastAsia="Times New Roman" w:hAnsi="Times New Roman"/>
          <w:sz w:val="16"/>
          <w:szCs w:val="16"/>
          <w:color w:val="auto"/>
        </w:rPr>
      </w:pPr>
    </w:p>
    <w:p>
      <w:pPr>
        <w:ind w:left="154" w:hanging="154"/>
        <w:spacing w:after="0" w:line="243" w:lineRule="auto"/>
        <w:tabs>
          <w:tab w:leader="none" w:pos="143" w:val="left"/>
        </w:tabs>
        <w:numPr>
          <w:ilvl w:val="0"/>
          <w:numId w:val="44"/>
        </w:numPr>
        <w:rPr>
          <w:rFonts w:ascii="Times New Roman" w:cs="Times New Roman" w:eastAsia="Times New Roman" w:hAnsi="Times New Roman"/>
          <w:sz w:val="16"/>
          <w:szCs w:val="16"/>
          <w:color w:val="auto"/>
        </w:rPr>
      </w:pPr>
      <w:r>
        <w:rPr>
          <w:rFonts w:ascii="Arial" w:cs="Arial" w:eastAsia="Arial" w:hAnsi="Arial"/>
          <w:sz w:val="16"/>
          <w:szCs w:val="16"/>
          <w:color w:val="auto"/>
        </w:rPr>
        <w:t>Recommends to the Board director nominees for election at the annual meeting</w:t>
      </w:r>
    </w:p>
    <w:p>
      <w:pPr>
        <w:ind w:left="154" w:hanging="154"/>
        <w:spacing w:after="0"/>
        <w:tabs>
          <w:tab w:leader="none" w:pos="154" w:val="left"/>
        </w:tabs>
        <w:numPr>
          <w:ilvl w:val="0"/>
          <w:numId w:val="44"/>
        </w:numPr>
        <w:rPr>
          <w:rFonts w:ascii="Times New Roman" w:cs="Times New Roman" w:eastAsia="Times New Roman" w:hAnsi="Times New Roman"/>
          <w:sz w:val="16"/>
          <w:szCs w:val="16"/>
          <w:color w:val="auto"/>
        </w:rPr>
      </w:pPr>
      <w:r>
        <w:rPr>
          <w:rFonts w:ascii="Arial" w:cs="Arial" w:eastAsia="Arial" w:hAnsi="Arial"/>
          <w:sz w:val="16"/>
          <w:szCs w:val="16"/>
          <w:color w:val="auto"/>
        </w:rPr>
        <w:t>Oversees the annual evaluation of the Board</w:t>
      </w:r>
    </w:p>
    <w:p>
      <w:pPr>
        <w:spacing w:after="0" w:line="10" w:lineRule="exact"/>
        <w:rPr>
          <w:rFonts w:ascii="Times New Roman" w:cs="Times New Roman" w:eastAsia="Times New Roman" w:hAnsi="Times New Roman"/>
          <w:sz w:val="16"/>
          <w:szCs w:val="16"/>
          <w:color w:val="auto"/>
        </w:rPr>
      </w:pPr>
    </w:p>
    <w:p>
      <w:pPr>
        <w:ind w:left="154" w:hanging="154"/>
        <w:spacing w:after="0"/>
        <w:tabs>
          <w:tab w:leader="none" w:pos="154" w:val="left"/>
        </w:tabs>
        <w:numPr>
          <w:ilvl w:val="0"/>
          <w:numId w:val="44"/>
        </w:numPr>
        <w:rPr>
          <w:rFonts w:ascii="Arial" w:cs="Arial" w:eastAsia="Arial" w:hAnsi="Arial"/>
          <w:sz w:val="16"/>
          <w:szCs w:val="16"/>
          <w:color w:val="auto"/>
        </w:rPr>
      </w:pPr>
      <w:r>
        <w:rPr>
          <w:rFonts w:ascii="Arial" w:cs="Arial" w:eastAsia="Arial" w:hAnsi="Arial"/>
          <w:sz w:val="16"/>
          <w:szCs w:val="16"/>
          <w:color w:val="auto"/>
        </w:rPr>
        <w:t>Oversees sustainability program</w:t>
      </w:r>
    </w:p>
    <w:p>
      <w:pPr>
        <w:spacing w:after="0" w:line="20" w:lineRule="exact"/>
        <w:rPr>
          <w:sz w:val="20"/>
          <w:szCs w:val="20"/>
          <w:color w:val="auto"/>
        </w:rPr>
      </w:pPr>
      <w:r>
        <w:rPr>
          <w:sz w:val="20"/>
          <w:szCs w:val="20"/>
          <w:color w:val="auto"/>
        </w:rPr>
        <w:br w:type="column"/>
      </w:r>
    </w:p>
    <w:p>
      <w:pPr>
        <w:spacing w:after="0" w:line="180" w:lineRule="exact"/>
        <w:rPr>
          <w:sz w:val="20"/>
          <w:szCs w:val="20"/>
          <w:color w:val="auto"/>
        </w:rPr>
      </w:pPr>
    </w:p>
    <w:p>
      <w:pPr>
        <w:ind w:left="152" w:right="20" w:hanging="152"/>
        <w:spacing w:after="0" w:line="239" w:lineRule="auto"/>
        <w:tabs>
          <w:tab w:leader="none" w:pos="141" w:val="left"/>
        </w:tabs>
        <w:numPr>
          <w:ilvl w:val="0"/>
          <w:numId w:val="45"/>
        </w:numPr>
        <w:rPr>
          <w:rFonts w:ascii="Times New Roman" w:cs="Times New Roman" w:eastAsia="Times New Roman" w:hAnsi="Times New Roman"/>
          <w:sz w:val="16"/>
          <w:szCs w:val="16"/>
          <w:color w:val="auto"/>
        </w:rPr>
      </w:pPr>
      <w:r>
        <w:rPr>
          <w:rFonts w:ascii="Arial" w:cs="Arial" w:eastAsia="Arial" w:hAnsi="Arial"/>
          <w:sz w:val="16"/>
          <w:szCs w:val="16"/>
          <w:color w:val="auto"/>
        </w:rPr>
        <w:t>Reviews and recommends to the Board any proposed amendments or changes to Restated Certificate of Incorporation or Amended and Restated Bylaws</w:t>
      </w:r>
    </w:p>
    <w:p>
      <w:pPr>
        <w:spacing w:after="0" w:line="2" w:lineRule="exact"/>
        <w:rPr>
          <w:rFonts w:ascii="Times New Roman" w:cs="Times New Roman" w:eastAsia="Times New Roman" w:hAnsi="Times New Roman"/>
          <w:sz w:val="16"/>
          <w:szCs w:val="16"/>
          <w:color w:val="auto"/>
        </w:rPr>
      </w:pPr>
    </w:p>
    <w:p>
      <w:pPr>
        <w:jc w:val="both"/>
        <w:ind w:left="152" w:hanging="152"/>
        <w:spacing w:after="0" w:line="243" w:lineRule="auto"/>
        <w:tabs>
          <w:tab w:leader="none" w:pos="141" w:val="left"/>
        </w:tabs>
        <w:numPr>
          <w:ilvl w:val="0"/>
          <w:numId w:val="45"/>
        </w:numPr>
        <w:rPr>
          <w:rFonts w:ascii="Times New Roman" w:cs="Times New Roman" w:eastAsia="Times New Roman" w:hAnsi="Times New Roman"/>
          <w:sz w:val="16"/>
          <w:szCs w:val="16"/>
          <w:color w:val="auto"/>
        </w:rPr>
      </w:pPr>
      <w:r>
        <w:rPr>
          <w:rFonts w:ascii="Arial" w:cs="Arial" w:eastAsia="Arial" w:hAnsi="Arial"/>
          <w:sz w:val="16"/>
          <w:szCs w:val="16"/>
          <w:color w:val="auto"/>
        </w:rPr>
        <w:t>Reviews Corporate Governance Guidelines and recommends to the Board any changes</w:t>
      </w:r>
    </w:p>
    <w:p>
      <w:pPr>
        <w:ind w:left="152" w:hanging="152"/>
        <w:spacing w:after="0"/>
        <w:tabs>
          <w:tab w:leader="none" w:pos="152" w:val="left"/>
        </w:tabs>
        <w:numPr>
          <w:ilvl w:val="0"/>
          <w:numId w:val="45"/>
        </w:numPr>
        <w:rPr>
          <w:rFonts w:ascii="Times New Roman" w:cs="Times New Roman" w:eastAsia="Times New Roman" w:hAnsi="Times New Roman"/>
          <w:sz w:val="16"/>
          <w:szCs w:val="16"/>
          <w:color w:val="auto"/>
        </w:rPr>
      </w:pPr>
      <w:r>
        <w:rPr>
          <w:rFonts w:ascii="Arial" w:cs="Arial" w:eastAsia="Arial" w:hAnsi="Arial"/>
          <w:sz w:val="16"/>
          <w:szCs w:val="16"/>
          <w:color w:val="auto"/>
        </w:rPr>
        <w:t>Monitors corporate governance trends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-3314700</wp:posOffset>
            </wp:positionH>
            <wp:positionV relativeFrom="paragraph">
              <wp:posOffset>271145</wp:posOffset>
            </wp:positionV>
            <wp:extent cx="7099935"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09993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b w:val="1"/>
          <w:bCs w:val="1"/>
          <w:color w:val="C00000"/>
        </w:rPr>
        <w:t>Committee Members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Mr. Koch (Chair)</w:t>
      </w:r>
    </w:p>
    <w:p>
      <w:pPr>
        <w:spacing w:after="0" w:line="3" w:lineRule="exact"/>
        <w:rPr>
          <w:sz w:val="20"/>
          <w:szCs w:val="20"/>
          <w:color w:val="auto"/>
        </w:rPr>
      </w:pPr>
    </w:p>
    <w:p>
      <w:pPr>
        <w:spacing w:after="0"/>
        <w:rPr>
          <w:sz w:val="20"/>
          <w:szCs w:val="20"/>
          <w:color w:val="auto"/>
        </w:rPr>
      </w:pPr>
      <w:r>
        <w:rPr>
          <w:rFonts w:ascii="Arial" w:cs="Arial" w:eastAsia="Arial" w:hAnsi="Arial"/>
          <w:sz w:val="16"/>
          <w:szCs w:val="16"/>
          <w:color w:val="auto"/>
        </w:rPr>
        <w:t>Mr. Hansotia</w:t>
      </w:r>
    </w:p>
    <w:p>
      <w:pPr>
        <w:spacing w:after="0" w:line="3" w:lineRule="exact"/>
        <w:rPr>
          <w:sz w:val="20"/>
          <w:szCs w:val="20"/>
          <w:color w:val="auto"/>
        </w:rPr>
      </w:pPr>
    </w:p>
    <w:p>
      <w:pPr>
        <w:spacing w:after="0"/>
        <w:rPr>
          <w:sz w:val="20"/>
          <w:szCs w:val="20"/>
          <w:color w:val="auto"/>
        </w:rPr>
      </w:pPr>
      <w:r>
        <w:rPr>
          <w:rFonts w:ascii="Arial" w:cs="Arial" w:eastAsia="Arial" w:hAnsi="Arial"/>
          <w:sz w:val="16"/>
          <w:szCs w:val="16"/>
          <w:color w:val="auto"/>
        </w:rPr>
        <w:t>Ms. Mullen</w:t>
      </w:r>
    </w:p>
    <w:p>
      <w:pPr>
        <w:spacing w:after="0" w:line="3" w:lineRule="exact"/>
        <w:rPr>
          <w:sz w:val="20"/>
          <w:szCs w:val="20"/>
          <w:color w:val="auto"/>
        </w:rPr>
      </w:pPr>
    </w:p>
    <w:p>
      <w:pPr>
        <w:spacing w:after="0"/>
        <w:rPr>
          <w:sz w:val="20"/>
          <w:szCs w:val="20"/>
          <w:color w:val="auto"/>
        </w:rPr>
      </w:pPr>
      <w:r>
        <w:rPr>
          <w:rFonts w:ascii="Arial" w:cs="Arial" w:eastAsia="Arial" w:hAnsi="Arial"/>
          <w:sz w:val="16"/>
          <w:szCs w:val="16"/>
          <w:color w:val="auto"/>
        </w:rPr>
        <w:t>Mr. O'Rourke</w:t>
      </w:r>
    </w:p>
    <w:p>
      <w:pPr>
        <w:spacing w:after="0" w:line="160" w:lineRule="exact"/>
        <w:rPr>
          <w:sz w:val="20"/>
          <w:szCs w:val="20"/>
          <w:color w:val="auto"/>
        </w:rPr>
      </w:pPr>
    </w:p>
    <w:p>
      <w:pPr>
        <w:spacing w:after="0"/>
        <w:rPr>
          <w:sz w:val="20"/>
          <w:szCs w:val="20"/>
          <w:color w:val="auto"/>
        </w:rPr>
      </w:pPr>
      <w:r>
        <w:rPr>
          <w:rFonts w:ascii="Arial" w:cs="Arial" w:eastAsia="Arial" w:hAnsi="Arial"/>
          <w:sz w:val="16"/>
          <w:szCs w:val="16"/>
          <w:b w:val="1"/>
          <w:bCs w:val="1"/>
          <w:color w:val="C00000"/>
        </w:rPr>
        <w:t>During Fiscal 2024</w:t>
      </w:r>
    </w:p>
    <w:p>
      <w:pPr>
        <w:spacing w:after="0" w:line="56" w:lineRule="exact"/>
        <w:rPr>
          <w:sz w:val="20"/>
          <w:szCs w:val="20"/>
          <w:color w:val="auto"/>
        </w:rPr>
      </w:pPr>
    </w:p>
    <w:p>
      <w:pPr>
        <w:spacing w:after="0"/>
        <w:rPr>
          <w:sz w:val="20"/>
          <w:szCs w:val="20"/>
          <w:color w:val="auto"/>
        </w:rPr>
      </w:pPr>
      <w:r>
        <w:rPr>
          <w:rFonts w:ascii="Arial" w:cs="Arial" w:eastAsia="Arial" w:hAnsi="Arial"/>
          <w:sz w:val="16"/>
          <w:szCs w:val="16"/>
          <w:color w:val="auto"/>
        </w:rPr>
        <w:t>Number of Meetings: 3</w:t>
      </w:r>
    </w:p>
    <w:p>
      <w:pPr>
        <w:spacing w:after="0" w:line="56" w:lineRule="exact"/>
        <w:rPr>
          <w:sz w:val="20"/>
          <w:szCs w:val="20"/>
          <w:color w:val="auto"/>
        </w:rPr>
      </w:pPr>
    </w:p>
    <w:p>
      <w:pPr>
        <w:spacing w:after="0"/>
        <w:rPr>
          <w:sz w:val="20"/>
          <w:szCs w:val="20"/>
          <w:color w:val="auto"/>
        </w:rPr>
      </w:pPr>
      <w:r>
        <w:rPr>
          <w:rFonts w:ascii="Arial" w:cs="Arial" w:eastAsia="Arial" w:hAnsi="Arial"/>
          <w:sz w:val="15"/>
          <w:szCs w:val="15"/>
          <w:color w:val="auto"/>
        </w:rPr>
        <w:t>Number of Executive Sessions: 3</w:t>
      </w:r>
    </w:p>
    <w:p>
      <w:pPr>
        <w:spacing w:after="0" w:line="302" w:lineRule="exact"/>
        <w:rPr>
          <w:sz w:val="20"/>
          <w:szCs w:val="20"/>
          <w:color w:val="auto"/>
        </w:rPr>
      </w:pPr>
    </w:p>
    <w:p>
      <w:pPr>
        <w:sectPr>
          <w:pgSz w:w="11900" w:h="16838" w:orient="portrait"/>
          <w:cols w:equalWidth="0" w:num="4">
            <w:col w:w="1333" w:space="326"/>
            <w:col w:w="3374" w:space="188"/>
            <w:col w:w="3272" w:space="300"/>
            <w:col w:w="2440"/>
          </w:cols>
          <w:pgMar w:left="327" w:top="1152"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ind w:right="7"/>
        <w:spacing w:after="0"/>
        <w:rPr>
          <w:sz w:val="20"/>
          <w:szCs w:val="20"/>
          <w:color w:val="auto"/>
        </w:rPr>
      </w:pPr>
      <w:r>
        <w:rPr>
          <w:rFonts w:ascii="Arial" w:cs="Arial" w:eastAsia="Arial" w:hAnsi="Arial"/>
          <w:sz w:val="21"/>
          <w:szCs w:val="21"/>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79375</wp:posOffset>
            </wp:positionV>
            <wp:extent cx="7159625"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33"/>
          </w:cols>
          <w:pgMar w:left="327" w:top="1152" w:right="339" w:bottom="1440" w:gutter="0" w:footer="0" w:header="0"/>
          <w:type w:val="continuous"/>
        </w:sectPr>
      </w:pPr>
    </w:p>
    <w:bookmarkStart w:id="33" w:name="page34"/>
    <w:bookmarkEnd w:id="33"/>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19"/>
        <w:spacing w:after="0"/>
        <w:rPr>
          <w:sz w:val="20"/>
          <w:szCs w:val="20"/>
          <w:color w:val="auto"/>
        </w:rPr>
      </w:pPr>
      <w:r>
        <w:rPr>
          <w:rFonts w:ascii="Arial" w:cs="Arial" w:eastAsia="Arial" w:hAnsi="Arial"/>
          <w:sz w:val="21"/>
          <w:szCs w:val="21"/>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-718820</wp:posOffset>
            </wp:positionH>
            <wp:positionV relativeFrom="paragraph">
              <wp:posOffset>71120</wp:posOffset>
            </wp:positionV>
            <wp:extent cx="7159625"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34" w:name="page35"/>
    <w:bookmarkEnd w:id="3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732790</wp:posOffset>
            </wp:positionV>
            <wp:extent cx="1042035" cy="144907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1042035" cy="14490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ind w:left="420"/>
        <w:spacing w:after="0"/>
        <w:rPr>
          <w:sz w:val="20"/>
          <w:szCs w:val="20"/>
          <w:color w:val="auto"/>
        </w:rPr>
      </w:pPr>
      <w:r>
        <w:rPr>
          <w:rFonts w:ascii="Arial" w:cs="Arial" w:eastAsia="Arial" w:hAnsi="Arial"/>
          <w:sz w:val="16"/>
          <w:szCs w:val="16"/>
          <w:b w:val="1"/>
          <w:bCs w:val="1"/>
          <w:color w:val="FFFFFF"/>
        </w:rPr>
        <w:t>Finance</w:t>
      </w:r>
    </w:p>
    <w:p>
      <w:pPr>
        <w:spacing w:after="0" w:line="32" w:lineRule="exact"/>
        <w:rPr>
          <w:sz w:val="20"/>
          <w:szCs w:val="20"/>
          <w:color w:val="auto"/>
        </w:rPr>
      </w:pPr>
    </w:p>
    <w:p>
      <w:pPr>
        <w:jc w:val="center"/>
        <w:ind w:left="420"/>
        <w:spacing w:after="0"/>
        <w:rPr>
          <w:sz w:val="20"/>
          <w:szCs w:val="20"/>
          <w:color w:val="auto"/>
        </w:rPr>
      </w:pPr>
      <w:r>
        <w:rPr>
          <w:rFonts w:ascii="Arial" w:cs="Arial" w:eastAsia="Arial" w:hAnsi="Arial"/>
          <w:sz w:val="15"/>
          <w:szCs w:val="15"/>
          <w:b w:val="1"/>
          <w:bCs w:val="1"/>
          <w:color w:val="FFFFFF"/>
        </w:rPr>
        <w:t>Committee</w:t>
      </w:r>
    </w:p>
    <w:p>
      <w:pPr>
        <w:spacing w:after="0" w:line="20" w:lineRule="exact"/>
        <w:rPr>
          <w:sz w:val="20"/>
          <w:szCs w:val="20"/>
          <w:color w:val="auto"/>
        </w:rPr>
      </w:pPr>
      <w:r>
        <w:rPr>
          <w:sz w:val="20"/>
          <w:szCs w:val="20"/>
          <w:color w:val="auto"/>
        </w:rPr>
        <w:br w:type="column"/>
      </w:r>
    </w:p>
    <w:p>
      <w:pPr>
        <w:ind w:left="14"/>
        <w:spacing w:after="0"/>
        <w:rPr>
          <w:sz w:val="20"/>
          <w:szCs w:val="20"/>
          <w:color w:val="auto"/>
        </w:rPr>
      </w:pPr>
      <w:r>
        <w:rPr>
          <w:rFonts w:ascii="Arial" w:cs="Arial" w:eastAsia="Arial" w:hAnsi="Arial"/>
          <w:sz w:val="16"/>
          <w:szCs w:val="16"/>
          <w:b w:val="1"/>
          <w:bCs w:val="1"/>
          <w:color w:val="C00000"/>
        </w:rPr>
        <w:t>Key Committee Functions</w:t>
      </w:r>
    </w:p>
    <w:p>
      <w:pPr>
        <w:spacing w:after="0" w:line="32" w:lineRule="exact"/>
        <w:rPr>
          <w:sz w:val="20"/>
          <w:szCs w:val="20"/>
          <w:color w:val="auto"/>
        </w:rPr>
      </w:pPr>
    </w:p>
    <w:p>
      <w:pPr>
        <w:ind w:left="154" w:right="20" w:hanging="154"/>
        <w:spacing w:after="0" w:line="236" w:lineRule="auto"/>
        <w:tabs>
          <w:tab w:leader="none" w:pos="143" w:val="left"/>
        </w:tabs>
        <w:numPr>
          <w:ilvl w:val="0"/>
          <w:numId w:val="46"/>
        </w:numPr>
        <w:rPr>
          <w:rFonts w:ascii="Times New Roman" w:cs="Times New Roman" w:eastAsia="Times New Roman" w:hAnsi="Times New Roman"/>
          <w:sz w:val="16"/>
          <w:szCs w:val="16"/>
          <w:color w:val="auto"/>
        </w:rPr>
      </w:pPr>
      <w:r>
        <w:rPr>
          <w:rFonts w:ascii="Arial" w:cs="Arial" w:eastAsia="Arial" w:hAnsi="Arial"/>
          <w:sz w:val="16"/>
          <w:szCs w:val="16"/>
          <w:color w:val="auto"/>
        </w:rPr>
        <w:t>Reviews, and recommends to the Board as required, capital structure and related financial policies and long-range objectives, capital expenditures, tax strategies and restructuring projects, financing arrangements and cash or any special dividends</w:t>
      </w:r>
    </w:p>
    <w:p>
      <w:pPr>
        <w:spacing w:after="0" w:line="2" w:lineRule="exact"/>
        <w:rPr>
          <w:rFonts w:ascii="Times New Roman" w:cs="Times New Roman" w:eastAsia="Times New Roman" w:hAnsi="Times New Roman"/>
          <w:sz w:val="16"/>
          <w:szCs w:val="16"/>
          <w:color w:val="auto"/>
        </w:rPr>
      </w:pPr>
    </w:p>
    <w:p>
      <w:pPr>
        <w:ind w:left="154" w:hanging="154"/>
        <w:spacing w:after="0" w:line="237" w:lineRule="auto"/>
        <w:tabs>
          <w:tab w:leader="none" w:pos="143" w:val="left"/>
        </w:tabs>
        <w:numPr>
          <w:ilvl w:val="0"/>
          <w:numId w:val="46"/>
        </w:numPr>
        <w:rPr>
          <w:rFonts w:ascii="Times New Roman" w:cs="Times New Roman" w:eastAsia="Times New Roman" w:hAnsi="Times New Roman"/>
          <w:sz w:val="16"/>
          <w:szCs w:val="16"/>
          <w:color w:val="auto"/>
        </w:rPr>
      </w:pPr>
      <w:r>
        <w:rPr>
          <w:rFonts w:ascii="Arial" w:cs="Arial" w:eastAsia="Arial" w:hAnsi="Arial"/>
          <w:sz w:val="16"/>
          <w:szCs w:val="16"/>
          <w:color w:val="auto"/>
        </w:rPr>
        <w:t>Reviews and recommends to the Board the authorization for the issuance or repurchase of equity or long-term debt</w:t>
      </w:r>
    </w:p>
    <w:p>
      <w:pPr>
        <w:spacing w:after="0" w:line="20" w:lineRule="exact"/>
        <w:rPr>
          <w:sz w:val="20"/>
          <w:szCs w:val="20"/>
          <w:color w:val="auto"/>
        </w:rPr>
      </w:pPr>
      <w:r>
        <w:rPr>
          <w:sz w:val="20"/>
          <w:szCs w:val="20"/>
          <w:color w:val="auto"/>
        </w:rPr>
        <w:br w:type="column"/>
      </w:r>
    </w:p>
    <w:p>
      <w:pPr>
        <w:spacing w:after="0" w:line="180" w:lineRule="exact"/>
        <w:rPr>
          <w:sz w:val="20"/>
          <w:szCs w:val="20"/>
          <w:color w:val="auto"/>
        </w:rPr>
      </w:pPr>
    </w:p>
    <w:p>
      <w:pPr>
        <w:jc w:val="both"/>
        <w:ind w:left="152" w:right="440" w:hanging="152"/>
        <w:spacing w:after="0" w:line="248" w:lineRule="auto"/>
        <w:tabs>
          <w:tab w:leader="none" w:pos="141" w:val="left"/>
        </w:tabs>
        <w:numPr>
          <w:ilvl w:val="0"/>
          <w:numId w:val="47"/>
        </w:numPr>
        <w:rPr>
          <w:rFonts w:ascii="Times New Roman" w:cs="Times New Roman" w:eastAsia="Times New Roman" w:hAnsi="Times New Roman"/>
          <w:sz w:val="16"/>
          <w:szCs w:val="16"/>
          <w:color w:val="auto"/>
        </w:rPr>
      </w:pPr>
      <w:r>
        <w:rPr>
          <w:rFonts w:ascii="Arial" w:cs="Arial" w:eastAsia="Arial" w:hAnsi="Arial"/>
          <w:sz w:val="16"/>
          <w:szCs w:val="16"/>
          <w:color w:val="auto"/>
        </w:rPr>
        <w:t>Reviews use of derivative, hedging and similar instruments to manage financial, currency and interest rate exposure</w:t>
      </w:r>
    </w:p>
    <w:p>
      <w:pPr>
        <w:ind w:left="152" w:hanging="152"/>
        <w:spacing w:after="0" w:line="236" w:lineRule="auto"/>
        <w:tabs>
          <w:tab w:leader="none" w:pos="141" w:val="left"/>
        </w:tabs>
        <w:numPr>
          <w:ilvl w:val="0"/>
          <w:numId w:val="47"/>
        </w:numPr>
        <w:rPr>
          <w:rFonts w:ascii="Times New Roman" w:cs="Times New Roman" w:eastAsia="Times New Roman" w:hAnsi="Times New Roman"/>
          <w:sz w:val="16"/>
          <w:szCs w:val="16"/>
          <w:color w:val="auto"/>
        </w:rPr>
      </w:pPr>
      <w:r>
        <w:rPr>
          <w:rFonts w:ascii="Arial" w:cs="Arial" w:eastAsia="Arial" w:hAnsi="Arial"/>
          <w:sz w:val="16"/>
          <w:szCs w:val="16"/>
          <w:color w:val="auto"/>
        </w:rPr>
        <w:t>Evaluates, and recommends to the Board as required, financing implications of certain proposed merger, acquisition, divestiture, joint venture and other business combination transactions or investments</w:t>
      </w:r>
    </w:p>
    <w:p>
      <w:pPr>
        <w:spacing w:after="0" w:line="2" w:lineRule="exact"/>
        <w:rPr>
          <w:rFonts w:ascii="Times New Roman" w:cs="Times New Roman" w:eastAsia="Times New Roman" w:hAnsi="Times New Roman"/>
          <w:sz w:val="16"/>
          <w:szCs w:val="16"/>
          <w:color w:val="auto"/>
        </w:rPr>
      </w:pPr>
    </w:p>
    <w:p>
      <w:pPr>
        <w:ind w:left="152" w:right="420" w:hanging="152"/>
        <w:spacing w:after="0" w:line="237" w:lineRule="auto"/>
        <w:tabs>
          <w:tab w:leader="none" w:pos="141" w:val="left"/>
        </w:tabs>
        <w:numPr>
          <w:ilvl w:val="0"/>
          <w:numId w:val="47"/>
        </w:numPr>
        <w:rPr>
          <w:rFonts w:ascii="Times New Roman" w:cs="Times New Roman" w:eastAsia="Times New Roman" w:hAnsi="Times New Roman"/>
          <w:sz w:val="16"/>
          <w:szCs w:val="16"/>
          <w:color w:val="auto"/>
        </w:rPr>
      </w:pPr>
      <w:r>
        <w:rPr>
          <w:rFonts w:ascii="Arial" w:cs="Arial" w:eastAsia="Arial" w:hAnsi="Arial"/>
          <w:sz w:val="16"/>
          <w:szCs w:val="16"/>
          <w:color w:val="auto"/>
        </w:rPr>
        <w:t>Oversees investor relations program, including sustainability engagement and disclosures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-3314700</wp:posOffset>
            </wp:positionH>
            <wp:positionV relativeFrom="paragraph">
              <wp:posOffset>28575</wp:posOffset>
            </wp:positionV>
            <wp:extent cx="7099935"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09993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b w:val="1"/>
          <w:bCs w:val="1"/>
          <w:color w:val="C00000"/>
        </w:rPr>
        <w:t>Committee Members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Mr. Harmening (Chair)</w:t>
      </w:r>
    </w:p>
    <w:p>
      <w:pPr>
        <w:spacing w:after="0" w:line="3" w:lineRule="exact"/>
        <w:rPr>
          <w:sz w:val="20"/>
          <w:szCs w:val="20"/>
          <w:color w:val="auto"/>
        </w:rPr>
      </w:pPr>
    </w:p>
    <w:p>
      <w:pPr>
        <w:spacing w:after="0"/>
        <w:rPr>
          <w:sz w:val="20"/>
          <w:szCs w:val="20"/>
          <w:color w:val="auto"/>
        </w:rPr>
      </w:pPr>
      <w:r>
        <w:rPr>
          <w:rFonts w:ascii="Arial" w:cs="Arial" w:eastAsia="Arial" w:hAnsi="Arial"/>
          <w:sz w:val="16"/>
          <w:szCs w:val="16"/>
          <w:color w:val="auto"/>
        </w:rPr>
        <w:t>Ms. Craig</w:t>
      </w:r>
    </w:p>
    <w:p>
      <w:pPr>
        <w:spacing w:after="0" w:line="3" w:lineRule="exact"/>
        <w:rPr>
          <w:sz w:val="20"/>
          <w:szCs w:val="20"/>
          <w:color w:val="auto"/>
        </w:rPr>
      </w:pPr>
    </w:p>
    <w:p>
      <w:pPr>
        <w:spacing w:after="0"/>
        <w:rPr>
          <w:sz w:val="20"/>
          <w:szCs w:val="20"/>
          <w:color w:val="auto"/>
        </w:rPr>
      </w:pPr>
      <w:r>
        <w:rPr>
          <w:rFonts w:ascii="Arial" w:cs="Arial" w:eastAsia="Arial" w:hAnsi="Arial"/>
          <w:sz w:val="16"/>
          <w:szCs w:val="16"/>
          <w:color w:val="auto"/>
        </w:rPr>
        <w:t>Mr. Ellis</w:t>
      </w:r>
    </w:p>
    <w:p>
      <w:pPr>
        <w:spacing w:after="0" w:line="3" w:lineRule="exact"/>
        <w:rPr>
          <w:sz w:val="20"/>
          <w:szCs w:val="20"/>
          <w:color w:val="auto"/>
        </w:rPr>
      </w:pPr>
    </w:p>
    <w:p>
      <w:pPr>
        <w:spacing w:after="0"/>
        <w:rPr>
          <w:sz w:val="20"/>
          <w:szCs w:val="20"/>
          <w:color w:val="auto"/>
        </w:rPr>
      </w:pPr>
      <w:r>
        <w:rPr>
          <w:rFonts w:ascii="Arial" w:cs="Arial" w:eastAsia="Arial" w:hAnsi="Arial"/>
          <w:sz w:val="16"/>
          <w:szCs w:val="16"/>
          <w:color w:val="auto"/>
        </w:rPr>
        <w:t>Ms. Pemberton</w:t>
      </w:r>
    </w:p>
    <w:p>
      <w:pPr>
        <w:spacing w:after="0" w:line="160" w:lineRule="exact"/>
        <w:rPr>
          <w:sz w:val="20"/>
          <w:szCs w:val="20"/>
          <w:color w:val="auto"/>
        </w:rPr>
      </w:pPr>
    </w:p>
    <w:p>
      <w:pPr>
        <w:spacing w:after="0"/>
        <w:rPr>
          <w:sz w:val="20"/>
          <w:szCs w:val="20"/>
          <w:color w:val="auto"/>
        </w:rPr>
      </w:pPr>
      <w:r>
        <w:rPr>
          <w:rFonts w:ascii="Arial" w:cs="Arial" w:eastAsia="Arial" w:hAnsi="Arial"/>
          <w:sz w:val="16"/>
          <w:szCs w:val="16"/>
          <w:b w:val="1"/>
          <w:bCs w:val="1"/>
          <w:color w:val="C00000"/>
        </w:rPr>
        <w:t>During Fiscal 2024</w:t>
      </w:r>
    </w:p>
    <w:p>
      <w:pPr>
        <w:spacing w:after="0" w:line="56" w:lineRule="exact"/>
        <w:rPr>
          <w:sz w:val="20"/>
          <w:szCs w:val="20"/>
          <w:color w:val="auto"/>
        </w:rPr>
      </w:pPr>
    </w:p>
    <w:p>
      <w:pPr>
        <w:spacing w:after="0"/>
        <w:rPr>
          <w:sz w:val="20"/>
          <w:szCs w:val="20"/>
          <w:color w:val="auto"/>
        </w:rPr>
      </w:pPr>
      <w:r>
        <w:rPr>
          <w:rFonts w:ascii="Arial" w:cs="Arial" w:eastAsia="Arial" w:hAnsi="Arial"/>
          <w:sz w:val="16"/>
          <w:szCs w:val="16"/>
          <w:color w:val="auto"/>
        </w:rPr>
        <w:t>Number of Meetings: 2</w:t>
      </w:r>
    </w:p>
    <w:p>
      <w:pPr>
        <w:spacing w:after="0" w:line="56" w:lineRule="exact"/>
        <w:rPr>
          <w:sz w:val="20"/>
          <w:szCs w:val="20"/>
          <w:color w:val="auto"/>
        </w:rPr>
      </w:pPr>
    </w:p>
    <w:p>
      <w:pPr>
        <w:spacing w:after="0"/>
        <w:rPr>
          <w:sz w:val="20"/>
          <w:szCs w:val="20"/>
          <w:color w:val="auto"/>
        </w:rPr>
      </w:pPr>
      <w:r>
        <w:rPr>
          <w:rFonts w:ascii="Arial" w:cs="Arial" w:eastAsia="Arial" w:hAnsi="Arial"/>
          <w:sz w:val="15"/>
          <w:szCs w:val="15"/>
          <w:color w:val="auto"/>
        </w:rPr>
        <w:t>Number of Executive Sessions: 2</w:t>
      </w:r>
    </w:p>
    <w:p>
      <w:pPr>
        <w:spacing w:after="0" w:line="650" w:lineRule="exact"/>
        <w:rPr>
          <w:sz w:val="20"/>
          <w:szCs w:val="20"/>
          <w:color w:val="auto"/>
        </w:rPr>
      </w:pPr>
    </w:p>
    <w:p>
      <w:pPr>
        <w:sectPr>
          <w:pgSz w:w="11900" w:h="16838" w:orient="portrait"/>
          <w:cols w:equalWidth="0" w:num="4">
            <w:col w:w="1240" w:space="426"/>
            <w:col w:w="3454" w:space="108"/>
            <w:col w:w="3412" w:space="160"/>
            <w:col w:w="2440"/>
          </w:cols>
          <w:pgMar w:left="320" w:top="1166" w:right="339" w:bottom="1440" w:gutter="0" w:footer="0" w:header="0"/>
        </w:sectPr>
      </w:pPr>
    </w:p>
    <w:p>
      <w:pPr>
        <w:spacing w:after="0" w:line="88" w:lineRule="exact"/>
        <w:rPr>
          <w:sz w:val="20"/>
          <w:szCs w:val="20"/>
          <w:color w:val="auto"/>
        </w:rPr>
      </w:pPr>
    </w:p>
    <w:p>
      <w:pPr>
        <w:spacing w:after="0"/>
        <w:rPr>
          <w:sz w:val="20"/>
          <w:szCs w:val="20"/>
          <w:color w:val="auto"/>
        </w:rPr>
      </w:pPr>
      <w:r>
        <w:rPr>
          <w:rFonts w:ascii="Arial" w:cs="Arial" w:eastAsia="Arial" w:hAnsi="Arial"/>
          <w:sz w:val="20"/>
          <w:szCs w:val="20"/>
          <w:b w:val="1"/>
          <w:bCs w:val="1"/>
          <w:color w:val="C00000"/>
        </w:rPr>
        <w:t>Board's Role in Risk Oversight</w:t>
      </w:r>
    </w:p>
    <w:p>
      <w:pPr>
        <w:spacing w:after="0" w:line="84" w:lineRule="exact"/>
        <w:rPr>
          <w:sz w:val="20"/>
          <w:szCs w:val="20"/>
          <w:color w:val="auto"/>
        </w:rPr>
      </w:pPr>
    </w:p>
    <w:p>
      <w:pPr>
        <w:ind w:firstLine="320"/>
        <w:spacing w:after="0" w:line="246" w:lineRule="auto"/>
        <w:rPr>
          <w:sz w:val="20"/>
          <w:szCs w:val="20"/>
          <w:color w:val="auto"/>
        </w:rPr>
      </w:pPr>
      <w:r>
        <w:rPr>
          <w:rFonts w:ascii="Arial" w:cs="Arial" w:eastAsia="Arial" w:hAnsi="Arial"/>
          <w:sz w:val="18"/>
          <w:szCs w:val="18"/>
          <w:color w:val="auto"/>
        </w:rPr>
        <w:t>Management is primarily responsible for the identification, assessment and management of the key risks faced by our Company. We engage in an ERM process, which is coordinated primarily through our enterprise risk function, and involves:</w:t>
      </w:r>
    </w:p>
    <w:p>
      <w:pPr>
        <w:spacing w:after="0" w:line="69" w:lineRule="exact"/>
        <w:rPr>
          <w:sz w:val="20"/>
          <w:szCs w:val="20"/>
          <w:color w:val="auto"/>
        </w:rPr>
      </w:pPr>
    </w:p>
    <w:p>
      <w:pPr>
        <w:ind w:left="640" w:hanging="313"/>
        <w:spacing w:after="0" w:line="262" w:lineRule="auto"/>
        <w:tabs>
          <w:tab w:leader="none" w:pos="635" w:val="left"/>
        </w:tabs>
        <w:numPr>
          <w:ilvl w:val="0"/>
          <w:numId w:val="48"/>
        </w:numPr>
        <w:rPr>
          <w:rFonts w:ascii="Arial" w:cs="Arial" w:eastAsia="Arial" w:hAnsi="Arial"/>
          <w:sz w:val="18"/>
          <w:szCs w:val="18"/>
          <w:color w:val="auto"/>
        </w:rPr>
      </w:pPr>
      <w:r>
        <w:rPr>
          <w:rFonts w:ascii="Arial" w:cs="Arial" w:eastAsia="Arial" w:hAnsi="Arial"/>
          <w:sz w:val="18"/>
          <w:szCs w:val="18"/>
          <w:color w:val="auto"/>
        </w:rPr>
        <w:t>identification by the executive team and other senior leaders of the risks relevant to our strategic priorities of accelerating profitable growth, driving productivity and operational excellence, and empowering people;</w:t>
      </w:r>
    </w:p>
    <w:p>
      <w:pPr>
        <w:spacing w:after="0" w:line="41" w:lineRule="exact"/>
        <w:rPr>
          <w:rFonts w:ascii="Arial" w:cs="Arial" w:eastAsia="Arial" w:hAnsi="Arial"/>
          <w:sz w:val="18"/>
          <w:szCs w:val="18"/>
          <w:color w:val="auto"/>
        </w:rPr>
      </w:pPr>
    </w:p>
    <w:p>
      <w:pPr>
        <w:ind w:left="640" w:hanging="313"/>
        <w:spacing w:after="0"/>
        <w:tabs>
          <w:tab w:leader="none" w:pos="64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to the extent prudent and feasible, development of strategies and plans to monitor, mitigate and control such risks; and</w:t>
      </w:r>
    </w:p>
    <w:p>
      <w:pPr>
        <w:spacing w:after="0" w:line="99" w:lineRule="exact"/>
        <w:rPr>
          <w:rFonts w:ascii="Arial" w:cs="Arial" w:eastAsia="Arial" w:hAnsi="Arial"/>
          <w:sz w:val="18"/>
          <w:szCs w:val="18"/>
          <w:color w:val="auto"/>
        </w:rPr>
      </w:pPr>
    </w:p>
    <w:p>
      <w:pPr>
        <w:ind w:left="640" w:hanging="313"/>
        <w:spacing w:after="0" w:line="262" w:lineRule="auto"/>
        <w:tabs>
          <w:tab w:leader="none" w:pos="635" w:val="left"/>
        </w:tabs>
        <w:numPr>
          <w:ilvl w:val="0"/>
          <w:numId w:val="48"/>
        </w:numPr>
        <w:rPr>
          <w:rFonts w:ascii="Arial" w:cs="Arial" w:eastAsia="Arial" w:hAnsi="Arial"/>
          <w:sz w:val="18"/>
          <w:szCs w:val="18"/>
          <w:color w:val="auto"/>
        </w:rPr>
      </w:pPr>
      <w:r>
        <w:rPr>
          <w:rFonts w:ascii="Arial" w:cs="Arial" w:eastAsia="Arial" w:hAnsi="Arial"/>
          <w:sz w:val="18"/>
          <w:szCs w:val="18"/>
          <w:color w:val="auto"/>
        </w:rPr>
        <w:t>reports of the identified risks as part of the applicable strategy review or separately as a particular risk review, as considered necessary, to the Board and/or relevant committee, as applicable.</w:t>
      </w:r>
    </w:p>
    <w:p>
      <w:pPr>
        <w:spacing w:after="0" w:line="42" w:lineRule="exact"/>
        <w:rPr>
          <w:sz w:val="20"/>
          <w:szCs w:val="20"/>
          <w:color w:val="auto"/>
        </w:rPr>
      </w:pPr>
    </w:p>
    <w:p>
      <w:pPr>
        <w:jc w:val="both"/>
        <w:ind w:firstLine="320"/>
        <w:spacing w:after="0" w:line="247" w:lineRule="auto"/>
        <w:rPr>
          <w:sz w:val="20"/>
          <w:szCs w:val="20"/>
          <w:color w:val="auto"/>
        </w:rPr>
      </w:pPr>
      <w:r>
        <w:rPr>
          <w:rFonts w:ascii="Arial" w:cs="Arial" w:eastAsia="Arial" w:hAnsi="Arial"/>
          <w:sz w:val="18"/>
          <w:szCs w:val="18"/>
          <w:color w:val="auto"/>
        </w:rPr>
        <w:t>The Board's oversight of these risks primarily occurs in connection with the exercise of its responsibility to oversee our business, including through the review of our long-t strategic plans, overall sustainability strategy and its alignment with our business strategy, annual operating plans, financial results, merger and acquisition related activities, material legal proceedings and executive succession plans.</w:t>
      </w:r>
    </w:p>
    <w:p>
      <w:pPr>
        <w:spacing w:after="0" w:line="55"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Board relies on its committees to assist with risk oversight within their respective areas of responsibility and expertise as follows:</w:t>
      </w:r>
    </w:p>
    <w:p>
      <w:pPr>
        <w:spacing w:after="0" w:line="100" w:lineRule="exact"/>
        <w:rPr>
          <w:sz w:val="20"/>
          <w:szCs w:val="20"/>
          <w:color w:val="auto"/>
        </w:rPr>
      </w:pPr>
    </w:p>
    <w:p>
      <w:pPr>
        <w:jc w:val="both"/>
        <w:ind w:left="640" w:hanging="313"/>
        <w:spacing w:after="0" w:line="231" w:lineRule="auto"/>
        <w:tabs>
          <w:tab w:leader="none" w:pos="635"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Audit Committee assists through its oversight of the quality and integrity of our financial reports; compliance with applicable legal and regulatory requirements; qualifications, performance and independence of our external auditor; performance of our internal audit function; accounting and reporting processes, including those in connection with business combination purchase accounting and accounting and financial reporting integration activities; strategy, performance and experience of our information technology and security function and practices, including those related to cybersecurity; performance of our health and safety program; our Code of Conduct and ethics program; our general policies and procedures regarding accounting and financial matters and internal controls; and disclosure controls and assurance of the accuracy of sustainability metrics and disclosures. The Audit Committee is also responsible for providing oversight of our ERM process by discussing our procedures with respect to risk assessment and risk management, including our major financial and business risk exposures and the steps Management has taken to monitor, mitigate and control such exposures.</w:t>
      </w:r>
    </w:p>
    <w:p>
      <w:pPr>
        <w:spacing w:after="0" w:line="75" w:lineRule="exact"/>
        <w:rPr>
          <w:rFonts w:ascii="Arial" w:cs="Arial" w:eastAsia="Arial" w:hAnsi="Arial"/>
          <w:sz w:val="18"/>
          <w:szCs w:val="18"/>
          <w:color w:val="auto"/>
        </w:rPr>
      </w:pPr>
    </w:p>
    <w:p>
      <w:pPr>
        <w:jc w:val="both"/>
        <w:ind w:left="640" w:hanging="313"/>
        <w:spacing w:after="0" w:line="233" w:lineRule="auto"/>
        <w:tabs>
          <w:tab w:leader="none" w:pos="635"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Compensation &amp; Human Resources Committee assists through its oversight of our compensation and human capital management programs and policies, including executive compensation; organizational diversity, equity and inclusion; and corporate culture and engagement plans and strategies. In general, the Compensation &amp; Human Resources Committee has oversight for social factors included as part of our sustainability platform. A discussion of the Compensation &amp; Human Resources Committee's assessment of compensation policies and practices as they relate to our Company's risk management is found under "Risk Assessment" within the Compensation Discussion and Analysis section.</w:t>
      </w:r>
    </w:p>
    <w:p>
      <w:pPr>
        <w:spacing w:after="0" w:line="75" w:lineRule="exact"/>
        <w:rPr>
          <w:rFonts w:ascii="Arial" w:cs="Arial" w:eastAsia="Arial" w:hAnsi="Arial"/>
          <w:sz w:val="18"/>
          <w:szCs w:val="18"/>
          <w:color w:val="auto"/>
        </w:rPr>
      </w:pPr>
    </w:p>
    <w:p>
      <w:pPr>
        <w:jc w:val="both"/>
        <w:ind w:left="640" w:hanging="313"/>
        <w:spacing w:after="0" w:line="233" w:lineRule="auto"/>
        <w:tabs>
          <w:tab w:leader="none" w:pos="635"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Finance Committee assists through its oversight of our capital structure and related policies; long- range objectives; tax strategies and restructuring projects; financing requirements and arrangements, including any pricing or other performance metrics tied to our sustainability performance; equity and debt issuances and repurchases; use of derivative, hedging and similar instruments; annual capital budget and capital expenditures; D&amp;O and liability insurance coverage; the delegated responsibilities of our Management Investment Committee relating to our ERISA-regulated employee benefit plans; through its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79375</wp:posOffset>
            </wp:positionV>
            <wp:extent cx="7159625"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166" w:right="339" w:bottom="1440" w:gutter="0" w:footer="0" w:header="0"/>
          <w:type w:val="continuous"/>
        </w:sectPr>
      </w:pPr>
    </w:p>
    <w:bookmarkStart w:id="35" w:name="page36"/>
    <w:bookmarkEnd w:id="35"/>
    <w:p>
      <w:pPr>
        <w:ind w:left="640"/>
        <w:spacing w:after="0"/>
        <w:rPr>
          <w:sz w:val="20"/>
          <w:szCs w:val="20"/>
          <w:color w:val="auto"/>
        </w:rPr>
      </w:pPr>
      <w:r>
        <w:rPr>
          <w:rFonts w:ascii="Arial" w:cs="Arial" w:eastAsia="Arial" w:hAnsi="Arial"/>
          <w:sz w:val="18"/>
          <w:szCs w:val="18"/>
          <w:color w:val="auto"/>
        </w:rPr>
        <w:t>evaluation of, among other things, the financial impact of certain proposed business combination transactions; and shareholder</w:t>
      </w:r>
    </w:p>
    <w:p>
      <w:pPr>
        <w:spacing w:after="0" w:line="9" w:lineRule="exact"/>
        <w:rPr>
          <w:sz w:val="20"/>
          <w:szCs w:val="20"/>
          <w:color w:val="auto"/>
        </w:rPr>
      </w:pPr>
    </w:p>
    <w:p>
      <w:pPr>
        <w:ind w:left="640"/>
        <w:spacing w:after="0" w:line="234" w:lineRule="auto"/>
        <w:rPr>
          <w:sz w:val="20"/>
          <w:szCs w:val="20"/>
          <w:color w:val="auto"/>
        </w:rPr>
      </w:pPr>
      <w:r>
        <w:rPr>
          <w:rFonts w:ascii="Arial" w:cs="Arial" w:eastAsia="Arial" w:hAnsi="Arial"/>
          <w:sz w:val="18"/>
          <w:szCs w:val="18"/>
          <w:color w:val="auto"/>
        </w:rPr>
        <w:t>engagement activities and disclosures, including with regard to environmental, social and governance, or ESG, and our sustainability platform.</w:t>
      </w:r>
    </w:p>
    <w:p>
      <w:pPr>
        <w:spacing w:after="0" w:line="74" w:lineRule="exact"/>
        <w:rPr>
          <w:sz w:val="20"/>
          <w:szCs w:val="20"/>
          <w:color w:val="auto"/>
        </w:rPr>
      </w:pPr>
    </w:p>
    <w:p>
      <w:pPr>
        <w:jc w:val="both"/>
        <w:ind w:left="640" w:hanging="313"/>
        <w:spacing w:after="0" w:line="237" w:lineRule="auto"/>
        <w:tabs>
          <w:tab w:leader="none" w:pos="635"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Nominating &amp; Governance Committee assists through its oversight of our overall corporate governance structure and policies, including director nominations; director retirements; director independence and qualifications; Board leadership structure; Board committee structure; ESG considerations not included as part of the sustainability oversight allocated to the Board or other committees of the Board, which, in particular, includes review of certain ESG ratings; and monitoring of corporate governance trends.</w:t>
      </w:r>
    </w:p>
    <w:p>
      <w:pPr>
        <w:spacing w:after="0" w:line="76" w:lineRule="exact"/>
        <w:rPr>
          <w:sz w:val="20"/>
          <w:szCs w:val="20"/>
          <w:color w:val="auto"/>
        </w:rPr>
      </w:pPr>
    </w:p>
    <w:p>
      <w:pPr>
        <w:ind w:firstLine="320"/>
        <w:spacing w:after="0" w:line="233" w:lineRule="auto"/>
        <w:rPr>
          <w:sz w:val="20"/>
          <w:szCs w:val="20"/>
          <w:color w:val="auto"/>
        </w:rPr>
      </w:pPr>
      <w:r>
        <w:rPr>
          <w:rFonts w:ascii="Arial" w:cs="Arial" w:eastAsia="Arial" w:hAnsi="Arial"/>
          <w:sz w:val="18"/>
          <w:szCs w:val="18"/>
          <w:color w:val="auto"/>
        </w:rPr>
        <w:t>The Board believes that its oversight of risk is enhanced by its current leadership structure, as previously discussed, because our Chairman and CEO, who is ultimately responsible for the Company's risk responsibility, also chairs regular Board meetings and, with his in-</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depth knowledge and understanding of our Company, is well positioned to bring key business issues and risks to the attention of the full Board.</w:t>
      </w:r>
    </w:p>
    <w:p>
      <w:pPr>
        <w:spacing w:after="0" w:line="155" w:lineRule="exact"/>
        <w:rPr>
          <w:sz w:val="20"/>
          <w:szCs w:val="20"/>
          <w:color w:val="auto"/>
        </w:rPr>
      </w:pPr>
    </w:p>
    <w:p>
      <w:pPr>
        <w:spacing w:after="0"/>
        <w:rPr>
          <w:sz w:val="20"/>
          <w:szCs w:val="20"/>
          <w:color w:val="auto"/>
        </w:rPr>
      </w:pPr>
      <w:r>
        <w:rPr>
          <w:rFonts w:ascii="Arial" w:cs="Arial" w:eastAsia="Arial" w:hAnsi="Arial"/>
          <w:sz w:val="20"/>
          <w:szCs w:val="20"/>
          <w:b w:val="1"/>
          <w:bCs w:val="1"/>
          <w:color w:val="C00000"/>
        </w:rPr>
        <w:t>Executive Compensation Process</w:t>
      </w:r>
    </w:p>
    <w:p>
      <w:pPr>
        <w:spacing w:after="0" w:line="84" w:lineRule="exact"/>
        <w:rPr>
          <w:sz w:val="20"/>
          <w:szCs w:val="20"/>
          <w:color w:val="auto"/>
        </w:rPr>
      </w:pPr>
    </w:p>
    <w:p>
      <w:pPr>
        <w:ind w:firstLine="320"/>
        <w:spacing w:after="0" w:line="246" w:lineRule="auto"/>
        <w:rPr>
          <w:sz w:val="20"/>
          <w:szCs w:val="20"/>
          <w:color w:val="auto"/>
        </w:rPr>
      </w:pPr>
      <w:r>
        <w:rPr>
          <w:rFonts w:ascii="Arial" w:cs="Arial" w:eastAsia="Arial" w:hAnsi="Arial"/>
          <w:sz w:val="18"/>
          <w:szCs w:val="18"/>
          <w:color w:val="auto"/>
        </w:rPr>
        <w:t>At the beginning of each fiscal year, the Compensation &amp; Human Resources Committee reviews and approves compensation for each of our executive officers which generally includes:</w:t>
      </w:r>
    </w:p>
    <w:p>
      <w:pPr>
        <w:spacing w:after="0" w:line="16" w:lineRule="exact"/>
        <w:rPr>
          <w:sz w:val="20"/>
          <w:szCs w:val="20"/>
          <w:color w:val="auto"/>
        </w:rPr>
      </w:pPr>
    </w:p>
    <w:p>
      <w:pPr>
        <w:ind w:left="640" w:hanging="313"/>
        <w:spacing w:after="0"/>
        <w:tabs>
          <w:tab w:leader="none" w:pos="640" w:val="left"/>
        </w:tabs>
        <w:numPr>
          <w:ilvl w:val="0"/>
          <w:numId w:val="51"/>
        </w:numPr>
        <w:rPr>
          <w:rFonts w:ascii="Arial" w:cs="Arial" w:eastAsia="Arial" w:hAnsi="Arial"/>
          <w:sz w:val="18"/>
          <w:szCs w:val="18"/>
          <w:color w:val="auto"/>
        </w:rPr>
      </w:pPr>
      <w:r>
        <w:rPr>
          <w:rFonts w:ascii="Arial" w:cs="Arial" w:eastAsia="Arial" w:hAnsi="Arial"/>
          <w:sz w:val="18"/>
          <w:szCs w:val="18"/>
          <w:color w:val="auto"/>
        </w:rPr>
        <w:t>changes, if any, to base salary; and</w:t>
      </w:r>
    </w:p>
    <w:p>
      <w:pPr>
        <w:spacing w:after="0" w:line="46" w:lineRule="exact"/>
        <w:rPr>
          <w:rFonts w:ascii="Arial" w:cs="Arial" w:eastAsia="Arial" w:hAnsi="Arial"/>
          <w:sz w:val="18"/>
          <w:szCs w:val="18"/>
          <w:color w:val="auto"/>
        </w:rPr>
      </w:pPr>
    </w:p>
    <w:p>
      <w:pPr>
        <w:ind w:left="640" w:hanging="313"/>
        <w:spacing w:after="0"/>
        <w:tabs>
          <w:tab w:leader="none" w:pos="640" w:val="left"/>
        </w:tabs>
        <w:numPr>
          <w:ilvl w:val="0"/>
          <w:numId w:val="51"/>
        </w:numPr>
        <w:rPr>
          <w:rFonts w:ascii="Arial" w:cs="Arial" w:eastAsia="Arial" w:hAnsi="Arial"/>
          <w:sz w:val="18"/>
          <w:szCs w:val="18"/>
          <w:color w:val="auto"/>
        </w:rPr>
      </w:pPr>
      <w:r>
        <w:rPr>
          <w:rFonts w:ascii="Arial" w:cs="Arial" w:eastAsia="Arial" w:hAnsi="Arial"/>
          <w:sz w:val="18"/>
          <w:szCs w:val="18"/>
          <w:color w:val="auto"/>
        </w:rPr>
        <w:t>incentive awards, including:</w:t>
      </w:r>
    </w:p>
    <w:p>
      <w:pPr>
        <w:spacing w:after="0" w:line="33" w:lineRule="exact"/>
        <w:rPr>
          <w:rFonts w:ascii="Arial" w:cs="Arial" w:eastAsia="Arial" w:hAnsi="Arial"/>
          <w:sz w:val="18"/>
          <w:szCs w:val="18"/>
          <w:color w:val="auto"/>
        </w:rPr>
      </w:pPr>
    </w:p>
    <w:p>
      <w:pPr>
        <w:ind w:left="960" w:hanging="320"/>
        <w:spacing w:after="0" w:line="247" w:lineRule="auto"/>
        <w:rPr>
          <w:rFonts w:ascii="Arial" w:cs="Arial" w:eastAsia="Arial" w:hAnsi="Arial"/>
          <w:sz w:val="18"/>
          <w:szCs w:val="18"/>
          <w:color w:val="auto"/>
        </w:rPr>
      </w:pPr>
      <w:r>
        <w:rPr>
          <w:rFonts w:ascii="Arial" w:cs="Arial" w:eastAsia="Arial" w:hAnsi="Arial"/>
          <w:sz w:val="18"/>
          <w:szCs w:val="18"/>
          <w:color w:val="auto"/>
        </w:rPr>
        <w:t>– annual cash incentive awards for the current fiscal year, including: (i) participation targets expressed as a percentage of base salary, target payout amounts and maximum cash payout amounts; and (ii) performance measures, weightings, goals and adjustment events; and</w:t>
      </w:r>
    </w:p>
    <w:p>
      <w:pPr>
        <w:spacing w:after="0" w:line="1" w:lineRule="exact"/>
        <w:rPr>
          <w:rFonts w:ascii="Arial" w:cs="Arial" w:eastAsia="Arial" w:hAnsi="Arial"/>
          <w:sz w:val="18"/>
          <w:szCs w:val="18"/>
          <w:color w:val="auto"/>
        </w:rPr>
      </w:pPr>
    </w:p>
    <w:p>
      <w:pPr>
        <w:ind w:left="960" w:hanging="320"/>
        <w:spacing w:after="0" w:line="247" w:lineRule="auto"/>
        <w:rPr>
          <w:rFonts w:ascii="Arial" w:cs="Arial" w:eastAsia="Arial" w:hAnsi="Arial"/>
          <w:sz w:val="18"/>
          <w:szCs w:val="18"/>
          <w:color w:val="auto"/>
        </w:rPr>
      </w:pPr>
      <w:r>
        <w:rPr>
          <w:rFonts w:ascii="Arial" w:cs="Arial" w:eastAsia="Arial" w:hAnsi="Arial"/>
          <w:sz w:val="18"/>
          <w:szCs w:val="18"/>
          <w:color w:val="auto"/>
        </w:rPr>
        <w:t>– long-term incentive awards, including: (i) stock option awards; and (ii) three-year performance share awards, including (a) target share payout amounts and maximum share payout amounts, and (b) performance measures, weightings, goals and adjustment events.</w:t>
      </w:r>
    </w:p>
    <w:p>
      <w:pPr>
        <w:spacing w:after="0" w:line="55" w:lineRule="exact"/>
        <w:rPr>
          <w:sz w:val="20"/>
          <w:szCs w:val="20"/>
          <w:color w:val="auto"/>
        </w:rPr>
      </w:pPr>
    </w:p>
    <w:p>
      <w:pPr>
        <w:ind w:left="320"/>
        <w:spacing w:after="0"/>
        <w:rPr>
          <w:sz w:val="20"/>
          <w:szCs w:val="20"/>
          <w:color w:val="auto"/>
        </w:rPr>
      </w:pPr>
      <w:r>
        <w:rPr>
          <w:rFonts w:ascii="Arial" w:cs="Arial" w:eastAsia="Arial" w:hAnsi="Arial"/>
          <w:sz w:val="18"/>
          <w:szCs w:val="18"/>
          <w:color w:val="auto"/>
        </w:rPr>
        <w:t>In connection with this review and approval, the Compensation &amp; Human Resources Committee evaluates information regarding:</w:t>
      </w:r>
    </w:p>
    <w:p>
      <w:pPr>
        <w:spacing w:after="0" w:line="47" w:lineRule="exact"/>
        <w:rPr>
          <w:sz w:val="20"/>
          <w:szCs w:val="20"/>
          <w:color w:val="auto"/>
        </w:rPr>
      </w:pPr>
    </w:p>
    <w:p>
      <w:pPr>
        <w:ind w:left="640" w:hanging="313"/>
        <w:spacing w:after="0" w:line="255" w:lineRule="auto"/>
        <w:tabs>
          <w:tab w:leader="none" w:pos="635" w:val="left"/>
        </w:tabs>
        <w:numPr>
          <w:ilvl w:val="0"/>
          <w:numId w:val="52"/>
        </w:numPr>
        <w:rPr>
          <w:rFonts w:ascii="Arial" w:cs="Arial" w:eastAsia="Arial" w:hAnsi="Arial"/>
          <w:sz w:val="18"/>
          <w:szCs w:val="18"/>
          <w:color w:val="auto"/>
        </w:rPr>
      </w:pPr>
      <w:r>
        <w:rPr>
          <w:rFonts w:ascii="Arial" w:cs="Arial" w:eastAsia="Arial" w:hAnsi="Arial"/>
          <w:sz w:val="18"/>
          <w:szCs w:val="18"/>
          <w:color w:val="auto"/>
        </w:rPr>
        <w:t>market base salary, total cash compensation and total direct compensation data and analysis prepared by its independent external compensation consultant;</w:t>
      </w:r>
    </w:p>
    <w:p>
      <w:pPr>
        <w:ind w:left="640" w:hanging="313"/>
        <w:spacing w:after="0"/>
        <w:tabs>
          <w:tab w:leader="none" w:pos="64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total cash compensation to be paid for the fiscal year if annual cash incentive awards are achieved and paid at target;</w:t>
      </w:r>
    </w:p>
    <w:p>
      <w:pPr>
        <w:spacing w:after="0" w:line="46" w:lineRule="exact"/>
        <w:rPr>
          <w:rFonts w:ascii="Arial" w:cs="Arial" w:eastAsia="Arial" w:hAnsi="Arial"/>
          <w:sz w:val="18"/>
          <w:szCs w:val="18"/>
          <w:color w:val="auto"/>
        </w:rPr>
      </w:pPr>
    </w:p>
    <w:p>
      <w:pPr>
        <w:ind w:left="640" w:hanging="313"/>
        <w:spacing w:after="0"/>
        <w:tabs>
          <w:tab w:leader="none" w:pos="640" w:val="left"/>
        </w:tabs>
        <w:numPr>
          <w:ilvl w:val="0"/>
          <w:numId w:val="52"/>
        </w:numPr>
        <w:rPr>
          <w:rFonts w:ascii="Arial" w:cs="Arial" w:eastAsia="Arial" w:hAnsi="Arial"/>
          <w:sz w:val="18"/>
          <w:szCs w:val="18"/>
          <w:color w:val="auto"/>
        </w:rPr>
      </w:pPr>
      <w:r>
        <w:rPr>
          <w:rFonts w:ascii="Arial" w:cs="Arial" w:eastAsia="Arial" w:hAnsi="Arial"/>
          <w:sz w:val="18"/>
          <w:szCs w:val="18"/>
          <w:color w:val="auto"/>
        </w:rPr>
        <w:t>prior fiscal year target equity values; and</w:t>
      </w:r>
    </w:p>
    <w:p>
      <w:pPr>
        <w:spacing w:after="0" w:line="46" w:lineRule="exact"/>
        <w:rPr>
          <w:rFonts w:ascii="Arial" w:cs="Arial" w:eastAsia="Arial" w:hAnsi="Arial"/>
          <w:sz w:val="18"/>
          <w:szCs w:val="18"/>
          <w:color w:val="auto"/>
        </w:rPr>
      </w:pPr>
    </w:p>
    <w:p>
      <w:pPr>
        <w:ind w:left="640" w:hanging="313"/>
        <w:spacing w:after="0"/>
        <w:tabs>
          <w:tab w:leader="none" w:pos="64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total direct compensation for the fiscal year, assuming equity awards at target.</w:t>
      </w:r>
    </w:p>
    <w:p>
      <w:pPr>
        <w:spacing w:after="0" w:line="87" w:lineRule="exact"/>
        <w:rPr>
          <w:sz w:val="20"/>
          <w:szCs w:val="20"/>
          <w:color w:val="auto"/>
        </w:rPr>
      </w:pPr>
    </w:p>
    <w:p>
      <w:pPr>
        <w:ind w:firstLine="320"/>
        <w:spacing w:after="0" w:line="255" w:lineRule="auto"/>
        <w:rPr>
          <w:sz w:val="20"/>
          <w:szCs w:val="20"/>
          <w:color w:val="auto"/>
        </w:rPr>
      </w:pPr>
      <w:r>
        <w:rPr>
          <w:rFonts w:ascii="Arial" w:cs="Arial" w:eastAsia="Arial" w:hAnsi="Arial"/>
          <w:sz w:val="17"/>
          <w:szCs w:val="17"/>
          <w:color w:val="auto"/>
        </w:rPr>
        <w:t>Additionally, the Committee obtains executive compensation recommendations from our Chairman and CEO, Vice President, Human Resources and Managing Director, Total Rewards and Employee Services that reflect individual performance; future potential; corporate and/or</w:t>
      </w:r>
    </w:p>
    <w:p>
      <w:pPr>
        <w:spacing w:after="0" w:line="1" w:lineRule="exact"/>
        <w:rPr>
          <w:sz w:val="20"/>
          <w:szCs w:val="20"/>
          <w:color w:val="auto"/>
        </w:rPr>
      </w:pPr>
    </w:p>
    <w:p>
      <w:pPr>
        <w:spacing w:after="0" w:line="237" w:lineRule="auto"/>
        <w:rPr>
          <w:sz w:val="20"/>
          <w:szCs w:val="20"/>
          <w:color w:val="auto"/>
        </w:rPr>
      </w:pPr>
      <w:r>
        <w:rPr>
          <w:rFonts w:ascii="Arial" w:cs="Arial" w:eastAsia="Arial" w:hAnsi="Arial"/>
          <w:sz w:val="17"/>
          <w:szCs w:val="17"/>
          <w:color w:val="auto"/>
        </w:rPr>
        <w:t>division performance, as applicable; tenure in the position; comparison to market; level of professional experience; duties and responsibilities; internal pay equity comparisons; and outside market factors, including general economic conditions. As needed, the Committee reviews</w:t>
      </w:r>
    </w:p>
    <w:p>
      <w:pPr>
        <w:spacing w:after="0" w:line="1" w:lineRule="exact"/>
        <w:rPr>
          <w:sz w:val="20"/>
          <w:szCs w:val="20"/>
          <w:color w:val="auto"/>
        </w:rPr>
      </w:pPr>
    </w:p>
    <w:p>
      <w:pPr>
        <w:spacing w:after="0" w:line="234" w:lineRule="auto"/>
        <w:rPr>
          <w:sz w:val="20"/>
          <w:szCs w:val="20"/>
          <w:color w:val="auto"/>
        </w:rPr>
      </w:pPr>
      <w:r>
        <w:rPr>
          <w:rFonts w:ascii="Arial" w:cs="Arial" w:eastAsia="Arial" w:hAnsi="Arial"/>
          <w:sz w:val="18"/>
          <w:szCs w:val="18"/>
          <w:color w:val="auto"/>
        </w:rPr>
        <w:t>significant events that have occurred at our Company, including merger and acquisition activity, and assesses whether such events necessitate a change in compensation for our executive officers.</w:t>
      </w:r>
    </w:p>
    <w:p>
      <w:pPr>
        <w:spacing w:after="0" w:line="74" w:lineRule="exact"/>
        <w:rPr>
          <w:sz w:val="20"/>
          <w:szCs w:val="20"/>
          <w:color w:val="auto"/>
        </w:rPr>
      </w:pPr>
    </w:p>
    <w:p>
      <w:pPr>
        <w:ind w:left="320"/>
        <w:spacing w:after="0"/>
        <w:rPr>
          <w:sz w:val="20"/>
          <w:szCs w:val="20"/>
          <w:color w:val="auto"/>
        </w:rPr>
      </w:pPr>
      <w:r>
        <w:rPr>
          <w:rFonts w:ascii="Arial" w:cs="Arial" w:eastAsia="Arial" w:hAnsi="Arial"/>
          <w:sz w:val="18"/>
          <w:szCs w:val="18"/>
          <w:color w:val="auto"/>
        </w:rPr>
        <w:t>Neither the Chairman and CEO nor the Vice President, Human Resources provide input or recommendations with respect to his or her</w:t>
      </w:r>
    </w:p>
    <w:p>
      <w:pPr>
        <w:spacing w:after="0" w:line="9" w:lineRule="exact"/>
        <w:rPr>
          <w:sz w:val="20"/>
          <w:szCs w:val="20"/>
          <w:color w:val="auto"/>
        </w:rPr>
      </w:pPr>
    </w:p>
    <w:p>
      <w:pPr>
        <w:jc w:val="both"/>
        <w:spacing w:after="0" w:line="237" w:lineRule="auto"/>
        <w:rPr>
          <w:sz w:val="20"/>
          <w:szCs w:val="20"/>
          <w:color w:val="auto"/>
        </w:rPr>
      </w:pPr>
      <w:r>
        <w:rPr>
          <w:rFonts w:ascii="Arial" w:cs="Arial" w:eastAsia="Arial" w:hAnsi="Arial"/>
          <w:sz w:val="17"/>
          <w:szCs w:val="17"/>
          <w:color w:val="auto"/>
        </w:rPr>
        <w:t>own compensation. The Chair of the Committee is also responsible for coordinating a performance evaluation for the Chairman and CEO based on feedback from all non-employee directors in connection with the ratification of the Chairman and CEO's compensation by the Board.</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Information on the compensation of our named executive officers, or NEOs is found under "Executive Compensation." Also, at the beginning of</w:t>
      </w:r>
    </w:p>
    <w:p>
      <w:pPr>
        <w:spacing w:after="0" w:line="5" w:lineRule="exact"/>
        <w:rPr>
          <w:sz w:val="20"/>
          <w:szCs w:val="20"/>
          <w:color w:val="auto"/>
        </w:rPr>
      </w:pPr>
    </w:p>
    <w:p>
      <w:pPr>
        <w:spacing w:after="0" w:line="234" w:lineRule="auto"/>
        <w:rPr>
          <w:sz w:val="20"/>
          <w:szCs w:val="20"/>
          <w:color w:val="auto"/>
        </w:rPr>
      </w:pPr>
      <w:r>
        <w:rPr>
          <w:rFonts w:ascii="Arial" w:cs="Arial" w:eastAsia="Arial" w:hAnsi="Arial"/>
          <w:sz w:val="18"/>
          <w:szCs w:val="18"/>
          <w:color w:val="auto"/>
        </w:rPr>
        <w:t>each fiscal year, the Committee certifies the achievement of the applicable performance goals previously established by the Committee for the annual cash incentive awards and performance share awards and approves resulting payouts, if any.</w:t>
      </w:r>
    </w:p>
    <w:p>
      <w:pPr>
        <w:spacing w:after="0" w:line="74" w:lineRule="exact"/>
        <w:rPr>
          <w:sz w:val="20"/>
          <w:szCs w:val="20"/>
          <w:color w:val="auto"/>
        </w:rPr>
      </w:pPr>
    </w:p>
    <w:p>
      <w:pPr>
        <w:ind w:left="320"/>
        <w:spacing w:after="0"/>
        <w:rPr>
          <w:sz w:val="20"/>
          <w:szCs w:val="20"/>
          <w:color w:val="auto"/>
        </w:rPr>
      </w:pPr>
      <w:r>
        <w:rPr>
          <w:rFonts w:ascii="Arial" w:cs="Arial" w:eastAsia="Arial" w:hAnsi="Arial"/>
          <w:sz w:val="17"/>
          <w:szCs w:val="17"/>
          <w:color w:val="auto"/>
        </w:rPr>
        <w:t>The Compensation &amp; Human Resources Committee retained Willis Towers Watson to assist in the evaluation and review of our executive</w:t>
      </w:r>
    </w:p>
    <w:p>
      <w:pPr>
        <w:spacing w:after="0" w:line="21" w:lineRule="exact"/>
        <w:rPr>
          <w:sz w:val="20"/>
          <w:szCs w:val="20"/>
          <w:color w:val="auto"/>
        </w:rPr>
      </w:pPr>
    </w:p>
    <w:p>
      <w:pPr>
        <w:spacing w:after="0" w:line="224" w:lineRule="auto"/>
        <w:rPr>
          <w:sz w:val="20"/>
          <w:szCs w:val="20"/>
          <w:color w:val="auto"/>
        </w:rPr>
      </w:pPr>
      <w:r>
        <w:rPr>
          <w:rFonts w:ascii="Arial" w:cs="Arial" w:eastAsia="Arial" w:hAnsi="Arial"/>
          <w:sz w:val="18"/>
          <w:szCs w:val="18"/>
          <w:color w:val="auto"/>
        </w:rPr>
        <w:t>compensation program during fiscal 2024. Additional information regarding the role of Willis Towers Watson during fiscal 2024 is found under "Compensation Discussion and Analysis—How We Make Compensation Decisions—Independent External Compensation Consultant." From</w:t>
      </w:r>
    </w:p>
    <w:p>
      <w:pPr>
        <w:spacing w:after="0" w:line="1" w:lineRule="exact"/>
        <w:rPr>
          <w:sz w:val="20"/>
          <w:szCs w:val="20"/>
          <w:color w:val="auto"/>
        </w:rPr>
      </w:pPr>
    </w:p>
    <w:p>
      <w:pPr>
        <w:spacing w:after="0" w:line="243" w:lineRule="auto"/>
        <w:rPr>
          <w:sz w:val="20"/>
          <w:szCs w:val="20"/>
          <w:color w:val="auto"/>
        </w:rPr>
      </w:pPr>
      <w:r>
        <w:rPr>
          <w:rFonts w:ascii="Arial" w:cs="Arial" w:eastAsia="Arial" w:hAnsi="Arial"/>
          <w:sz w:val="18"/>
          <w:szCs w:val="18"/>
          <w:color w:val="auto"/>
        </w:rPr>
        <w:t>time to time, the Committee also has engaged Willis Towers Watson to perform other compensation consulting services, including a review of non-employee director compensation.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097" w:right="339" w:bottom="1440" w:gutter="0" w:footer="0" w:header="0"/>
        </w:sectPr>
      </w:pPr>
    </w:p>
    <w:bookmarkStart w:id="36" w:name="page37"/>
    <w:bookmarkEnd w:id="36"/>
    <w:p>
      <w:pPr>
        <w:ind w:left="320"/>
        <w:spacing w:after="0"/>
        <w:rPr>
          <w:sz w:val="20"/>
          <w:szCs w:val="20"/>
          <w:color w:val="auto"/>
        </w:rPr>
      </w:pPr>
      <w:r>
        <w:rPr>
          <w:rFonts w:ascii="Arial" w:cs="Arial" w:eastAsia="Arial" w:hAnsi="Arial"/>
          <w:sz w:val="17"/>
          <w:szCs w:val="17"/>
          <w:color w:val="auto"/>
        </w:rPr>
        <w:t>For the services performed for us in fiscal 2024, the Committee assessed the independence of Willis Towers Watson pursuant to SEC and</w:t>
      </w:r>
    </w:p>
    <w:p>
      <w:pPr>
        <w:spacing w:after="0" w:line="21" w:lineRule="exact"/>
        <w:rPr>
          <w:sz w:val="20"/>
          <w:szCs w:val="20"/>
          <w:color w:val="auto"/>
        </w:rPr>
      </w:pPr>
    </w:p>
    <w:p>
      <w:pPr>
        <w:spacing w:after="0" w:line="237" w:lineRule="auto"/>
        <w:rPr>
          <w:sz w:val="20"/>
          <w:szCs w:val="20"/>
          <w:color w:val="auto"/>
        </w:rPr>
      </w:pPr>
      <w:r>
        <w:rPr>
          <w:rFonts w:ascii="Arial" w:cs="Arial" w:eastAsia="Arial" w:hAnsi="Arial"/>
          <w:sz w:val="17"/>
          <w:szCs w:val="17"/>
          <w:color w:val="auto"/>
        </w:rPr>
        <w:t>NYSE rules and concluded that the work of Willis Towers Watson did not raise any conflicts of interest. Representatives from Willis Towers Watson attended all of the Committee meetings in fiscal 2024, including executive sessions without Management present, to act as a resource</w:t>
      </w:r>
    </w:p>
    <w:p>
      <w:pPr>
        <w:spacing w:after="0" w:line="233" w:lineRule="auto"/>
        <w:rPr>
          <w:sz w:val="20"/>
          <w:szCs w:val="20"/>
          <w:color w:val="auto"/>
        </w:rPr>
      </w:pPr>
      <w:r>
        <w:rPr>
          <w:rFonts w:ascii="Arial" w:cs="Arial" w:eastAsia="Arial" w:hAnsi="Arial"/>
          <w:sz w:val="18"/>
          <w:szCs w:val="18"/>
          <w:color w:val="auto"/>
        </w:rPr>
        <w:t>to the Committee in carrying out its responsibilities. The Committee, through its Chair, can request an independent meeting with</w:t>
      </w:r>
    </w:p>
    <w:p>
      <w:pPr>
        <w:spacing w:after="0" w:line="234" w:lineRule="auto"/>
        <w:rPr>
          <w:sz w:val="20"/>
          <w:szCs w:val="20"/>
          <w:color w:val="auto"/>
        </w:rPr>
      </w:pPr>
      <w:r>
        <w:rPr>
          <w:rFonts w:ascii="Arial" w:cs="Arial" w:eastAsia="Arial" w:hAnsi="Arial"/>
          <w:sz w:val="18"/>
          <w:szCs w:val="18"/>
          <w:color w:val="auto"/>
        </w:rPr>
        <w:t>representatives from our independent external compensation consultant at any time. The Committee also has the authority to obtain advice and assistance from external legal, accounting or other advisers.</w:t>
      </w:r>
    </w:p>
    <w:p>
      <w:pPr>
        <w:spacing w:after="0" w:line="134" w:lineRule="exact"/>
        <w:rPr>
          <w:sz w:val="20"/>
          <w:szCs w:val="20"/>
          <w:color w:val="auto"/>
        </w:rPr>
      </w:pPr>
    </w:p>
    <w:p>
      <w:pPr>
        <w:spacing w:after="0"/>
        <w:rPr>
          <w:sz w:val="20"/>
          <w:szCs w:val="20"/>
          <w:color w:val="auto"/>
        </w:rPr>
      </w:pPr>
      <w:r>
        <w:rPr>
          <w:rFonts w:ascii="Arial" w:cs="Arial" w:eastAsia="Arial" w:hAnsi="Arial"/>
          <w:sz w:val="20"/>
          <w:szCs w:val="20"/>
          <w:b w:val="1"/>
          <w:bCs w:val="1"/>
          <w:color w:val="C00000"/>
        </w:rPr>
        <w:t>Director Nomination and Refreshment Process</w:t>
      </w:r>
    </w:p>
    <w:p>
      <w:pPr>
        <w:spacing w:after="0" w:line="84" w:lineRule="exact"/>
        <w:rPr>
          <w:sz w:val="20"/>
          <w:szCs w:val="20"/>
          <w:color w:val="auto"/>
        </w:rPr>
      </w:pPr>
    </w:p>
    <w:p>
      <w:pPr>
        <w:ind w:left="320"/>
        <w:spacing w:after="0"/>
        <w:rPr>
          <w:sz w:val="20"/>
          <w:szCs w:val="20"/>
          <w:color w:val="auto"/>
        </w:rPr>
      </w:pPr>
      <w:r>
        <w:rPr>
          <w:rFonts w:ascii="Arial" w:cs="Arial" w:eastAsia="Arial" w:hAnsi="Arial"/>
          <w:sz w:val="18"/>
          <w:szCs w:val="18"/>
          <w:color w:val="auto"/>
        </w:rPr>
        <w:t>In identifying new nominees for election to the Board when vacancies occur, the Nominating &amp; Governance Committee may solicit</w:t>
      </w:r>
    </w:p>
    <w:p>
      <w:pPr>
        <w:spacing w:after="0" w:line="9" w:lineRule="exact"/>
        <w:rPr>
          <w:sz w:val="20"/>
          <w:szCs w:val="20"/>
          <w:color w:val="auto"/>
        </w:rPr>
      </w:pPr>
    </w:p>
    <w:p>
      <w:pPr>
        <w:jc w:val="both"/>
        <w:spacing w:after="0" w:line="237" w:lineRule="auto"/>
        <w:rPr>
          <w:sz w:val="20"/>
          <w:szCs w:val="20"/>
          <w:color w:val="auto"/>
        </w:rPr>
      </w:pPr>
      <w:r>
        <w:rPr>
          <w:rFonts w:ascii="Arial" w:cs="Arial" w:eastAsia="Arial" w:hAnsi="Arial"/>
          <w:sz w:val="17"/>
          <w:szCs w:val="17"/>
          <w:color w:val="auto"/>
        </w:rPr>
        <w:t>recommendations for nominees from other members of our Board or Senior Management. In addition, the Committee may: (i) formally engage such firms to assist it in identifying and evaluating qualified nominees; (ii) consider candidates put forth by external search or placement firms;</w:t>
      </w:r>
    </w:p>
    <w:p>
      <w:pPr>
        <w:spacing w:after="0" w:line="1" w:lineRule="exact"/>
        <w:rPr>
          <w:sz w:val="20"/>
          <w:szCs w:val="20"/>
          <w:color w:val="auto"/>
        </w:rPr>
      </w:pPr>
    </w:p>
    <w:p>
      <w:pPr>
        <w:spacing w:after="0" w:line="243" w:lineRule="auto"/>
        <w:rPr>
          <w:sz w:val="20"/>
          <w:szCs w:val="20"/>
          <w:color w:val="auto"/>
        </w:rPr>
      </w:pPr>
      <w:r>
        <w:rPr>
          <w:rFonts w:ascii="Arial" w:cs="Arial" w:eastAsia="Arial" w:hAnsi="Arial"/>
          <w:sz w:val="18"/>
          <w:szCs w:val="18"/>
          <w:color w:val="auto"/>
        </w:rPr>
        <w:t>and/or (iii) consider certain individuals who contacted the Chair of the Board, the Lead Independent Director and/or the Board of Directors and expressed an interest in serving on the Board.</w:t>
      </w:r>
    </w:p>
    <w:p>
      <w:pPr>
        <w:spacing w:after="0" w:line="59" w:lineRule="exact"/>
        <w:rPr>
          <w:sz w:val="20"/>
          <w:szCs w:val="20"/>
          <w:color w:val="auto"/>
        </w:rPr>
      </w:pPr>
    </w:p>
    <w:p>
      <w:pPr>
        <w:jc w:val="both"/>
        <w:ind w:firstLine="320"/>
        <w:spacing w:after="0" w:line="241" w:lineRule="auto"/>
        <w:rPr>
          <w:sz w:val="20"/>
          <w:szCs w:val="20"/>
          <w:color w:val="auto"/>
        </w:rPr>
      </w:pPr>
      <w:r>
        <w:rPr>
          <w:rFonts w:ascii="Arial" w:cs="Arial" w:eastAsia="Arial" w:hAnsi="Arial"/>
          <w:sz w:val="18"/>
          <w:szCs w:val="18"/>
          <w:color w:val="auto"/>
        </w:rPr>
        <w:t>When reviewing the requisite skills and characteristics of potential new director nominees, the Nominating &amp; Governance Committee, pursuant to our Corporate Governance Guidelines, will consider a variety of criteria, including an individual's independence, diversity, age,</w:t>
      </w:r>
    </w:p>
    <w:p>
      <w:pPr>
        <w:spacing w:after="0" w:line="1" w:lineRule="exact"/>
        <w:rPr>
          <w:sz w:val="20"/>
          <w:szCs w:val="20"/>
          <w:color w:val="auto"/>
        </w:rPr>
      </w:pPr>
    </w:p>
    <w:p>
      <w:pPr>
        <w:spacing w:after="0" w:line="237" w:lineRule="auto"/>
        <w:rPr>
          <w:sz w:val="20"/>
          <w:szCs w:val="20"/>
          <w:color w:val="auto"/>
        </w:rPr>
      </w:pPr>
      <w:r>
        <w:rPr>
          <w:rFonts w:ascii="Arial" w:cs="Arial" w:eastAsia="Arial" w:hAnsi="Arial"/>
          <w:sz w:val="17"/>
          <w:szCs w:val="17"/>
          <w:color w:val="auto"/>
        </w:rPr>
        <w:t>skills, and current and past business, professional and industry experience, each in the context of the needs of the Board as a whole. Although the Committee does not have a formal policy regarding consideration of diversity in identifying director nominees, the Committee will evaluate</w:t>
      </w:r>
    </w:p>
    <w:p>
      <w:pPr>
        <w:spacing w:after="0" w:line="233" w:lineRule="auto"/>
        <w:rPr>
          <w:sz w:val="20"/>
          <w:szCs w:val="20"/>
          <w:color w:val="auto"/>
        </w:rPr>
      </w:pPr>
      <w:r>
        <w:rPr>
          <w:rFonts w:ascii="Arial" w:cs="Arial" w:eastAsia="Arial" w:hAnsi="Arial"/>
          <w:sz w:val="18"/>
          <w:szCs w:val="18"/>
          <w:color w:val="auto"/>
        </w:rPr>
        <w:t>a nominee based on his or her background, skills, business and professional experiences, industry affiliations, viewpoints, and geographical</w:t>
      </w:r>
    </w:p>
    <w:p>
      <w:pPr>
        <w:spacing w:after="0" w:line="234" w:lineRule="auto"/>
        <w:rPr>
          <w:sz w:val="20"/>
          <w:szCs w:val="20"/>
          <w:color w:val="auto"/>
        </w:rPr>
      </w:pPr>
      <w:r>
        <w:rPr>
          <w:rFonts w:ascii="Arial" w:cs="Arial" w:eastAsia="Arial" w:hAnsi="Arial"/>
          <w:sz w:val="18"/>
          <w:szCs w:val="18"/>
          <w:color w:val="auto"/>
        </w:rPr>
        <w:t>representation, as well as more traditional diversity factors. As a result, the composition of the current Board reflects diversity in business and professional experiences, age, gender, race/ethnicity, background and skills.</w:t>
      </w:r>
    </w:p>
    <w:p>
      <w:pPr>
        <w:spacing w:after="0" w:line="74" w:lineRule="exact"/>
        <w:rPr>
          <w:sz w:val="20"/>
          <w:szCs w:val="20"/>
          <w:color w:val="auto"/>
        </w:rPr>
      </w:pPr>
    </w:p>
    <w:p>
      <w:pPr>
        <w:ind w:left="320"/>
        <w:spacing w:after="0"/>
        <w:rPr>
          <w:sz w:val="20"/>
          <w:szCs w:val="20"/>
          <w:color w:val="auto"/>
        </w:rPr>
      </w:pPr>
      <w:r>
        <w:rPr>
          <w:rFonts w:ascii="Arial" w:cs="Arial" w:eastAsia="Arial" w:hAnsi="Arial"/>
          <w:sz w:val="18"/>
          <w:szCs w:val="18"/>
          <w:color w:val="auto"/>
        </w:rPr>
        <w:t>Once a proposed candidate is identified, the Nominating &amp; Governance Committee may solicit the views of Senior Management, Board</w:t>
      </w:r>
    </w:p>
    <w:p>
      <w:pPr>
        <w:spacing w:after="0" w:line="9" w:lineRule="exact"/>
        <w:rPr>
          <w:sz w:val="20"/>
          <w:szCs w:val="20"/>
          <w:color w:val="auto"/>
        </w:rPr>
      </w:pPr>
    </w:p>
    <w:p>
      <w:pPr>
        <w:spacing w:after="0" w:line="224" w:lineRule="auto"/>
        <w:rPr>
          <w:sz w:val="20"/>
          <w:szCs w:val="20"/>
          <w:color w:val="auto"/>
        </w:rPr>
      </w:pPr>
      <w:r>
        <w:rPr>
          <w:rFonts w:ascii="Arial" w:cs="Arial" w:eastAsia="Arial" w:hAnsi="Arial"/>
          <w:sz w:val="18"/>
          <w:szCs w:val="18"/>
          <w:color w:val="auto"/>
        </w:rPr>
        <w:t>members and any other individuals it believes may have insight into a particular candidate. The Committee may designate one or more of its members and/or other Board members to interview any proposed candidate. The Committee then will recommend a director nominee to the</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Board based on its evaluation of such criteria.</w:t>
      </w:r>
    </w:p>
    <w:p>
      <w:pPr>
        <w:spacing w:after="0" w:line="84" w:lineRule="exact"/>
        <w:rPr>
          <w:sz w:val="20"/>
          <w:szCs w:val="20"/>
          <w:color w:val="auto"/>
        </w:rPr>
      </w:pPr>
    </w:p>
    <w:p>
      <w:pPr>
        <w:ind w:firstLine="320"/>
        <w:spacing w:after="0" w:line="233" w:lineRule="auto"/>
        <w:rPr>
          <w:sz w:val="20"/>
          <w:szCs w:val="20"/>
          <w:color w:val="auto"/>
        </w:rPr>
      </w:pPr>
      <w:r>
        <w:rPr>
          <w:rFonts w:ascii="Arial" w:cs="Arial" w:eastAsia="Arial" w:hAnsi="Arial"/>
          <w:sz w:val="18"/>
          <w:szCs w:val="18"/>
          <w:color w:val="auto"/>
        </w:rPr>
        <w:t>The Nominating &amp; Governance Committee will consider director candidates recommended to it by our shareholders. Those candidates must be qualified and exhibit the experience and expertise required of the Board's own pool of candidates, as well as have an interest in our</w:t>
      </w:r>
    </w:p>
    <w:p>
      <w:pPr>
        <w:spacing w:after="0" w:line="233" w:lineRule="auto"/>
        <w:rPr>
          <w:sz w:val="20"/>
          <w:szCs w:val="20"/>
          <w:color w:val="auto"/>
        </w:rPr>
      </w:pPr>
      <w:r>
        <w:rPr>
          <w:rFonts w:ascii="Arial" w:cs="Arial" w:eastAsia="Arial" w:hAnsi="Arial"/>
          <w:sz w:val="18"/>
          <w:szCs w:val="18"/>
          <w:color w:val="auto"/>
        </w:rPr>
        <w:t>business, and the demonstrated ability to attend and prepare for Board, committee and shareholder meetings. Any candidate must state in</w:t>
      </w:r>
    </w:p>
    <w:p>
      <w:pPr>
        <w:spacing w:after="0" w:line="224" w:lineRule="auto"/>
        <w:rPr>
          <w:sz w:val="20"/>
          <w:szCs w:val="20"/>
          <w:color w:val="auto"/>
        </w:rPr>
      </w:pPr>
      <w:r>
        <w:rPr>
          <w:rFonts w:ascii="Arial" w:cs="Arial" w:eastAsia="Arial" w:hAnsi="Arial"/>
          <w:sz w:val="18"/>
          <w:szCs w:val="18"/>
          <w:color w:val="auto"/>
        </w:rPr>
        <w:t>advance a willingness and interest in serving on the Board. Candidates should represent the interests of all shareholders and not those of a special interest group. The Committee will evaluate candidates recommended by shareholders using the same criteria it uses to evaluate</w:t>
      </w:r>
    </w:p>
    <w:p>
      <w:pPr>
        <w:spacing w:after="0" w:line="232" w:lineRule="auto"/>
        <w:rPr>
          <w:sz w:val="20"/>
          <w:szCs w:val="20"/>
          <w:color w:val="auto"/>
        </w:rPr>
      </w:pPr>
      <w:r>
        <w:rPr>
          <w:rFonts w:ascii="Arial" w:cs="Arial" w:eastAsia="Arial" w:hAnsi="Arial"/>
          <w:sz w:val="18"/>
          <w:szCs w:val="18"/>
          <w:color w:val="auto"/>
        </w:rPr>
        <w:t>candidates recommended by others as described above. A shareholder that desires to nominate a person for election to the Board at a</w:t>
      </w:r>
    </w:p>
    <w:p>
      <w:pPr>
        <w:spacing w:after="0" w:line="1" w:lineRule="exact"/>
        <w:rPr>
          <w:sz w:val="20"/>
          <w:szCs w:val="20"/>
          <w:color w:val="auto"/>
        </w:rPr>
      </w:pPr>
    </w:p>
    <w:p>
      <w:pPr>
        <w:spacing w:after="0" w:line="237" w:lineRule="auto"/>
        <w:rPr>
          <w:sz w:val="20"/>
          <w:szCs w:val="20"/>
          <w:color w:val="auto"/>
        </w:rPr>
      </w:pPr>
      <w:r>
        <w:rPr>
          <w:rFonts w:ascii="Arial" w:cs="Arial" w:eastAsia="Arial" w:hAnsi="Arial"/>
          <w:sz w:val="17"/>
          <w:szCs w:val="17"/>
          <w:color w:val="auto"/>
        </w:rPr>
        <w:t>meeting of shareholders must follow the specified advance notice requirements contained in, and provide the specific information required by, our Amended and Restated Bylaws. The current requirements of our Amended and Restated Bylaws are as described under "Shareholder</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Proposals and Director Nominations for the 2026 Annual Meeting."</w:t>
      </w:r>
    </w:p>
    <w:p>
      <w:pPr>
        <w:spacing w:after="0" w:line="131" w:lineRule="exact"/>
        <w:rPr>
          <w:sz w:val="20"/>
          <w:szCs w:val="20"/>
          <w:color w:val="auto"/>
        </w:rPr>
      </w:pPr>
    </w:p>
    <w:p>
      <w:pPr>
        <w:spacing w:after="0"/>
        <w:rPr>
          <w:sz w:val="20"/>
          <w:szCs w:val="20"/>
          <w:color w:val="auto"/>
        </w:rPr>
      </w:pPr>
      <w:r>
        <w:rPr>
          <w:rFonts w:ascii="Arial" w:cs="Arial" w:eastAsia="Arial" w:hAnsi="Arial"/>
          <w:sz w:val="20"/>
          <w:szCs w:val="20"/>
          <w:b w:val="1"/>
          <w:bCs w:val="1"/>
          <w:color w:val="C00000"/>
        </w:rPr>
        <w:t>Related Person Transactions and Policies and Procedures Regarding Related Person Transactions</w:t>
      </w:r>
    </w:p>
    <w:p>
      <w:pPr>
        <w:spacing w:after="0" w:line="97" w:lineRule="exact"/>
        <w:rPr>
          <w:sz w:val="20"/>
          <w:szCs w:val="20"/>
          <w:color w:val="auto"/>
        </w:rPr>
      </w:pPr>
    </w:p>
    <w:p>
      <w:pPr>
        <w:ind w:firstLine="320"/>
        <w:spacing w:after="0" w:line="233" w:lineRule="auto"/>
        <w:rPr>
          <w:sz w:val="20"/>
          <w:szCs w:val="20"/>
          <w:color w:val="auto"/>
        </w:rPr>
      </w:pPr>
      <w:r>
        <w:rPr>
          <w:rFonts w:ascii="Arial" w:cs="Arial" w:eastAsia="Arial" w:hAnsi="Arial"/>
          <w:sz w:val="18"/>
          <w:szCs w:val="18"/>
          <w:color w:val="auto"/>
        </w:rPr>
        <w:t>Our Corporate Governance Guidelines disclose our procedures regarding related person transactions. All reportable related person transactions are subject to reasonable prior review by our Nominating &amp; Governance Committee. In determining whether to approve or ratify</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such transactions, the Committee will take into account, among other factors and information it deems appropriate:</w:t>
      </w:r>
    </w:p>
    <w:p>
      <w:pPr>
        <w:spacing w:after="0" w:line="31" w:lineRule="exact"/>
        <w:rPr>
          <w:sz w:val="20"/>
          <w:szCs w:val="20"/>
          <w:color w:val="auto"/>
        </w:rPr>
      </w:pPr>
    </w:p>
    <w:p>
      <w:pPr>
        <w:ind w:left="640" w:hanging="313"/>
        <w:spacing w:after="0"/>
        <w:tabs>
          <w:tab w:leader="none" w:pos="64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related person’s relationship to our Company and interest in the transaction;</w:t>
      </w:r>
    </w:p>
    <w:p>
      <w:pPr>
        <w:spacing w:after="0" w:line="33" w:lineRule="exact"/>
        <w:rPr>
          <w:rFonts w:ascii="Arial" w:cs="Arial" w:eastAsia="Arial" w:hAnsi="Arial"/>
          <w:sz w:val="18"/>
          <w:szCs w:val="18"/>
          <w:color w:val="auto"/>
        </w:rPr>
      </w:pPr>
    </w:p>
    <w:p>
      <w:pPr>
        <w:ind w:left="640" w:hanging="313"/>
        <w:spacing w:after="0"/>
        <w:tabs>
          <w:tab w:leader="none" w:pos="64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material facts of the transaction;</w:t>
      </w:r>
    </w:p>
    <w:p>
      <w:pPr>
        <w:spacing w:after="0" w:line="46" w:lineRule="exact"/>
        <w:rPr>
          <w:rFonts w:ascii="Arial" w:cs="Arial" w:eastAsia="Arial" w:hAnsi="Arial"/>
          <w:sz w:val="18"/>
          <w:szCs w:val="18"/>
          <w:color w:val="auto"/>
        </w:rPr>
      </w:pPr>
    </w:p>
    <w:p>
      <w:pPr>
        <w:ind w:left="640" w:hanging="313"/>
        <w:spacing w:after="0"/>
        <w:tabs>
          <w:tab w:leader="none" w:pos="64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benefits to our Company of the transaction; and</w:t>
      </w:r>
    </w:p>
    <w:p>
      <w:pPr>
        <w:spacing w:after="0" w:line="46" w:lineRule="exact"/>
        <w:rPr>
          <w:rFonts w:ascii="Arial" w:cs="Arial" w:eastAsia="Arial" w:hAnsi="Arial"/>
          <w:sz w:val="18"/>
          <w:szCs w:val="18"/>
          <w:color w:val="auto"/>
        </w:rPr>
      </w:pPr>
    </w:p>
    <w:p>
      <w:pPr>
        <w:jc w:val="both"/>
        <w:ind w:left="640" w:hanging="313"/>
        <w:spacing w:after="0" w:line="239" w:lineRule="auto"/>
        <w:tabs>
          <w:tab w:leader="none" w:pos="635" w:val="left"/>
        </w:tabs>
        <w:numPr>
          <w:ilvl w:val="0"/>
          <w:numId w:val="53"/>
        </w:numPr>
        <w:rPr>
          <w:rFonts w:ascii="Arial" w:cs="Arial" w:eastAsia="Arial" w:hAnsi="Arial"/>
          <w:sz w:val="18"/>
          <w:szCs w:val="18"/>
          <w:color w:val="auto"/>
        </w:rPr>
      </w:pPr>
      <w:r>
        <w:rPr>
          <w:rFonts w:ascii="Arial" w:cs="Arial" w:eastAsia="Arial" w:hAnsi="Arial"/>
          <w:sz w:val="18"/>
          <w:szCs w:val="18"/>
          <w:color w:val="auto"/>
        </w:rPr>
        <w:t>an assessment of whether the transaction is (to the extent applicable) in the ordinary course of business, at arm’s length, at prices and on terms customarily available to unrelated third party vendors or customers generally, and whether the related person had any direct or indirect personal interest in, or received any personal benefit from, such transaction.</w:t>
      </w:r>
    </w:p>
    <w:p>
      <w:pPr>
        <w:spacing w:after="0" w:line="75" w:lineRule="exact"/>
        <w:rPr>
          <w:sz w:val="20"/>
          <w:szCs w:val="20"/>
          <w:color w:val="auto"/>
        </w:rPr>
      </w:pPr>
    </w:p>
    <w:p>
      <w:pPr>
        <w:ind w:firstLine="320"/>
        <w:spacing w:after="0" w:line="247" w:lineRule="auto"/>
        <w:rPr>
          <w:sz w:val="20"/>
          <w:szCs w:val="20"/>
          <w:color w:val="auto"/>
        </w:rPr>
      </w:pPr>
      <w:r>
        <w:rPr>
          <w:rFonts w:ascii="Arial" w:cs="Arial" w:eastAsia="Arial" w:hAnsi="Arial"/>
          <w:sz w:val="17"/>
          <w:szCs w:val="17"/>
          <w:color w:val="auto"/>
        </w:rPr>
        <w:t>Transactions between us and an unaffiliated corporation of which one of our non-employee directors or director nominees serves as an officer, that have been assessed as noted above, and are in amounts that are not material to our business or the business of such unaffiliated</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corporation, are deemed conclusively pre-approved.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097" w:right="339" w:bottom="1440" w:gutter="0" w:footer="0" w:header="0"/>
        </w:sectPr>
      </w:pPr>
    </w:p>
    <w:bookmarkStart w:id="37" w:name="page38"/>
    <w:bookmarkEnd w:id="37"/>
    <w:p>
      <w:pPr>
        <w:spacing w:after="0"/>
        <w:rPr>
          <w:sz w:val="20"/>
          <w:szCs w:val="20"/>
          <w:color w:val="auto"/>
        </w:rPr>
      </w:pPr>
      <w:r>
        <w:rPr>
          <w:rFonts w:ascii="Arial" w:cs="Arial" w:eastAsia="Arial" w:hAnsi="Arial"/>
          <w:sz w:val="20"/>
          <w:szCs w:val="20"/>
          <w:b w:val="1"/>
          <w:bCs w:val="1"/>
          <w:color w:val="C00000"/>
        </w:rPr>
        <w:t>Board of Directors Business Ethics Policy Statement</w:t>
      </w:r>
    </w:p>
    <w:p>
      <w:pPr>
        <w:spacing w:after="0" w:line="70" w:lineRule="exact"/>
        <w:rPr>
          <w:sz w:val="20"/>
          <w:szCs w:val="20"/>
          <w:color w:val="auto"/>
        </w:rPr>
      </w:pPr>
    </w:p>
    <w:p>
      <w:pPr>
        <w:ind w:firstLine="320"/>
        <w:spacing w:after="0" w:line="247" w:lineRule="auto"/>
        <w:rPr>
          <w:sz w:val="20"/>
          <w:szCs w:val="20"/>
          <w:color w:val="auto"/>
        </w:rPr>
      </w:pPr>
      <w:r>
        <w:rPr>
          <w:rFonts w:ascii="Arial" w:cs="Arial" w:eastAsia="Arial" w:hAnsi="Arial"/>
          <w:sz w:val="17"/>
          <w:szCs w:val="17"/>
          <w:color w:val="auto"/>
        </w:rPr>
        <w:t>It is our policy to maintain the highest level of moral, ethical and legal standards in the conduct of our business. Pursuant to our Corporate Governance Guidelines, the Board has adopted, and each director annually signs, a Board of Directors Business Ethics Policy Statement. The</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policy can be found on our website at www.thetorocompany.com/ethics.</w:t>
      </w:r>
    </w:p>
    <w:p>
      <w:pPr>
        <w:spacing w:after="0" w:line="144" w:lineRule="exact"/>
        <w:rPr>
          <w:sz w:val="20"/>
          <w:szCs w:val="20"/>
          <w:color w:val="auto"/>
        </w:rPr>
      </w:pPr>
    </w:p>
    <w:p>
      <w:pPr>
        <w:spacing w:after="0"/>
        <w:rPr>
          <w:sz w:val="20"/>
          <w:szCs w:val="20"/>
          <w:color w:val="auto"/>
        </w:rPr>
      </w:pPr>
      <w:r>
        <w:rPr>
          <w:rFonts w:ascii="Arial" w:cs="Arial" w:eastAsia="Arial" w:hAnsi="Arial"/>
          <w:sz w:val="20"/>
          <w:szCs w:val="20"/>
          <w:b w:val="1"/>
          <w:bCs w:val="1"/>
          <w:color w:val="C00000"/>
        </w:rPr>
        <w:t>Code of Conduct and Code of Ethics for our CEO and Senior Financial Personnel</w:t>
      </w:r>
    </w:p>
    <w:p>
      <w:pPr>
        <w:spacing w:after="0" w:line="70" w:lineRule="exact"/>
        <w:rPr>
          <w:sz w:val="20"/>
          <w:szCs w:val="20"/>
          <w:color w:val="auto"/>
        </w:rPr>
      </w:pPr>
    </w:p>
    <w:p>
      <w:pPr>
        <w:ind w:firstLine="320"/>
        <w:spacing w:after="0" w:line="233" w:lineRule="auto"/>
        <w:rPr>
          <w:sz w:val="20"/>
          <w:szCs w:val="20"/>
          <w:color w:val="auto"/>
        </w:rPr>
      </w:pPr>
      <w:r>
        <w:rPr>
          <w:rFonts w:ascii="Arial" w:cs="Arial" w:eastAsia="Arial" w:hAnsi="Arial"/>
          <w:sz w:val="18"/>
          <w:szCs w:val="18"/>
          <w:color w:val="auto"/>
        </w:rPr>
        <w:t>All of our directors and employees are required to comply with our Code of Conduct to help ensure that our business is conducted in accordance with the highest level of moral, ethical and legal standards. We also have a Code of Ethics for our CEO and Senior Financial</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Personnel applicable to our CEO, our Vice President, Chief Financial Officer, and certain senior accounting and/or treasury personnel who are</w:t>
      </w:r>
    </w:p>
    <w:p>
      <w:pPr>
        <w:spacing w:after="0" w:line="5" w:lineRule="exact"/>
        <w:rPr>
          <w:sz w:val="20"/>
          <w:szCs w:val="20"/>
          <w:color w:val="auto"/>
        </w:rPr>
      </w:pPr>
    </w:p>
    <w:p>
      <w:pPr>
        <w:spacing w:after="0" w:line="224" w:lineRule="auto"/>
        <w:rPr>
          <w:sz w:val="20"/>
          <w:szCs w:val="20"/>
          <w:color w:val="auto"/>
        </w:rPr>
      </w:pPr>
      <w:r>
        <w:rPr>
          <w:rFonts w:ascii="Arial" w:cs="Arial" w:eastAsia="Arial" w:hAnsi="Arial"/>
          <w:sz w:val="18"/>
          <w:szCs w:val="18"/>
          <w:color w:val="auto"/>
        </w:rPr>
        <w:t>also bound by the provisions set forth in the Code of Conduct relating to ethical conduct, conflicts of interest and compliance with the law. Our Code of Conduct and Code of Ethics for our CEO and Senior Financial Personnel can be found on our website at</w:t>
      </w:r>
    </w:p>
    <w:p>
      <w:pPr>
        <w:spacing w:after="0" w:line="1" w:lineRule="exact"/>
        <w:rPr>
          <w:sz w:val="20"/>
          <w:szCs w:val="20"/>
          <w:color w:val="auto"/>
        </w:rPr>
      </w:pPr>
    </w:p>
    <w:p>
      <w:pPr>
        <w:ind w:right="20"/>
        <w:spacing w:after="0" w:line="237" w:lineRule="auto"/>
        <w:rPr>
          <w:sz w:val="20"/>
          <w:szCs w:val="20"/>
          <w:color w:val="auto"/>
        </w:rPr>
      </w:pPr>
      <w:r>
        <w:rPr>
          <w:rFonts w:ascii="Arial" w:cs="Arial" w:eastAsia="Arial" w:hAnsi="Arial"/>
          <w:sz w:val="17"/>
          <w:szCs w:val="17"/>
          <w:color w:val="auto"/>
        </w:rPr>
        <w:t>www.thetorocompany.com/ethics. If necessary, we intend to satisfy the disclosure requirements of Item 5.05 of the Current Report on Form 8-K regarding amendments to or waivers from any provision of our Code of Ethics for our CEO and Senior Financial Personnel by posting such</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information on our website as noted above.</w:t>
      </w:r>
    </w:p>
    <w:p>
      <w:pPr>
        <w:spacing w:after="0" w:line="144" w:lineRule="exact"/>
        <w:rPr>
          <w:sz w:val="20"/>
          <w:szCs w:val="20"/>
          <w:color w:val="auto"/>
        </w:rPr>
      </w:pPr>
    </w:p>
    <w:p>
      <w:pPr>
        <w:spacing w:after="0"/>
        <w:rPr>
          <w:sz w:val="20"/>
          <w:szCs w:val="20"/>
          <w:color w:val="auto"/>
        </w:rPr>
      </w:pPr>
      <w:r>
        <w:rPr>
          <w:rFonts w:ascii="Arial" w:cs="Arial" w:eastAsia="Arial" w:hAnsi="Arial"/>
          <w:sz w:val="20"/>
          <w:szCs w:val="20"/>
          <w:b w:val="1"/>
          <w:bCs w:val="1"/>
          <w:color w:val="C00000"/>
        </w:rPr>
        <w:t>Communications with Directors</w:t>
      </w:r>
    </w:p>
    <w:p>
      <w:pPr>
        <w:spacing w:after="0" w:line="70" w:lineRule="exact"/>
        <w:rPr>
          <w:sz w:val="20"/>
          <w:szCs w:val="20"/>
          <w:color w:val="auto"/>
        </w:rPr>
      </w:pPr>
    </w:p>
    <w:p>
      <w:pPr>
        <w:ind w:firstLine="320"/>
        <w:spacing w:after="0" w:line="233" w:lineRule="auto"/>
        <w:rPr>
          <w:sz w:val="20"/>
          <w:szCs w:val="20"/>
          <w:color w:val="auto"/>
        </w:rPr>
      </w:pPr>
      <w:r>
        <w:rPr>
          <w:rFonts w:ascii="Arial" w:cs="Arial" w:eastAsia="Arial" w:hAnsi="Arial"/>
          <w:sz w:val="18"/>
          <w:szCs w:val="18"/>
          <w:color w:val="auto"/>
        </w:rPr>
        <w:t>Shareholders and other interested parties may communicate directly with our Board, our Board committees, our non-employee directors as a group, our Lead Independent Director, or any other specified individual director in writing by: (i) sending a letter addressed to The Toro</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Company Board of Directors, c/o General Counsel, 8111 Lyndale Avenue South, Bloomington, Minnesota, 55420-1196, or (ii) sending an email</w:t>
      </w:r>
    </w:p>
    <w:p>
      <w:pPr>
        <w:spacing w:after="0" w:line="5" w:lineRule="exact"/>
        <w:rPr>
          <w:sz w:val="20"/>
          <w:szCs w:val="20"/>
          <w:color w:val="auto"/>
        </w:rPr>
      </w:pPr>
    </w:p>
    <w:p>
      <w:pPr>
        <w:spacing w:after="0" w:line="237" w:lineRule="auto"/>
        <w:rPr>
          <w:sz w:val="20"/>
          <w:szCs w:val="20"/>
          <w:color w:val="auto"/>
        </w:rPr>
      </w:pPr>
      <w:r>
        <w:rPr>
          <w:rFonts w:ascii="Arial" w:cs="Arial" w:eastAsia="Arial" w:hAnsi="Arial"/>
          <w:sz w:val="17"/>
          <w:szCs w:val="17"/>
          <w:color w:val="auto"/>
        </w:rPr>
        <w:t>to boardofdirectors@toro.com. Substantive communications, such as corporate governance matters or potential issues relating to accounting, internal controls or other auditing matters, are forwarded by our General Counsel to the relevant director(s) as appropriate. Communications</w:t>
      </w:r>
    </w:p>
    <w:p>
      <w:pPr>
        <w:spacing w:after="0" w:line="1" w:lineRule="exact"/>
        <w:rPr>
          <w:sz w:val="20"/>
          <w:szCs w:val="20"/>
          <w:color w:val="auto"/>
        </w:rPr>
      </w:pPr>
    </w:p>
    <w:p>
      <w:pPr>
        <w:spacing w:after="0" w:line="243" w:lineRule="auto"/>
        <w:rPr>
          <w:sz w:val="20"/>
          <w:szCs w:val="20"/>
          <w:color w:val="auto"/>
        </w:rPr>
      </w:pPr>
      <w:r>
        <w:rPr>
          <w:rFonts w:ascii="Arial" w:cs="Arial" w:eastAsia="Arial" w:hAnsi="Arial"/>
          <w:sz w:val="18"/>
          <w:szCs w:val="18"/>
          <w:color w:val="auto"/>
        </w:rPr>
        <w:t>not requiring the substantive attention of our Board, such as employment inquiries, sales solicitations, donation requests, questions about our products, and other such matters, are appropriately handled by Management.</w:t>
      </w:r>
    </w:p>
    <w:p>
      <w:pPr>
        <w:spacing w:after="0" w:line="119" w:lineRule="exact"/>
        <w:rPr>
          <w:sz w:val="20"/>
          <w:szCs w:val="20"/>
          <w:color w:val="auto"/>
        </w:rPr>
      </w:pPr>
    </w:p>
    <w:p>
      <w:pPr>
        <w:spacing w:after="0"/>
        <w:rPr>
          <w:sz w:val="20"/>
          <w:szCs w:val="20"/>
          <w:color w:val="auto"/>
        </w:rPr>
      </w:pPr>
      <w:r>
        <w:rPr>
          <w:rFonts w:ascii="Arial" w:cs="Arial" w:eastAsia="Arial" w:hAnsi="Arial"/>
          <w:sz w:val="20"/>
          <w:szCs w:val="20"/>
          <w:b w:val="1"/>
          <w:bCs w:val="1"/>
          <w:color w:val="C00000"/>
        </w:rPr>
        <w:t>Complaint Procedures</w:t>
      </w:r>
    </w:p>
    <w:p>
      <w:pPr>
        <w:spacing w:after="0" w:line="70" w:lineRule="exact"/>
        <w:rPr>
          <w:sz w:val="20"/>
          <w:szCs w:val="20"/>
          <w:color w:val="auto"/>
        </w:rPr>
      </w:pPr>
    </w:p>
    <w:p>
      <w:pPr>
        <w:ind w:left="320"/>
        <w:spacing w:after="0"/>
        <w:rPr>
          <w:sz w:val="20"/>
          <w:szCs w:val="20"/>
          <w:color w:val="auto"/>
        </w:rPr>
      </w:pPr>
      <w:r>
        <w:rPr>
          <w:rFonts w:ascii="Arial" w:cs="Arial" w:eastAsia="Arial" w:hAnsi="Arial"/>
          <w:sz w:val="18"/>
          <w:szCs w:val="18"/>
          <w:color w:val="auto"/>
        </w:rPr>
        <w:t>We maintain procedures to receive, retain and treat complaints regarding accounting, internal accounting controls or auditing matters and</w:t>
      </w:r>
    </w:p>
    <w:p>
      <w:pPr>
        <w:spacing w:after="0" w:line="9" w:lineRule="exact"/>
        <w:rPr>
          <w:sz w:val="20"/>
          <w:szCs w:val="20"/>
          <w:color w:val="auto"/>
        </w:rPr>
      </w:pPr>
    </w:p>
    <w:p>
      <w:pPr>
        <w:spacing w:after="0" w:line="237" w:lineRule="auto"/>
        <w:rPr>
          <w:sz w:val="20"/>
          <w:szCs w:val="20"/>
          <w:color w:val="auto"/>
        </w:rPr>
      </w:pPr>
      <w:r>
        <w:rPr>
          <w:rFonts w:ascii="Arial" w:cs="Arial" w:eastAsia="Arial" w:hAnsi="Arial"/>
          <w:sz w:val="17"/>
          <w:szCs w:val="17"/>
          <w:color w:val="auto"/>
        </w:rPr>
        <w:t>to allow for the confidential and anonymous submission by employees of concerns regarding questionable accounting or auditing matters. A 24-hour, toll-free confidential ethics helpline and a confidential web-based reporting tool are available for the submission of concerns regarding</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these and other matters by any employee. Concerns and questions received through these methods relating to accounting, internal accounting</w:t>
      </w:r>
    </w:p>
    <w:p>
      <w:pPr>
        <w:spacing w:after="0" w:line="5" w:lineRule="exact"/>
        <w:rPr>
          <w:sz w:val="20"/>
          <w:szCs w:val="20"/>
          <w:color w:val="auto"/>
        </w:rPr>
      </w:pPr>
    </w:p>
    <w:p>
      <w:pPr>
        <w:spacing w:after="0" w:line="224" w:lineRule="auto"/>
        <w:rPr>
          <w:sz w:val="20"/>
          <w:szCs w:val="20"/>
          <w:color w:val="auto"/>
        </w:rPr>
      </w:pPr>
      <w:r>
        <w:rPr>
          <w:rFonts w:ascii="Arial" w:cs="Arial" w:eastAsia="Arial" w:hAnsi="Arial"/>
          <w:sz w:val="18"/>
          <w:szCs w:val="18"/>
          <w:color w:val="auto"/>
        </w:rPr>
        <w:t>controls or auditing matters are promptly brought to the attention of the Chair of the Audit Committee and are handled in accordance with procedures established by the Audit Committee. Complete information regarding our complaint procedures is contained within our Code of</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Conduct, which may be accessed on our website as noted above.</w:t>
      </w:r>
    </w:p>
    <w:p>
      <w:pPr>
        <w:spacing w:after="0" w:line="144" w:lineRule="exact"/>
        <w:rPr>
          <w:sz w:val="20"/>
          <w:szCs w:val="20"/>
          <w:color w:val="auto"/>
        </w:rPr>
      </w:pPr>
    </w:p>
    <w:p>
      <w:pPr>
        <w:spacing w:after="0"/>
        <w:rPr>
          <w:sz w:val="20"/>
          <w:szCs w:val="20"/>
          <w:color w:val="auto"/>
        </w:rPr>
      </w:pPr>
      <w:r>
        <w:rPr>
          <w:rFonts w:ascii="Arial" w:cs="Arial" w:eastAsia="Arial" w:hAnsi="Arial"/>
          <w:sz w:val="20"/>
          <w:szCs w:val="20"/>
          <w:b w:val="1"/>
          <w:bCs w:val="1"/>
          <w:color w:val="C00000"/>
        </w:rPr>
        <w:t>Insider Trading Policy</w:t>
      </w:r>
    </w:p>
    <w:p>
      <w:pPr>
        <w:spacing w:after="0" w:line="57" w:lineRule="exact"/>
        <w:rPr>
          <w:sz w:val="20"/>
          <w:szCs w:val="20"/>
          <w:color w:val="auto"/>
        </w:rPr>
      </w:pPr>
    </w:p>
    <w:p>
      <w:pPr>
        <w:ind w:firstLine="320"/>
        <w:spacing w:after="0" w:line="255" w:lineRule="auto"/>
        <w:rPr>
          <w:sz w:val="20"/>
          <w:szCs w:val="20"/>
          <w:color w:val="auto"/>
        </w:rPr>
      </w:pPr>
      <w:r>
        <w:rPr>
          <w:rFonts w:ascii="Arial" w:cs="Arial" w:eastAsia="Arial" w:hAnsi="Arial"/>
          <w:sz w:val="17"/>
          <w:szCs w:val="17"/>
          <w:color w:val="auto"/>
        </w:rPr>
        <w:t>We have adopted an Insider Trading Policy that governs the purchase, sale and/or other dispositions of our securities by directors, officers, and employees, together with their immediate family members and other persons living in their households. We believe our Insider Trading</w:t>
      </w:r>
    </w:p>
    <w:p>
      <w:pPr>
        <w:spacing w:after="0" w:line="1" w:lineRule="exact"/>
        <w:rPr>
          <w:sz w:val="20"/>
          <w:szCs w:val="20"/>
          <w:color w:val="auto"/>
        </w:rPr>
      </w:pPr>
    </w:p>
    <w:p>
      <w:pPr>
        <w:spacing w:after="0" w:line="234" w:lineRule="auto"/>
        <w:rPr>
          <w:sz w:val="20"/>
          <w:szCs w:val="20"/>
          <w:color w:val="auto"/>
        </w:rPr>
      </w:pPr>
      <w:r>
        <w:rPr>
          <w:rFonts w:ascii="Arial" w:cs="Arial" w:eastAsia="Arial" w:hAnsi="Arial"/>
          <w:sz w:val="18"/>
          <w:szCs w:val="18"/>
          <w:color w:val="auto"/>
        </w:rPr>
        <w:t>Policy is reasonably designed to promote compliance with insider trading laws, rules and regulations, and any applicable NYSE standards. A copy of our Insider Trading Policy was filed as an exhibit to our Annual Report on Form 10-K for the year ended October 31,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79375</wp:posOffset>
            </wp:positionV>
            <wp:extent cx="7159625"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157" w:right="339" w:bottom="1440" w:gutter="0" w:footer="0" w:header="0"/>
        </w:sectPr>
      </w:pPr>
    </w:p>
    <w:bookmarkStart w:id="38" w:name="page39"/>
    <w:bookmarkEnd w:id="38"/>
    <w:p>
      <w:pPr>
        <w:ind w:left="2880"/>
        <w:spacing w:after="0"/>
        <w:rPr>
          <w:sz w:val="20"/>
          <w:szCs w:val="20"/>
          <w:color w:val="auto"/>
        </w:rPr>
      </w:pPr>
      <w:r>
        <w:rPr>
          <w:rFonts w:ascii="Arial" w:cs="Arial" w:eastAsia="Arial" w:hAnsi="Arial"/>
          <w:sz w:val="21"/>
          <w:szCs w:val="21"/>
          <w:b w:val="1"/>
          <w:bCs w:val="1"/>
          <w:color w:val="FFFFFF"/>
        </w:rPr>
        <w:t>PROPOSAL TWO—RATIFICATION OF SELECTION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-151765</wp:posOffset>
            </wp:positionV>
            <wp:extent cx="6998335" cy="3473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6998335" cy="347345"/>
                    </a:xfrm>
                    <a:prstGeom prst="rect">
                      <a:avLst/>
                    </a:prstGeom>
                    <a:noFill/>
                  </pic:spPr>
                </pic:pic>
              </a:graphicData>
            </a:graphic>
          </wp:anchor>
        </w:drawing>
      </w:r>
    </w:p>
    <w:p>
      <w:pPr>
        <w:spacing w:after="0" w:line="1" w:lineRule="exact"/>
        <w:rPr>
          <w:sz w:val="20"/>
          <w:szCs w:val="20"/>
          <w:color w:val="auto"/>
        </w:rPr>
      </w:pPr>
    </w:p>
    <w:p>
      <w:pPr>
        <w:ind w:left="2660"/>
        <w:spacing w:after="0"/>
        <w:rPr>
          <w:sz w:val="20"/>
          <w:szCs w:val="20"/>
          <w:color w:val="auto"/>
        </w:rPr>
      </w:pPr>
      <w:r>
        <w:rPr>
          <w:rFonts w:ascii="Arial" w:cs="Arial" w:eastAsia="Arial" w:hAnsi="Arial"/>
          <w:sz w:val="21"/>
          <w:szCs w:val="21"/>
          <w:b w:val="1"/>
          <w:bCs w:val="1"/>
          <w:color w:val="FFFFFF"/>
        </w:rPr>
        <w:t>INDEPENDENT REGISTERED PUBLIC ACCOUNTING FIRM</w:t>
      </w:r>
    </w:p>
    <w:p>
      <w:pPr>
        <w:spacing w:after="0" w:line="328" w:lineRule="exact"/>
        <w:rPr>
          <w:sz w:val="20"/>
          <w:szCs w:val="20"/>
          <w:color w:val="auto"/>
        </w:rPr>
      </w:pPr>
    </w:p>
    <w:p>
      <w:pPr>
        <w:spacing w:after="0"/>
        <w:rPr>
          <w:sz w:val="20"/>
          <w:szCs w:val="20"/>
          <w:color w:val="auto"/>
        </w:rPr>
      </w:pPr>
      <w:r>
        <w:rPr>
          <w:rFonts w:ascii="Arial" w:cs="Arial" w:eastAsia="Arial" w:hAnsi="Arial"/>
          <w:sz w:val="20"/>
          <w:szCs w:val="20"/>
          <w:b w:val="1"/>
          <w:bCs w:val="1"/>
          <w:color w:val="C00000"/>
        </w:rPr>
        <w:t>Selection of Independent Registered Public Accounting Firm</w:t>
      </w:r>
    </w:p>
    <w:p>
      <w:pPr>
        <w:spacing w:after="0" w:line="97" w:lineRule="exact"/>
        <w:rPr>
          <w:sz w:val="20"/>
          <w:szCs w:val="20"/>
          <w:color w:val="auto"/>
        </w:rPr>
      </w:pPr>
    </w:p>
    <w:p>
      <w:pPr>
        <w:ind w:firstLine="320"/>
        <w:spacing w:after="0" w:line="233" w:lineRule="auto"/>
        <w:rPr>
          <w:sz w:val="20"/>
          <w:szCs w:val="20"/>
          <w:color w:val="auto"/>
        </w:rPr>
      </w:pPr>
      <w:r>
        <w:rPr>
          <w:rFonts w:ascii="Arial" w:cs="Arial" w:eastAsia="Arial" w:hAnsi="Arial"/>
          <w:sz w:val="18"/>
          <w:szCs w:val="18"/>
          <w:color w:val="auto"/>
        </w:rPr>
        <w:t>The Audit Committee selects our external auditor. In this regard, the Audit Committee evaluates the qualifications, performance and independence of our external auditor and determines whether to re-engage the current external auditor. As part of its evaluation, the Audit</w:t>
      </w:r>
    </w:p>
    <w:p>
      <w:pPr>
        <w:spacing w:after="0" w:line="1" w:lineRule="exact"/>
        <w:rPr>
          <w:sz w:val="20"/>
          <w:szCs w:val="20"/>
          <w:color w:val="auto"/>
        </w:rPr>
      </w:pPr>
    </w:p>
    <w:p>
      <w:pPr>
        <w:spacing w:after="0" w:line="224" w:lineRule="auto"/>
        <w:rPr>
          <w:sz w:val="20"/>
          <w:szCs w:val="20"/>
          <w:color w:val="auto"/>
        </w:rPr>
      </w:pPr>
      <w:r>
        <w:rPr>
          <w:rFonts w:ascii="Arial" w:cs="Arial" w:eastAsia="Arial" w:hAnsi="Arial"/>
          <w:sz w:val="18"/>
          <w:szCs w:val="18"/>
          <w:color w:val="auto"/>
        </w:rPr>
        <w:t>Committee considers, among other factors, the quality and efficiency of the services provided by the external auditor, including the performance, technical expertise, and industry knowledge of the lead audit partner and the audit team assigned to our account; the overall</w:t>
      </w:r>
    </w:p>
    <w:p>
      <w:pPr>
        <w:spacing w:after="0" w:line="232" w:lineRule="auto"/>
        <w:rPr>
          <w:sz w:val="20"/>
          <w:szCs w:val="20"/>
          <w:color w:val="auto"/>
        </w:rPr>
      </w:pPr>
      <w:r>
        <w:rPr>
          <w:rFonts w:ascii="Arial" w:cs="Arial" w:eastAsia="Arial" w:hAnsi="Arial"/>
          <w:sz w:val="18"/>
          <w:szCs w:val="18"/>
          <w:color w:val="auto"/>
        </w:rPr>
        <w:t>strength and reputation of the external audit firm; the external auditor's global capabilities relative to our business; the external auditor's</w:t>
      </w:r>
    </w:p>
    <w:p>
      <w:pPr>
        <w:spacing w:after="0" w:line="1" w:lineRule="exact"/>
        <w:rPr>
          <w:sz w:val="20"/>
          <w:szCs w:val="20"/>
          <w:color w:val="auto"/>
        </w:rPr>
      </w:pPr>
    </w:p>
    <w:p>
      <w:pPr>
        <w:spacing w:after="0" w:line="234" w:lineRule="auto"/>
        <w:rPr>
          <w:sz w:val="20"/>
          <w:szCs w:val="20"/>
          <w:color w:val="auto"/>
        </w:rPr>
      </w:pPr>
      <w:r>
        <w:rPr>
          <w:rFonts w:ascii="Arial" w:cs="Arial" w:eastAsia="Arial" w:hAnsi="Arial"/>
          <w:sz w:val="18"/>
          <w:szCs w:val="18"/>
          <w:color w:val="auto"/>
        </w:rPr>
        <w:t>knowledge of our operations; and the external auditor's fees. Upon consideration of these and other factors, the Audit Committee has selected KPMG LLP, or KPMG, to serve as our external auditor for fiscal 2025.</w:t>
      </w:r>
    </w:p>
    <w:p>
      <w:pPr>
        <w:spacing w:after="0" w:line="74"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Sarbanes-Oxley Act of 2002 requires the lead audit engagement partner to rotate every five years. In conjunction with this mandated</w:t>
      </w:r>
    </w:p>
    <w:p>
      <w:pPr>
        <w:spacing w:after="0" w:line="9" w:lineRule="exact"/>
        <w:rPr>
          <w:sz w:val="20"/>
          <w:szCs w:val="20"/>
          <w:color w:val="auto"/>
        </w:rPr>
      </w:pPr>
    </w:p>
    <w:p>
      <w:pPr>
        <w:spacing w:after="0" w:line="224" w:lineRule="auto"/>
        <w:rPr>
          <w:sz w:val="20"/>
          <w:szCs w:val="20"/>
          <w:color w:val="auto"/>
        </w:rPr>
      </w:pPr>
      <w:r>
        <w:rPr>
          <w:rFonts w:ascii="Arial" w:cs="Arial" w:eastAsia="Arial" w:hAnsi="Arial"/>
          <w:sz w:val="18"/>
          <w:szCs w:val="18"/>
          <w:color w:val="auto"/>
        </w:rPr>
        <w:t>rotation, the Audit Committee and its Chair are involved in the selection of the new lead engagement partner. The most recent new lead engagement partner commenced service following the completion of the audit of the Company’s consolidated financial statements as of and</w:t>
      </w:r>
    </w:p>
    <w:p>
      <w:pPr>
        <w:spacing w:after="0" w:line="1" w:lineRule="exact"/>
        <w:rPr>
          <w:sz w:val="20"/>
          <w:szCs w:val="20"/>
          <w:color w:val="auto"/>
        </w:rPr>
      </w:pPr>
    </w:p>
    <w:p>
      <w:pPr>
        <w:spacing w:after="0" w:line="243" w:lineRule="auto"/>
        <w:rPr>
          <w:sz w:val="20"/>
          <w:szCs w:val="20"/>
          <w:color w:val="auto"/>
        </w:rPr>
      </w:pPr>
      <w:r>
        <w:rPr>
          <w:rFonts w:ascii="Arial" w:cs="Arial" w:eastAsia="Arial" w:hAnsi="Arial"/>
          <w:sz w:val="18"/>
          <w:szCs w:val="18"/>
          <w:color w:val="auto"/>
        </w:rPr>
        <w:t>for the year ended October 31, 2024. The Audit Committee believes that the retention of KPMG to serve as the Company’s independent registered public accounting firm is in the best interest of the Company and its shareholders.</w:t>
      </w:r>
    </w:p>
    <w:p>
      <w:pPr>
        <w:spacing w:after="0" w:line="59" w:lineRule="exact"/>
        <w:rPr>
          <w:sz w:val="20"/>
          <w:szCs w:val="20"/>
          <w:color w:val="auto"/>
        </w:rPr>
      </w:pPr>
    </w:p>
    <w:p>
      <w:pPr>
        <w:jc w:val="both"/>
        <w:ind w:firstLine="320"/>
        <w:spacing w:after="0" w:line="241" w:lineRule="auto"/>
        <w:rPr>
          <w:sz w:val="20"/>
          <w:szCs w:val="20"/>
          <w:color w:val="auto"/>
        </w:rPr>
      </w:pPr>
      <w:r>
        <w:rPr>
          <w:rFonts w:ascii="Arial" w:cs="Arial" w:eastAsia="Arial" w:hAnsi="Arial"/>
          <w:sz w:val="18"/>
          <w:szCs w:val="18"/>
          <w:color w:val="auto"/>
        </w:rPr>
        <w:t>Although it is not required to do so, the Board, as it traditionally has done in the past, is asking our shareholders to ratify the Audit Committee's selection of KPMG. If our shareholders do not ratify the selection of KPMG, the Audit Committee may reconsider its selection.</w:t>
      </w:r>
    </w:p>
    <w:p>
      <w:pPr>
        <w:spacing w:after="0" w:line="1" w:lineRule="exact"/>
        <w:rPr>
          <w:sz w:val="20"/>
          <w:szCs w:val="20"/>
          <w:color w:val="auto"/>
        </w:rPr>
      </w:pPr>
    </w:p>
    <w:p>
      <w:pPr>
        <w:spacing w:after="0" w:line="234" w:lineRule="auto"/>
        <w:rPr>
          <w:sz w:val="20"/>
          <w:szCs w:val="20"/>
          <w:color w:val="auto"/>
        </w:rPr>
      </w:pPr>
      <w:r>
        <w:rPr>
          <w:rFonts w:ascii="Arial" w:cs="Arial" w:eastAsia="Arial" w:hAnsi="Arial"/>
          <w:sz w:val="18"/>
          <w:szCs w:val="18"/>
          <w:color w:val="auto"/>
        </w:rPr>
        <w:t>Even if the selection is ratified by our shareholders, the Audit Committee in its discretion may change the appointment at any time during the year if it determines that such a change would be in the best interests of our Company and our shareholders.</w:t>
      </w:r>
    </w:p>
    <w:p>
      <w:pPr>
        <w:spacing w:after="0" w:line="74" w:lineRule="exact"/>
        <w:rPr>
          <w:sz w:val="20"/>
          <w:szCs w:val="20"/>
          <w:color w:val="auto"/>
        </w:rPr>
      </w:pPr>
    </w:p>
    <w:p>
      <w:pPr>
        <w:ind w:firstLine="320"/>
        <w:spacing w:after="0" w:line="262" w:lineRule="auto"/>
        <w:rPr>
          <w:sz w:val="20"/>
          <w:szCs w:val="20"/>
          <w:color w:val="auto"/>
        </w:rPr>
      </w:pPr>
      <w:r>
        <w:rPr>
          <w:rFonts w:ascii="Arial" w:cs="Arial" w:eastAsia="Arial" w:hAnsi="Arial"/>
          <w:sz w:val="18"/>
          <w:szCs w:val="18"/>
          <w:color w:val="auto"/>
        </w:rPr>
        <w:t>Representatives of KPMG will be present at the annual meeting to answer appropriate questions. They also will have the opportunity to make a statement if they wish to do so.</w:t>
      </w:r>
    </w:p>
    <w:p>
      <w:pPr>
        <w:spacing w:after="0" w:line="102" w:lineRule="exact"/>
        <w:rPr>
          <w:sz w:val="20"/>
          <w:szCs w:val="20"/>
          <w:color w:val="auto"/>
        </w:rPr>
      </w:pPr>
    </w:p>
    <w:p>
      <w:pPr>
        <w:spacing w:after="0"/>
        <w:rPr>
          <w:sz w:val="20"/>
          <w:szCs w:val="20"/>
          <w:color w:val="auto"/>
        </w:rPr>
      </w:pPr>
      <w:r>
        <w:rPr>
          <w:rFonts w:ascii="Arial" w:cs="Arial" w:eastAsia="Arial" w:hAnsi="Arial"/>
          <w:sz w:val="20"/>
          <w:szCs w:val="20"/>
          <w:b w:val="1"/>
          <w:bCs w:val="1"/>
          <w:color w:val="C00000"/>
        </w:rPr>
        <w:t>Audit, Audit-Related, Tax and Other Fees</w:t>
      </w:r>
    </w:p>
    <w:p>
      <w:pPr>
        <w:spacing w:after="0" w:line="97" w:lineRule="exact"/>
        <w:rPr>
          <w:sz w:val="20"/>
          <w:szCs w:val="20"/>
          <w:color w:val="auto"/>
        </w:rPr>
      </w:pPr>
    </w:p>
    <w:p>
      <w:pPr>
        <w:ind w:firstLine="320"/>
        <w:spacing w:after="0" w:line="262" w:lineRule="auto"/>
        <w:rPr>
          <w:sz w:val="20"/>
          <w:szCs w:val="20"/>
          <w:color w:val="auto"/>
        </w:rPr>
      </w:pPr>
      <w:r>
        <w:rPr>
          <w:rFonts w:ascii="Arial" w:cs="Arial" w:eastAsia="Arial" w:hAnsi="Arial"/>
          <w:sz w:val="18"/>
          <w:szCs w:val="18"/>
          <w:color w:val="auto"/>
        </w:rPr>
        <w:t>The Audit Committee is responsible for external auditor compensation. The following table sets forth the aggregate fees billed to us for professional services rendered by KPMG for fiscal 2024 and fiscal 2023 by category, as described in the footnotes to the table.</w:t>
      </w:r>
    </w:p>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20" w:type="dxa"/>
            <w:vAlign w:val="bottom"/>
          </w:tcPr>
          <w:p>
            <w:pPr>
              <w:spacing w:after="0"/>
              <w:rPr>
                <w:sz w:val="17"/>
                <w:szCs w:val="17"/>
                <w:color w:val="auto"/>
              </w:rPr>
            </w:pPr>
          </w:p>
        </w:tc>
        <w:tc>
          <w:tcPr>
            <w:tcW w:w="3020" w:type="dxa"/>
            <w:vAlign w:val="bottom"/>
            <w:shd w:val="clear" w:color="auto" w:fill="BF2115"/>
          </w:tcPr>
          <w:p>
            <w:pPr>
              <w:spacing w:after="0"/>
              <w:rPr>
                <w:sz w:val="17"/>
                <w:szCs w:val="17"/>
                <w:color w:val="auto"/>
              </w:rPr>
            </w:pPr>
          </w:p>
        </w:tc>
        <w:tc>
          <w:tcPr>
            <w:tcW w:w="3520" w:type="dxa"/>
            <w:vAlign w:val="bottom"/>
            <w:shd w:val="clear" w:color="auto" w:fill="BF2115"/>
          </w:tcPr>
          <w:p>
            <w:pPr>
              <w:ind w:left="2520"/>
              <w:spacing w:after="0"/>
              <w:rPr>
                <w:sz w:val="20"/>
                <w:szCs w:val="20"/>
                <w:color w:val="auto"/>
              </w:rPr>
            </w:pPr>
            <w:r>
              <w:rPr>
                <w:rFonts w:ascii="Arial" w:cs="Arial" w:eastAsia="Arial" w:hAnsi="Arial"/>
                <w:sz w:val="14"/>
                <w:szCs w:val="14"/>
                <w:b w:val="1"/>
                <w:bCs w:val="1"/>
                <w:color w:val="FFFFFF"/>
              </w:rPr>
              <w:t>Fiscal 2024</w:t>
            </w:r>
          </w:p>
        </w:tc>
        <w:tc>
          <w:tcPr>
            <w:tcW w:w="1700" w:type="dxa"/>
            <w:vAlign w:val="bottom"/>
            <w:shd w:val="clear" w:color="auto" w:fill="BF2115"/>
          </w:tcPr>
          <w:p>
            <w:pPr>
              <w:spacing w:after="0"/>
              <w:rPr>
                <w:sz w:val="17"/>
                <w:szCs w:val="17"/>
                <w:color w:val="auto"/>
              </w:rPr>
            </w:pPr>
          </w:p>
        </w:tc>
        <w:tc>
          <w:tcPr>
            <w:tcW w:w="2780" w:type="dxa"/>
            <w:vAlign w:val="bottom"/>
            <w:shd w:val="clear" w:color="auto" w:fill="BF2115"/>
          </w:tcPr>
          <w:p>
            <w:pPr>
              <w:jc w:val="right"/>
              <w:ind w:right="1223"/>
              <w:spacing w:after="0"/>
              <w:rPr>
                <w:sz w:val="20"/>
                <w:szCs w:val="20"/>
                <w:color w:val="auto"/>
              </w:rPr>
            </w:pPr>
            <w:r>
              <w:rPr>
                <w:rFonts w:ascii="Arial" w:cs="Arial" w:eastAsia="Arial" w:hAnsi="Arial"/>
                <w:sz w:val="14"/>
                <w:szCs w:val="14"/>
                <w:b w:val="1"/>
                <w:bCs w:val="1"/>
                <w:color w:val="FFFFFF"/>
              </w:rPr>
              <w:t>Fiscal 2023</w:t>
            </w:r>
          </w:p>
        </w:tc>
      </w:tr>
      <w:tr>
        <w:trPr>
          <w:trHeight w:val="209"/>
        </w:trPr>
        <w:tc>
          <w:tcPr>
            <w:tcW w:w="120" w:type="dxa"/>
            <w:vAlign w:val="bottom"/>
          </w:tcPr>
          <w:p>
            <w:pPr>
              <w:spacing w:after="0"/>
              <w:rPr>
                <w:sz w:val="18"/>
                <w:szCs w:val="18"/>
                <w:color w:val="auto"/>
              </w:rPr>
            </w:pPr>
          </w:p>
        </w:tc>
        <w:tc>
          <w:tcPr>
            <w:tcW w:w="6540" w:type="dxa"/>
            <w:vAlign w:val="bottom"/>
            <w:gridSpan w:val="2"/>
            <w:shd w:val="clear" w:color="auto" w:fill="BF2115"/>
          </w:tcPr>
          <w:p>
            <w:pPr>
              <w:ind w:left="5820"/>
              <w:spacing w:after="0"/>
              <w:rPr>
                <w:sz w:val="20"/>
                <w:szCs w:val="20"/>
                <w:color w:val="auto"/>
              </w:rPr>
            </w:pPr>
            <w:r>
              <w:rPr>
                <w:rFonts w:ascii="Arial" w:cs="Arial" w:eastAsia="Arial" w:hAnsi="Arial"/>
                <w:sz w:val="14"/>
                <w:szCs w:val="14"/>
                <w:b w:val="1"/>
                <w:bCs w:val="1"/>
                <w:color w:val="FFFFFF"/>
              </w:rPr>
              <w:t>($)</w:t>
            </w:r>
          </w:p>
        </w:tc>
        <w:tc>
          <w:tcPr>
            <w:tcW w:w="1700" w:type="dxa"/>
            <w:vAlign w:val="bottom"/>
            <w:shd w:val="clear" w:color="auto" w:fill="BF2115"/>
          </w:tcPr>
          <w:p>
            <w:pPr>
              <w:spacing w:after="0"/>
              <w:rPr>
                <w:sz w:val="18"/>
                <w:szCs w:val="18"/>
                <w:color w:val="auto"/>
              </w:rPr>
            </w:pPr>
          </w:p>
        </w:tc>
        <w:tc>
          <w:tcPr>
            <w:tcW w:w="2780" w:type="dxa"/>
            <w:vAlign w:val="bottom"/>
            <w:shd w:val="clear" w:color="auto" w:fill="BF2115"/>
          </w:tcPr>
          <w:p>
            <w:pPr>
              <w:jc w:val="right"/>
              <w:ind w:right="1503"/>
              <w:spacing w:after="0"/>
              <w:rPr>
                <w:sz w:val="20"/>
                <w:szCs w:val="20"/>
                <w:color w:val="auto"/>
              </w:rPr>
            </w:pPr>
            <w:r>
              <w:rPr>
                <w:rFonts w:ascii="Arial" w:cs="Arial" w:eastAsia="Arial" w:hAnsi="Arial"/>
                <w:sz w:val="14"/>
                <w:szCs w:val="14"/>
                <w:b w:val="1"/>
                <w:bCs w:val="1"/>
                <w:color w:val="FFFFFF"/>
              </w:rPr>
              <w:t>($)</w:t>
            </w:r>
          </w:p>
        </w:tc>
      </w:tr>
      <w:tr>
        <w:trPr>
          <w:trHeight w:val="254"/>
        </w:trPr>
        <w:tc>
          <w:tcPr>
            <w:tcW w:w="120" w:type="dxa"/>
            <w:vAlign w:val="bottom"/>
          </w:tcPr>
          <w:p>
            <w:pPr>
              <w:spacing w:after="0"/>
              <w:rPr>
                <w:sz w:val="22"/>
                <w:szCs w:val="22"/>
                <w:color w:val="auto"/>
              </w:rPr>
            </w:pPr>
          </w:p>
        </w:tc>
        <w:tc>
          <w:tcPr>
            <w:tcW w:w="6540" w:type="dxa"/>
            <w:vAlign w:val="bottom"/>
            <w:gridSpan w:val="2"/>
          </w:tcPr>
          <w:p>
            <w:pPr>
              <w:ind w:left="20"/>
              <w:spacing w:after="0"/>
              <w:rPr>
                <w:sz w:val="20"/>
                <w:szCs w:val="20"/>
                <w:color w:val="auto"/>
              </w:rPr>
            </w:pPr>
            <w:r>
              <w:rPr>
                <w:rFonts w:ascii="Arial" w:cs="Arial" w:eastAsia="Arial" w:hAnsi="Arial"/>
                <w:sz w:val="16"/>
                <w:szCs w:val="16"/>
                <w:color w:val="auto"/>
              </w:rPr>
              <w:t>Audit Fees</w:t>
            </w:r>
            <w:r>
              <w:rPr>
                <w:rFonts w:ascii="Arial" w:cs="Arial" w:eastAsia="Arial" w:hAnsi="Arial"/>
                <w:sz w:val="20"/>
                <w:szCs w:val="20"/>
                <w:color w:val="auto"/>
                <w:vertAlign w:val="superscript"/>
              </w:rPr>
              <w:t>1</w:t>
            </w:r>
          </w:p>
        </w:tc>
        <w:tc>
          <w:tcPr>
            <w:tcW w:w="1700" w:type="dxa"/>
            <w:vAlign w:val="bottom"/>
          </w:tcPr>
          <w:p>
            <w:pPr>
              <w:jc w:val="right"/>
              <w:ind w:right="660"/>
              <w:spacing w:after="0"/>
              <w:rPr>
                <w:sz w:val="20"/>
                <w:szCs w:val="20"/>
                <w:color w:val="auto"/>
              </w:rPr>
            </w:pPr>
            <w:r>
              <w:rPr>
                <w:rFonts w:ascii="Arial" w:cs="Arial" w:eastAsia="Arial" w:hAnsi="Arial"/>
                <w:sz w:val="16"/>
                <w:szCs w:val="16"/>
                <w:color w:val="auto"/>
              </w:rPr>
              <w:t>2,366,480</w:t>
            </w:r>
          </w:p>
        </w:tc>
        <w:tc>
          <w:tcPr>
            <w:tcW w:w="2780" w:type="dxa"/>
            <w:vAlign w:val="bottom"/>
          </w:tcPr>
          <w:p>
            <w:pPr>
              <w:jc w:val="right"/>
              <w:ind w:right="3"/>
              <w:spacing w:after="0"/>
              <w:rPr>
                <w:sz w:val="20"/>
                <w:szCs w:val="20"/>
                <w:color w:val="auto"/>
              </w:rPr>
            </w:pPr>
            <w:r>
              <w:rPr>
                <w:rFonts w:ascii="Arial" w:cs="Arial" w:eastAsia="Arial" w:hAnsi="Arial"/>
                <w:sz w:val="16"/>
                <w:szCs w:val="16"/>
                <w:color w:val="auto"/>
              </w:rPr>
              <w:t>2,347,305</w:t>
            </w:r>
          </w:p>
        </w:tc>
      </w:tr>
      <w:tr>
        <w:trPr>
          <w:trHeight w:val="254"/>
        </w:trPr>
        <w:tc>
          <w:tcPr>
            <w:tcW w:w="120" w:type="dxa"/>
            <w:vAlign w:val="bottom"/>
          </w:tcPr>
          <w:p>
            <w:pPr>
              <w:spacing w:after="0"/>
              <w:rPr>
                <w:sz w:val="22"/>
                <w:szCs w:val="22"/>
                <w:color w:val="auto"/>
              </w:rPr>
            </w:pPr>
          </w:p>
        </w:tc>
        <w:tc>
          <w:tcPr>
            <w:tcW w:w="6540" w:type="dxa"/>
            <w:vAlign w:val="bottom"/>
            <w:gridSpan w:val="2"/>
            <w:shd w:val="clear" w:color="auto" w:fill="DBDBDB"/>
          </w:tcPr>
          <w:p>
            <w:pPr>
              <w:ind w:left="20"/>
              <w:spacing w:after="0"/>
              <w:rPr>
                <w:sz w:val="20"/>
                <w:szCs w:val="20"/>
                <w:color w:val="auto"/>
              </w:rPr>
            </w:pPr>
            <w:r>
              <w:rPr>
                <w:rFonts w:ascii="Arial" w:cs="Arial" w:eastAsia="Arial" w:hAnsi="Arial"/>
                <w:sz w:val="16"/>
                <w:szCs w:val="16"/>
                <w:color w:val="auto"/>
              </w:rPr>
              <w:t>Audit-Related Fees</w:t>
            </w:r>
            <w:r>
              <w:rPr>
                <w:rFonts w:ascii="Arial" w:cs="Arial" w:eastAsia="Arial" w:hAnsi="Arial"/>
                <w:sz w:val="20"/>
                <w:szCs w:val="20"/>
                <w:color w:val="auto"/>
                <w:vertAlign w:val="superscript"/>
              </w:rPr>
              <w:t>2</w:t>
            </w:r>
          </w:p>
        </w:tc>
        <w:tc>
          <w:tcPr>
            <w:tcW w:w="1700" w:type="dxa"/>
            <w:vAlign w:val="bottom"/>
            <w:shd w:val="clear" w:color="auto" w:fill="DBDBDB"/>
          </w:tcPr>
          <w:p>
            <w:pPr>
              <w:jc w:val="right"/>
              <w:ind w:right="660"/>
              <w:spacing w:after="0"/>
              <w:rPr>
                <w:sz w:val="20"/>
                <w:szCs w:val="20"/>
                <w:color w:val="auto"/>
              </w:rPr>
            </w:pPr>
            <w:r>
              <w:rPr>
                <w:rFonts w:ascii="Arial" w:cs="Arial" w:eastAsia="Arial" w:hAnsi="Arial"/>
                <w:sz w:val="16"/>
                <w:szCs w:val="16"/>
                <w:color w:val="auto"/>
              </w:rPr>
              <w:t>66,500</w:t>
            </w:r>
          </w:p>
        </w:tc>
        <w:tc>
          <w:tcPr>
            <w:tcW w:w="2780" w:type="dxa"/>
            <w:vAlign w:val="bottom"/>
            <w:shd w:val="clear" w:color="auto" w:fill="DBDBDB"/>
          </w:tcPr>
          <w:p>
            <w:pPr>
              <w:jc w:val="right"/>
              <w:ind w:right="3"/>
              <w:spacing w:after="0"/>
              <w:rPr>
                <w:sz w:val="20"/>
                <w:szCs w:val="20"/>
                <w:color w:val="auto"/>
              </w:rPr>
            </w:pPr>
            <w:r>
              <w:rPr>
                <w:rFonts w:ascii="Arial" w:cs="Arial" w:eastAsia="Arial" w:hAnsi="Arial"/>
                <w:sz w:val="16"/>
                <w:szCs w:val="16"/>
                <w:color w:val="auto"/>
              </w:rPr>
              <w:t>59,500</w:t>
            </w:r>
          </w:p>
        </w:tc>
      </w:tr>
      <w:tr>
        <w:trPr>
          <w:trHeight w:val="254"/>
        </w:trPr>
        <w:tc>
          <w:tcPr>
            <w:tcW w:w="120" w:type="dxa"/>
            <w:vAlign w:val="bottom"/>
          </w:tcPr>
          <w:p>
            <w:pPr>
              <w:spacing w:after="0"/>
              <w:rPr>
                <w:sz w:val="22"/>
                <w:szCs w:val="22"/>
                <w:color w:val="auto"/>
              </w:rPr>
            </w:pPr>
          </w:p>
        </w:tc>
        <w:tc>
          <w:tcPr>
            <w:tcW w:w="6540" w:type="dxa"/>
            <w:vAlign w:val="bottom"/>
            <w:gridSpan w:val="2"/>
          </w:tcPr>
          <w:p>
            <w:pPr>
              <w:ind w:left="20"/>
              <w:spacing w:after="0"/>
              <w:rPr>
                <w:sz w:val="20"/>
                <w:szCs w:val="20"/>
                <w:color w:val="auto"/>
              </w:rPr>
            </w:pPr>
            <w:r>
              <w:rPr>
                <w:rFonts w:ascii="Arial" w:cs="Arial" w:eastAsia="Arial" w:hAnsi="Arial"/>
                <w:sz w:val="16"/>
                <w:szCs w:val="16"/>
                <w:color w:val="auto"/>
              </w:rPr>
              <w:t>Tax Fees</w:t>
            </w:r>
            <w:r>
              <w:rPr>
                <w:rFonts w:ascii="Arial" w:cs="Arial" w:eastAsia="Arial" w:hAnsi="Arial"/>
                <w:sz w:val="20"/>
                <w:szCs w:val="20"/>
                <w:color w:val="auto"/>
                <w:vertAlign w:val="superscript"/>
              </w:rPr>
              <w:t>3</w:t>
            </w:r>
          </w:p>
        </w:tc>
        <w:tc>
          <w:tcPr>
            <w:tcW w:w="1700" w:type="dxa"/>
            <w:vAlign w:val="bottom"/>
          </w:tcPr>
          <w:p>
            <w:pPr>
              <w:jc w:val="right"/>
              <w:ind w:right="660"/>
              <w:spacing w:after="0"/>
              <w:rPr>
                <w:sz w:val="20"/>
                <w:szCs w:val="20"/>
                <w:color w:val="auto"/>
              </w:rPr>
            </w:pPr>
            <w:r>
              <w:rPr>
                <w:rFonts w:ascii="Arial" w:cs="Arial" w:eastAsia="Arial" w:hAnsi="Arial"/>
                <w:sz w:val="16"/>
                <w:szCs w:val="16"/>
                <w:color w:val="auto"/>
              </w:rPr>
              <w:t>156,992</w:t>
            </w:r>
          </w:p>
        </w:tc>
        <w:tc>
          <w:tcPr>
            <w:tcW w:w="2780" w:type="dxa"/>
            <w:vAlign w:val="bottom"/>
          </w:tcPr>
          <w:p>
            <w:pPr>
              <w:jc w:val="right"/>
              <w:ind w:right="3"/>
              <w:spacing w:after="0"/>
              <w:rPr>
                <w:sz w:val="20"/>
                <w:szCs w:val="20"/>
                <w:color w:val="auto"/>
              </w:rPr>
            </w:pPr>
            <w:r>
              <w:rPr>
                <w:rFonts w:ascii="Arial" w:cs="Arial" w:eastAsia="Arial" w:hAnsi="Arial"/>
                <w:sz w:val="16"/>
                <w:szCs w:val="16"/>
                <w:color w:val="auto"/>
              </w:rPr>
              <w:t>174,592</w:t>
            </w:r>
          </w:p>
        </w:tc>
      </w:tr>
      <w:tr>
        <w:trPr>
          <w:trHeight w:val="254"/>
        </w:trPr>
        <w:tc>
          <w:tcPr>
            <w:tcW w:w="120" w:type="dxa"/>
            <w:vAlign w:val="bottom"/>
          </w:tcPr>
          <w:p>
            <w:pPr>
              <w:spacing w:after="0"/>
              <w:rPr>
                <w:sz w:val="22"/>
                <w:szCs w:val="22"/>
                <w:color w:val="auto"/>
              </w:rPr>
            </w:pPr>
          </w:p>
        </w:tc>
        <w:tc>
          <w:tcPr>
            <w:tcW w:w="6540" w:type="dxa"/>
            <w:vAlign w:val="bottom"/>
            <w:gridSpan w:val="2"/>
            <w:shd w:val="clear" w:color="auto" w:fill="DBDBDB"/>
          </w:tcPr>
          <w:p>
            <w:pPr>
              <w:ind w:left="20"/>
              <w:spacing w:after="0"/>
              <w:rPr>
                <w:sz w:val="20"/>
                <w:szCs w:val="20"/>
                <w:color w:val="auto"/>
              </w:rPr>
            </w:pPr>
            <w:r>
              <w:rPr>
                <w:rFonts w:ascii="Arial" w:cs="Arial" w:eastAsia="Arial" w:hAnsi="Arial"/>
                <w:sz w:val="16"/>
                <w:szCs w:val="16"/>
                <w:color w:val="auto"/>
              </w:rPr>
              <w:t>All Other Fees</w:t>
            </w:r>
            <w:r>
              <w:rPr>
                <w:rFonts w:ascii="Arial" w:cs="Arial" w:eastAsia="Arial" w:hAnsi="Arial"/>
                <w:sz w:val="20"/>
                <w:szCs w:val="20"/>
                <w:color w:val="auto"/>
                <w:vertAlign w:val="superscript"/>
              </w:rPr>
              <w:t>4</w:t>
            </w:r>
          </w:p>
        </w:tc>
        <w:tc>
          <w:tcPr>
            <w:tcW w:w="1700" w:type="dxa"/>
            <w:vAlign w:val="bottom"/>
            <w:shd w:val="clear" w:color="auto" w:fill="DBDBDB"/>
          </w:tcPr>
          <w:p>
            <w:pPr>
              <w:jc w:val="right"/>
              <w:ind w:right="660"/>
              <w:spacing w:after="0"/>
              <w:rPr>
                <w:sz w:val="20"/>
                <w:szCs w:val="20"/>
                <w:color w:val="auto"/>
              </w:rPr>
            </w:pPr>
            <w:r>
              <w:rPr>
                <w:rFonts w:ascii="Arial" w:cs="Arial" w:eastAsia="Arial" w:hAnsi="Arial"/>
                <w:sz w:val="16"/>
                <w:szCs w:val="16"/>
                <w:color w:val="auto"/>
              </w:rPr>
              <w:t>135,000</w:t>
            </w:r>
          </w:p>
        </w:tc>
        <w:tc>
          <w:tcPr>
            <w:tcW w:w="2780" w:type="dxa"/>
            <w:vAlign w:val="bottom"/>
            <w:shd w:val="clear" w:color="auto" w:fill="DBDBDB"/>
          </w:tcPr>
          <w:p>
            <w:pPr>
              <w:jc w:val="right"/>
              <w:spacing w:after="0"/>
              <w:rPr>
                <w:sz w:val="20"/>
                <w:szCs w:val="20"/>
                <w:color w:val="auto"/>
              </w:rPr>
            </w:pPr>
            <w:r>
              <w:rPr>
                <w:rFonts w:ascii="Arial" w:cs="Arial" w:eastAsia="Arial" w:hAnsi="Arial"/>
                <w:sz w:val="16"/>
                <w:szCs w:val="16"/>
                <w:color w:val="auto"/>
              </w:rPr>
              <w:t>0</w:t>
            </w:r>
          </w:p>
        </w:tc>
      </w:tr>
      <w:tr>
        <w:trPr>
          <w:trHeight w:val="173"/>
        </w:trPr>
        <w:tc>
          <w:tcPr>
            <w:tcW w:w="120" w:type="dxa"/>
            <w:vAlign w:val="bottom"/>
            <w:tcBorders>
              <w:bottom w:val="single" w:sz="8" w:color="C00000"/>
            </w:tcBorders>
          </w:tcPr>
          <w:p>
            <w:pPr>
              <w:spacing w:after="0"/>
              <w:rPr>
                <w:sz w:val="15"/>
                <w:szCs w:val="15"/>
                <w:color w:val="auto"/>
              </w:rPr>
            </w:pPr>
          </w:p>
        </w:tc>
        <w:tc>
          <w:tcPr>
            <w:tcW w:w="3020" w:type="dxa"/>
            <w:vAlign w:val="bottom"/>
            <w:tcBorders>
              <w:bottom w:val="single" w:sz="8" w:color="C00000"/>
            </w:tcBorders>
          </w:tcPr>
          <w:p>
            <w:pPr>
              <w:spacing w:after="0"/>
              <w:rPr>
                <w:sz w:val="15"/>
                <w:szCs w:val="15"/>
                <w:color w:val="auto"/>
              </w:rPr>
            </w:pPr>
          </w:p>
        </w:tc>
        <w:tc>
          <w:tcPr>
            <w:tcW w:w="352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2780" w:type="dxa"/>
            <w:vAlign w:val="bottom"/>
          </w:tcPr>
          <w:p>
            <w:pPr>
              <w:spacing w:after="0"/>
              <w:rPr>
                <w:sz w:val="15"/>
                <w:szCs w:val="15"/>
                <w:color w:val="auto"/>
              </w:rPr>
            </w:pPr>
          </w:p>
        </w:tc>
      </w:tr>
    </w:tbl>
    <w:p>
      <w:pPr>
        <w:spacing w:after="0" w:line="130" w:lineRule="exact"/>
        <w:rPr>
          <w:sz w:val="20"/>
          <w:szCs w:val="20"/>
          <w:color w:val="auto"/>
        </w:rPr>
      </w:pPr>
    </w:p>
    <w:p>
      <w:pPr>
        <w:jc w:val="both"/>
        <w:ind w:left="320" w:hanging="313"/>
        <w:spacing w:after="0" w:line="243" w:lineRule="auto"/>
        <w:tabs>
          <w:tab w:leader="none" w:pos="308" w:val="left"/>
        </w:tabs>
        <w:numPr>
          <w:ilvl w:val="0"/>
          <w:numId w:val="54"/>
        </w:numPr>
        <w:rPr>
          <w:rFonts w:ascii="Arial" w:cs="Arial" w:eastAsia="Arial" w:hAnsi="Arial"/>
          <w:sz w:val="18"/>
          <w:szCs w:val="18"/>
          <w:color w:val="auto"/>
        </w:rPr>
      </w:pPr>
      <w:r>
        <w:rPr>
          <w:rFonts w:ascii="Arial" w:cs="Arial" w:eastAsia="Arial" w:hAnsi="Arial"/>
          <w:sz w:val="18"/>
          <w:szCs w:val="18"/>
          <w:color w:val="auto"/>
        </w:rPr>
        <w:t>Consist of aggregate fees billed, or expected to be billed, for fiscal 2024 and fiscal 2023, respectively, for professional services rendered by KPMG in connection with the audit of our consolidated financial statements included in our Annual Report on Form 10-K, review of our condensed consolidated financial statements included in our Quarterly Reports on Form 10-Q, statutory audits of certain of our international subsidiaries and the audit of internal control over financial reporting in accordance with Section 404 of the Sarbanes-Oxley Act of 2002.</w:t>
      </w:r>
    </w:p>
    <w:p>
      <w:pPr>
        <w:spacing w:after="0" w:line="19" w:lineRule="exact"/>
        <w:rPr>
          <w:rFonts w:ascii="Arial" w:cs="Arial" w:eastAsia="Arial" w:hAnsi="Arial"/>
          <w:sz w:val="18"/>
          <w:szCs w:val="18"/>
          <w:color w:val="auto"/>
        </w:rPr>
      </w:pPr>
    </w:p>
    <w:p>
      <w:pPr>
        <w:ind w:left="320" w:hanging="313"/>
        <w:spacing w:after="0" w:line="270" w:lineRule="auto"/>
        <w:tabs>
          <w:tab w:leader="none" w:pos="308" w:val="left"/>
        </w:tabs>
        <w:numPr>
          <w:ilvl w:val="0"/>
          <w:numId w:val="54"/>
        </w:numPr>
        <w:rPr>
          <w:rFonts w:ascii="Arial" w:cs="Arial" w:eastAsia="Arial" w:hAnsi="Arial"/>
          <w:sz w:val="18"/>
          <w:szCs w:val="18"/>
          <w:color w:val="auto"/>
        </w:rPr>
      </w:pPr>
      <w:r>
        <w:rPr>
          <w:rFonts w:ascii="Arial" w:cs="Arial" w:eastAsia="Arial" w:hAnsi="Arial"/>
          <w:sz w:val="18"/>
          <w:szCs w:val="18"/>
          <w:color w:val="auto"/>
        </w:rPr>
        <w:t>Consist of aggregate fees billed for KPMG's services related to audits of employee benefit plans and an international statutory social security audit.</w:t>
      </w:r>
    </w:p>
    <w:p>
      <w:pPr>
        <w:spacing w:after="0" w:line="1" w:lineRule="exact"/>
        <w:rPr>
          <w:rFonts w:ascii="Arial" w:cs="Arial" w:eastAsia="Arial" w:hAnsi="Arial"/>
          <w:sz w:val="18"/>
          <w:szCs w:val="18"/>
          <w:color w:val="auto"/>
        </w:rPr>
      </w:pPr>
    </w:p>
    <w:p>
      <w:pPr>
        <w:ind w:left="320" w:hanging="313"/>
        <w:spacing w:after="0" w:line="262" w:lineRule="auto"/>
        <w:tabs>
          <w:tab w:leader="none" w:pos="308" w:val="left"/>
        </w:tabs>
        <w:numPr>
          <w:ilvl w:val="0"/>
          <w:numId w:val="54"/>
        </w:numPr>
        <w:rPr>
          <w:rFonts w:ascii="Arial" w:cs="Arial" w:eastAsia="Arial" w:hAnsi="Arial"/>
          <w:sz w:val="18"/>
          <w:szCs w:val="18"/>
          <w:color w:val="auto"/>
        </w:rPr>
      </w:pPr>
      <w:r>
        <w:rPr>
          <w:rFonts w:ascii="Arial" w:cs="Arial" w:eastAsia="Arial" w:hAnsi="Arial"/>
          <w:sz w:val="18"/>
          <w:szCs w:val="18"/>
          <w:color w:val="auto"/>
        </w:rPr>
        <w:t>Consist of aggregate fees billed for professional services rendered by KPMG for permissible domestic and international tax consulting, planning and compliance services.</w:t>
      </w:r>
    </w:p>
    <w:p>
      <w:pPr>
        <w:spacing w:after="0" w:line="15" w:lineRule="exact"/>
        <w:rPr>
          <w:rFonts w:ascii="Arial" w:cs="Arial" w:eastAsia="Arial" w:hAnsi="Arial"/>
          <w:sz w:val="18"/>
          <w:szCs w:val="18"/>
          <w:color w:val="auto"/>
        </w:rPr>
      </w:pPr>
    </w:p>
    <w:p>
      <w:pPr>
        <w:ind w:left="320" w:hanging="313"/>
        <w:spacing w:after="0"/>
        <w:tabs>
          <w:tab w:leader="none" w:pos="320" w:val="left"/>
        </w:tabs>
        <w:numPr>
          <w:ilvl w:val="0"/>
          <w:numId w:val="54"/>
        </w:numPr>
        <w:rPr>
          <w:rFonts w:ascii="Arial" w:cs="Arial" w:eastAsia="Arial" w:hAnsi="Arial"/>
          <w:sz w:val="18"/>
          <w:szCs w:val="18"/>
          <w:color w:val="auto"/>
        </w:rPr>
      </w:pPr>
      <w:r>
        <w:rPr>
          <w:rFonts w:ascii="Arial" w:cs="Arial" w:eastAsia="Arial" w:hAnsi="Arial"/>
          <w:sz w:val="18"/>
          <w:szCs w:val="18"/>
          <w:color w:val="auto"/>
        </w:rPr>
        <w:t>Fees for fiscal 2024 also include a pre-system assessment service provided by KPMG.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392" w:right="339" w:bottom="1440" w:gutter="0" w:footer="0" w:header="0"/>
        </w:sectPr>
      </w:pPr>
    </w:p>
    <w:bookmarkStart w:id="39" w:name="page40"/>
    <w:bookmarkEnd w:id="39"/>
    <w:p>
      <w:pPr>
        <w:spacing w:after="0"/>
        <w:rPr>
          <w:sz w:val="20"/>
          <w:szCs w:val="20"/>
          <w:color w:val="auto"/>
        </w:rPr>
      </w:pPr>
      <w:r>
        <w:rPr>
          <w:rFonts w:ascii="Arial" w:cs="Arial" w:eastAsia="Arial" w:hAnsi="Arial"/>
          <w:sz w:val="20"/>
          <w:szCs w:val="20"/>
          <w:b w:val="1"/>
          <w:bCs w:val="1"/>
          <w:color w:val="C00000"/>
        </w:rPr>
        <w:t>Pre-Approval Policies and Procedures</w:t>
      </w:r>
    </w:p>
    <w:p>
      <w:pPr>
        <w:spacing w:after="0" w:line="97"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To minimize relationships that could impair the objectivity of our external auditor, the Audit Committee Charter requires that the Audit</w:t>
      </w:r>
    </w:p>
    <w:p>
      <w:pPr>
        <w:spacing w:after="0" w:line="9" w:lineRule="exact"/>
        <w:rPr>
          <w:sz w:val="20"/>
          <w:szCs w:val="20"/>
          <w:color w:val="auto"/>
        </w:rPr>
      </w:pPr>
    </w:p>
    <w:p>
      <w:pPr>
        <w:spacing w:after="0" w:line="224" w:lineRule="auto"/>
        <w:rPr>
          <w:sz w:val="20"/>
          <w:szCs w:val="20"/>
          <w:color w:val="auto"/>
        </w:rPr>
      </w:pPr>
      <w:r>
        <w:rPr>
          <w:rFonts w:ascii="Arial" w:cs="Arial" w:eastAsia="Arial" w:hAnsi="Arial"/>
          <w:sz w:val="18"/>
          <w:szCs w:val="18"/>
          <w:color w:val="auto"/>
        </w:rPr>
        <w:t>Committee review and approve in advance the retention of our external auditor for all types of audit and non-audit services to be performed for us by our external auditor and approve the fees for such services, other than de minimis non-audit services allowed by relevant rules and</w:t>
      </w:r>
    </w:p>
    <w:p>
      <w:pPr>
        <w:spacing w:after="0" w:line="1" w:lineRule="exact"/>
        <w:rPr>
          <w:sz w:val="20"/>
          <w:szCs w:val="20"/>
          <w:color w:val="auto"/>
        </w:rPr>
      </w:pPr>
    </w:p>
    <w:p>
      <w:pPr>
        <w:spacing w:after="0" w:line="224" w:lineRule="auto"/>
        <w:rPr>
          <w:sz w:val="20"/>
          <w:szCs w:val="20"/>
          <w:color w:val="auto"/>
        </w:rPr>
      </w:pPr>
      <w:r>
        <w:rPr>
          <w:rFonts w:ascii="Arial" w:cs="Arial" w:eastAsia="Arial" w:hAnsi="Arial"/>
          <w:sz w:val="18"/>
          <w:szCs w:val="18"/>
          <w:color w:val="auto"/>
        </w:rPr>
        <w:t>regulations. All of the services provided to us by KPMG for which we paid fees as shown in the table above were pre-approved by the Audit Committee in accordance with these pre-approval policies and procedures. The Audit Committee concluded that the provision of these</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services by KPMG would not affect KPMG's independence.</w:t>
      </w:r>
    </w:p>
    <w:p>
      <w:pPr>
        <w:spacing w:after="0" w:line="10" w:lineRule="exact"/>
        <w:rPr>
          <w:sz w:val="20"/>
          <w:szCs w:val="20"/>
          <w:color w:val="auto"/>
        </w:rPr>
      </w:pPr>
    </w:p>
    <w:tbl>
      <w:tblPr>
        <w:tblLayout w:type="fixed"/>
        <w:tblInd w:w="1200" w:type="dxa"/>
        <w:tblCellMar>
          <w:top w:w="0" w:type="dxa"/>
          <w:left w:w="0" w:type="dxa"/>
          <w:bottom w:w="0" w:type="dxa"/>
          <w:right w:w="0" w:type="dxa"/>
        </w:tblCellMar>
      </w:tblPr>
      <w:tr>
        <w:trPr>
          <w:trHeight w:val="416"/>
        </w:trPr>
        <w:tc>
          <w:tcPr>
            <w:tcW w:w="8760" w:type="dxa"/>
            <w:vAlign w:val="bottom"/>
          </w:tcPr>
          <w:p>
            <w:pPr>
              <w:jc w:val="center"/>
              <w:ind w:right="576"/>
              <w:spacing w:after="0"/>
              <w:rPr>
                <w:sz w:val="20"/>
                <w:szCs w:val="20"/>
                <w:color w:val="auto"/>
              </w:rPr>
            </w:pPr>
            <w:r>
              <w:rPr>
                <w:rFonts w:ascii="Arial" w:cs="Arial" w:eastAsia="Arial" w:hAnsi="Arial"/>
                <w:sz w:val="21"/>
                <w:szCs w:val="21"/>
                <w:b w:val="1"/>
                <w:bCs w:val="1"/>
                <w:color w:val="FFFFFF"/>
                <w:w w:val="98"/>
              </w:rPr>
              <w:t>The Board of Directors Recommends a Vote FOR Ratification of the Selection of</w:t>
            </w:r>
          </w:p>
        </w:tc>
        <w:tc>
          <w:tcPr>
            <w:tcW w:w="1120" w:type="dxa"/>
            <w:vAlign w:val="bottom"/>
            <w:vMerge w:val="restart"/>
          </w:tcPr>
          <w:p>
            <w:pPr>
              <w:ind w:left="660"/>
              <w:spacing w:after="0" w:line="501" w:lineRule="exact"/>
              <w:rPr>
                <w:sz w:val="20"/>
                <w:szCs w:val="20"/>
                <w:color w:val="auto"/>
              </w:rPr>
            </w:pPr>
            <w:r>
              <w:rPr>
                <w:rFonts w:ascii="MS PGothic" w:cs="MS PGothic" w:eastAsia="MS PGothic" w:hAnsi="MS PGothic"/>
                <w:sz w:val="50"/>
                <w:szCs w:val="50"/>
                <w:color w:val="auto"/>
                <w:highlight w:val="white"/>
                <w:w w:val="87"/>
              </w:rPr>
              <w:t>☑</w:t>
            </w:r>
          </w:p>
        </w:tc>
        <w:tc>
          <w:tcPr>
            <w:tcW w:w="0" w:type="dxa"/>
            <w:vAlign w:val="bottom"/>
          </w:tcPr>
          <w:p>
            <w:pPr>
              <w:spacing w:after="0"/>
              <w:rPr>
                <w:sz w:val="1"/>
                <w:szCs w:val="1"/>
                <w:color w:val="auto"/>
              </w:rPr>
            </w:pPr>
          </w:p>
        </w:tc>
      </w:tr>
      <w:tr>
        <w:trPr>
          <w:trHeight w:val="426"/>
        </w:trPr>
        <w:tc>
          <w:tcPr>
            <w:tcW w:w="8760" w:type="dxa"/>
            <w:vAlign w:val="bottom"/>
          </w:tcPr>
          <w:p>
            <w:pPr>
              <w:jc w:val="center"/>
              <w:ind w:right="576"/>
              <w:spacing w:after="0"/>
              <w:rPr>
                <w:sz w:val="20"/>
                <w:szCs w:val="20"/>
                <w:color w:val="auto"/>
              </w:rPr>
            </w:pPr>
            <w:r>
              <w:rPr>
                <w:rFonts w:ascii="Arial" w:cs="Arial" w:eastAsia="Arial" w:hAnsi="Arial"/>
                <w:sz w:val="21"/>
                <w:szCs w:val="21"/>
                <w:b w:val="1"/>
                <w:bCs w:val="1"/>
                <w:color w:val="FFFFFF"/>
                <w:w w:val="99"/>
              </w:rPr>
              <w:t>KPMG LLP as our Independent Registered Public Accounting Firm for Fiscal 2025</w:t>
            </w:r>
          </w:p>
        </w:tc>
        <w:tc>
          <w:tcPr>
            <w:tcW w:w="11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-450850</wp:posOffset>
            </wp:positionV>
            <wp:extent cx="7117080" cy="3981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17080" cy="398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157" w:right="339" w:bottom="1440" w:gutter="0" w:footer="0" w:header="0"/>
        </w:sectPr>
      </w:pPr>
    </w:p>
    <w:bookmarkStart w:id="40" w:name="page41"/>
    <w:bookmarkEnd w:id="40"/>
    <w:p>
      <w:pPr>
        <w:spacing w:after="0"/>
        <w:rPr>
          <w:sz w:val="20"/>
          <w:szCs w:val="20"/>
          <w:color w:val="auto"/>
        </w:rPr>
      </w:pPr>
      <w:r>
        <w:rPr>
          <w:rFonts w:ascii="Arial" w:cs="Arial" w:eastAsia="Arial" w:hAnsi="Arial"/>
          <w:sz w:val="20"/>
          <w:szCs w:val="20"/>
          <w:b w:val="1"/>
          <w:bCs w:val="1"/>
          <w:color w:val="C00000"/>
        </w:rPr>
        <w:t>Audit Committee Report</w:t>
      </w:r>
    </w:p>
    <w:p>
      <w:pPr>
        <w:spacing w:after="0" w:line="110"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This report is furnished by the Audit Committee with respect to our financial statements for fiscal 2024.</w:t>
      </w:r>
    </w:p>
    <w:p>
      <w:pPr>
        <w:spacing w:after="0" w:line="100" w:lineRule="exact"/>
        <w:rPr>
          <w:sz w:val="20"/>
          <w:szCs w:val="20"/>
          <w:color w:val="auto"/>
        </w:rPr>
      </w:pPr>
    </w:p>
    <w:p>
      <w:pPr>
        <w:jc w:val="both"/>
        <w:ind w:firstLine="320"/>
        <w:spacing w:after="0" w:line="247" w:lineRule="auto"/>
        <w:rPr>
          <w:sz w:val="20"/>
          <w:szCs w:val="20"/>
          <w:color w:val="auto"/>
        </w:rPr>
      </w:pPr>
      <w:r>
        <w:rPr>
          <w:rFonts w:ascii="Arial" w:cs="Arial" w:eastAsia="Arial" w:hAnsi="Arial"/>
          <w:sz w:val="18"/>
          <w:szCs w:val="18"/>
          <w:color w:val="auto"/>
        </w:rPr>
        <w:t>Ultimate responsibility for good corporate governance rests with our Board, whose primary roles and responsibilities involve oversight, counseling and providing direction to our Management in the best long-term interests of TTC and our shareholders. As set forth in its charter, the Audit Committee assists our Board by, among other things, providing oversight of our accounting and financial reporting processes, the audits of our annual financial statements and internal control over financial reporting. Our Audit Committee Charter, which further describes the role and responsibilities of the Audit Committee, is available online at www.thetorocompany.com/corporategovernance.</w:t>
      </w:r>
    </w:p>
    <w:p>
      <w:pPr>
        <w:spacing w:after="0" w:line="69" w:lineRule="exact"/>
        <w:rPr>
          <w:sz w:val="20"/>
          <w:szCs w:val="20"/>
          <w:color w:val="auto"/>
        </w:rPr>
      </w:pPr>
    </w:p>
    <w:p>
      <w:pPr>
        <w:jc w:val="both"/>
        <w:ind w:firstLine="320"/>
        <w:spacing w:after="0" w:line="241" w:lineRule="auto"/>
        <w:rPr>
          <w:sz w:val="20"/>
          <w:szCs w:val="20"/>
          <w:color w:val="auto"/>
        </w:rPr>
      </w:pPr>
      <w:r>
        <w:rPr>
          <w:rFonts w:ascii="Arial" w:cs="Arial" w:eastAsia="Arial" w:hAnsi="Arial"/>
          <w:sz w:val="18"/>
          <w:szCs w:val="18"/>
          <w:color w:val="auto"/>
        </w:rPr>
        <w:t>Management is primarily responsible for the establishment and maintenance of our accounting and financial reporting processes, including our internal controls, and for the preparation and presentation of complete and accurate financial statements. Our independent registered public accounting firm, KPMG LLP, is responsible for performing an independent audit of our financial statements and internal controls over financial reporting in accordance with the standards of the Public Company Accounting Oversight Board (U.S.), or PCAOB, expressing an opinion as to the conformity of the financial statements with generally accepted accounting principles, and expressing an opinion on the effectiveness of our internal control over financial reporting.</w:t>
      </w:r>
    </w:p>
    <w:p>
      <w:pPr>
        <w:spacing w:after="0" w:line="87" w:lineRule="exact"/>
        <w:rPr>
          <w:sz w:val="20"/>
          <w:szCs w:val="20"/>
          <w:color w:val="auto"/>
        </w:rPr>
      </w:pPr>
    </w:p>
    <w:p>
      <w:pPr>
        <w:jc w:val="both"/>
        <w:ind w:firstLine="320"/>
        <w:spacing w:after="0" w:line="243" w:lineRule="auto"/>
        <w:rPr>
          <w:sz w:val="20"/>
          <w:szCs w:val="20"/>
          <w:color w:val="auto"/>
        </w:rPr>
      </w:pPr>
      <w:r>
        <w:rPr>
          <w:rFonts w:ascii="Arial" w:cs="Arial" w:eastAsia="Arial" w:hAnsi="Arial"/>
          <w:sz w:val="18"/>
          <w:szCs w:val="18"/>
          <w:color w:val="auto"/>
        </w:rPr>
        <w:t>In performing its oversight role, the Audit Committee has: (i) reviewed and discussed with Management our audited financial statements for fiscal 2024; (ii) discussed with representatives of KPMG the matters required to be discussed by the applicable requirements of the PCAOB and the SEC; (iii) received the written disclosures and the letters from KPMG required by applicable requirements of the PCAOB regarding KPMG's communications with the Audit Committee concerning KPMG's independence; and (iv) discussed with representatives of KPMG its independence and concluded that it is independent from TTC and its Management.</w:t>
      </w:r>
    </w:p>
    <w:p>
      <w:pPr>
        <w:spacing w:after="0" w:line="73" w:lineRule="exact"/>
        <w:rPr>
          <w:sz w:val="20"/>
          <w:szCs w:val="20"/>
          <w:color w:val="auto"/>
        </w:rPr>
      </w:pPr>
    </w:p>
    <w:p>
      <w:pPr>
        <w:jc w:val="both"/>
        <w:ind w:firstLine="320"/>
        <w:spacing w:after="0" w:line="254" w:lineRule="auto"/>
        <w:rPr>
          <w:sz w:val="20"/>
          <w:szCs w:val="20"/>
          <w:color w:val="auto"/>
        </w:rPr>
      </w:pPr>
      <w:r>
        <w:rPr>
          <w:rFonts w:ascii="Arial" w:cs="Arial" w:eastAsia="Arial" w:hAnsi="Arial"/>
          <w:sz w:val="18"/>
          <w:szCs w:val="18"/>
          <w:color w:val="auto"/>
        </w:rPr>
        <w:t>Based on the review and discussions referred to in the foregoing paragraph and subject to the limitations on its responsibilities set forth in its charter, the Audit Committee recommended to our Board that our audited financial statements for fiscal 2024 be included in our Annual Report on Form 10-K for the fiscal year ended October 31, 2024, for filing with the SEC.</w:t>
      </w:r>
    </w:p>
    <w:p>
      <w:pPr>
        <w:spacing w:after="0" w:line="6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C00000"/>
        </w:rPr>
        <w:t>Audit Committee:</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Jill M. Pemberton (Chair)</w:t>
      </w:r>
    </w:p>
    <w:p>
      <w:pPr>
        <w:jc w:val="center"/>
        <w:spacing w:after="0" w:line="232" w:lineRule="auto"/>
        <w:rPr>
          <w:sz w:val="20"/>
          <w:szCs w:val="20"/>
          <w:color w:val="auto"/>
        </w:rPr>
      </w:pPr>
      <w:r>
        <w:rPr>
          <w:rFonts w:ascii="Arial" w:cs="Arial" w:eastAsia="Arial" w:hAnsi="Arial"/>
          <w:sz w:val="18"/>
          <w:szCs w:val="18"/>
          <w:color w:val="auto"/>
        </w:rPr>
        <w:t>Dianne C. Craig</w:t>
      </w:r>
    </w:p>
    <w:p>
      <w:pPr>
        <w:jc w:val="center"/>
        <w:spacing w:after="0"/>
        <w:rPr>
          <w:sz w:val="20"/>
          <w:szCs w:val="20"/>
          <w:color w:val="auto"/>
        </w:rPr>
      </w:pPr>
      <w:r>
        <w:rPr>
          <w:rFonts w:ascii="Arial" w:cs="Arial" w:eastAsia="Arial" w:hAnsi="Arial"/>
          <w:sz w:val="18"/>
          <w:szCs w:val="18"/>
          <w:color w:val="auto"/>
        </w:rPr>
        <w:t>Gary L. Ellis</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Jeffrey L. Harmening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103" w:right="339" w:bottom="1440" w:gutter="0" w:footer="0" w:header="0"/>
        </w:sectPr>
      </w:pPr>
    </w:p>
    <w:bookmarkStart w:id="41" w:name="page42"/>
    <w:bookmarkEnd w:id="41"/>
    <w:p>
      <w:pPr>
        <w:jc w:val="center"/>
        <w:spacing w:after="0"/>
        <w:rPr>
          <w:sz w:val="20"/>
          <w:szCs w:val="20"/>
          <w:color w:val="auto"/>
        </w:rPr>
      </w:pPr>
      <w:r>
        <w:rPr>
          <w:rFonts w:ascii="Arial" w:cs="Arial" w:eastAsia="Arial" w:hAnsi="Arial"/>
          <w:sz w:val="21"/>
          <w:szCs w:val="21"/>
          <w:b w:val="1"/>
          <w:bCs w:val="1"/>
          <w:color w:val="FFFFFF"/>
        </w:rPr>
        <w:t>PROPOSAL THREE—ADVISORY APPROVAL OF OUR 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-151765</wp:posOffset>
            </wp:positionV>
            <wp:extent cx="6998335" cy="1866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6998335" cy="186690"/>
                    </a:xfrm>
                    <a:prstGeom prst="rect">
                      <a:avLst/>
                    </a:prstGeom>
                    <a:noFill/>
                  </pic:spPr>
                </pic:pic>
              </a:graphicData>
            </a:graphic>
          </wp:anchor>
        </w:drawing>
      </w:r>
    </w:p>
    <w:p>
      <w:pPr>
        <w:spacing w:after="0" w:line="317" w:lineRule="exact"/>
        <w:rPr>
          <w:sz w:val="20"/>
          <w:szCs w:val="20"/>
          <w:color w:val="auto"/>
        </w:rPr>
      </w:pPr>
    </w:p>
    <w:p>
      <w:pPr>
        <w:spacing w:after="0"/>
        <w:rPr>
          <w:sz w:val="20"/>
          <w:szCs w:val="20"/>
          <w:color w:val="auto"/>
        </w:rPr>
      </w:pPr>
      <w:r>
        <w:rPr>
          <w:rFonts w:ascii="Arial" w:cs="Arial" w:eastAsia="Arial" w:hAnsi="Arial"/>
          <w:sz w:val="20"/>
          <w:szCs w:val="20"/>
          <w:b w:val="1"/>
          <w:bCs w:val="1"/>
          <w:color w:val="C00000"/>
        </w:rPr>
        <w:t>Background</w:t>
      </w:r>
    </w:p>
    <w:p>
      <w:pPr>
        <w:spacing w:after="0" w:line="110" w:lineRule="exact"/>
        <w:rPr>
          <w:sz w:val="20"/>
          <w:szCs w:val="20"/>
          <w:color w:val="auto"/>
        </w:rPr>
      </w:pPr>
    </w:p>
    <w:p>
      <w:pPr>
        <w:jc w:val="both"/>
        <w:ind w:firstLine="320"/>
        <w:spacing w:after="0" w:line="247" w:lineRule="auto"/>
        <w:rPr>
          <w:sz w:val="20"/>
          <w:szCs w:val="20"/>
          <w:color w:val="auto"/>
        </w:rPr>
      </w:pPr>
      <w:r>
        <w:rPr>
          <w:rFonts w:ascii="Arial" w:cs="Arial" w:eastAsia="Arial" w:hAnsi="Arial"/>
          <w:sz w:val="18"/>
          <w:szCs w:val="18"/>
          <w:color w:val="auto"/>
        </w:rPr>
        <w:t>The Board is providing our shareholders with an advisory vote on our executive compensation pursuant to the Dodd-Frank Wall Street Consumer Protection Act, or Dodd-Frank Act, and Section 14A of the Securities Exchange Act of 1934, as amended, or Exchange Act. This advisory vote, commonly known as a say-on-pay vote, is a non-binding vote on the compensation paid to our named executive officers as described in this proxy statement.</w:t>
      </w:r>
    </w:p>
    <w:p>
      <w:pPr>
        <w:spacing w:after="0" w:line="69" w:lineRule="exact"/>
        <w:rPr>
          <w:sz w:val="20"/>
          <w:szCs w:val="20"/>
          <w:color w:val="auto"/>
        </w:rPr>
      </w:pPr>
    </w:p>
    <w:p>
      <w:pPr>
        <w:jc w:val="both"/>
        <w:ind w:firstLine="320"/>
        <w:spacing w:after="0" w:line="247" w:lineRule="auto"/>
        <w:rPr>
          <w:sz w:val="20"/>
          <w:szCs w:val="20"/>
          <w:color w:val="auto"/>
        </w:rPr>
      </w:pPr>
      <w:r>
        <w:rPr>
          <w:rFonts w:ascii="Arial" w:cs="Arial" w:eastAsia="Arial" w:hAnsi="Arial"/>
          <w:sz w:val="18"/>
          <w:szCs w:val="18"/>
          <w:color w:val="auto"/>
        </w:rPr>
        <w:t>We encourage our shareholders to read the "Compensation Discussion and Analysis" section, which describes the details of our executive compensation program and the decisions made by the Compensation &amp; Human Resources Committee for fiscal 2024, and the "Executive Compensation" section of this proxy statement.</w:t>
      </w:r>
    </w:p>
    <w:p>
      <w:pPr>
        <w:spacing w:after="0" w:line="81" w:lineRule="exact"/>
        <w:rPr>
          <w:sz w:val="20"/>
          <w:szCs w:val="20"/>
          <w:color w:val="auto"/>
        </w:rPr>
      </w:pPr>
    </w:p>
    <w:p>
      <w:pPr>
        <w:jc w:val="both"/>
        <w:ind w:firstLine="320"/>
        <w:spacing w:after="0" w:line="247" w:lineRule="auto"/>
        <w:rPr>
          <w:sz w:val="20"/>
          <w:szCs w:val="20"/>
          <w:color w:val="auto"/>
        </w:rPr>
      </w:pPr>
      <w:r>
        <w:rPr>
          <w:rFonts w:ascii="Arial" w:cs="Arial" w:eastAsia="Arial" w:hAnsi="Arial"/>
          <w:sz w:val="18"/>
          <w:szCs w:val="18"/>
          <w:color w:val="auto"/>
        </w:rPr>
        <w:t>At the 2024 Annual Meeting of Shareholders held on March 19, 2024, over 91% of the votes cast by our shareholders were in favor of our say-on-pay vote. The Compensation &amp; Human Resources Committee believes that such results affirmed shareholder support of our approach to executive compensation.</w:t>
      </w:r>
    </w:p>
    <w:p>
      <w:pPr>
        <w:spacing w:after="0" w:line="128" w:lineRule="exact"/>
        <w:rPr>
          <w:sz w:val="20"/>
          <w:szCs w:val="20"/>
          <w:color w:val="auto"/>
        </w:rPr>
      </w:pPr>
    </w:p>
    <w:p>
      <w:pPr>
        <w:spacing w:after="0"/>
        <w:rPr>
          <w:sz w:val="20"/>
          <w:szCs w:val="20"/>
          <w:color w:val="auto"/>
        </w:rPr>
      </w:pPr>
      <w:r>
        <w:rPr>
          <w:rFonts w:ascii="Arial" w:cs="Arial" w:eastAsia="Arial" w:hAnsi="Arial"/>
          <w:sz w:val="20"/>
          <w:szCs w:val="20"/>
          <w:b w:val="1"/>
          <w:bCs w:val="1"/>
          <w:color w:val="C00000"/>
        </w:rPr>
        <w:t>Our Pay Philosophy</w:t>
      </w:r>
    </w:p>
    <w:p>
      <w:pPr>
        <w:spacing w:after="0" w:line="110" w:lineRule="exact"/>
        <w:rPr>
          <w:sz w:val="20"/>
          <w:szCs w:val="20"/>
          <w:color w:val="auto"/>
        </w:rPr>
      </w:pPr>
    </w:p>
    <w:p>
      <w:pPr>
        <w:jc w:val="both"/>
        <w:ind w:firstLine="320"/>
        <w:spacing w:after="0"/>
        <w:rPr>
          <w:sz w:val="20"/>
          <w:szCs w:val="20"/>
          <w:color w:val="auto"/>
        </w:rPr>
      </w:pPr>
      <w:r>
        <w:rPr>
          <w:rFonts w:ascii="Arial" w:cs="Arial" w:eastAsia="Arial" w:hAnsi="Arial"/>
          <w:sz w:val="18"/>
          <w:szCs w:val="18"/>
          <w:color w:val="auto"/>
        </w:rPr>
        <w:t>Our executive compensation program is generally designed to attract, retain, motivate and reward highly qualified and talented executive officers, including our NEOs, that will enable us to execute our strategic priorities, perform better than our competitors and drive long-term shareholder value. The underlying core principles of our executive compensation program include: (i) aligning the interests of our executives with those of our shareholders and linking pay to performance by providing compensation opportunities that are tied directly to the achievement of financial performance goals and long-term stock price performance; and (ii) providing competitive compensation opportunities targeted at the market 50th percentile for both individual elements of compensation and total direct compensation at target levels of financial performance, which we believe allows us to attract and retain the necessary executive talent while motivating and rewarding the accomplishment of annual and long-term financial performance goals and maintaining an appropriate cost structure. The "Compensation Discussion and Analysis" and "Executive Compensation" sections describe our executive compensation program and the executive compensation decisions made by the Compensation &amp; Human Resources Committee for fiscal 2024 in more detail.</w:t>
      </w:r>
    </w:p>
    <w:p>
      <w:pPr>
        <w:spacing w:after="0" w:line="125" w:lineRule="exact"/>
        <w:rPr>
          <w:sz w:val="20"/>
          <w:szCs w:val="20"/>
          <w:color w:val="auto"/>
        </w:rPr>
      </w:pPr>
    </w:p>
    <w:p>
      <w:pPr>
        <w:spacing w:after="0"/>
        <w:rPr>
          <w:sz w:val="20"/>
          <w:szCs w:val="20"/>
          <w:color w:val="auto"/>
        </w:rPr>
      </w:pPr>
      <w:r>
        <w:rPr>
          <w:rFonts w:ascii="Arial" w:cs="Arial" w:eastAsia="Arial" w:hAnsi="Arial"/>
          <w:sz w:val="20"/>
          <w:szCs w:val="20"/>
          <w:b w:val="1"/>
          <w:bCs w:val="1"/>
          <w:color w:val="C00000"/>
        </w:rPr>
        <w:t>Best Practices</w:t>
      </w:r>
    </w:p>
    <w:p>
      <w:pPr>
        <w:spacing w:after="0" w:line="44" w:lineRule="exact"/>
        <w:rPr>
          <w:sz w:val="20"/>
          <w:szCs w:val="20"/>
          <w:color w:val="auto"/>
        </w:rPr>
      </w:pPr>
    </w:p>
    <w:p>
      <w:pPr>
        <w:ind w:left="640" w:hanging="313"/>
        <w:spacing w:after="0"/>
        <w:tabs>
          <w:tab w:leader="none" w:pos="640" w:val="left"/>
        </w:tabs>
        <w:numPr>
          <w:ilvl w:val="0"/>
          <w:numId w:val="55"/>
        </w:numPr>
        <w:rPr>
          <w:rFonts w:ascii="Arial" w:cs="Arial" w:eastAsia="Arial" w:hAnsi="Arial"/>
          <w:sz w:val="18"/>
          <w:szCs w:val="18"/>
          <w:color w:val="auto"/>
        </w:rPr>
      </w:pPr>
      <w:r>
        <w:rPr>
          <w:rFonts w:ascii="Arial" w:cs="Arial" w:eastAsia="Arial" w:hAnsi="Arial"/>
          <w:sz w:val="18"/>
          <w:szCs w:val="18"/>
          <w:color w:val="auto"/>
        </w:rPr>
        <w:t>A substantial portion of total executive compensation is linked directly to performance.</w:t>
      </w:r>
    </w:p>
    <w:p>
      <w:pPr>
        <w:spacing w:after="0" w:line="46" w:lineRule="exact"/>
        <w:rPr>
          <w:rFonts w:ascii="Arial" w:cs="Arial" w:eastAsia="Arial" w:hAnsi="Arial"/>
          <w:sz w:val="18"/>
          <w:szCs w:val="18"/>
          <w:color w:val="auto"/>
        </w:rPr>
      </w:pPr>
    </w:p>
    <w:p>
      <w:pPr>
        <w:ind w:left="640" w:hanging="313"/>
        <w:spacing w:after="0"/>
        <w:tabs>
          <w:tab w:leader="none" w:pos="640" w:val="left"/>
        </w:tabs>
        <w:numPr>
          <w:ilvl w:val="0"/>
          <w:numId w:val="55"/>
        </w:numPr>
        <w:rPr>
          <w:rFonts w:ascii="Arial" w:cs="Arial" w:eastAsia="Arial" w:hAnsi="Arial"/>
          <w:sz w:val="18"/>
          <w:szCs w:val="18"/>
          <w:color w:val="auto"/>
        </w:rPr>
      </w:pPr>
      <w:r>
        <w:rPr>
          <w:rFonts w:ascii="Arial" w:cs="Arial" w:eastAsia="Arial" w:hAnsi="Arial"/>
          <w:sz w:val="18"/>
          <w:szCs w:val="18"/>
          <w:color w:val="auto"/>
        </w:rPr>
        <w:t>All incentive compensation is subject to a clawback policy.</w:t>
      </w:r>
    </w:p>
    <w:p>
      <w:pPr>
        <w:spacing w:after="0" w:line="46" w:lineRule="exact"/>
        <w:rPr>
          <w:rFonts w:ascii="Arial" w:cs="Arial" w:eastAsia="Arial" w:hAnsi="Arial"/>
          <w:sz w:val="18"/>
          <w:szCs w:val="18"/>
          <w:color w:val="auto"/>
        </w:rPr>
      </w:pPr>
    </w:p>
    <w:p>
      <w:pPr>
        <w:ind w:left="640" w:hanging="313"/>
        <w:spacing w:after="0" w:line="255" w:lineRule="auto"/>
        <w:tabs>
          <w:tab w:leader="none" w:pos="635" w:val="left"/>
        </w:tabs>
        <w:numPr>
          <w:ilvl w:val="0"/>
          <w:numId w:val="55"/>
        </w:numPr>
        <w:rPr>
          <w:rFonts w:ascii="Arial" w:cs="Arial" w:eastAsia="Arial" w:hAnsi="Arial"/>
          <w:sz w:val="18"/>
          <w:szCs w:val="18"/>
          <w:color w:val="auto"/>
        </w:rPr>
      </w:pPr>
      <w:r>
        <w:rPr>
          <w:rFonts w:ascii="Arial" w:cs="Arial" w:eastAsia="Arial" w:hAnsi="Arial"/>
          <w:sz w:val="18"/>
          <w:szCs w:val="18"/>
          <w:color w:val="auto"/>
        </w:rPr>
        <w:t>Our CEO and other executive officers do not have employment or severance agreements or arrangements, except as provided for in our change-in-control severance compensation policy, or CIC policy.</w:t>
      </w:r>
    </w:p>
    <w:p>
      <w:pPr>
        <w:ind w:left="640" w:hanging="313"/>
        <w:spacing w:after="0" w:line="262" w:lineRule="auto"/>
        <w:tabs>
          <w:tab w:leader="none" w:pos="635" w:val="left"/>
        </w:tabs>
        <w:numPr>
          <w:ilvl w:val="0"/>
          <w:numId w:val="55"/>
        </w:numPr>
        <w:rPr>
          <w:rFonts w:ascii="Arial" w:cs="Arial" w:eastAsia="Arial" w:hAnsi="Arial"/>
          <w:sz w:val="18"/>
          <w:szCs w:val="18"/>
          <w:color w:val="auto"/>
        </w:rPr>
      </w:pPr>
      <w:r>
        <w:rPr>
          <w:rFonts w:ascii="Arial" w:cs="Arial" w:eastAsia="Arial" w:hAnsi="Arial"/>
          <w:sz w:val="18"/>
          <w:szCs w:val="18"/>
          <w:color w:val="auto"/>
        </w:rPr>
        <w:t>We do not provide tax “gross-up” payments under our CIC policy or in connection with any annual or long-term compensation, benefits or perquisites provided to our executive officers.</w:t>
      </w:r>
    </w:p>
    <w:p>
      <w:pPr>
        <w:spacing w:after="0" w:line="1" w:lineRule="exact"/>
        <w:rPr>
          <w:rFonts w:ascii="Arial" w:cs="Arial" w:eastAsia="Arial" w:hAnsi="Arial"/>
          <w:sz w:val="18"/>
          <w:szCs w:val="18"/>
          <w:color w:val="auto"/>
        </w:rPr>
      </w:pPr>
    </w:p>
    <w:p>
      <w:pPr>
        <w:ind w:left="640" w:hanging="313"/>
        <w:spacing w:after="0"/>
        <w:tabs>
          <w:tab w:leader="none" w:pos="640" w:val="left"/>
        </w:tabs>
        <w:numPr>
          <w:ilvl w:val="0"/>
          <w:numId w:val="55"/>
        </w:numPr>
        <w:rPr>
          <w:rFonts w:ascii="Arial" w:cs="Arial" w:eastAsia="Arial" w:hAnsi="Arial"/>
          <w:sz w:val="18"/>
          <w:szCs w:val="18"/>
          <w:color w:val="auto"/>
        </w:rPr>
      </w:pPr>
      <w:r>
        <w:rPr>
          <w:rFonts w:ascii="Arial" w:cs="Arial" w:eastAsia="Arial" w:hAnsi="Arial"/>
          <w:sz w:val="18"/>
          <w:szCs w:val="18"/>
          <w:color w:val="auto"/>
        </w:rPr>
        <w:t>Our executive officers receive only modest perquisites.</w:t>
      </w:r>
    </w:p>
    <w:p>
      <w:pPr>
        <w:spacing w:after="0" w:line="46" w:lineRule="exact"/>
        <w:rPr>
          <w:rFonts w:ascii="Arial" w:cs="Arial" w:eastAsia="Arial" w:hAnsi="Arial"/>
          <w:sz w:val="18"/>
          <w:szCs w:val="18"/>
          <w:color w:val="auto"/>
        </w:rPr>
      </w:pPr>
    </w:p>
    <w:p>
      <w:pPr>
        <w:ind w:left="640" w:hanging="313"/>
        <w:spacing w:after="0"/>
        <w:tabs>
          <w:tab w:leader="none" w:pos="640" w:val="left"/>
        </w:tabs>
        <w:numPr>
          <w:ilvl w:val="0"/>
          <w:numId w:val="55"/>
        </w:numPr>
        <w:rPr>
          <w:rFonts w:ascii="Arial" w:cs="Arial" w:eastAsia="Arial" w:hAnsi="Arial"/>
          <w:sz w:val="18"/>
          <w:szCs w:val="18"/>
          <w:color w:val="auto"/>
        </w:rPr>
      </w:pPr>
      <w:r>
        <w:rPr>
          <w:rFonts w:ascii="Arial" w:cs="Arial" w:eastAsia="Arial" w:hAnsi="Arial"/>
          <w:sz w:val="18"/>
          <w:szCs w:val="18"/>
          <w:color w:val="auto"/>
        </w:rPr>
        <w:t>We maintain stock ownership guidelines for our executive officers.</w:t>
      </w:r>
    </w:p>
    <w:p>
      <w:pPr>
        <w:spacing w:after="0" w:line="46" w:lineRule="exact"/>
        <w:rPr>
          <w:rFonts w:ascii="Arial" w:cs="Arial" w:eastAsia="Arial" w:hAnsi="Arial"/>
          <w:sz w:val="18"/>
          <w:szCs w:val="18"/>
          <w:color w:val="auto"/>
        </w:rPr>
      </w:pPr>
    </w:p>
    <w:p>
      <w:pPr>
        <w:ind w:left="640" w:hanging="313"/>
        <w:spacing w:after="0" w:line="262" w:lineRule="auto"/>
        <w:tabs>
          <w:tab w:leader="none" w:pos="635" w:val="left"/>
        </w:tabs>
        <w:numPr>
          <w:ilvl w:val="0"/>
          <w:numId w:val="55"/>
        </w:numPr>
        <w:rPr>
          <w:rFonts w:ascii="Arial" w:cs="Arial" w:eastAsia="Arial" w:hAnsi="Arial"/>
          <w:sz w:val="18"/>
          <w:szCs w:val="18"/>
          <w:color w:val="auto"/>
        </w:rPr>
      </w:pPr>
      <w:r>
        <w:rPr>
          <w:rFonts w:ascii="Arial" w:cs="Arial" w:eastAsia="Arial" w:hAnsi="Arial"/>
          <w:sz w:val="18"/>
          <w:szCs w:val="18"/>
          <w:color w:val="auto"/>
        </w:rPr>
        <w:t>Our insider trading policy prohibits executive officers and directors from purchasing TTC securities on margin, borrowing against any account in which TTC securities are held, hedging, or pledging TTC securities as collateral for a loan.</w:t>
      </w:r>
    </w:p>
    <w:p>
      <w:pPr>
        <w:spacing w:after="0" w:line="1" w:lineRule="exact"/>
        <w:rPr>
          <w:rFonts w:ascii="Arial" w:cs="Arial" w:eastAsia="Arial" w:hAnsi="Arial"/>
          <w:sz w:val="18"/>
          <w:szCs w:val="18"/>
          <w:color w:val="auto"/>
        </w:rPr>
      </w:pPr>
    </w:p>
    <w:p>
      <w:pPr>
        <w:ind w:left="640" w:hanging="313"/>
        <w:spacing w:after="0"/>
        <w:tabs>
          <w:tab w:leader="none" w:pos="640" w:val="left"/>
        </w:tabs>
        <w:numPr>
          <w:ilvl w:val="0"/>
          <w:numId w:val="55"/>
        </w:numPr>
        <w:rPr>
          <w:rFonts w:ascii="Arial" w:cs="Arial" w:eastAsia="Arial" w:hAnsi="Arial"/>
          <w:sz w:val="18"/>
          <w:szCs w:val="18"/>
          <w:color w:val="auto"/>
        </w:rPr>
      </w:pPr>
      <w:r>
        <w:rPr>
          <w:rFonts w:ascii="Arial" w:cs="Arial" w:eastAsia="Arial" w:hAnsi="Arial"/>
          <w:sz w:val="18"/>
          <w:szCs w:val="18"/>
          <w:color w:val="auto"/>
        </w:rPr>
        <w:t>We have an independent Compensation &amp; Human Resources Committee.</w:t>
      </w:r>
    </w:p>
    <w:p>
      <w:pPr>
        <w:spacing w:after="0" w:line="46" w:lineRule="exact"/>
        <w:rPr>
          <w:rFonts w:ascii="Arial" w:cs="Arial" w:eastAsia="Arial" w:hAnsi="Arial"/>
          <w:sz w:val="18"/>
          <w:szCs w:val="18"/>
          <w:color w:val="auto"/>
        </w:rPr>
      </w:pPr>
    </w:p>
    <w:p>
      <w:pPr>
        <w:ind w:left="640" w:hanging="313"/>
        <w:spacing w:after="0"/>
        <w:tabs>
          <w:tab w:leader="none" w:pos="640" w:val="left"/>
        </w:tabs>
        <w:numPr>
          <w:ilvl w:val="0"/>
          <w:numId w:val="55"/>
        </w:numPr>
        <w:rPr>
          <w:rFonts w:ascii="Arial" w:cs="Arial" w:eastAsia="Arial" w:hAnsi="Arial"/>
          <w:sz w:val="18"/>
          <w:szCs w:val="18"/>
          <w:color w:val="auto"/>
        </w:rPr>
      </w:pPr>
      <w:r>
        <w:rPr>
          <w:rFonts w:ascii="Arial" w:cs="Arial" w:eastAsia="Arial" w:hAnsi="Arial"/>
          <w:sz w:val="18"/>
          <w:szCs w:val="18"/>
          <w:color w:val="auto"/>
        </w:rPr>
        <w:t>We utilize an independent external compensation consultant.</w:t>
      </w:r>
    </w:p>
    <w:p>
      <w:pPr>
        <w:spacing w:after="0" w:line="113" w:lineRule="exact"/>
        <w:rPr>
          <w:sz w:val="20"/>
          <w:szCs w:val="20"/>
          <w:color w:val="auto"/>
        </w:rPr>
      </w:pPr>
    </w:p>
    <w:p>
      <w:pPr>
        <w:jc w:val="both"/>
        <w:ind w:firstLine="320"/>
        <w:spacing w:after="0" w:line="254" w:lineRule="auto"/>
        <w:rPr>
          <w:sz w:val="20"/>
          <w:szCs w:val="20"/>
          <w:color w:val="auto"/>
        </w:rPr>
      </w:pPr>
      <w:r>
        <w:rPr>
          <w:rFonts w:ascii="Arial" w:cs="Arial" w:eastAsia="Arial" w:hAnsi="Arial"/>
          <w:sz w:val="18"/>
          <w:szCs w:val="18"/>
          <w:color w:val="auto"/>
        </w:rPr>
        <w:t>We believe that our executive compensation objectives and core principles have resulted in an executive compensation program and related decisions that have appropriately incentivized the achievement of financial goals and produced financial results that have benefited our Company and our shareholders and are expected to drive long-term shareholder value.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79375</wp:posOffset>
            </wp:positionV>
            <wp:extent cx="7159625"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59" w:right="339" w:bottom="1440" w:gutter="0" w:footer="0" w:header="0"/>
        </w:sectPr>
      </w:pPr>
    </w:p>
    <w:bookmarkStart w:id="42" w:name="page43"/>
    <w:bookmarkEnd w:id="42"/>
    <w:p>
      <w:pPr>
        <w:spacing w:after="0" w:line="64" w:lineRule="exact"/>
        <w:rPr>
          <w:sz w:val="20"/>
          <w:szCs w:val="20"/>
          <w:color w:val="auto"/>
        </w:rPr>
      </w:pPr>
    </w:p>
    <w:p>
      <w:pPr>
        <w:spacing w:after="0"/>
        <w:rPr>
          <w:sz w:val="20"/>
          <w:szCs w:val="20"/>
          <w:color w:val="auto"/>
        </w:rPr>
      </w:pPr>
      <w:r>
        <w:rPr>
          <w:rFonts w:ascii="Arial" w:cs="Arial" w:eastAsia="Arial" w:hAnsi="Arial"/>
          <w:sz w:val="20"/>
          <w:szCs w:val="20"/>
          <w:b w:val="1"/>
          <w:bCs w:val="1"/>
          <w:color w:val="C00000"/>
        </w:rPr>
        <w:t>Proposed Resolution</w:t>
      </w:r>
    </w:p>
    <w:p>
      <w:pPr>
        <w:spacing w:after="0" w:line="110" w:lineRule="exact"/>
        <w:rPr>
          <w:sz w:val="20"/>
          <w:szCs w:val="20"/>
          <w:color w:val="auto"/>
        </w:rPr>
      </w:pPr>
    </w:p>
    <w:p>
      <w:pPr>
        <w:ind w:left="320"/>
        <w:spacing w:after="0"/>
        <w:rPr>
          <w:sz w:val="20"/>
          <w:szCs w:val="20"/>
          <w:color w:val="auto"/>
        </w:rPr>
      </w:pPr>
      <w:r>
        <w:rPr>
          <w:rFonts w:ascii="Arial" w:cs="Arial" w:eastAsia="Arial" w:hAnsi="Arial"/>
          <w:sz w:val="18"/>
          <w:szCs w:val="18"/>
          <w:color w:val="auto"/>
        </w:rPr>
        <w:t>Accordingly, the Board recommends that our shareholders vote in favor of the say-on-pay vote as set forth in the following resolution:</w:t>
      </w:r>
    </w:p>
    <w:p>
      <w:pPr>
        <w:spacing w:after="0" w:line="100" w:lineRule="exact"/>
        <w:rPr>
          <w:sz w:val="20"/>
          <w:szCs w:val="20"/>
          <w:color w:val="auto"/>
        </w:rPr>
      </w:pPr>
    </w:p>
    <w:p>
      <w:pPr>
        <w:jc w:val="both"/>
        <w:ind w:left="320" w:right="780"/>
        <w:spacing w:after="0" w:line="247" w:lineRule="auto"/>
        <w:rPr>
          <w:sz w:val="20"/>
          <w:szCs w:val="20"/>
          <w:color w:val="auto"/>
        </w:rPr>
      </w:pPr>
      <w:r>
        <w:rPr>
          <w:rFonts w:ascii="Arial" w:cs="Arial" w:eastAsia="Arial" w:hAnsi="Arial"/>
          <w:sz w:val="18"/>
          <w:szCs w:val="18"/>
          <w:color w:val="auto"/>
        </w:rPr>
        <w:t>RESOLVED, That our shareholders approve, on an advisory basis, the compensation paid to our named executive officers, as disclosed pursuant to the compensation disclosure rules of the SEC, including in the "Compensation Discussion and Analysis," the accompanying compensation tables and the corresponding narrative discussion and footnotes, and any related material disclosed in this proxy statement.</w:t>
      </w:r>
    </w:p>
    <w:p>
      <w:pPr>
        <w:spacing w:after="0" w:line="82" w:lineRule="exact"/>
        <w:rPr>
          <w:sz w:val="20"/>
          <w:szCs w:val="20"/>
          <w:color w:val="auto"/>
        </w:rPr>
      </w:pPr>
    </w:p>
    <w:p>
      <w:pPr>
        <w:jc w:val="both"/>
        <w:ind w:firstLine="320"/>
        <w:spacing w:after="0" w:line="242" w:lineRule="auto"/>
        <w:rPr>
          <w:sz w:val="20"/>
          <w:szCs w:val="20"/>
          <w:color w:val="auto"/>
        </w:rPr>
      </w:pPr>
      <w:r>
        <w:rPr>
          <w:rFonts w:ascii="Arial" w:cs="Arial" w:eastAsia="Arial" w:hAnsi="Arial"/>
          <w:sz w:val="18"/>
          <w:szCs w:val="18"/>
          <w:color w:val="auto"/>
        </w:rPr>
        <w:t>Shareholders are not voting to approve or disapprove the Board's recommendation. As this is an advisory vote, the outcome of the vote is not binding on us with respect to future executive compensation decisions, including those relating to our NEOs, or otherwise. Our Compensation &amp; Human Resources Committee and Board expect to take into account the outcome of the vote when considering future executive compensation decisions.</w:t>
      </w:r>
    </w:p>
    <w:p>
      <w:pPr>
        <w:spacing w:after="0" w:line="132" w:lineRule="exact"/>
        <w:rPr>
          <w:sz w:val="20"/>
          <w:szCs w:val="20"/>
          <w:color w:val="auto"/>
        </w:rPr>
      </w:pPr>
    </w:p>
    <w:p>
      <w:pPr>
        <w:spacing w:after="0"/>
        <w:rPr>
          <w:sz w:val="20"/>
          <w:szCs w:val="20"/>
          <w:color w:val="auto"/>
        </w:rPr>
      </w:pPr>
      <w:r>
        <w:rPr>
          <w:rFonts w:ascii="Arial" w:cs="Arial" w:eastAsia="Arial" w:hAnsi="Arial"/>
          <w:sz w:val="20"/>
          <w:szCs w:val="20"/>
          <w:b w:val="1"/>
          <w:bCs w:val="1"/>
          <w:color w:val="C00000"/>
        </w:rPr>
        <w:t>Next Say-on-Pay Vote</w:t>
      </w:r>
    </w:p>
    <w:p>
      <w:pPr>
        <w:spacing w:after="0" w:line="110" w:lineRule="exact"/>
        <w:rPr>
          <w:sz w:val="20"/>
          <w:szCs w:val="20"/>
          <w:color w:val="auto"/>
        </w:rPr>
      </w:pPr>
    </w:p>
    <w:p>
      <w:pPr>
        <w:jc w:val="both"/>
        <w:ind w:firstLine="320"/>
        <w:spacing w:after="0" w:line="247" w:lineRule="auto"/>
        <w:rPr>
          <w:sz w:val="20"/>
          <w:szCs w:val="20"/>
          <w:color w:val="auto"/>
        </w:rPr>
      </w:pPr>
      <w:r>
        <w:rPr>
          <w:rFonts w:ascii="Arial" w:cs="Arial" w:eastAsia="Arial" w:hAnsi="Arial"/>
          <w:sz w:val="18"/>
          <w:szCs w:val="18"/>
          <w:color w:val="auto"/>
        </w:rPr>
        <w:t>Consistent with the results of the advisory vote on the frequency of the say-on-pay vote held at the 2023 Annual Meeting of Shareholders, our Board of Directors has determined that we will conduct a say-on-pay vote on an annual basis. Accordingly, the next say-on-pay vote will occur at our 2026 Annual Meeting of Shareholders.</w:t>
      </w:r>
    </w:p>
    <w:p>
      <w:pPr>
        <w:spacing w:after="0" w:line="86" w:lineRule="exact"/>
        <w:rPr>
          <w:sz w:val="20"/>
          <w:szCs w:val="20"/>
          <w:color w:val="auto"/>
        </w:rPr>
      </w:pPr>
    </w:p>
    <w:tbl>
      <w:tblPr>
        <w:tblLayout w:type="fixed"/>
        <w:tblInd w:w="1560" w:type="dxa"/>
        <w:tblCellMar>
          <w:top w:w="0" w:type="dxa"/>
          <w:left w:w="0" w:type="dxa"/>
          <w:bottom w:w="0" w:type="dxa"/>
          <w:right w:w="0" w:type="dxa"/>
        </w:tblCellMar>
      </w:tblPr>
      <w:tr>
        <w:trPr>
          <w:trHeight w:val="424"/>
        </w:trPr>
        <w:tc>
          <w:tcPr>
            <w:tcW w:w="7920" w:type="dxa"/>
            <w:vAlign w:val="bottom"/>
          </w:tcPr>
          <w:p>
            <w:pPr>
              <w:jc w:val="center"/>
              <w:ind w:right="773"/>
              <w:spacing w:after="0"/>
              <w:rPr>
                <w:sz w:val="20"/>
                <w:szCs w:val="20"/>
                <w:color w:val="auto"/>
              </w:rPr>
            </w:pPr>
            <w:r>
              <w:rPr>
                <w:rFonts w:ascii="Arial" w:cs="Arial" w:eastAsia="Arial" w:hAnsi="Arial"/>
                <w:sz w:val="21"/>
                <w:szCs w:val="21"/>
                <w:b w:val="1"/>
                <w:bCs w:val="1"/>
                <w:color w:val="FFFFFF"/>
              </w:rPr>
              <w:t>The Board of Directors Recommends a Vote FOR Approval, on an</w:t>
            </w:r>
          </w:p>
        </w:tc>
        <w:tc>
          <w:tcPr>
            <w:tcW w:w="1320" w:type="dxa"/>
            <w:vAlign w:val="bottom"/>
            <w:vMerge w:val="restart"/>
          </w:tcPr>
          <w:p>
            <w:pPr>
              <w:ind w:left="880"/>
              <w:spacing w:after="0" w:line="501" w:lineRule="exact"/>
              <w:rPr>
                <w:sz w:val="20"/>
                <w:szCs w:val="20"/>
                <w:color w:val="auto"/>
              </w:rPr>
            </w:pPr>
            <w:r>
              <w:rPr>
                <w:rFonts w:ascii="MS PGothic" w:cs="MS PGothic" w:eastAsia="MS PGothic" w:hAnsi="MS PGothic"/>
                <w:sz w:val="50"/>
                <w:szCs w:val="50"/>
                <w:color w:val="auto"/>
                <w:highlight w:val="white"/>
                <w:w w:val="83"/>
              </w:rPr>
              <w:t>☑</w:t>
            </w:r>
          </w:p>
        </w:tc>
        <w:tc>
          <w:tcPr>
            <w:tcW w:w="0" w:type="dxa"/>
            <w:vAlign w:val="bottom"/>
          </w:tcPr>
          <w:p>
            <w:pPr>
              <w:spacing w:after="0"/>
              <w:rPr>
                <w:sz w:val="1"/>
                <w:szCs w:val="1"/>
                <w:color w:val="auto"/>
              </w:rPr>
            </w:pPr>
          </w:p>
        </w:tc>
      </w:tr>
      <w:tr>
        <w:trPr>
          <w:trHeight w:val="419"/>
        </w:trPr>
        <w:tc>
          <w:tcPr>
            <w:tcW w:w="7920" w:type="dxa"/>
            <w:vAlign w:val="bottom"/>
          </w:tcPr>
          <w:p>
            <w:pPr>
              <w:jc w:val="center"/>
              <w:ind w:right="793"/>
              <w:spacing w:after="0"/>
              <w:rPr>
                <w:sz w:val="20"/>
                <w:szCs w:val="20"/>
                <w:color w:val="auto"/>
              </w:rPr>
            </w:pPr>
            <w:r>
              <w:rPr>
                <w:rFonts w:ascii="Arial" w:cs="Arial" w:eastAsia="Arial" w:hAnsi="Arial"/>
                <w:sz w:val="21"/>
                <w:szCs w:val="21"/>
                <w:b w:val="1"/>
                <w:bCs w:val="1"/>
                <w:color w:val="FFFFFF"/>
              </w:rPr>
              <w:t>Advisory Basis, of our Executive Compensation, or Say-On-Pay Vote.</w:t>
            </w:r>
          </w:p>
        </w:tc>
        <w:tc>
          <w:tcPr>
            <w:tcW w:w="13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-441960</wp:posOffset>
            </wp:positionV>
            <wp:extent cx="6998335" cy="3981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6998335" cy="398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ind w:right="-19"/>
        <w:spacing w:after="0"/>
        <w:rPr>
          <w:sz w:val="20"/>
          <w:szCs w:val="20"/>
          <w:color w:val="auto"/>
        </w:rPr>
      </w:pPr>
      <w:r>
        <w:rPr>
          <w:rFonts w:ascii="Arial" w:cs="Arial" w:eastAsia="Arial" w:hAnsi="Arial"/>
          <w:sz w:val="21"/>
          <w:szCs w:val="21"/>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3" w:name="page44"/>
    <w:bookmarkEnd w:id="43"/>
    <w:p>
      <w:pPr>
        <w:jc w:val="center"/>
        <w:ind w:right="220"/>
        <w:spacing w:after="0"/>
        <w:rPr>
          <w:sz w:val="20"/>
          <w:szCs w:val="20"/>
          <w:color w:val="auto"/>
        </w:rPr>
      </w:pPr>
      <w:r>
        <w:rPr>
          <w:rFonts w:ascii="Arial" w:cs="Arial" w:eastAsia="Arial" w:hAnsi="Arial"/>
          <w:sz w:val="21"/>
          <w:szCs w:val="21"/>
          <w:b w:val="1"/>
          <w:bCs w:val="1"/>
          <w:color w:val="FFFFFF"/>
        </w:rPr>
        <w:t>COMPENSATION DISCUSSION AND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-151765</wp:posOffset>
            </wp:positionV>
            <wp:extent cx="6998335" cy="1866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6998335" cy="186690"/>
                    </a:xfrm>
                    <a:prstGeom prst="rect">
                      <a:avLst/>
                    </a:prstGeom>
                    <a:noFill/>
                  </pic:spPr>
                </pic:pic>
              </a:graphicData>
            </a:graphic>
          </wp:anchor>
        </w:drawing>
      </w:r>
    </w:p>
    <w:p>
      <w:pPr>
        <w:spacing w:after="0" w:line="310" w:lineRule="exact"/>
        <w:rPr>
          <w:sz w:val="20"/>
          <w:szCs w:val="20"/>
          <w:color w:val="auto"/>
        </w:rPr>
      </w:pPr>
    </w:p>
    <w:p>
      <w:pPr>
        <w:ind w:firstLine="320"/>
        <w:spacing w:after="0" w:line="233" w:lineRule="auto"/>
        <w:rPr>
          <w:sz w:val="20"/>
          <w:szCs w:val="20"/>
          <w:color w:val="auto"/>
        </w:rPr>
      </w:pPr>
      <w:r>
        <w:rPr>
          <w:rFonts w:ascii="Arial" w:cs="Arial" w:eastAsia="Arial" w:hAnsi="Arial"/>
          <w:sz w:val="18"/>
          <w:szCs w:val="18"/>
          <w:color w:val="auto"/>
        </w:rPr>
        <w:t>This Compensation Discussion and Analysis (CD&amp;A) section discusses our executive compensation programs and plans for the following executive officers of TTC who are named in the Summary Compensation Table and to whom we refer to as our Named Executive Officers</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(NEOs).</w:t>
      </w:r>
    </w:p>
    <w:p>
      <w:pPr>
        <w:sectPr>
          <w:pgSz w:w="11900" w:h="16838" w:orient="portrait"/>
          <w:cols w:equalWidth="0" w:num="1">
            <w:col w:w="11240"/>
          </w:cols>
          <w:pgMar w:left="320" w:top="1152" w:right="339" w:bottom="1440" w:gutter="0" w:footer="0" w:header="0"/>
        </w:sectPr>
      </w:pPr>
    </w:p>
    <w:p>
      <w:pPr>
        <w:spacing w:after="0" w:line="247" w:lineRule="exact"/>
        <w:rPr>
          <w:sz w:val="20"/>
          <w:szCs w:val="20"/>
          <w:color w:val="auto"/>
        </w:rPr>
      </w:pPr>
    </w:p>
    <w:p>
      <w:pPr>
        <w:ind w:left="3380"/>
        <w:spacing w:after="0"/>
        <w:rPr>
          <w:sz w:val="20"/>
          <w:szCs w:val="20"/>
          <w:color w:val="auto"/>
        </w:rPr>
      </w:pPr>
      <w:r>
        <w:rPr>
          <w:rFonts w:ascii="Arial" w:cs="Arial" w:eastAsia="Arial" w:hAnsi="Arial"/>
          <w:sz w:val="16"/>
          <w:szCs w:val="16"/>
          <w:b w:val="1"/>
          <w:bCs w:val="1"/>
          <w:color w:val="auto"/>
        </w:rPr>
        <w:t>Richard M. Olson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944880</wp:posOffset>
            </wp:positionH>
            <wp:positionV relativeFrom="paragraph">
              <wp:posOffset>-98425</wp:posOffset>
            </wp:positionV>
            <wp:extent cx="889635" cy="88963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889635" cy="889635"/>
                    </a:xfrm>
                    <a:prstGeom prst="rect">
                      <a:avLst/>
                    </a:prstGeom>
                    <a:noFill/>
                  </pic:spPr>
                </pic:pic>
              </a:graphicData>
            </a:graphic>
          </wp:anchor>
        </w:drawing>
      </w:r>
    </w:p>
    <w:p>
      <w:pPr>
        <w:ind w:left="3380"/>
        <w:spacing w:after="0"/>
        <w:rPr>
          <w:sz w:val="20"/>
          <w:szCs w:val="20"/>
          <w:color w:val="auto"/>
        </w:rPr>
      </w:pPr>
      <w:r>
        <w:rPr>
          <w:rFonts w:ascii="Arial" w:cs="Arial" w:eastAsia="Arial" w:hAnsi="Arial"/>
          <w:sz w:val="15"/>
          <w:szCs w:val="15"/>
          <w:color w:val="auto"/>
        </w:rPr>
        <w:t>Chairman of the Board,</w:t>
      </w:r>
    </w:p>
    <w:p>
      <w:pPr>
        <w:spacing w:after="0" w:line="14" w:lineRule="exact"/>
        <w:rPr>
          <w:sz w:val="20"/>
          <w:szCs w:val="20"/>
          <w:color w:val="auto"/>
        </w:rPr>
      </w:pPr>
    </w:p>
    <w:p>
      <w:pPr>
        <w:ind w:left="3380"/>
        <w:spacing w:after="0"/>
        <w:rPr>
          <w:sz w:val="20"/>
          <w:szCs w:val="20"/>
          <w:color w:val="auto"/>
        </w:rPr>
      </w:pPr>
      <w:r>
        <w:rPr>
          <w:rFonts w:ascii="Arial" w:cs="Arial" w:eastAsia="Arial" w:hAnsi="Arial"/>
          <w:sz w:val="16"/>
          <w:szCs w:val="16"/>
          <w:color w:val="auto"/>
        </w:rPr>
        <w:t>President and</w:t>
      </w:r>
    </w:p>
    <w:p>
      <w:pPr>
        <w:spacing w:after="0" w:line="3" w:lineRule="exact"/>
        <w:rPr>
          <w:sz w:val="20"/>
          <w:szCs w:val="20"/>
          <w:color w:val="auto"/>
        </w:rPr>
      </w:pPr>
    </w:p>
    <w:p>
      <w:pPr>
        <w:ind w:left="3380"/>
        <w:spacing w:after="0"/>
        <w:rPr>
          <w:sz w:val="20"/>
          <w:szCs w:val="20"/>
          <w:color w:val="auto"/>
        </w:rPr>
      </w:pPr>
      <w:r>
        <w:rPr>
          <w:rFonts w:ascii="Arial" w:cs="Arial" w:eastAsia="Arial" w:hAnsi="Arial"/>
          <w:sz w:val="16"/>
          <w:szCs w:val="16"/>
          <w:color w:val="auto"/>
        </w:rPr>
        <w:t>Chief Executive Officer</w:t>
      </w:r>
    </w:p>
    <w:p>
      <w:pPr>
        <w:spacing w:after="0" w:line="20" w:lineRule="exact"/>
        <w:rPr>
          <w:sz w:val="20"/>
          <w:szCs w:val="20"/>
          <w:color w:val="auto"/>
        </w:rPr>
      </w:pPr>
      <w:r>
        <w:rPr>
          <w:sz w:val="20"/>
          <w:szCs w:val="20"/>
          <w:color w:val="auto"/>
        </w:rPr>
        <w:br w:type="column"/>
      </w:r>
    </w:p>
    <w:p>
      <w:pPr>
        <w:spacing w:after="0" w:line="22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Angela C. Drake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-1329690</wp:posOffset>
            </wp:positionH>
            <wp:positionV relativeFrom="paragraph">
              <wp:posOffset>-115570</wp:posOffset>
            </wp:positionV>
            <wp:extent cx="889635" cy="88963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889635" cy="889635"/>
                    </a:xfrm>
                    <a:prstGeom prst="rect">
                      <a:avLst/>
                    </a:prstGeom>
                    <a:noFill/>
                  </pic:spPr>
                </pic:pic>
              </a:graphicData>
            </a:graphic>
          </wp:anchor>
        </w:drawing>
      </w:r>
    </w:p>
    <w:p>
      <w:pPr>
        <w:spacing w:after="0"/>
        <w:rPr>
          <w:sz w:val="20"/>
          <w:szCs w:val="20"/>
          <w:color w:val="auto"/>
        </w:rPr>
      </w:pPr>
      <w:r>
        <w:rPr>
          <w:rFonts w:ascii="Arial" w:cs="Arial" w:eastAsia="Arial" w:hAnsi="Arial"/>
          <w:sz w:val="16"/>
          <w:szCs w:val="16"/>
          <w:color w:val="auto"/>
        </w:rPr>
        <w:t>Vice President and</w:t>
      </w:r>
    </w:p>
    <w:p>
      <w:pPr>
        <w:spacing w:after="0" w:line="3" w:lineRule="exact"/>
        <w:rPr>
          <w:sz w:val="20"/>
          <w:szCs w:val="20"/>
          <w:color w:val="auto"/>
        </w:rPr>
      </w:pPr>
    </w:p>
    <w:p>
      <w:pPr>
        <w:spacing w:after="0"/>
        <w:rPr>
          <w:sz w:val="20"/>
          <w:szCs w:val="20"/>
          <w:color w:val="auto"/>
        </w:rPr>
      </w:pPr>
      <w:r>
        <w:rPr>
          <w:rFonts w:ascii="Arial" w:cs="Arial" w:eastAsia="Arial" w:hAnsi="Arial"/>
          <w:sz w:val="15"/>
          <w:szCs w:val="15"/>
          <w:color w:val="auto"/>
        </w:rPr>
        <w:t>Chief Financial Officer</w:t>
      </w:r>
    </w:p>
    <w:p>
      <w:pPr>
        <w:spacing w:after="0" w:line="398" w:lineRule="exact"/>
        <w:rPr>
          <w:sz w:val="20"/>
          <w:szCs w:val="20"/>
          <w:color w:val="auto"/>
        </w:rPr>
      </w:pPr>
    </w:p>
    <w:p>
      <w:pPr>
        <w:sectPr>
          <w:pgSz w:w="11900" w:h="16838" w:orient="portrait"/>
          <w:cols w:equalWidth="0" w:num="2">
            <w:col w:w="8000" w:space="720"/>
            <w:col w:w="2520"/>
          </w:cols>
          <w:pgMar w:left="320" w:top="1152"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tbl>
      <w:tblPr>
        <w:tblLayout w:type="fixed"/>
        <w:tblInd w:w="2000" w:type="dxa"/>
        <w:tblCellMar>
          <w:top w:w="0" w:type="dxa"/>
          <w:left w:w="0" w:type="dxa"/>
          <w:bottom w:w="0" w:type="dxa"/>
          <w:right w:w="0" w:type="dxa"/>
        </w:tblCellMar>
      </w:tblPr>
      <w:tr>
        <w:trPr>
          <w:trHeight w:val="187"/>
        </w:trPr>
        <w:tc>
          <w:tcPr>
            <w:tcW w:w="2980" w:type="dxa"/>
            <w:vAlign w:val="bottom"/>
          </w:tcPr>
          <w:p>
            <w:pPr>
              <w:spacing w:after="0"/>
              <w:rPr>
                <w:sz w:val="20"/>
                <w:szCs w:val="20"/>
                <w:color w:val="auto"/>
              </w:rPr>
            </w:pPr>
            <w:r>
              <w:rPr>
                <w:rFonts w:ascii="Arial" w:cs="Arial" w:eastAsia="Arial" w:hAnsi="Arial"/>
                <w:sz w:val="16"/>
                <w:szCs w:val="16"/>
                <w:b w:val="1"/>
                <w:bCs w:val="1"/>
                <w:color w:val="auto"/>
              </w:rPr>
              <w:t>Kevin N. Carpenter</w:t>
            </w:r>
          </w:p>
        </w:tc>
        <w:tc>
          <w:tcPr>
            <w:tcW w:w="3400" w:type="dxa"/>
            <w:vAlign w:val="bottom"/>
          </w:tcPr>
          <w:p>
            <w:pPr>
              <w:ind w:left="1120"/>
              <w:spacing w:after="0"/>
              <w:rPr>
                <w:sz w:val="20"/>
                <w:szCs w:val="20"/>
                <w:color w:val="auto"/>
              </w:rPr>
            </w:pPr>
            <w:r>
              <w:rPr>
                <w:rFonts w:ascii="Arial" w:cs="Arial" w:eastAsia="Arial" w:hAnsi="Arial"/>
                <w:sz w:val="16"/>
                <w:szCs w:val="16"/>
                <w:b w:val="1"/>
                <w:bCs w:val="1"/>
                <w:color w:val="auto"/>
              </w:rPr>
              <w:t>Amy E. Dahl</w:t>
            </w:r>
          </w:p>
        </w:tc>
        <w:tc>
          <w:tcPr>
            <w:tcW w:w="2720" w:type="dxa"/>
            <w:vAlign w:val="bottom"/>
          </w:tcPr>
          <w:p>
            <w:pPr>
              <w:ind w:left="1200"/>
              <w:spacing w:after="0"/>
              <w:rPr>
                <w:sz w:val="20"/>
                <w:szCs w:val="20"/>
                <w:color w:val="auto"/>
              </w:rPr>
            </w:pPr>
            <w:r>
              <w:rPr>
                <w:rFonts w:ascii="Arial" w:cs="Arial" w:eastAsia="Arial" w:hAnsi="Arial"/>
                <w:sz w:val="16"/>
                <w:szCs w:val="16"/>
                <w:b w:val="1"/>
                <w:bCs w:val="1"/>
                <w:color w:val="auto"/>
              </w:rPr>
              <w:t>Joanna M. Totsky</w:t>
            </w:r>
          </w:p>
        </w:tc>
      </w:tr>
      <w:tr>
        <w:trPr>
          <w:trHeight w:val="187"/>
        </w:trPr>
        <w:tc>
          <w:tcPr>
            <w:tcW w:w="2980" w:type="dxa"/>
            <w:vAlign w:val="bottom"/>
          </w:tcPr>
          <w:p>
            <w:pPr>
              <w:spacing w:after="0"/>
              <w:rPr>
                <w:sz w:val="20"/>
                <w:szCs w:val="20"/>
                <w:color w:val="auto"/>
              </w:rPr>
            </w:pPr>
            <w:r>
              <w:rPr>
                <w:rFonts w:ascii="Arial" w:cs="Arial" w:eastAsia="Arial" w:hAnsi="Arial"/>
                <w:sz w:val="16"/>
                <w:szCs w:val="16"/>
                <w:color w:val="auto"/>
              </w:rPr>
              <w:t>Vice President, Global</w:t>
            </w:r>
          </w:p>
        </w:tc>
        <w:tc>
          <w:tcPr>
            <w:tcW w:w="3400" w:type="dxa"/>
            <w:vAlign w:val="bottom"/>
          </w:tcPr>
          <w:p>
            <w:pPr>
              <w:ind w:left="1120"/>
              <w:spacing w:after="0"/>
              <w:rPr>
                <w:sz w:val="20"/>
                <w:szCs w:val="20"/>
                <w:color w:val="auto"/>
              </w:rPr>
            </w:pPr>
            <w:r>
              <w:rPr>
                <w:rFonts w:ascii="Arial" w:cs="Arial" w:eastAsia="Arial" w:hAnsi="Arial"/>
                <w:sz w:val="16"/>
                <w:szCs w:val="16"/>
                <w:color w:val="auto"/>
              </w:rPr>
              <w:t>Vice President,</w:t>
            </w:r>
          </w:p>
        </w:tc>
        <w:tc>
          <w:tcPr>
            <w:tcW w:w="2720" w:type="dxa"/>
            <w:vAlign w:val="bottom"/>
          </w:tcPr>
          <w:p>
            <w:pPr>
              <w:ind w:left="1200"/>
              <w:spacing w:after="0"/>
              <w:rPr>
                <w:sz w:val="20"/>
                <w:szCs w:val="20"/>
                <w:color w:val="auto"/>
              </w:rPr>
            </w:pPr>
            <w:r>
              <w:rPr>
                <w:rFonts w:ascii="Arial" w:cs="Arial" w:eastAsia="Arial" w:hAnsi="Arial"/>
                <w:sz w:val="16"/>
                <w:szCs w:val="16"/>
                <w:color w:val="auto"/>
              </w:rPr>
              <w:t>Vice President,</w:t>
            </w:r>
          </w:p>
        </w:tc>
      </w:tr>
      <w:tr>
        <w:trPr>
          <w:trHeight w:val="187"/>
        </w:trPr>
        <w:tc>
          <w:tcPr>
            <w:tcW w:w="2980" w:type="dxa"/>
            <w:vAlign w:val="bottom"/>
          </w:tcPr>
          <w:p>
            <w:pPr>
              <w:spacing w:after="0"/>
              <w:rPr>
                <w:sz w:val="20"/>
                <w:szCs w:val="20"/>
                <w:color w:val="auto"/>
              </w:rPr>
            </w:pPr>
            <w:r>
              <w:rPr>
                <w:rFonts w:ascii="Arial" w:cs="Arial" w:eastAsia="Arial" w:hAnsi="Arial"/>
                <w:sz w:val="16"/>
                <w:szCs w:val="16"/>
                <w:color w:val="auto"/>
              </w:rPr>
              <w:t>Operations and Integrated</w:t>
            </w:r>
          </w:p>
        </w:tc>
        <w:tc>
          <w:tcPr>
            <w:tcW w:w="3400" w:type="dxa"/>
            <w:vAlign w:val="bottom"/>
          </w:tcPr>
          <w:p>
            <w:pPr>
              <w:ind w:left="1120"/>
              <w:spacing w:after="0"/>
              <w:rPr>
                <w:sz w:val="20"/>
                <w:szCs w:val="20"/>
                <w:color w:val="auto"/>
              </w:rPr>
            </w:pPr>
            <w:r>
              <w:rPr>
                <w:rFonts w:ascii="Arial" w:cs="Arial" w:eastAsia="Arial" w:hAnsi="Arial"/>
                <w:sz w:val="16"/>
                <w:szCs w:val="16"/>
                <w:color w:val="auto"/>
              </w:rPr>
              <w:t>International</w:t>
            </w:r>
          </w:p>
        </w:tc>
        <w:tc>
          <w:tcPr>
            <w:tcW w:w="2720" w:type="dxa"/>
            <w:vAlign w:val="bottom"/>
          </w:tcPr>
          <w:p>
            <w:pPr>
              <w:ind w:left="1200"/>
              <w:spacing w:after="0"/>
              <w:rPr>
                <w:sz w:val="20"/>
                <w:szCs w:val="20"/>
                <w:color w:val="auto"/>
              </w:rPr>
            </w:pPr>
            <w:r>
              <w:rPr>
                <w:rFonts w:ascii="Arial" w:cs="Arial" w:eastAsia="Arial" w:hAnsi="Arial"/>
                <w:sz w:val="16"/>
                <w:szCs w:val="16"/>
                <w:color w:val="auto"/>
                <w:w w:val="99"/>
              </w:rPr>
              <w:t>General Counsel and</w:t>
            </w:r>
          </w:p>
        </w:tc>
      </w:tr>
      <w:tr>
        <w:trPr>
          <w:trHeight w:val="211"/>
        </w:trPr>
        <w:tc>
          <w:tcPr>
            <w:tcW w:w="2980" w:type="dxa"/>
            <w:vAlign w:val="bottom"/>
          </w:tcPr>
          <w:p>
            <w:pPr>
              <w:spacing w:after="0"/>
              <w:rPr>
                <w:sz w:val="20"/>
                <w:szCs w:val="20"/>
                <w:color w:val="auto"/>
              </w:rPr>
            </w:pPr>
            <w:r>
              <w:rPr>
                <w:rFonts w:ascii="Arial" w:cs="Arial" w:eastAsia="Arial" w:hAnsi="Arial"/>
                <w:sz w:val="16"/>
                <w:szCs w:val="16"/>
                <w:color w:val="auto"/>
              </w:rPr>
              <w:t>Supply Chain</w:t>
            </w:r>
          </w:p>
        </w:tc>
        <w:tc>
          <w:tcPr>
            <w:tcW w:w="3400" w:type="dxa"/>
            <w:vAlign w:val="bottom"/>
          </w:tcPr>
          <w:p>
            <w:pPr>
              <w:spacing w:after="0"/>
              <w:rPr>
                <w:sz w:val="18"/>
                <w:szCs w:val="18"/>
                <w:color w:val="auto"/>
              </w:rPr>
            </w:pPr>
          </w:p>
        </w:tc>
        <w:tc>
          <w:tcPr>
            <w:tcW w:w="2720" w:type="dxa"/>
            <w:vAlign w:val="bottom"/>
          </w:tcPr>
          <w:p>
            <w:pPr>
              <w:ind w:left="1200"/>
              <w:spacing w:after="0"/>
              <w:rPr>
                <w:sz w:val="20"/>
                <w:szCs w:val="20"/>
                <w:color w:val="auto"/>
              </w:rPr>
            </w:pPr>
            <w:r>
              <w:rPr>
                <w:rFonts w:ascii="Arial" w:cs="Arial" w:eastAsia="Arial" w:hAnsi="Arial"/>
                <w:sz w:val="16"/>
                <w:szCs w:val="16"/>
                <w:color w:val="auto"/>
              </w:rPr>
              <w:t>Corporate Secretary</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156845</wp:posOffset>
            </wp:positionH>
            <wp:positionV relativeFrom="paragraph">
              <wp:posOffset>-471805</wp:posOffset>
            </wp:positionV>
            <wp:extent cx="948690" cy="88963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948690" cy="889635"/>
                    </a:xfrm>
                    <a:prstGeom prst="rect">
                      <a:avLst/>
                    </a:prstGeom>
                    <a:noFill/>
                  </pic:spPr>
                </pic:pic>
              </a:graphicData>
            </a:graphic>
          </wp:anchor>
        </w:drawing>
        <w:drawing>
          <wp:anchor simplePos="0" relativeHeight="251657728" behindDoc="1" locked="0" layoutInCell="0" allowOverlap="1">
            <wp:simplePos x="0" y="0"/>
            <wp:positionH relativeFrom="column">
              <wp:posOffset>2749550</wp:posOffset>
            </wp:positionH>
            <wp:positionV relativeFrom="paragraph">
              <wp:posOffset>-488315</wp:posOffset>
            </wp:positionV>
            <wp:extent cx="889635" cy="88963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889635" cy="889635"/>
                    </a:xfrm>
                    <a:prstGeom prst="rect">
                      <a:avLst/>
                    </a:prstGeom>
                    <a:noFill/>
                  </pic:spPr>
                </pic:pic>
              </a:graphicData>
            </a:graphic>
          </wp:anchor>
        </w:drawing>
        <w:drawing>
          <wp:anchor simplePos="0" relativeHeight="251657728" behindDoc="1" locked="0" layoutInCell="0" allowOverlap="1">
            <wp:simplePos x="0" y="0"/>
            <wp:positionH relativeFrom="column">
              <wp:posOffset>5020310</wp:posOffset>
            </wp:positionH>
            <wp:positionV relativeFrom="paragraph">
              <wp:posOffset>-471805</wp:posOffset>
            </wp:positionV>
            <wp:extent cx="889635" cy="88963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889635" cy="8896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ind w:firstLine="320"/>
        <w:spacing w:after="0" w:line="262" w:lineRule="auto"/>
        <w:rPr>
          <w:sz w:val="20"/>
          <w:szCs w:val="20"/>
          <w:color w:val="auto"/>
        </w:rPr>
      </w:pPr>
      <w:r>
        <w:rPr>
          <w:rFonts w:ascii="Arial" w:cs="Arial" w:eastAsia="Arial" w:hAnsi="Arial"/>
          <w:sz w:val="18"/>
          <w:szCs w:val="18"/>
          <w:color w:val="auto"/>
        </w:rPr>
        <w:t>This CD&amp;A should be read together with the related tables and disclosures that follow and our advisory vote on executive compensation, which can be found under "Proposal Three—Advisory Approval of our Executive Compensation.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79375</wp:posOffset>
            </wp:positionV>
            <wp:extent cx="7159625" cy="425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152" w:right="339" w:bottom="1440" w:gutter="0" w:footer="0" w:header="0"/>
          <w:type w:val="continuous"/>
        </w:sectPr>
      </w:pPr>
    </w:p>
    <w:bookmarkStart w:id="44" w:name="page45"/>
    <w:bookmarkEnd w:id="44"/>
    <w:p>
      <w:pPr>
        <w:spacing w:after="0" w:line="51" w:lineRule="exact"/>
        <w:rPr>
          <w:sz w:val="20"/>
          <w:szCs w:val="20"/>
          <w:color w:val="auto"/>
        </w:rPr>
      </w:pPr>
    </w:p>
    <w:p>
      <w:pPr>
        <w:spacing w:after="0"/>
        <w:rPr>
          <w:sz w:val="20"/>
          <w:szCs w:val="20"/>
          <w:color w:val="auto"/>
        </w:rPr>
      </w:pPr>
      <w:r>
        <w:rPr>
          <w:rFonts w:ascii="Arial" w:cs="Arial" w:eastAsia="Arial" w:hAnsi="Arial"/>
          <w:sz w:val="20"/>
          <w:szCs w:val="20"/>
          <w:b w:val="1"/>
          <w:bCs w:val="1"/>
          <w:color w:val="C00000"/>
        </w:rPr>
        <w:t>Executive Summary: Fiscal 2024 Compensation Actions and Outcomes</w:t>
      </w:r>
    </w:p>
    <w:p>
      <w:pPr>
        <w:spacing w:after="0" w:line="84" w:lineRule="exact"/>
        <w:rPr>
          <w:sz w:val="20"/>
          <w:szCs w:val="20"/>
          <w:color w:val="auto"/>
        </w:rPr>
      </w:pPr>
    </w:p>
    <w:p>
      <w:pPr>
        <w:ind w:firstLine="320"/>
        <w:spacing w:after="0" w:line="247" w:lineRule="auto"/>
        <w:rPr>
          <w:sz w:val="20"/>
          <w:szCs w:val="20"/>
          <w:color w:val="auto"/>
        </w:rPr>
      </w:pPr>
      <w:r>
        <w:rPr>
          <w:rFonts w:ascii="Arial" w:cs="Arial" w:eastAsia="Arial" w:hAnsi="Arial"/>
          <w:sz w:val="17"/>
          <w:szCs w:val="17"/>
          <w:color w:val="auto"/>
        </w:rPr>
        <w:t>One of our key executive compensation objectives is to link pay to performance by aligning the financial interests of our executive officers, including our NEOs, with those of our shareholders and by emphasizing pay for performance in our compensation programs. Fiscal 2024</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compensation actions and incentive plan outcomes based on our performance are summarized below:</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54"/>
        </w:trPr>
        <w:tc>
          <w:tcPr>
            <w:tcW w:w="2120" w:type="dxa"/>
            <w:vAlign w:val="bottom"/>
            <w:shd w:val="clear" w:color="auto" w:fill="BF2115"/>
          </w:tcPr>
          <w:p>
            <w:pPr>
              <w:ind w:left="20"/>
              <w:spacing w:after="0"/>
              <w:rPr>
                <w:sz w:val="20"/>
                <w:szCs w:val="20"/>
                <w:color w:val="auto"/>
              </w:rPr>
            </w:pPr>
            <w:r>
              <w:rPr>
                <w:rFonts w:ascii="Arial" w:cs="Arial" w:eastAsia="Arial" w:hAnsi="Arial"/>
                <w:sz w:val="18"/>
                <w:szCs w:val="18"/>
                <w:b w:val="1"/>
                <w:bCs w:val="1"/>
                <w:color w:val="FFFFFF"/>
              </w:rPr>
              <w:t>Pay Element</w:t>
            </w:r>
          </w:p>
        </w:tc>
        <w:tc>
          <w:tcPr>
            <w:tcW w:w="120" w:type="dxa"/>
            <w:vAlign w:val="bottom"/>
            <w:shd w:val="clear" w:color="auto" w:fill="BF2115"/>
          </w:tcPr>
          <w:p>
            <w:pPr>
              <w:spacing w:after="0"/>
              <w:rPr>
                <w:sz w:val="22"/>
                <w:szCs w:val="22"/>
                <w:color w:val="auto"/>
              </w:rPr>
            </w:pPr>
          </w:p>
        </w:tc>
        <w:tc>
          <w:tcPr>
            <w:tcW w:w="3620" w:type="dxa"/>
            <w:vAlign w:val="bottom"/>
            <w:gridSpan w:val="2"/>
            <w:shd w:val="clear" w:color="auto" w:fill="BF2115"/>
          </w:tcPr>
          <w:p>
            <w:pPr>
              <w:ind w:left="300"/>
              <w:spacing w:after="0"/>
              <w:rPr>
                <w:sz w:val="20"/>
                <w:szCs w:val="20"/>
                <w:color w:val="auto"/>
              </w:rPr>
            </w:pPr>
            <w:r>
              <w:rPr>
                <w:rFonts w:ascii="Arial" w:cs="Arial" w:eastAsia="Arial" w:hAnsi="Arial"/>
                <w:sz w:val="18"/>
                <w:szCs w:val="18"/>
                <w:b w:val="1"/>
                <w:bCs w:val="1"/>
                <w:color w:val="FFFFFF"/>
              </w:rPr>
              <w:t>Fiscal 2024 Actions</w:t>
            </w:r>
          </w:p>
        </w:tc>
        <w:tc>
          <w:tcPr>
            <w:tcW w:w="1300" w:type="dxa"/>
            <w:vAlign w:val="bottom"/>
            <w:shd w:val="clear" w:color="auto" w:fill="BF2115"/>
          </w:tcPr>
          <w:p>
            <w:pPr>
              <w:spacing w:after="0"/>
              <w:rPr>
                <w:sz w:val="22"/>
                <w:szCs w:val="22"/>
                <w:color w:val="auto"/>
              </w:rPr>
            </w:pPr>
          </w:p>
        </w:tc>
        <w:tc>
          <w:tcPr>
            <w:tcW w:w="4060" w:type="dxa"/>
            <w:vAlign w:val="bottom"/>
            <w:shd w:val="clear" w:color="auto" w:fill="BF2115"/>
          </w:tcPr>
          <w:p>
            <w:pPr>
              <w:spacing w:after="0"/>
              <w:rPr>
                <w:sz w:val="22"/>
                <w:szCs w:val="22"/>
                <w:color w:val="auto"/>
              </w:rPr>
            </w:pPr>
          </w:p>
        </w:tc>
        <w:tc>
          <w:tcPr>
            <w:tcW w:w="0" w:type="dxa"/>
            <w:vAlign w:val="bottom"/>
          </w:tcPr>
          <w:p>
            <w:pPr>
              <w:spacing w:after="0"/>
              <w:rPr>
                <w:sz w:val="1"/>
                <w:szCs w:val="1"/>
                <w:color w:val="auto"/>
              </w:rPr>
            </w:pPr>
          </w:p>
        </w:tc>
      </w:tr>
      <w:tr>
        <w:trPr>
          <w:trHeight w:val="213"/>
        </w:trPr>
        <w:tc>
          <w:tcPr>
            <w:tcW w:w="2120" w:type="dxa"/>
            <w:vAlign w:val="bottom"/>
          </w:tcPr>
          <w:p>
            <w:pPr>
              <w:ind w:left="20"/>
              <w:spacing w:after="0"/>
              <w:rPr>
                <w:sz w:val="20"/>
                <w:szCs w:val="20"/>
                <w:color w:val="auto"/>
              </w:rPr>
            </w:pPr>
            <w:r>
              <w:rPr>
                <w:rFonts w:ascii="Arial" w:cs="Arial" w:eastAsia="Arial" w:hAnsi="Arial"/>
                <w:sz w:val="16"/>
                <w:szCs w:val="16"/>
                <w:i w:val="1"/>
                <w:iCs w:val="1"/>
                <w:color w:val="auto"/>
              </w:rPr>
              <w:t>Base Salary</w:t>
            </w:r>
          </w:p>
        </w:tc>
        <w:tc>
          <w:tcPr>
            <w:tcW w:w="120" w:type="dxa"/>
            <w:vAlign w:val="bottom"/>
          </w:tcPr>
          <w:p>
            <w:pPr>
              <w:spacing w:after="0"/>
              <w:rPr>
                <w:sz w:val="18"/>
                <w:szCs w:val="18"/>
                <w:color w:val="auto"/>
              </w:rPr>
            </w:pPr>
          </w:p>
        </w:tc>
        <w:tc>
          <w:tcPr>
            <w:tcW w:w="40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w:t>
            </w:r>
          </w:p>
        </w:tc>
        <w:tc>
          <w:tcPr>
            <w:tcW w:w="8580" w:type="dxa"/>
            <w:vAlign w:val="bottom"/>
            <w:gridSpan w:val="3"/>
          </w:tcPr>
          <w:p>
            <w:pPr>
              <w:ind w:left="60"/>
              <w:spacing w:after="0"/>
              <w:rPr>
                <w:sz w:val="20"/>
                <w:szCs w:val="20"/>
                <w:color w:val="auto"/>
              </w:rPr>
            </w:pPr>
            <w:r>
              <w:rPr>
                <w:rFonts w:ascii="Arial" w:cs="Arial" w:eastAsia="Arial" w:hAnsi="Arial"/>
                <w:sz w:val="16"/>
                <w:szCs w:val="16"/>
                <w:color w:val="auto"/>
              </w:rPr>
              <w:t>Our Chairman and CEO received a base salary increase of 3.9%.</w:t>
            </w:r>
          </w:p>
        </w:tc>
        <w:tc>
          <w:tcPr>
            <w:tcW w:w="0" w:type="dxa"/>
            <w:vAlign w:val="bottom"/>
          </w:tcPr>
          <w:p>
            <w:pPr>
              <w:spacing w:after="0"/>
              <w:rPr>
                <w:sz w:val="1"/>
                <w:szCs w:val="1"/>
                <w:color w:val="auto"/>
              </w:rPr>
            </w:pPr>
          </w:p>
        </w:tc>
      </w:tr>
      <w:tr>
        <w:trPr>
          <w:trHeight w:val="173"/>
        </w:trPr>
        <w:tc>
          <w:tcPr>
            <w:tcW w:w="2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0" w:type="dxa"/>
            <w:vAlign w:val="bottom"/>
          </w:tcPr>
          <w:p>
            <w:pPr>
              <w:ind w:left="300"/>
              <w:spacing w:after="0" w:line="174" w:lineRule="exact"/>
              <w:rPr>
                <w:sz w:val="20"/>
                <w:szCs w:val="20"/>
                <w:color w:val="auto"/>
              </w:rPr>
            </w:pPr>
            <w:r>
              <w:rPr>
                <w:rFonts w:ascii="Arial" w:cs="Arial" w:eastAsia="Arial" w:hAnsi="Arial"/>
                <w:sz w:val="16"/>
                <w:szCs w:val="16"/>
                <w:color w:val="auto"/>
              </w:rPr>
              <w:t>•</w:t>
            </w:r>
          </w:p>
        </w:tc>
        <w:tc>
          <w:tcPr>
            <w:tcW w:w="8580" w:type="dxa"/>
            <w:vAlign w:val="bottom"/>
            <w:gridSpan w:val="3"/>
          </w:tcPr>
          <w:p>
            <w:pPr>
              <w:ind w:left="60"/>
              <w:spacing w:after="0" w:line="174" w:lineRule="exact"/>
              <w:rPr>
                <w:sz w:val="20"/>
                <w:szCs w:val="20"/>
                <w:color w:val="auto"/>
              </w:rPr>
            </w:pPr>
            <w:r>
              <w:rPr>
                <w:rFonts w:ascii="Arial" w:cs="Arial" w:eastAsia="Arial" w:hAnsi="Arial"/>
                <w:sz w:val="16"/>
                <w:szCs w:val="16"/>
                <w:color w:val="auto"/>
              </w:rPr>
              <w:t>Our other NEOs received a base salary increase ranging from 4.0% to 4.1% with the exception of Mr. Carpenter, who</w:t>
            </w:r>
          </w:p>
        </w:tc>
        <w:tc>
          <w:tcPr>
            <w:tcW w:w="0" w:type="dxa"/>
            <w:vAlign w:val="bottom"/>
          </w:tcPr>
          <w:p>
            <w:pPr>
              <w:spacing w:after="0"/>
              <w:rPr>
                <w:sz w:val="1"/>
                <w:szCs w:val="1"/>
                <w:color w:val="auto"/>
              </w:rPr>
            </w:pPr>
          </w:p>
        </w:tc>
      </w:tr>
      <w:tr>
        <w:trPr>
          <w:trHeight w:val="211"/>
        </w:trPr>
        <w:tc>
          <w:tcPr>
            <w:tcW w:w="2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580" w:type="dxa"/>
            <w:vAlign w:val="bottom"/>
            <w:gridSpan w:val="3"/>
          </w:tcPr>
          <w:p>
            <w:pPr>
              <w:ind w:left="60"/>
              <w:spacing w:after="0"/>
              <w:rPr>
                <w:sz w:val="20"/>
                <w:szCs w:val="20"/>
                <w:color w:val="auto"/>
              </w:rPr>
            </w:pPr>
            <w:r>
              <w:rPr>
                <w:rFonts w:ascii="Arial" w:cs="Arial" w:eastAsia="Arial" w:hAnsi="Arial"/>
                <w:sz w:val="16"/>
                <w:szCs w:val="16"/>
                <w:color w:val="auto"/>
              </w:rPr>
              <w:t>received a base salary increase of 7.3% to increase his competitive market positioning.</w:t>
            </w:r>
          </w:p>
        </w:tc>
        <w:tc>
          <w:tcPr>
            <w:tcW w:w="0" w:type="dxa"/>
            <w:vAlign w:val="bottom"/>
          </w:tcPr>
          <w:p>
            <w:pPr>
              <w:spacing w:after="0"/>
              <w:rPr>
                <w:sz w:val="1"/>
                <w:szCs w:val="1"/>
                <w:color w:val="auto"/>
              </w:rPr>
            </w:pPr>
          </w:p>
        </w:tc>
      </w:tr>
      <w:tr>
        <w:trPr>
          <w:trHeight w:val="297"/>
        </w:trPr>
        <w:tc>
          <w:tcPr>
            <w:tcW w:w="2120" w:type="dxa"/>
            <w:vAlign w:val="bottom"/>
            <w:tcBorders>
              <w:bottom w:val="single" w:sz="8" w:color="D9D9D9"/>
            </w:tcBorders>
          </w:tcPr>
          <w:p>
            <w:pPr>
              <w:spacing w:after="0"/>
              <w:rPr>
                <w:sz w:val="24"/>
                <w:szCs w:val="24"/>
                <w:color w:val="auto"/>
              </w:rPr>
            </w:pPr>
          </w:p>
        </w:tc>
        <w:tc>
          <w:tcPr>
            <w:tcW w:w="120" w:type="dxa"/>
            <w:vAlign w:val="bottom"/>
            <w:tcBorders>
              <w:bottom w:val="single" w:sz="8" w:color="D9D9D9"/>
            </w:tcBorders>
          </w:tcPr>
          <w:p>
            <w:pPr>
              <w:spacing w:after="0"/>
              <w:rPr>
                <w:sz w:val="24"/>
                <w:szCs w:val="24"/>
                <w:color w:val="auto"/>
              </w:rPr>
            </w:pPr>
          </w:p>
        </w:tc>
        <w:tc>
          <w:tcPr>
            <w:tcW w:w="400" w:type="dxa"/>
            <w:vAlign w:val="bottom"/>
            <w:tcBorders>
              <w:bottom w:val="single" w:sz="8" w:color="D9D9D9"/>
            </w:tcBorders>
          </w:tcPr>
          <w:p>
            <w:pPr>
              <w:spacing w:after="0"/>
              <w:rPr>
                <w:sz w:val="24"/>
                <w:szCs w:val="24"/>
                <w:color w:val="auto"/>
              </w:rPr>
            </w:pPr>
          </w:p>
        </w:tc>
        <w:tc>
          <w:tcPr>
            <w:tcW w:w="4520" w:type="dxa"/>
            <w:vAlign w:val="bottom"/>
            <w:tcBorders>
              <w:bottom w:val="single" w:sz="8" w:color="D9D9D9"/>
            </w:tcBorders>
            <w:gridSpan w:val="2"/>
          </w:tcPr>
          <w:p>
            <w:pPr>
              <w:spacing w:after="0"/>
              <w:rPr>
                <w:sz w:val="24"/>
                <w:szCs w:val="24"/>
                <w:color w:val="auto"/>
              </w:rPr>
            </w:pPr>
          </w:p>
        </w:tc>
        <w:tc>
          <w:tcPr>
            <w:tcW w:w="4060" w:type="dxa"/>
            <w:vAlign w:val="bottom"/>
            <w:tcBorders>
              <w:bottom w:val="single" w:sz="8" w:color="D9D9D9"/>
            </w:tcBorders>
          </w:tcPr>
          <w:p>
            <w:pPr>
              <w:spacing w:after="0"/>
              <w:rPr>
                <w:sz w:val="24"/>
                <w:szCs w:val="24"/>
                <w:color w:val="auto"/>
              </w:rPr>
            </w:pPr>
          </w:p>
        </w:tc>
        <w:tc>
          <w:tcPr>
            <w:tcW w:w="0" w:type="dxa"/>
            <w:vAlign w:val="bottom"/>
          </w:tcPr>
          <w:p>
            <w:pPr>
              <w:spacing w:after="0"/>
              <w:rPr>
                <w:sz w:val="1"/>
                <w:szCs w:val="1"/>
                <w:color w:val="auto"/>
              </w:rPr>
            </w:pPr>
          </w:p>
        </w:tc>
      </w:tr>
      <w:tr>
        <w:trPr>
          <w:trHeight w:val="179"/>
        </w:trPr>
        <w:tc>
          <w:tcPr>
            <w:tcW w:w="2120" w:type="dxa"/>
            <w:vAlign w:val="bottom"/>
          </w:tcPr>
          <w:p>
            <w:pPr>
              <w:ind w:left="20"/>
              <w:spacing w:after="0" w:line="179" w:lineRule="exact"/>
              <w:rPr>
                <w:sz w:val="20"/>
                <w:szCs w:val="20"/>
                <w:color w:val="auto"/>
              </w:rPr>
            </w:pPr>
            <w:r>
              <w:rPr>
                <w:rFonts w:ascii="Arial" w:cs="Arial" w:eastAsia="Arial" w:hAnsi="Arial"/>
                <w:sz w:val="16"/>
                <w:szCs w:val="16"/>
                <w:i w:val="1"/>
                <w:iCs w:val="1"/>
                <w:color w:val="auto"/>
              </w:rPr>
              <w:t>Annual Cash Incentive</w:t>
            </w:r>
          </w:p>
        </w:tc>
        <w:tc>
          <w:tcPr>
            <w:tcW w:w="120" w:type="dxa"/>
            <w:vAlign w:val="bottom"/>
          </w:tcPr>
          <w:p>
            <w:pPr>
              <w:spacing w:after="0"/>
              <w:rPr>
                <w:sz w:val="15"/>
                <w:szCs w:val="15"/>
                <w:color w:val="auto"/>
              </w:rPr>
            </w:pPr>
          </w:p>
        </w:tc>
        <w:tc>
          <w:tcPr>
            <w:tcW w:w="400" w:type="dxa"/>
            <w:vAlign w:val="bottom"/>
          </w:tcPr>
          <w:p>
            <w:pPr>
              <w:ind w:left="300"/>
              <w:spacing w:after="0" w:line="179" w:lineRule="exact"/>
              <w:rPr>
                <w:sz w:val="20"/>
                <w:szCs w:val="20"/>
                <w:color w:val="auto"/>
              </w:rPr>
            </w:pPr>
            <w:r>
              <w:rPr>
                <w:rFonts w:ascii="Times New Roman" w:cs="Times New Roman" w:eastAsia="Times New Roman" w:hAnsi="Times New Roman"/>
                <w:sz w:val="16"/>
                <w:szCs w:val="16"/>
                <w:color w:val="auto"/>
              </w:rPr>
              <w:t>•</w:t>
            </w:r>
          </w:p>
        </w:tc>
        <w:tc>
          <w:tcPr>
            <w:tcW w:w="8580" w:type="dxa"/>
            <w:vAlign w:val="bottom"/>
            <w:gridSpan w:val="3"/>
          </w:tcPr>
          <w:p>
            <w:pPr>
              <w:ind w:left="60"/>
              <w:spacing w:after="0" w:line="179" w:lineRule="exact"/>
              <w:rPr>
                <w:sz w:val="20"/>
                <w:szCs w:val="20"/>
                <w:color w:val="auto"/>
              </w:rPr>
            </w:pPr>
            <w:r>
              <w:rPr>
                <w:rFonts w:ascii="Arial" w:cs="Arial" w:eastAsia="Arial" w:hAnsi="Arial"/>
                <w:sz w:val="16"/>
                <w:szCs w:val="16"/>
                <w:color w:val="auto"/>
              </w:rPr>
              <w:t>Target annual cash incentive opportunities were established for each of our NEOs, representing 130% of base salary</w:t>
            </w:r>
          </w:p>
        </w:tc>
        <w:tc>
          <w:tcPr>
            <w:tcW w:w="0" w:type="dxa"/>
            <w:vAlign w:val="bottom"/>
          </w:tcPr>
          <w:p>
            <w:pPr>
              <w:spacing w:after="0"/>
              <w:rPr>
                <w:sz w:val="1"/>
                <w:szCs w:val="1"/>
                <w:color w:val="auto"/>
              </w:rPr>
            </w:pPr>
          </w:p>
        </w:tc>
      </w:tr>
      <w:tr>
        <w:trPr>
          <w:trHeight w:val="200"/>
        </w:trPr>
        <w:tc>
          <w:tcPr>
            <w:tcW w:w="2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580" w:type="dxa"/>
            <w:vAlign w:val="bottom"/>
            <w:gridSpan w:val="3"/>
          </w:tcPr>
          <w:p>
            <w:pPr>
              <w:ind w:left="60"/>
              <w:spacing w:after="0"/>
              <w:rPr>
                <w:sz w:val="20"/>
                <w:szCs w:val="20"/>
                <w:color w:val="auto"/>
              </w:rPr>
            </w:pPr>
            <w:r>
              <w:rPr>
                <w:rFonts w:ascii="Arial" w:cs="Arial" w:eastAsia="Arial" w:hAnsi="Arial"/>
                <w:sz w:val="16"/>
                <w:szCs w:val="16"/>
                <w:color w:val="auto"/>
              </w:rPr>
              <w:t>for our Chairman and CEO and ranging from 65% to 70% of base salary for our other NEOs.</w:t>
            </w:r>
          </w:p>
        </w:tc>
        <w:tc>
          <w:tcPr>
            <w:tcW w:w="0" w:type="dxa"/>
            <w:vAlign w:val="bottom"/>
          </w:tcPr>
          <w:p>
            <w:pPr>
              <w:spacing w:after="0"/>
              <w:rPr>
                <w:sz w:val="1"/>
                <w:szCs w:val="1"/>
                <w:color w:val="auto"/>
              </w:rPr>
            </w:pPr>
          </w:p>
        </w:tc>
      </w:tr>
      <w:tr>
        <w:trPr>
          <w:trHeight w:val="173"/>
        </w:trPr>
        <w:tc>
          <w:tcPr>
            <w:tcW w:w="2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0" w:type="dxa"/>
            <w:vAlign w:val="bottom"/>
          </w:tcPr>
          <w:p>
            <w:pPr>
              <w:ind w:left="300"/>
              <w:spacing w:after="0" w:line="174" w:lineRule="exact"/>
              <w:rPr>
                <w:sz w:val="20"/>
                <w:szCs w:val="20"/>
                <w:color w:val="auto"/>
              </w:rPr>
            </w:pPr>
            <w:r>
              <w:rPr>
                <w:rFonts w:ascii="Arial" w:cs="Arial" w:eastAsia="Arial" w:hAnsi="Arial"/>
                <w:sz w:val="16"/>
                <w:szCs w:val="16"/>
                <w:color w:val="auto"/>
              </w:rPr>
              <w:t>•</w:t>
            </w:r>
          </w:p>
        </w:tc>
        <w:tc>
          <w:tcPr>
            <w:tcW w:w="8580" w:type="dxa"/>
            <w:vAlign w:val="bottom"/>
            <w:gridSpan w:val="3"/>
          </w:tcPr>
          <w:p>
            <w:pPr>
              <w:ind w:left="60"/>
              <w:spacing w:after="0" w:line="174" w:lineRule="exact"/>
              <w:rPr>
                <w:sz w:val="20"/>
                <w:szCs w:val="20"/>
                <w:color w:val="auto"/>
              </w:rPr>
            </w:pPr>
            <w:r>
              <w:rPr>
                <w:rFonts w:ascii="Arial" w:cs="Arial" w:eastAsia="Arial" w:hAnsi="Arial"/>
                <w:sz w:val="16"/>
                <w:szCs w:val="16"/>
                <w:color w:val="auto"/>
              </w:rPr>
              <w:t>Corporate performance measures, weightings and goals were established for all of our NEOs. The corporate</w:t>
            </w:r>
          </w:p>
        </w:tc>
        <w:tc>
          <w:tcPr>
            <w:tcW w:w="0" w:type="dxa"/>
            <w:vAlign w:val="bottom"/>
          </w:tcPr>
          <w:p>
            <w:pPr>
              <w:spacing w:after="0"/>
              <w:rPr>
                <w:sz w:val="1"/>
                <w:szCs w:val="1"/>
                <w:color w:val="auto"/>
              </w:rPr>
            </w:pPr>
          </w:p>
        </w:tc>
      </w:tr>
      <w:tr>
        <w:trPr>
          <w:trHeight w:val="211"/>
        </w:trPr>
        <w:tc>
          <w:tcPr>
            <w:tcW w:w="2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580" w:type="dxa"/>
            <w:vAlign w:val="bottom"/>
            <w:gridSpan w:val="3"/>
          </w:tcPr>
          <w:p>
            <w:pPr>
              <w:ind w:left="60"/>
              <w:spacing w:after="0"/>
              <w:rPr>
                <w:sz w:val="20"/>
                <w:szCs w:val="20"/>
                <w:color w:val="auto"/>
              </w:rPr>
            </w:pPr>
            <w:r>
              <w:rPr>
                <w:rFonts w:ascii="Arial" w:cs="Arial" w:eastAsia="Arial" w:hAnsi="Arial"/>
                <w:sz w:val="16"/>
                <w:szCs w:val="16"/>
                <w:color w:val="auto"/>
              </w:rPr>
              <w:t>performance measures and weightings, which remained unchanged from the prior fiscal year were as follows:</w:t>
            </w:r>
          </w:p>
        </w:tc>
        <w:tc>
          <w:tcPr>
            <w:tcW w:w="0" w:type="dxa"/>
            <w:vAlign w:val="bottom"/>
          </w:tcPr>
          <w:p>
            <w:pPr>
              <w:spacing w:after="0"/>
              <w:rPr>
                <w:sz w:val="1"/>
                <w:szCs w:val="1"/>
                <w:color w:val="auto"/>
              </w:rPr>
            </w:pPr>
          </w:p>
        </w:tc>
      </w:tr>
      <w:tr>
        <w:trPr>
          <w:trHeight w:val="510"/>
        </w:trPr>
        <w:tc>
          <w:tcPr>
            <w:tcW w:w="2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20" w:type="dxa"/>
            <w:vAlign w:val="bottom"/>
            <w:gridSpan w:val="2"/>
          </w:tcPr>
          <w:p>
            <w:pPr>
              <w:spacing w:after="0"/>
              <w:rPr>
                <w:sz w:val="24"/>
                <w:szCs w:val="24"/>
                <w:color w:val="auto"/>
              </w:rPr>
            </w:pPr>
          </w:p>
        </w:tc>
        <w:tc>
          <w:tcPr>
            <w:tcW w:w="1300" w:type="dxa"/>
            <w:vAlign w:val="bottom"/>
          </w:tcPr>
          <w:p>
            <w:pPr>
              <w:spacing w:after="0"/>
              <w:rPr>
                <w:sz w:val="24"/>
                <w:szCs w:val="24"/>
                <w:color w:val="auto"/>
              </w:rPr>
            </w:pPr>
          </w:p>
        </w:tc>
        <w:tc>
          <w:tcPr>
            <w:tcW w:w="4060" w:type="dxa"/>
            <w:vAlign w:val="bottom"/>
            <w:vMerge w:val="restart"/>
          </w:tcPr>
          <w:p>
            <w:pPr>
              <w:spacing w:after="0"/>
              <w:rPr>
                <w:sz w:val="24"/>
                <w:szCs w:val="24"/>
                <w:color w:val="auto"/>
              </w:rPr>
            </w:pPr>
          </w:p>
        </w:tc>
        <w:tc>
          <w:tcPr>
            <w:tcW w:w="0" w:type="dxa"/>
            <w:vAlign w:val="bottom"/>
          </w:tcPr>
          <w:p>
            <w:pPr>
              <w:spacing w:after="0"/>
              <w:rPr>
                <w:sz w:val="1"/>
                <w:szCs w:val="1"/>
                <w:color w:val="auto"/>
              </w:rPr>
            </w:pPr>
          </w:p>
        </w:tc>
      </w:tr>
      <w:tr>
        <w:trPr>
          <w:trHeight w:val="240"/>
        </w:trPr>
        <w:tc>
          <w:tcPr>
            <w:tcW w:w="2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20" w:type="dxa"/>
            <w:vAlign w:val="bottom"/>
            <w:gridSpan w:val="2"/>
            <w:shd w:val="clear" w:color="auto" w:fill="BF2115"/>
          </w:tcPr>
          <w:p>
            <w:pPr>
              <w:ind w:left="20"/>
              <w:spacing w:after="0"/>
              <w:rPr>
                <w:sz w:val="20"/>
                <w:szCs w:val="20"/>
                <w:color w:val="auto"/>
              </w:rPr>
            </w:pPr>
            <w:r>
              <w:rPr>
                <w:rFonts w:ascii="Arial" w:cs="Arial" w:eastAsia="Arial" w:hAnsi="Arial"/>
                <w:sz w:val="16"/>
                <w:szCs w:val="16"/>
                <w:b w:val="1"/>
                <w:bCs w:val="1"/>
                <w:color w:val="FFFFFF"/>
              </w:rPr>
              <w:t>Corporate Performance Measures</w:t>
            </w:r>
          </w:p>
        </w:tc>
        <w:tc>
          <w:tcPr>
            <w:tcW w:w="1300" w:type="dxa"/>
            <w:vAlign w:val="bottom"/>
            <w:shd w:val="clear" w:color="auto" w:fill="BF2115"/>
          </w:tcPr>
          <w:p>
            <w:pPr>
              <w:jc w:val="center"/>
              <w:spacing w:after="0"/>
              <w:rPr>
                <w:sz w:val="20"/>
                <w:szCs w:val="20"/>
                <w:color w:val="auto"/>
              </w:rPr>
            </w:pPr>
            <w:r>
              <w:rPr>
                <w:rFonts w:ascii="Arial" w:cs="Arial" w:eastAsia="Arial" w:hAnsi="Arial"/>
                <w:sz w:val="16"/>
                <w:szCs w:val="16"/>
                <w:b w:val="1"/>
                <w:bCs w:val="1"/>
                <w:color w:val="FFFFFF"/>
                <w:w w:val="98"/>
              </w:rPr>
              <w:t>Weighting</w:t>
            </w:r>
          </w:p>
        </w:tc>
        <w:tc>
          <w:tcPr>
            <w:tcW w:w="406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11"/>
        </w:trPr>
        <w:tc>
          <w:tcPr>
            <w:tcW w:w="2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20" w:type="dxa"/>
            <w:vAlign w:val="bottom"/>
            <w:gridSpan w:val="2"/>
          </w:tcPr>
          <w:p>
            <w:pPr>
              <w:ind w:left="20"/>
              <w:spacing w:after="0"/>
              <w:rPr>
                <w:sz w:val="20"/>
                <w:szCs w:val="20"/>
                <w:color w:val="auto"/>
              </w:rPr>
            </w:pPr>
            <w:r>
              <w:rPr>
                <w:rFonts w:ascii="Arial" w:cs="Arial" w:eastAsia="Arial" w:hAnsi="Arial"/>
                <w:sz w:val="16"/>
                <w:szCs w:val="16"/>
                <w:color w:val="auto"/>
              </w:rPr>
              <w:t>Adjusted diluted EPS*</w:t>
            </w:r>
          </w:p>
        </w:tc>
        <w:tc>
          <w:tcPr>
            <w:tcW w:w="1300" w:type="dxa"/>
            <w:vAlign w:val="bottom"/>
          </w:tcPr>
          <w:p>
            <w:pPr>
              <w:jc w:val="center"/>
              <w:spacing w:after="0"/>
              <w:rPr>
                <w:sz w:val="20"/>
                <w:szCs w:val="20"/>
                <w:color w:val="auto"/>
              </w:rPr>
            </w:pPr>
            <w:r>
              <w:rPr>
                <w:rFonts w:ascii="Arial" w:cs="Arial" w:eastAsia="Arial" w:hAnsi="Arial"/>
                <w:sz w:val="16"/>
                <w:szCs w:val="16"/>
                <w:color w:val="auto"/>
                <w:w w:val="99"/>
              </w:rPr>
              <w:t>50%</w:t>
            </w:r>
          </w:p>
        </w:tc>
        <w:tc>
          <w:tcPr>
            <w:tcW w:w="4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9"/>
        </w:trPr>
        <w:tc>
          <w:tcPr>
            <w:tcW w:w="2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20" w:type="dxa"/>
            <w:vAlign w:val="bottom"/>
            <w:gridSpan w:val="2"/>
          </w:tcPr>
          <w:p>
            <w:pPr>
              <w:spacing w:after="0"/>
              <w:rPr>
                <w:sz w:val="2"/>
                <w:szCs w:val="2"/>
                <w:color w:val="auto"/>
              </w:rPr>
            </w:pPr>
          </w:p>
        </w:tc>
        <w:tc>
          <w:tcPr>
            <w:tcW w:w="1300" w:type="dxa"/>
            <w:vAlign w:val="bottom"/>
          </w:tcPr>
          <w:p>
            <w:pPr>
              <w:spacing w:after="0"/>
              <w:rPr>
                <w:sz w:val="2"/>
                <w:szCs w:val="2"/>
                <w:color w:val="auto"/>
              </w:rPr>
            </w:pPr>
          </w:p>
        </w:tc>
        <w:tc>
          <w:tcPr>
            <w:tcW w:w="4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2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20" w:type="dxa"/>
            <w:vAlign w:val="bottom"/>
            <w:tcBorders>
              <w:bottom w:val="single" w:sz="8" w:color="DBDBDB"/>
            </w:tcBorders>
            <w:gridSpan w:val="2"/>
            <w:shd w:val="clear" w:color="auto" w:fill="DBDBDB"/>
          </w:tcPr>
          <w:p>
            <w:pPr>
              <w:ind w:left="20"/>
              <w:spacing w:after="0"/>
              <w:rPr>
                <w:sz w:val="20"/>
                <w:szCs w:val="20"/>
                <w:color w:val="auto"/>
              </w:rPr>
            </w:pPr>
            <w:r>
              <w:rPr>
                <w:rFonts w:ascii="Arial" w:cs="Arial" w:eastAsia="Arial" w:hAnsi="Arial"/>
                <w:sz w:val="16"/>
                <w:szCs w:val="16"/>
                <w:color w:val="auto"/>
              </w:rPr>
              <w:t>Revenue growth</w:t>
            </w:r>
          </w:p>
        </w:tc>
        <w:tc>
          <w:tcPr>
            <w:tcW w:w="1300" w:type="dxa"/>
            <w:vAlign w:val="bottom"/>
            <w:tcBorders>
              <w:bottom w:val="single" w:sz="8" w:color="DBDBDB"/>
            </w:tcBorders>
            <w:shd w:val="clear" w:color="auto" w:fill="DBDBDB"/>
          </w:tcPr>
          <w:p>
            <w:pPr>
              <w:jc w:val="center"/>
              <w:spacing w:after="0"/>
              <w:rPr>
                <w:sz w:val="20"/>
                <w:szCs w:val="20"/>
                <w:color w:val="auto"/>
              </w:rPr>
            </w:pPr>
            <w:r>
              <w:rPr>
                <w:rFonts w:ascii="Arial" w:cs="Arial" w:eastAsia="Arial" w:hAnsi="Arial"/>
                <w:sz w:val="16"/>
                <w:szCs w:val="16"/>
                <w:color w:val="auto"/>
                <w:w w:val="99"/>
              </w:rPr>
              <w:t>25%</w:t>
            </w:r>
          </w:p>
        </w:tc>
        <w:tc>
          <w:tcPr>
            <w:tcW w:w="4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2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20" w:type="dxa"/>
            <w:vAlign w:val="bottom"/>
            <w:gridSpan w:val="2"/>
          </w:tcPr>
          <w:p>
            <w:pPr>
              <w:ind w:left="20"/>
              <w:spacing w:after="0"/>
              <w:rPr>
                <w:sz w:val="20"/>
                <w:szCs w:val="20"/>
                <w:color w:val="auto"/>
              </w:rPr>
            </w:pPr>
            <w:r>
              <w:rPr>
                <w:rFonts w:ascii="Arial" w:cs="Arial" w:eastAsia="Arial" w:hAnsi="Arial"/>
                <w:sz w:val="16"/>
                <w:szCs w:val="16"/>
                <w:color w:val="auto"/>
              </w:rPr>
              <w:t>Working capital as a percent of sales</w:t>
            </w:r>
          </w:p>
        </w:tc>
        <w:tc>
          <w:tcPr>
            <w:tcW w:w="1300" w:type="dxa"/>
            <w:vAlign w:val="bottom"/>
          </w:tcPr>
          <w:p>
            <w:pPr>
              <w:jc w:val="center"/>
              <w:spacing w:after="0"/>
              <w:rPr>
                <w:sz w:val="20"/>
                <w:szCs w:val="20"/>
                <w:color w:val="auto"/>
              </w:rPr>
            </w:pPr>
            <w:r>
              <w:rPr>
                <w:rFonts w:ascii="Arial" w:cs="Arial" w:eastAsia="Arial" w:hAnsi="Arial"/>
                <w:sz w:val="16"/>
                <w:szCs w:val="16"/>
                <w:color w:val="auto"/>
                <w:w w:val="99"/>
              </w:rPr>
              <w:t>25%</w:t>
            </w:r>
          </w:p>
        </w:tc>
        <w:tc>
          <w:tcPr>
            <w:tcW w:w="4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120" w:type="dxa"/>
            <w:vAlign w:val="bottom"/>
          </w:tcPr>
          <w:p>
            <w:pPr>
              <w:ind w:left="2020"/>
              <w:spacing w:after="0"/>
              <w:rPr>
                <w:sz w:val="20"/>
                <w:szCs w:val="20"/>
                <w:color w:val="auto"/>
              </w:rPr>
            </w:pPr>
            <w:r>
              <w:rPr>
                <w:rFonts w:ascii="Arial" w:cs="Arial" w:eastAsia="Arial" w:hAnsi="Arial"/>
                <w:sz w:val="16"/>
                <w:szCs w:val="16"/>
                <w:color w:val="auto"/>
              </w:rPr>
              <w:t>•</w:t>
            </w:r>
          </w:p>
        </w:tc>
        <w:tc>
          <w:tcPr>
            <w:tcW w:w="9100" w:type="dxa"/>
            <w:vAlign w:val="bottom"/>
            <w:gridSpan w:val="5"/>
          </w:tcPr>
          <w:p>
            <w:pPr>
              <w:ind w:left="60"/>
              <w:spacing w:after="0"/>
              <w:rPr>
                <w:sz w:val="20"/>
                <w:szCs w:val="20"/>
                <w:color w:val="auto"/>
              </w:rPr>
            </w:pPr>
            <w:r>
              <w:rPr>
                <w:rFonts w:ascii="Arial" w:cs="Arial" w:eastAsia="Arial" w:hAnsi="Arial"/>
                <w:sz w:val="16"/>
                <w:szCs w:val="16"/>
                <w:color w:val="auto"/>
              </w:rPr>
              <w:t>Actual corporate performance was between threshold and target for adjusted diluted EPS and</w:t>
            </w:r>
          </w:p>
        </w:tc>
        <w:tc>
          <w:tcPr>
            <w:tcW w:w="0" w:type="dxa"/>
            <w:vAlign w:val="bottom"/>
          </w:tcPr>
          <w:p>
            <w:pPr>
              <w:spacing w:after="0"/>
              <w:rPr>
                <w:sz w:val="1"/>
                <w:szCs w:val="1"/>
                <w:color w:val="auto"/>
              </w:rPr>
            </w:pPr>
          </w:p>
        </w:tc>
      </w:tr>
      <w:tr>
        <w:trPr>
          <w:trHeight w:val="187"/>
        </w:trPr>
        <w:tc>
          <w:tcPr>
            <w:tcW w:w="2120" w:type="dxa"/>
            <w:vAlign w:val="bottom"/>
          </w:tcPr>
          <w:p>
            <w:pPr>
              <w:spacing w:after="0"/>
              <w:rPr>
                <w:sz w:val="16"/>
                <w:szCs w:val="16"/>
                <w:color w:val="auto"/>
              </w:rPr>
            </w:pPr>
          </w:p>
        </w:tc>
        <w:tc>
          <w:tcPr>
            <w:tcW w:w="9100" w:type="dxa"/>
            <w:vAlign w:val="bottom"/>
            <w:gridSpan w:val="5"/>
          </w:tcPr>
          <w:p>
            <w:pPr>
              <w:ind w:left="60"/>
              <w:spacing w:after="0"/>
              <w:rPr>
                <w:sz w:val="20"/>
                <w:szCs w:val="20"/>
                <w:color w:val="auto"/>
              </w:rPr>
            </w:pPr>
            <w:r>
              <w:rPr>
                <w:rFonts w:ascii="Arial" w:cs="Arial" w:eastAsia="Arial" w:hAnsi="Arial"/>
                <w:sz w:val="16"/>
                <w:szCs w:val="16"/>
                <w:color w:val="auto"/>
              </w:rPr>
              <w:t>below threshold for revenue growth and working capital as a percent of sales, resulting in a</w:t>
            </w:r>
          </w:p>
        </w:tc>
        <w:tc>
          <w:tcPr>
            <w:tcW w:w="0" w:type="dxa"/>
            <w:vAlign w:val="bottom"/>
          </w:tcPr>
          <w:p>
            <w:pPr>
              <w:spacing w:after="0"/>
              <w:rPr>
                <w:sz w:val="1"/>
                <w:szCs w:val="1"/>
                <w:color w:val="auto"/>
              </w:rPr>
            </w:pPr>
          </w:p>
        </w:tc>
      </w:tr>
      <w:tr>
        <w:trPr>
          <w:trHeight w:val="211"/>
        </w:trPr>
        <w:tc>
          <w:tcPr>
            <w:tcW w:w="2120" w:type="dxa"/>
            <w:vAlign w:val="bottom"/>
          </w:tcPr>
          <w:p>
            <w:pPr>
              <w:spacing w:after="0"/>
              <w:rPr>
                <w:sz w:val="18"/>
                <w:szCs w:val="18"/>
                <w:color w:val="auto"/>
              </w:rPr>
            </w:pPr>
          </w:p>
        </w:tc>
        <w:tc>
          <w:tcPr>
            <w:tcW w:w="3740" w:type="dxa"/>
            <w:vAlign w:val="bottom"/>
            <w:gridSpan w:val="3"/>
          </w:tcPr>
          <w:p>
            <w:pPr>
              <w:ind w:left="60"/>
              <w:spacing w:after="0"/>
              <w:rPr>
                <w:sz w:val="20"/>
                <w:szCs w:val="20"/>
                <w:color w:val="auto"/>
              </w:rPr>
            </w:pPr>
            <w:r>
              <w:rPr>
                <w:rFonts w:ascii="Arial" w:cs="Arial" w:eastAsia="Arial" w:hAnsi="Arial"/>
                <w:sz w:val="16"/>
                <w:szCs w:val="16"/>
                <w:color w:val="auto"/>
              </w:rPr>
              <w:t>corporate payout percentage of 39.6% of target.</w:t>
            </w:r>
          </w:p>
        </w:tc>
        <w:tc>
          <w:tcPr>
            <w:tcW w:w="1300" w:type="dxa"/>
            <w:vAlign w:val="bottom"/>
          </w:tcPr>
          <w:p>
            <w:pPr>
              <w:spacing w:after="0"/>
              <w:rPr>
                <w:sz w:val="18"/>
                <w:szCs w:val="18"/>
                <w:color w:val="auto"/>
              </w:rPr>
            </w:pPr>
          </w:p>
        </w:tc>
        <w:tc>
          <w:tcPr>
            <w:tcW w:w="4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120" w:type="dxa"/>
            <w:vAlign w:val="bottom"/>
          </w:tcPr>
          <w:p>
            <w:pPr>
              <w:ind w:left="2020"/>
              <w:spacing w:after="0"/>
              <w:rPr>
                <w:sz w:val="20"/>
                <w:szCs w:val="20"/>
                <w:color w:val="auto"/>
              </w:rPr>
            </w:pPr>
            <w:r>
              <w:rPr>
                <w:rFonts w:ascii="Arial" w:cs="Arial" w:eastAsia="Arial" w:hAnsi="Arial"/>
                <w:sz w:val="16"/>
                <w:szCs w:val="16"/>
                <w:color w:val="auto"/>
              </w:rPr>
              <w:t>•</w:t>
            </w:r>
          </w:p>
        </w:tc>
        <w:tc>
          <w:tcPr>
            <w:tcW w:w="9100" w:type="dxa"/>
            <w:vAlign w:val="bottom"/>
            <w:gridSpan w:val="5"/>
          </w:tcPr>
          <w:p>
            <w:pPr>
              <w:ind w:left="60"/>
              <w:spacing w:after="0"/>
              <w:rPr>
                <w:sz w:val="20"/>
                <w:szCs w:val="20"/>
                <w:color w:val="auto"/>
              </w:rPr>
            </w:pPr>
            <w:r>
              <w:rPr>
                <w:rFonts w:ascii="Arial" w:cs="Arial" w:eastAsia="Arial" w:hAnsi="Arial"/>
                <w:sz w:val="16"/>
                <w:szCs w:val="16"/>
                <w:color w:val="auto"/>
              </w:rPr>
              <w:t>Divisional performance measures, weightings and goals were established for Ms. Dahl, who</w:t>
            </w:r>
          </w:p>
        </w:tc>
        <w:tc>
          <w:tcPr>
            <w:tcW w:w="0" w:type="dxa"/>
            <w:vAlign w:val="bottom"/>
          </w:tcPr>
          <w:p>
            <w:pPr>
              <w:spacing w:after="0"/>
              <w:rPr>
                <w:sz w:val="1"/>
                <w:szCs w:val="1"/>
                <w:color w:val="auto"/>
              </w:rPr>
            </w:pPr>
          </w:p>
        </w:tc>
      </w:tr>
      <w:tr>
        <w:trPr>
          <w:trHeight w:val="187"/>
        </w:trPr>
        <w:tc>
          <w:tcPr>
            <w:tcW w:w="2120" w:type="dxa"/>
            <w:vAlign w:val="bottom"/>
          </w:tcPr>
          <w:p>
            <w:pPr>
              <w:spacing w:after="0"/>
              <w:rPr>
                <w:sz w:val="16"/>
                <w:szCs w:val="16"/>
                <w:color w:val="auto"/>
              </w:rPr>
            </w:pPr>
          </w:p>
        </w:tc>
        <w:tc>
          <w:tcPr>
            <w:tcW w:w="9100" w:type="dxa"/>
            <w:vAlign w:val="bottom"/>
            <w:gridSpan w:val="5"/>
          </w:tcPr>
          <w:p>
            <w:pPr>
              <w:ind w:left="60"/>
              <w:spacing w:after="0"/>
              <w:rPr>
                <w:sz w:val="20"/>
                <w:szCs w:val="20"/>
                <w:color w:val="auto"/>
              </w:rPr>
            </w:pPr>
            <w:r>
              <w:rPr>
                <w:rFonts w:ascii="Arial" w:cs="Arial" w:eastAsia="Arial" w:hAnsi="Arial"/>
                <w:sz w:val="16"/>
                <w:szCs w:val="16"/>
                <w:color w:val="auto"/>
              </w:rPr>
              <w:t>serves as our Vice President, International. The international division performance measures and</w:t>
            </w:r>
          </w:p>
        </w:tc>
        <w:tc>
          <w:tcPr>
            <w:tcW w:w="0" w:type="dxa"/>
            <w:vAlign w:val="bottom"/>
          </w:tcPr>
          <w:p>
            <w:pPr>
              <w:spacing w:after="0"/>
              <w:rPr>
                <w:sz w:val="1"/>
                <w:szCs w:val="1"/>
                <w:color w:val="auto"/>
              </w:rPr>
            </w:pPr>
          </w:p>
        </w:tc>
      </w:tr>
      <w:tr>
        <w:trPr>
          <w:trHeight w:val="211"/>
        </w:trPr>
        <w:tc>
          <w:tcPr>
            <w:tcW w:w="2120" w:type="dxa"/>
            <w:vAlign w:val="bottom"/>
          </w:tcPr>
          <w:p>
            <w:pPr>
              <w:spacing w:after="0"/>
              <w:rPr>
                <w:sz w:val="18"/>
                <w:szCs w:val="18"/>
                <w:color w:val="auto"/>
              </w:rPr>
            </w:pPr>
          </w:p>
        </w:tc>
        <w:tc>
          <w:tcPr>
            <w:tcW w:w="3740" w:type="dxa"/>
            <w:vAlign w:val="bottom"/>
            <w:gridSpan w:val="3"/>
          </w:tcPr>
          <w:p>
            <w:pPr>
              <w:ind w:left="60"/>
              <w:spacing w:after="0"/>
              <w:rPr>
                <w:sz w:val="20"/>
                <w:szCs w:val="20"/>
                <w:color w:val="auto"/>
              </w:rPr>
            </w:pPr>
            <w:r>
              <w:rPr>
                <w:rFonts w:ascii="Arial" w:cs="Arial" w:eastAsia="Arial" w:hAnsi="Arial"/>
                <w:sz w:val="16"/>
                <w:szCs w:val="16"/>
                <w:color w:val="auto"/>
              </w:rPr>
              <w:t>weightings were as follows:</w:t>
            </w:r>
          </w:p>
        </w:tc>
        <w:tc>
          <w:tcPr>
            <w:tcW w:w="1300" w:type="dxa"/>
            <w:vAlign w:val="bottom"/>
          </w:tcPr>
          <w:p>
            <w:pPr>
              <w:spacing w:after="0"/>
              <w:rPr>
                <w:sz w:val="18"/>
                <w:szCs w:val="18"/>
                <w:color w:val="auto"/>
              </w:rPr>
            </w:pPr>
          </w:p>
        </w:tc>
        <w:tc>
          <w:tcPr>
            <w:tcW w:w="4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620" w:type="dxa"/>
            <w:vAlign w:val="bottom"/>
            <w:gridSpan w:val="2"/>
            <w:shd w:val="clear" w:color="auto" w:fill="BF2115"/>
          </w:tcPr>
          <w:p>
            <w:pPr>
              <w:ind w:left="20"/>
              <w:spacing w:after="0"/>
              <w:rPr>
                <w:sz w:val="20"/>
                <w:szCs w:val="20"/>
                <w:color w:val="auto"/>
              </w:rPr>
            </w:pPr>
            <w:r>
              <w:rPr>
                <w:rFonts w:ascii="Arial" w:cs="Arial" w:eastAsia="Arial" w:hAnsi="Arial"/>
                <w:sz w:val="16"/>
                <w:szCs w:val="16"/>
                <w:b w:val="1"/>
                <w:bCs w:val="1"/>
                <w:color w:val="FFFFFF"/>
              </w:rPr>
              <w:t>Divisional Performance Measures</w:t>
            </w:r>
          </w:p>
        </w:tc>
        <w:tc>
          <w:tcPr>
            <w:tcW w:w="1300" w:type="dxa"/>
            <w:vAlign w:val="bottom"/>
            <w:shd w:val="clear" w:color="auto" w:fill="BF2115"/>
          </w:tcPr>
          <w:p>
            <w:pPr>
              <w:jc w:val="center"/>
              <w:spacing w:after="0"/>
              <w:rPr>
                <w:sz w:val="20"/>
                <w:szCs w:val="20"/>
                <w:color w:val="auto"/>
              </w:rPr>
            </w:pPr>
            <w:r>
              <w:rPr>
                <w:rFonts w:ascii="Arial" w:cs="Arial" w:eastAsia="Arial" w:hAnsi="Arial"/>
                <w:sz w:val="16"/>
                <w:szCs w:val="16"/>
                <w:b w:val="1"/>
                <w:bCs w:val="1"/>
                <w:color w:val="FFFFFF"/>
                <w:w w:val="98"/>
              </w:rPr>
              <w:t>Weighting</w:t>
            </w:r>
          </w:p>
        </w:tc>
        <w:tc>
          <w:tcPr>
            <w:tcW w:w="40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1"/>
        </w:trPr>
        <w:tc>
          <w:tcPr>
            <w:tcW w:w="2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20" w:type="dxa"/>
            <w:vAlign w:val="bottom"/>
            <w:gridSpan w:val="2"/>
          </w:tcPr>
          <w:p>
            <w:pPr>
              <w:ind w:left="20"/>
              <w:spacing w:after="0"/>
              <w:rPr>
                <w:sz w:val="20"/>
                <w:szCs w:val="20"/>
                <w:color w:val="auto"/>
              </w:rPr>
            </w:pPr>
            <w:r>
              <w:rPr>
                <w:rFonts w:ascii="Arial" w:cs="Arial" w:eastAsia="Arial" w:hAnsi="Arial"/>
                <w:sz w:val="16"/>
                <w:szCs w:val="16"/>
                <w:color w:val="auto"/>
              </w:rPr>
              <w:t>Controllable profit contribution*</w:t>
            </w:r>
          </w:p>
        </w:tc>
        <w:tc>
          <w:tcPr>
            <w:tcW w:w="1300" w:type="dxa"/>
            <w:vAlign w:val="bottom"/>
          </w:tcPr>
          <w:p>
            <w:pPr>
              <w:jc w:val="center"/>
              <w:spacing w:after="0"/>
              <w:rPr>
                <w:sz w:val="20"/>
                <w:szCs w:val="20"/>
                <w:color w:val="auto"/>
              </w:rPr>
            </w:pPr>
            <w:r>
              <w:rPr>
                <w:rFonts w:ascii="Arial" w:cs="Arial" w:eastAsia="Arial" w:hAnsi="Arial"/>
                <w:sz w:val="16"/>
                <w:szCs w:val="16"/>
                <w:color w:val="auto"/>
                <w:w w:val="99"/>
              </w:rPr>
              <w:t>50%</w:t>
            </w:r>
          </w:p>
        </w:tc>
        <w:tc>
          <w:tcPr>
            <w:tcW w:w="4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9"/>
        </w:trPr>
        <w:tc>
          <w:tcPr>
            <w:tcW w:w="2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20" w:type="dxa"/>
            <w:vAlign w:val="bottom"/>
            <w:gridSpan w:val="2"/>
          </w:tcPr>
          <w:p>
            <w:pPr>
              <w:spacing w:after="0"/>
              <w:rPr>
                <w:sz w:val="2"/>
                <w:szCs w:val="2"/>
                <w:color w:val="auto"/>
              </w:rPr>
            </w:pPr>
          </w:p>
        </w:tc>
        <w:tc>
          <w:tcPr>
            <w:tcW w:w="1300" w:type="dxa"/>
            <w:vAlign w:val="bottom"/>
          </w:tcPr>
          <w:p>
            <w:pPr>
              <w:spacing w:after="0"/>
              <w:rPr>
                <w:sz w:val="2"/>
                <w:szCs w:val="2"/>
                <w:color w:val="auto"/>
              </w:rPr>
            </w:pPr>
          </w:p>
        </w:tc>
        <w:tc>
          <w:tcPr>
            <w:tcW w:w="4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2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20" w:type="dxa"/>
            <w:vAlign w:val="bottom"/>
            <w:tcBorders>
              <w:bottom w:val="single" w:sz="8" w:color="DBDBDB"/>
            </w:tcBorders>
            <w:gridSpan w:val="2"/>
            <w:shd w:val="clear" w:color="auto" w:fill="DBDBDB"/>
          </w:tcPr>
          <w:p>
            <w:pPr>
              <w:ind w:left="20"/>
              <w:spacing w:after="0"/>
              <w:rPr>
                <w:sz w:val="20"/>
                <w:szCs w:val="20"/>
                <w:color w:val="auto"/>
              </w:rPr>
            </w:pPr>
            <w:r>
              <w:rPr>
                <w:rFonts w:ascii="Arial" w:cs="Arial" w:eastAsia="Arial" w:hAnsi="Arial"/>
                <w:sz w:val="16"/>
                <w:szCs w:val="16"/>
                <w:color w:val="auto"/>
              </w:rPr>
              <w:t>Revenue growth</w:t>
            </w:r>
          </w:p>
        </w:tc>
        <w:tc>
          <w:tcPr>
            <w:tcW w:w="1300" w:type="dxa"/>
            <w:vAlign w:val="bottom"/>
            <w:tcBorders>
              <w:bottom w:val="single" w:sz="8" w:color="DBDBDB"/>
            </w:tcBorders>
            <w:shd w:val="clear" w:color="auto" w:fill="DBDBDB"/>
          </w:tcPr>
          <w:p>
            <w:pPr>
              <w:jc w:val="center"/>
              <w:spacing w:after="0"/>
              <w:rPr>
                <w:sz w:val="20"/>
                <w:szCs w:val="20"/>
                <w:color w:val="auto"/>
              </w:rPr>
            </w:pPr>
            <w:r>
              <w:rPr>
                <w:rFonts w:ascii="Arial" w:cs="Arial" w:eastAsia="Arial" w:hAnsi="Arial"/>
                <w:sz w:val="16"/>
                <w:szCs w:val="16"/>
                <w:color w:val="auto"/>
                <w:w w:val="99"/>
              </w:rPr>
              <w:t>25%</w:t>
            </w:r>
          </w:p>
        </w:tc>
        <w:tc>
          <w:tcPr>
            <w:tcW w:w="4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2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20" w:type="dxa"/>
            <w:vAlign w:val="bottom"/>
            <w:gridSpan w:val="2"/>
          </w:tcPr>
          <w:p>
            <w:pPr>
              <w:ind w:left="20"/>
              <w:spacing w:after="0"/>
              <w:rPr>
                <w:sz w:val="20"/>
                <w:szCs w:val="20"/>
                <w:color w:val="auto"/>
              </w:rPr>
            </w:pPr>
            <w:r>
              <w:rPr>
                <w:rFonts w:ascii="Arial" w:cs="Arial" w:eastAsia="Arial" w:hAnsi="Arial"/>
                <w:sz w:val="16"/>
                <w:szCs w:val="16"/>
                <w:color w:val="auto"/>
              </w:rPr>
              <w:t>Days inventory outstanding</w:t>
            </w:r>
          </w:p>
        </w:tc>
        <w:tc>
          <w:tcPr>
            <w:tcW w:w="1300" w:type="dxa"/>
            <w:vAlign w:val="bottom"/>
          </w:tcPr>
          <w:p>
            <w:pPr>
              <w:jc w:val="center"/>
              <w:spacing w:after="0"/>
              <w:rPr>
                <w:sz w:val="20"/>
                <w:szCs w:val="20"/>
                <w:color w:val="auto"/>
              </w:rPr>
            </w:pPr>
            <w:r>
              <w:rPr>
                <w:rFonts w:ascii="Arial" w:cs="Arial" w:eastAsia="Arial" w:hAnsi="Arial"/>
                <w:sz w:val="16"/>
                <w:szCs w:val="16"/>
                <w:color w:val="auto"/>
                <w:w w:val="99"/>
              </w:rPr>
              <w:t>25%</w:t>
            </w:r>
          </w:p>
        </w:tc>
        <w:tc>
          <w:tcPr>
            <w:tcW w:w="406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82" w:lineRule="exact"/>
        <w:rPr>
          <w:sz w:val="20"/>
          <w:szCs w:val="20"/>
          <w:color w:val="auto"/>
        </w:rPr>
      </w:pPr>
    </w:p>
    <w:p>
      <w:pPr>
        <w:ind w:left="2180" w:right="2460" w:hanging="154"/>
        <w:spacing w:after="0" w:line="252" w:lineRule="auto"/>
        <w:tabs>
          <w:tab w:leader="none" w:pos="2169" w:val="left"/>
        </w:tabs>
        <w:numPr>
          <w:ilvl w:val="0"/>
          <w:numId w:val="56"/>
        </w:numPr>
        <w:rPr>
          <w:rFonts w:ascii="Arial" w:cs="Arial" w:eastAsia="Arial" w:hAnsi="Arial"/>
          <w:sz w:val="16"/>
          <w:szCs w:val="16"/>
          <w:color w:val="auto"/>
        </w:rPr>
      </w:pPr>
      <w:r>
        <w:rPr>
          <w:rFonts w:ascii="Arial" w:cs="Arial" w:eastAsia="Arial" w:hAnsi="Arial"/>
          <w:sz w:val="16"/>
          <w:szCs w:val="16"/>
          <w:color w:val="auto"/>
        </w:rPr>
        <w:t>Actual performance for the international division was between target and maximum for controllable profit contribution and between threshold and target for revenue growth and days inventory outstanding, resulting in a divisional payout percentage of 131.3% of target.</w:t>
      </w:r>
    </w:p>
    <w:p>
      <w:pPr>
        <w:spacing w:after="0" w:line="12" w:lineRule="exact"/>
        <w:rPr>
          <w:rFonts w:ascii="Arial" w:cs="Arial" w:eastAsia="Arial" w:hAnsi="Arial"/>
          <w:sz w:val="16"/>
          <w:szCs w:val="16"/>
          <w:color w:val="auto"/>
        </w:rPr>
      </w:pPr>
    </w:p>
    <w:p>
      <w:pPr>
        <w:ind w:left="2220" w:right="2700" w:hanging="158"/>
        <w:spacing w:after="0" w:line="280" w:lineRule="auto"/>
        <w:rPr>
          <w:rFonts w:ascii="Arial" w:cs="Arial" w:eastAsia="Arial" w:hAnsi="Arial"/>
          <w:sz w:val="16"/>
          <w:szCs w:val="16"/>
          <w:color w:val="auto"/>
        </w:rPr>
      </w:pPr>
      <w:r>
        <w:rPr>
          <w:rFonts w:ascii="Arial" w:cs="Arial" w:eastAsia="Arial" w:hAnsi="Arial"/>
          <w:sz w:val="14"/>
          <w:szCs w:val="14"/>
          <w:color w:val="auto"/>
        </w:rPr>
        <w:t>* Non-GAAP financial measure. See fiscal 2024 investor presentation for definition and reconciliation to GAAP financial measure.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tbl>
      <w:tblPr>
        <w:tblLayout w:type="fixed"/>
        <w:tblInd w:w="0" w:type="dxa"/>
        <w:tblCellMar>
          <w:top w:w="0" w:type="dxa"/>
          <w:left w:w="0" w:type="dxa"/>
          <w:bottom w:w="0" w:type="dxa"/>
          <w:right w:w="0" w:type="dxa"/>
        </w:tblCellMar>
      </w:tblPr>
      <w:tr>
        <w:trPr>
          <w:trHeight w:val="267"/>
        </w:trPr>
        <w:tc>
          <w:tcPr>
            <w:tcW w:w="2040" w:type="dxa"/>
            <w:vAlign w:val="bottom"/>
            <w:shd w:val="clear" w:color="auto" w:fill="BF2115"/>
          </w:tcPr>
          <w:p>
            <w:pPr>
              <w:ind w:left="20"/>
              <w:spacing w:after="0"/>
              <w:rPr>
                <w:sz w:val="20"/>
                <w:szCs w:val="20"/>
                <w:color w:val="auto"/>
              </w:rPr>
            </w:pPr>
            <w:r>
              <w:rPr>
                <w:rFonts w:ascii="Arial" w:cs="Arial" w:eastAsia="Arial" w:hAnsi="Arial"/>
                <w:sz w:val="18"/>
                <w:szCs w:val="18"/>
                <w:b w:val="1"/>
                <w:bCs w:val="1"/>
                <w:color w:val="FFFFFF"/>
              </w:rPr>
              <w:t>Pay Element</w:t>
            </w:r>
          </w:p>
        </w:tc>
        <w:tc>
          <w:tcPr>
            <w:tcW w:w="9140" w:type="dxa"/>
            <w:vAlign w:val="bottom"/>
            <w:gridSpan w:val="2"/>
            <w:shd w:val="clear" w:color="auto" w:fill="BF2115"/>
          </w:tcPr>
          <w:p>
            <w:pPr>
              <w:ind w:left="460"/>
              <w:spacing w:after="0"/>
              <w:rPr>
                <w:sz w:val="20"/>
                <w:szCs w:val="20"/>
                <w:color w:val="auto"/>
              </w:rPr>
            </w:pPr>
            <w:r>
              <w:rPr>
                <w:rFonts w:ascii="Arial" w:cs="Arial" w:eastAsia="Arial" w:hAnsi="Arial"/>
                <w:sz w:val="18"/>
                <w:szCs w:val="18"/>
                <w:b w:val="1"/>
                <w:bCs w:val="1"/>
                <w:color w:val="FFFFFF"/>
              </w:rPr>
              <w:t>Fiscal 2024 Actions</w:t>
            </w:r>
          </w:p>
        </w:tc>
      </w:tr>
      <w:tr>
        <w:trPr>
          <w:trHeight w:val="199"/>
        </w:trPr>
        <w:tc>
          <w:tcPr>
            <w:tcW w:w="2040" w:type="dxa"/>
            <w:vAlign w:val="bottom"/>
          </w:tcPr>
          <w:p>
            <w:pPr>
              <w:ind w:left="20"/>
              <w:spacing w:after="0"/>
              <w:rPr>
                <w:sz w:val="20"/>
                <w:szCs w:val="20"/>
                <w:color w:val="auto"/>
              </w:rPr>
            </w:pPr>
            <w:r>
              <w:rPr>
                <w:rFonts w:ascii="Arial" w:cs="Arial" w:eastAsia="Arial" w:hAnsi="Arial"/>
                <w:sz w:val="16"/>
                <w:szCs w:val="16"/>
                <w:i w:val="1"/>
                <w:iCs w:val="1"/>
                <w:color w:val="auto"/>
              </w:rPr>
              <w:t>Long-Term Incentives</w:t>
            </w:r>
          </w:p>
        </w:tc>
        <w:tc>
          <w:tcPr>
            <w:tcW w:w="56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w:t>
            </w:r>
          </w:p>
        </w:tc>
        <w:tc>
          <w:tcPr>
            <w:tcW w:w="8580" w:type="dxa"/>
            <w:vAlign w:val="bottom"/>
          </w:tcPr>
          <w:p>
            <w:pPr>
              <w:ind w:left="60"/>
              <w:spacing w:after="0"/>
              <w:rPr>
                <w:sz w:val="20"/>
                <w:szCs w:val="20"/>
                <w:color w:val="auto"/>
              </w:rPr>
            </w:pPr>
            <w:r>
              <w:rPr>
                <w:rFonts w:ascii="Arial" w:cs="Arial" w:eastAsia="Arial" w:hAnsi="Arial"/>
                <w:sz w:val="16"/>
                <w:szCs w:val="16"/>
                <w:color w:val="auto"/>
              </w:rPr>
              <w:t>All of our NEOs received long-term incentives with 50% of the target value delivered in stock options and 50%</w:t>
            </w:r>
          </w:p>
        </w:tc>
      </w:tr>
      <w:tr>
        <w:trPr>
          <w:trHeight w:val="187"/>
        </w:trPr>
        <w:tc>
          <w:tcPr>
            <w:tcW w:w="20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580" w:type="dxa"/>
            <w:vAlign w:val="bottom"/>
          </w:tcPr>
          <w:p>
            <w:pPr>
              <w:ind w:left="60"/>
              <w:spacing w:after="0"/>
              <w:rPr>
                <w:sz w:val="20"/>
                <w:szCs w:val="20"/>
                <w:color w:val="auto"/>
              </w:rPr>
            </w:pPr>
            <w:r>
              <w:rPr>
                <w:rFonts w:ascii="Arial" w:cs="Arial" w:eastAsia="Arial" w:hAnsi="Arial"/>
                <w:sz w:val="16"/>
                <w:szCs w:val="16"/>
                <w:color w:val="auto"/>
              </w:rPr>
              <w:t>delivered in performance share awards.</w:t>
            </w:r>
          </w:p>
        </w:tc>
      </w:tr>
      <w:tr>
        <w:trPr>
          <w:trHeight w:val="200"/>
        </w:trPr>
        <w:tc>
          <w:tcPr>
            <w:tcW w:w="2040" w:type="dxa"/>
            <w:vAlign w:val="bottom"/>
          </w:tcPr>
          <w:p>
            <w:pPr>
              <w:spacing w:after="0"/>
              <w:rPr>
                <w:sz w:val="17"/>
                <w:szCs w:val="17"/>
                <w:color w:val="auto"/>
              </w:rPr>
            </w:pPr>
          </w:p>
        </w:tc>
        <w:tc>
          <w:tcPr>
            <w:tcW w:w="56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w:t>
            </w:r>
          </w:p>
        </w:tc>
        <w:tc>
          <w:tcPr>
            <w:tcW w:w="8580" w:type="dxa"/>
            <w:vAlign w:val="bottom"/>
          </w:tcPr>
          <w:p>
            <w:pPr>
              <w:ind w:left="60"/>
              <w:spacing w:after="0"/>
              <w:rPr>
                <w:sz w:val="20"/>
                <w:szCs w:val="20"/>
                <w:color w:val="auto"/>
              </w:rPr>
            </w:pPr>
            <w:r>
              <w:rPr>
                <w:rFonts w:ascii="Arial" w:cs="Arial" w:eastAsia="Arial" w:hAnsi="Arial"/>
                <w:sz w:val="16"/>
                <w:szCs w:val="16"/>
                <w:color w:val="auto"/>
              </w:rPr>
              <w:t>The stock options vest in annual installments over three years.</w:t>
            </w:r>
          </w:p>
        </w:tc>
      </w:tr>
      <w:tr>
        <w:trPr>
          <w:trHeight w:val="173"/>
        </w:trPr>
        <w:tc>
          <w:tcPr>
            <w:tcW w:w="2040" w:type="dxa"/>
            <w:vAlign w:val="bottom"/>
          </w:tcPr>
          <w:p>
            <w:pPr>
              <w:spacing w:after="0"/>
              <w:rPr>
                <w:sz w:val="15"/>
                <w:szCs w:val="15"/>
                <w:color w:val="auto"/>
              </w:rPr>
            </w:pPr>
          </w:p>
        </w:tc>
        <w:tc>
          <w:tcPr>
            <w:tcW w:w="560" w:type="dxa"/>
            <w:vAlign w:val="bottom"/>
          </w:tcPr>
          <w:p>
            <w:pPr>
              <w:ind w:left="460"/>
              <w:spacing w:after="0" w:line="174" w:lineRule="exact"/>
              <w:rPr>
                <w:sz w:val="20"/>
                <w:szCs w:val="20"/>
                <w:color w:val="auto"/>
              </w:rPr>
            </w:pPr>
            <w:r>
              <w:rPr>
                <w:rFonts w:ascii="Times New Roman" w:cs="Times New Roman" w:eastAsia="Times New Roman" w:hAnsi="Times New Roman"/>
                <w:sz w:val="16"/>
                <w:szCs w:val="16"/>
                <w:color w:val="auto"/>
              </w:rPr>
              <w:t>•</w:t>
            </w:r>
          </w:p>
        </w:tc>
        <w:tc>
          <w:tcPr>
            <w:tcW w:w="8580" w:type="dxa"/>
            <w:vAlign w:val="bottom"/>
          </w:tcPr>
          <w:p>
            <w:pPr>
              <w:ind w:left="60"/>
              <w:spacing w:after="0" w:line="174" w:lineRule="exact"/>
              <w:rPr>
                <w:sz w:val="20"/>
                <w:szCs w:val="20"/>
                <w:color w:val="auto"/>
              </w:rPr>
            </w:pPr>
            <w:r>
              <w:rPr>
                <w:rFonts w:ascii="Arial" w:cs="Arial" w:eastAsia="Arial" w:hAnsi="Arial"/>
                <w:sz w:val="16"/>
                <w:szCs w:val="16"/>
                <w:color w:val="auto"/>
              </w:rPr>
              <w:t>The performance share awards will vest only upon achievement of corporate performance measures over a three-year</w:t>
            </w:r>
          </w:p>
        </w:tc>
      </w:tr>
      <w:tr>
        <w:trPr>
          <w:trHeight w:val="187"/>
        </w:trPr>
        <w:tc>
          <w:tcPr>
            <w:tcW w:w="20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580" w:type="dxa"/>
            <w:vAlign w:val="bottom"/>
          </w:tcPr>
          <w:p>
            <w:pPr>
              <w:ind w:left="60"/>
              <w:spacing w:after="0"/>
              <w:rPr>
                <w:sz w:val="20"/>
                <w:szCs w:val="20"/>
                <w:color w:val="auto"/>
              </w:rPr>
            </w:pPr>
            <w:r>
              <w:rPr>
                <w:rFonts w:ascii="Arial" w:cs="Arial" w:eastAsia="Arial" w:hAnsi="Arial"/>
                <w:sz w:val="16"/>
                <w:szCs w:val="16"/>
                <w:color w:val="auto"/>
              </w:rPr>
              <w:t>performance period and will be paid out in shares of our common stock.</w:t>
            </w:r>
          </w:p>
        </w:tc>
      </w:tr>
      <w:tr>
        <w:trPr>
          <w:trHeight w:val="187"/>
        </w:trPr>
        <w:tc>
          <w:tcPr>
            <w:tcW w:w="2040" w:type="dxa"/>
            <w:vAlign w:val="bottom"/>
          </w:tcPr>
          <w:p>
            <w:pPr>
              <w:spacing w:after="0"/>
              <w:rPr>
                <w:sz w:val="16"/>
                <w:szCs w:val="16"/>
                <w:color w:val="auto"/>
              </w:rPr>
            </w:pPr>
          </w:p>
        </w:tc>
        <w:tc>
          <w:tcPr>
            <w:tcW w:w="560" w:type="dxa"/>
            <w:vAlign w:val="bottom"/>
          </w:tcPr>
          <w:p>
            <w:pPr>
              <w:ind w:left="460"/>
              <w:spacing w:after="0"/>
              <w:rPr>
                <w:sz w:val="20"/>
                <w:szCs w:val="20"/>
                <w:color w:val="auto"/>
              </w:rPr>
            </w:pPr>
            <w:r>
              <w:rPr>
                <w:rFonts w:ascii="Arial" w:cs="Arial" w:eastAsia="Arial" w:hAnsi="Arial"/>
                <w:sz w:val="16"/>
                <w:szCs w:val="16"/>
                <w:color w:val="auto"/>
              </w:rPr>
              <w:t>•</w:t>
            </w:r>
          </w:p>
        </w:tc>
        <w:tc>
          <w:tcPr>
            <w:tcW w:w="8580" w:type="dxa"/>
            <w:vAlign w:val="bottom"/>
          </w:tcPr>
          <w:p>
            <w:pPr>
              <w:ind w:left="60"/>
              <w:spacing w:after="0"/>
              <w:rPr>
                <w:sz w:val="20"/>
                <w:szCs w:val="20"/>
                <w:color w:val="auto"/>
              </w:rPr>
            </w:pPr>
            <w:r>
              <w:rPr>
                <w:rFonts w:ascii="Arial" w:cs="Arial" w:eastAsia="Arial" w:hAnsi="Arial"/>
                <w:sz w:val="16"/>
                <w:szCs w:val="16"/>
                <w:color w:val="auto"/>
              </w:rPr>
              <w:t>For the fiscal 2024-2026 performance period, the below performance measures and weightings were established.</w:t>
            </w:r>
          </w:p>
        </w:tc>
      </w:tr>
      <w:tr>
        <w:trPr>
          <w:trHeight w:val="211"/>
        </w:trPr>
        <w:tc>
          <w:tcPr>
            <w:tcW w:w="20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580" w:type="dxa"/>
            <w:vAlign w:val="bottom"/>
          </w:tcPr>
          <w:p>
            <w:pPr>
              <w:ind w:left="60"/>
              <w:spacing w:after="0"/>
              <w:rPr>
                <w:sz w:val="20"/>
                <w:szCs w:val="20"/>
                <w:color w:val="auto"/>
              </w:rPr>
            </w:pPr>
            <w:r>
              <w:rPr>
                <w:rFonts w:ascii="Arial" w:cs="Arial" w:eastAsia="Arial" w:hAnsi="Arial"/>
                <w:sz w:val="16"/>
                <w:szCs w:val="16"/>
                <w:color w:val="auto"/>
              </w:rPr>
              <w:t>Payout will be based on performance against the performance goals and determined in December 2026.</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19"/>
        <w:spacing w:after="0"/>
        <w:rPr>
          <w:sz w:val="20"/>
          <w:szCs w:val="20"/>
          <w:color w:val="auto"/>
        </w:rPr>
      </w:pPr>
      <w:r>
        <w:rPr>
          <w:rFonts w:ascii="Arial" w:cs="Arial" w:eastAsia="Arial" w:hAnsi="Arial"/>
          <w:sz w:val="21"/>
          <w:szCs w:val="21"/>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79375</wp:posOffset>
            </wp:positionV>
            <wp:extent cx="7159625" cy="425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5" w:name="page46"/>
    <w:bookmarkEnd w:id="45"/>
    <w:tbl>
      <w:tblPr>
        <w:tblLayout w:type="fixed"/>
        <w:tblInd w:w="2160" w:type="dxa"/>
        <w:tblCellMar>
          <w:top w:w="0" w:type="dxa"/>
          <w:left w:w="0" w:type="dxa"/>
          <w:bottom w:w="0" w:type="dxa"/>
          <w:right w:w="0" w:type="dxa"/>
        </w:tblCellMar>
      </w:tblPr>
      <w:tr>
        <w:trPr>
          <w:trHeight w:val="240"/>
        </w:trPr>
        <w:tc>
          <w:tcPr>
            <w:tcW w:w="2820" w:type="dxa"/>
            <w:vAlign w:val="bottom"/>
            <w:shd w:val="clear" w:color="auto" w:fill="BF2115"/>
          </w:tcPr>
          <w:p>
            <w:pPr>
              <w:ind w:left="20"/>
              <w:spacing w:after="0"/>
              <w:rPr>
                <w:sz w:val="20"/>
                <w:szCs w:val="20"/>
                <w:color w:val="auto"/>
              </w:rPr>
            </w:pPr>
            <w:r>
              <w:rPr>
                <w:rFonts w:ascii="Arial" w:cs="Arial" w:eastAsia="Arial" w:hAnsi="Arial"/>
                <w:sz w:val="16"/>
                <w:szCs w:val="16"/>
                <w:b w:val="1"/>
                <w:bCs w:val="1"/>
                <w:color w:val="FFFFFF"/>
              </w:rPr>
              <w:t>Performance Measures</w:t>
            </w:r>
          </w:p>
        </w:tc>
        <w:tc>
          <w:tcPr>
            <w:tcW w:w="1920" w:type="dxa"/>
            <w:vAlign w:val="bottom"/>
            <w:shd w:val="clear" w:color="auto" w:fill="BF2115"/>
          </w:tcPr>
          <w:p>
            <w:pPr>
              <w:jc w:val="center"/>
              <w:ind w:left="660"/>
              <w:spacing w:after="0"/>
              <w:rPr>
                <w:sz w:val="20"/>
                <w:szCs w:val="20"/>
                <w:color w:val="auto"/>
              </w:rPr>
            </w:pPr>
            <w:r>
              <w:rPr>
                <w:rFonts w:ascii="Arial" w:cs="Arial" w:eastAsia="Arial" w:hAnsi="Arial"/>
                <w:sz w:val="16"/>
                <w:szCs w:val="16"/>
                <w:b w:val="1"/>
                <w:bCs w:val="1"/>
                <w:color w:val="FFFFFF"/>
              </w:rPr>
              <w:t>Weighting</w:t>
            </w:r>
          </w:p>
        </w:tc>
      </w:tr>
      <w:tr>
        <w:trPr>
          <w:trHeight w:val="211"/>
        </w:trPr>
        <w:tc>
          <w:tcPr>
            <w:tcW w:w="2820" w:type="dxa"/>
            <w:vAlign w:val="bottom"/>
          </w:tcPr>
          <w:p>
            <w:pPr>
              <w:ind w:left="20"/>
              <w:spacing w:after="0"/>
              <w:rPr>
                <w:sz w:val="20"/>
                <w:szCs w:val="20"/>
                <w:color w:val="auto"/>
              </w:rPr>
            </w:pPr>
            <w:r>
              <w:rPr>
                <w:rFonts w:ascii="Arial" w:cs="Arial" w:eastAsia="Arial" w:hAnsi="Arial"/>
                <w:sz w:val="16"/>
                <w:szCs w:val="16"/>
                <w:color w:val="auto"/>
              </w:rPr>
              <w:t>Return on invested capital</w:t>
            </w:r>
          </w:p>
        </w:tc>
        <w:tc>
          <w:tcPr>
            <w:tcW w:w="1920" w:type="dxa"/>
            <w:vAlign w:val="bottom"/>
          </w:tcPr>
          <w:p>
            <w:pPr>
              <w:jc w:val="center"/>
              <w:ind w:left="680"/>
              <w:spacing w:after="0"/>
              <w:rPr>
                <w:sz w:val="20"/>
                <w:szCs w:val="20"/>
                <w:color w:val="auto"/>
              </w:rPr>
            </w:pPr>
            <w:r>
              <w:rPr>
                <w:rFonts w:ascii="Arial" w:cs="Arial" w:eastAsia="Arial" w:hAnsi="Arial"/>
                <w:sz w:val="16"/>
                <w:szCs w:val="16"/>
                <w:color w:val="auto"/>
                <w:w w:val="99"/>
              </w:rPr>
              <w:t>60%</w:t>
            </w:r>
          </w:p>
        </w:tc>
      </w:tr>
      <w:tr>
        <w:trPr>
          <w:trHeight w:val="29"/>
        </w:trPr>
        <w:tc>
          <w:tcPr>
            <w:tcW w:w="2820" w:type="dxa"/>
            <w:vAlign w:val="bottom"/>
          </w:tcPr>
          <w:p>
            <w:pPr>
              <w:spacing w:after="0"/>
              <w:rPr>
                <w:sz w:val="2"/>
                <w:szCs w:val="2"/>
                <w:color w:val="auto"/>
              </w:rPr>
            </w:pPr>
          </w:p>
        </w:tc>
        <w:tc>
          <w:tcPr>
            <w:tcW w:w="1920" w:type="dxa"/>
            <w:vAlign w:val="bottom"/>
          </w:tcPr>
          <w:p>
            <w:pPr>
              <w:spacing w:after="0"/>
              <w:rPr>
                <w:sz w:val="2"/>
                <w:szCs w:val="2"/>
                <w:color w:val="auto"/>
              </w:rPr>
            </w:pPr>
          </w:p>
        </w:tc>
      </w:tr>
      <w:tr>
        <w:trPr>
          <w:trHeight w:val="211"/>
        </w:trPr>
        <w:tc>
          <w:tcPr>
            <w:tcW w:w="2820" w:type="dxa"/>
            <w:vAlign w:val="bottom"/>
            <w:shd w:val="clear" w:color="auto" w:fill="DBDBDB"/>
          </w:tcPr>
          <w:p>
            <w:pPr>
              <w:ind w:left="20"/>
              <w:spacing w:after="0"/>
              <w:rPr>
                <w:sz w:val="20"/>
                <w:szCs w:val="20"/>
                <w:color w:val="auto"/>
              </w:rPr>
            </w:pPr>
            <w:r>
              <w:rPr>
                <w:rFonts w:ascii="Arial" w:cs="Arial" w:eastAsia="Arial" w:hAnsi="Arial"/>
                <w:sz w:val="16"/>
                <w:szCs w:val="16"/>
                <w:color w:val="auto"/>
              </w:rPr>
              <w:t>Cumulative revenue</w:t>
            </w:r>
          </w:p>
        </w:tc>
        <w:tc>
          <w:tcPr>
            <w:tcW w:w="1920" w:type="dxa"/>
            <w:vAlign w:val="bottom"/>
            <w:shd w:val="clear" w:color="auto" w:fill="DBDBDB"/>
          </w:tcPr>
          <w:p>
            <w:pPr>
              <w:jc w:val="center"/>
              <w:ind w:left="680"/>
              <w:spacing w:after="0"/>
              <w:rPr>
                <w:sz w:val="20"/>
                <w:szCs w:val="20"/>
                <w:color w:val="auto"/>
              </w:rPr>
            </w:pPr>
            <w:r>
              <w:rPr>
                <w:rFonts w:ascii="Arial" w:cs="Arial" w:eastAsia="Arial" w:hAnsi="Arial"/>
                <w:sz w:val="16"/>
                <w:szCs w:val="16"/>
                <w:color w:val="auto"/>
                <w:w w:val="99"/>
              </w:rPr>
              <w:t>40%</w:t>
            </w:r>
          </w:p>
        </w:tc>
      </w:tr>
      <w:tr>
        <w:trPr>
          <w:trHeight w:val="29"/>
        </w:trPr>
        <w:tc>
          <w:tcPr>
            <w:tcW w:w="2820" w:type="dxa"/>
            <w:vAlign w:val="bottom"/>
            <w:shd w:val="clear" w:color="auto" w:fill="DBDBDB"/>
          </w:tcPr>
          <w:p>
            <w:pPr>
              <w:spacing w:after="0"/>
              <w:rPr>
                <w:sz w:val="2"/>
                <w:szCs w:val="2"/>
                <w:color w:val="auto"/>
              </w:rPr>
            </w:pPr>
          </w:p>
        </w:tc>
        <w:tc>
          <w:tcPr>
            <w:tcW w:w="1920" w:type="dxa"/>
            <w:vAlign w:val="bottom"/>
            <w:shd w:val="clear" w:color="auto" w:fill="DBDBDB"/>
          </w:tcPr>
          <w:p>
            <w:pPr>
              <w:spacing w:after="0"/>
              <w:rPr>
                <w:sz w:val="2"/>
                <w:szCs w:val="2"/>
                <w:color w:val="auto"/>
              </w:rPr>
            </w:pPr>
          </w:p>
        </w:tc>
      </w:tr>
    </w:tbl>
    <w:p>
      <w:pPr>
        <w:spacing w:after="0" w:line="386" w:lineRule="exact"/>
        <w:rPr>
          <w:sz w:val="20"/>
          <w:szCs w:val="20"/>
          <w:color w:val="auto"/>
        </w:rPr>
      </w:pPr>
    </w:p>
    <w:p>
      <w:pPr>
        <w:jc w:val="center"/>
        <w:ind w:right="-139"/>
        <w:spacing w:after="0"/>
        <w:rPr>
          <w:sz w:val="20"/>
          <w:szCs w:val="20"/>
          <w:color w:val="auto"/>
        </w:rPr>
      </w:pPr>
      <w:r>
        <w:rPr>
          <w:rFonts w:ascii="Arial" w:cs="Arial" w:eastAsia="Arial" w:hAnsi="Arial"/>
          <w:sz w:val="16"/>
          <w:szCs w:val="16"/>
          <w:color w:val="auto"/>
        </w:rPr>
        <w:t>• For fiscal 2022-2024, the below performance measures and weightings were established.</w:t>
      </w:r>
    </w:p>
    <w:p>
      <w:pPr>
        <w:spacing w:after="0" w:line="200" w:lineRule="exact"/>
        <w:rPr>
          <w:sz w:val="20"/>
          <w:szCs w:val="20"/>
          <w:color w:val="auto"/>
        </w:rPr>
      </w:pPr>
    </w:p>
    <w:p>
      <w:pPr>
        <w:spacing w:after="0" w:line="231" w:lineRule="exact"/>
        <w:rPr>
          <w:sz w:val="20"/>
          <w:szCs w:val="20"/>
          <w:color w:val="auto"/>
        </w:rPr>
      </w:pPr>
    </w:p>
    <w:tbl>
      <w:tblPr>
        <w:tblLayout w:type="fixed"/>
        <w:tblInd w:w="2160" w:type="dxa"/>
        <w:tblCellMar>
          <w:top w:w="0" w:type="dxa"/>
          <w:left w:w="0" w:type="dxa"/>
          <w:bottom w:w="0" w:type="dxa"/>
          <w:right w:w="0" w:type="dxa"/>
        </w:tblCellMar>
      </w:tblPr>
      <w:tr>
        <w:trPr>
          <w:trHeight w:val="240"/>
        </w:trPr>
        <w:tc>
          <w:tcPr>
            <w:tcW w:w="3500" w:type="dxa"/>
            <w:vAlign w:val="bottom"/>
            <w:shd w:val="clear" w:color="auto" w:fill="BF2115"/>
          </w:tcPr>
          <w:p>
            <w:pPr>
              <w:ind w:left="20"/>
              <w:spacing w:after="0"/>
              <w:rPr>
                <w:sz w:val="20"/>
                <w:szCs w:val="20"/>
                <w:color w:val="auto"/>
              </w:rPr>
            </w:pPr>
            <w:r>
              <w:rPr>
                <w:rFonts w:ascii="Arial" w:cs="Arial" w:eastAsia="Arial" w:hAnsi="Arial"/>
                <w:sz w:val="16"/>
                <w:szCs w:val="16"/>
                <w:b w:val="1"/>
                <w:bCs w:val="1"/>
                <w:color w:val="FFFFFF"/>
              </w:rPr>
              <w:t>Performance Measures</w:t>
            </w:r>
          </w:p>
        </w:tc>
        <w:tc>
          <w:tcPr>
            <w:tcW w:w="1240" w:type="dxa"/>
            <w:vAlign w:val="bottom"/>
            <w:shd w:val="clear" w:color="auto" w:fill="BF2115"/>
          </w:tcPr>
          <w:p>
            <w:pPr>
              <w:jc w:val="center"/>
              <w:spacing w:after="0"/>
              <w:rPr>
                <w:sz w:val="20"/>
                <w:szCs w:val="20"/>
                <w:color w:val="auto"/>
              </w:rPr>
            </w:pPr>
            <w:r>
              <w:rPr>
                <w:rFonts w:ascii="Arial" w:cs="Arial" w:eastAsia="Arial" w:hAnsi="Arial"/>
                <w:sz w:val="16"/>
                <w:szCs w:val="16"/>
                <w:b w:val="1"/>
                <w:bCs w:val="1"/>
                <w:color w:val="FFFFFF"/>
              </w:rPr>
              <w:t>Weighting</w:t>
            </w:r>
          </w:p>
        </w:tc>
      </w:tr>
      <w:tr>
        <w:trPr>
          <w:trHeight w:val="211"/>
        </w:trPr>
        <w:tc>
          <w:tcPr>
            <w:tcW w:w="3500" w:type="dxa"/>
            <w:vAlign w:val="bottom"/>
          </w:tcPr>
          <w:p>
            <w:pPr>
              <w:ind w:left="20"/>
              <w:spacing w:after="0"/>
              <w:rPr>
                <w:sz w:val="20"/>
                <w:szCs w:val="20"/>
                <w:color w:val="auto"/>
              </w:rPr>
            </w:pPr>
            <w:r>
              <w:rPr>
                <w:rFonts w:ascii="Arial" w:cs="Arial" w:eastAsia="Arial" w:hAnsi="Arial"/>
                <w:sz w:val="16"/>
                <w:szCs w:val="16"/>
                <w:color w:val="auto"/>
              </w:rPr>
              <w:t>Cumulative net income, plus after-tax interest</w:t>
            </w:r>
          </w:p>
        </w:tc>
        <w:tc>
          <w:tcPr>
            <w:tcW w:w="1240" w:type="dxa"/>
            <w:vAlign w:val="bottom"/>
          </w:tcPr>
          <w:p>
            <w:pPr>
              <w:jc w:val="center"/>
              <w:spacing w:after="0"/>
              <w:rPr>
                <w:sz w:val="20"/>
                <w:szCs w:val="20"/>
                <w:color w:val="auto"/>
              </w:rPr>
            </w:pPr>
            <w:r>
              <w:rPr>
                <w:rFonts w:ascii="Arial" w:cs="Arial" w:eastAsia="Arial" w:hAnsi="Arial"/>
                <w:sz w:val="16"/>
                <w:szCs w:val="16"/>
                <w:color w:val="auto"/>
                <w:w w:val="99"/>
              </w:rPr>
              <w:t>50%</w:t>
            </w:r>
          </w:p>
        </w:tc>
      </w:tr>
      <w:tr>
        <w:trPr>
          <w:trHeight w:val="29"/>
        </w:trPr>
        <w:tc>
          <w:tcPr>
            <w:tcW w:w="350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20"/>
        </w:trPr>
        <w:tc>
          <w:tcPr>
            <w:tcW w:w="350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6"/>
                <w:szCs w:val="16"/>
                <w:color w:val="auto"/>
              </w:rPr>
              <w:t>Cumulative revenue</w:t>
            </w:r>
          </w:p>
        </w:tc>
        <w:tc>
          <w:tcPr>
            <w:tcW w:w="1240" w:type="dxa"/>
            <w:vAlign w:val="bottom"/>
            <w:tcBorders>
              <w:bottom w:val="single" w:sz="8" w:color="DBDBDB"/>
            </w:tcBorders>
            <w:shd w:val="clear" w:color="auto" w:fill="DBDBDB"/>
          </w:tcPr>
          <w:p>
            <w:pPr>
              <w:jc w:val="center"/>
              <w:spacing w:after="0"/>
              <w:rPr>
                <w:sz w:val="20"/>
                <w:szCs w:val="20"/>
                <w:color w:val="auto"/>
              </w:rPr>
            </w:pPr>
            <w:r>
              <w:rPr>
                <w:rFonts w:ascii="Arial" w:cs="Arial" w:eastAsia="Arial" w:hAnsi="Arial"/>
                <w:sz w:val="16"/>
                <w:szCs w:val="16"/>
                <w:color w:val="auto"/>
                <w:w w:val="99"/>
              </w:rPr>
              <w:t>30%</w:t>
            </w:r>
          </w:p>
        </w:tc>
      </w:tr>
      <w:tr>
        <w:trPr>
          <w:trHeight w:val="211"/>
        </w:trPr>
        <w:tc>
          <w:tcPr>
            <w:tcW w:w="3500" w:type="dxa"/>
            <w:vAlign w:val="bottom"/>
          </w:tcPr>
          <w:p>
            <w:pPr>
              <w:ind w:left="20"/>
              <w:spacing w:after="0"/>
              <w:rPr>
                <w:sz w:val="20"/>
                <w:szCs w:val="20"/>
                <w:color w:val="auto"/>
              </w:rPr>
            </w:pPr>
            <w:r>
              <w:rPr>
                <w:rFonts w:ascii="Arial" w:cs="Arial" w:eastAsia="Arial" w:hAnsi="Arial"/>
                <w:sz w:val="16"/>
                <w:szCs w:val="16"/>
                <w:color w:val="auto"/>
              </w:rPr>
              <w:t>Working capital as a percent of sales</w:t>
            </w:r>
          </w:p>
        </w:tc>
        <w:tc>
          <w:tcPr>
            <w:tcW w:w="1240" w:type="dxa"/>
            <w:vAlign w:val="bottom"/>
          </w:tcPr>
          <w:p>
            <w:pPr>
              <w:jc w:val="center"/>
              <w:spacing w:after="0"/>
              <w:rPr>
                <w:sz w:val="20"/>
                <w:szCs w:val="20"/>
                <w:color w:val="auto"/>
              </w:rPr>
            </w:pPr>
            <w:r>
              <w:rPr>
                <w:rFonts w:ascii="Arial" w:cs="Arial" w:eastAsia="Arial" w:hAnsi="Arial"/>
                <w:sz w:val="16"/>
                <w:szCs w:val="16"/>
                <w:color w:val="auto"/>
                <w:w w:val="99"/>
              </w:rPr>
              <w:t>20%</w:t>
            </w:r>
          </w:p>
        </w:tc>
      </w:tr>
    </w:tbl>
    <w:p>
      <w:pPr>
        <w:spacing w:after="0" w:line="200" w:lineRule="exact"/>
        <w:rPr>
          <w:sz w:val="20"/>
          <w:szCs w:val="20"/>
          <w:color w:val="auto"/>
        </w:rPr>
      </w:pPr>
    </w:p>
    <w:p>
      <w:pPr>
        <w:sectPr>
          <w:pgSz w:w="11900" w:h="16838" w:orient="portrait"/>
          <w:cols w:equalWidth="0" w:num="1">
            <w:col w:w="11240"/>
          </w:cols>
          <w:pgMar w:left="320" w:top="1154"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20"/>
        <w:spacing w:after="0" w:line="276" w:lineRule="auto"/>
        <w:rPr>
          <w:sz w:val="20"/>
          <w:szCs w:val="20"/>
          <w:color w:val="auto"/>
        </w:rPr>
      </w:pPr>
      <w:r>
        <w:rPr>
          <w:rFonts w:ascii="Arial" w:cs="Arial" w:eastAsia="Arial" w:hAnsi="Arial"/>
          <w:sz w:val="16"/>
          <w:szCs w:val="16"/>
          <w:i w:val="1"/>
          <w:iCs w:val="1"/>
          <w:color w:val="auto"/>
        </w:rPr>
        <w:t>Other Compensation Related Actions</w:t>
      </w:r>
    </w:p>
    <w:p>
      <w:pPr>
        <w:spacing w:after="0" w:line="337" w:lineRule="exact"/>
        <w:rPr>
          <w:sz w:val="20"/>
          <w:szCs w:val="20"/>
          <w:color w:val="auto"/>
        </w:rPr>
      </w:pPr>
    </w:p>
    <w:p>
      <w:pPr>
        <w:ind w:left="20"/>
        <w:spacing w:after="0"/>
        <w:rPr>
          <w:sz w:val="20"/>
          <w:szCs w:val="20"/>
          <w:color w:val="auto"/>
        </w:rPr>
      </w:pPr>
      <w:r>
        <w:rPr>
          <w:rFonts w:ascii="Arial" w:cs="Arial" w:eastAsia="Arial" w:hAnsi="Arial"/>
          <w:sz w:val="16"/>
          <w:szCs w:val="16"/>
          <w:i w:val="1"/>
          <w:iCs w:val="1"/>
          <w:color w:val="auto"/>
        </w:rPr>
        <w:t>Say-on-Pay Vote</w:t>
      </w:r>
    </w:p>
    <w:p>
      <w:pPr>
        <w:spacing w:after="0" w:line="20" w:lineRule="exact"/>
        <w:rPr>
          <w:sz w:val="20"/>
          <w:szCs w:val="20"/>
          <w:color w:val="auto"/>
        </w:rPr>
      </w:pPr>
      <w:r>
        <w:rPr>
          <w:sz w:val="20"/>
          <w:szCs w:val="20"/>
          <w:color w:val="auto"/>
        </w:rPr>
        <w:br w:type="column"/>
      </w:r>
    </w:p>
    <w:p>
      <w:pPr>
        <w:spacing w:after="0" w:line="209" w:lineRule="exact"/>
        <w:rPr>
          <w:sz w:val="20"/>
          <w:szCs w:val="20"/>
          <w:color w:val="auto"/>
        </w:rPr>
      </w:pPr>
    </w:p>
    <w:p>
      <w:pPr>
        <w:jc w:val="both"/>
        <w:ind w:left="154" w:right="420" w:hanging="154"/>
        <w:spacing w:after="0" w:line="243" w:lineRule="auto"/>
        <w:tabs>
          <w:tab w:leader="none" w:pos="143" w:val="left"/>
        </w:tabs>
        <w:numPr>
          <w:ilvl w:val="0"/>
          <w:numId w:val="57"/>
        </w:numPr>
        <w:rPr>
          <w:rFonts w:ascii="Times New Roman" w:cs="Times New Roman" w:eastAsia="Times New Roman" w:hAnsi="Times New Roman"/>
          <w:sz w:val="16"/>
          <w:szCs w:val="16"/>
          <w:color w:val="auto"/>
        </w:rPr>
      </w:pPr>
      <w:r>
        <w:rPr>
          <w:rFonts w:ascii="Arial" w:cs="Arial" w:eastAsia="Arial" w:hAnsi="Arial"/>
          <w:sz w:val="16"/>
          <w:szCs w:val="16"/>
          <w:color w:val="auto"/>
        </w:rPr>
        <w:t>Actual performance of our fiscal 2022-2024 performance share awards, which excluded the financial impacts of our January 2022 acquisition of Intimidator Group, was between threshold and target for cumulative net income plus after-tax interest and cumulative revenue and below threshold for working capital as a percent of sales, resulting in a payout percentage of 55.3% of target.</w:t>
      </w:r>
    </w:p>
    <w:p>
      <w:pPr>
        <w:spacing w:after="0" w:line="28" w:lineRule="exact"/>
        <w:rPr>
          <w:rFonts w:ascii="Times New Roman" w:cs="Times New Roman" w:eastAsia="Times New Roman" w:hAnsi="Times New Roman"/>
          <w:sz w:val="16"/>
          <w:szCs w:val="16"/>
          <w:color w:val="auto"/>
        </w:rPr>
      </w:pPr>
    </w:p>
    <w:p>
      <w:pPr>
        <w:ind w:left="154" w:right="280" w:hanging="154"/>
        <w:spacing w:after="0" w:line="236" w:lineRule="auto"/>
        <w:tabs>
          <w:tab w:leader="none" w:pos="143" w:val="left"/>
        </w:tabs>
        <w:numPr>
          <w:ilvl w:val="0"/>
          <w:numId w:val="57"/>
        </w:numPr>
        <w:rPr>
          <w:rFonts w:ascii="Arial" w:cs="Arial" w:eastAsia="Arial" w:hAnsi="Arial"/>
          <w:sz w:val="16"/>
          <w:szCs w:val="16"/>
          <w:color w:val="auto"/>
        </w:rPr>
      </w:pPr>
      <w:r>
        <w:rPr>
          <w:rFonts w:ascii="Arial" w:cs="Arial" w:eastAsia="Arial" w:hAnsi="Arial"/>
          <w:sz w:val="16"/>
          <w:szCs w:val="16"/>
          <w:color w:val="auto"/>
        </w:rPr>
        <w:t>Effective January 16, 2024, our stock ownership guidelines were amended to include holding requirements; additionally, the multiple for the Chairman and CEO was increased from 5x to 6x annual base salary.</w:t>
      </w:r>
    </w:p>
    <w:p>
      <w:pPr>
        <w:spacing w:after="0" w:line="1" w:lineRule="exact"/>
        <w:rPr>
          <w:rFonts w:ascii="Arial" w:cs="Arial" w:eastAsia="Arial" w:hAnsi="Arial"/>
          <w:sz w:val="16"/>
          <w:szCs w:val="16"/>
          <w:color w:val="auto"/>
        </w:rPr>
      </w:pPr>
    </w:p>
    <w:p>
      <w:pPr>
        <w:ind w:left="154" w:right="280" w:hanging="154"/>
        <w:spacing w:after="0" w:line="257" w:lineRule="auto"/>
        <w:tabs>
          <w:tab w:leader="none" w:pos="143" w:val="left"/>
        </w:tabs>
        <w:numPr>
          <w:ilvl w:val="0"/>
          <w:numId w:val="57"/>
        </w:numPr>
        <w:rPr>
          <w:rFonts w:ascii="Arial" w:cs="Arial" w:eastAsia="Arial" w:hAnsi="Arial"/>
          <w:sz w:val="16"/>
          <w:szCs w:val="16"/>
          <w:color w:val="auto"/>
        </w:rPr>
      </w:pPr>
      <w:r>
        <w:rPr>
          <w:rFonts w:ascii="Arial" w:cs="Arial" w:eastAsia="Arial" w:hAnsi="Arial"/>
          <w:sz w:val="16"/>
          <w:szCs w:val="16"/>
          <w:color w:val="auto"/>
        </w:rPr>
        <w:t>For fiscal 2024, the timing of our equity grants was revised to be the fourth trading day following the filing of our Annual Report on Form 10-K (with the first day being the filing date.</w:t>
      </w:r>
    </w:p>
    <w:p>
      <w:pPr>
        <w:spacing w:after="0" w:line="16" w:lineRule="exact"/>
        <w:rPr>
          <w:rFonts w:ascii="Arial" w:cs="Arial" w:eastAsia="Arial" w:hAnsi="Arial"/>
          <w:sz w:val="16"/>
          <w:szCs w:val="16"/>
          <w:color w:val="auto"/>
        </w:rPr>
      </w:pPr>
    </w:p>
    <w:p>
      <w:pPr>
        <w:ind w:left="154" w:right="400" w:hanging="154"/>
        <w:spacing w:after="0" w:line="250" w:lineRule="auto"/>
        <w:tabs>
          <w:tab w:leader="none" w:pos="143" w:val="left"/>
        </w:tabs>
        <w:numPr>
          <w:ilvl w:val="0"/>
          <w:numId w:val="57"/>
        </w:numPr>
        <w:rPr>
          <w:rFonts w:ascii="Times New Roman" w:cs="Times New Roman" w:eastAsia="Times New Roman" w:hAnsi="Times New Roman"/>
          <w:sz w:val="16"/>
          <w:szCs w:val="16"/>
          <w:color w:val="auto"/>
        </w:rPr>
      </w:pPr>
      <w:r>
        <w:rPr>
          <w:rFonts w:ascii="Arial" w:cs="Arial" w:eastAsia="Arial" w:hAnsi="Arial"/>
          <w:sz w:val="16"/>
          <w:szCs w:val="16"/>
          <w:color w:val="auto"/>
        </w:rPr>
        <w:t>Our shareholders had the opportunity to vote on an advisory say-on-pay proposal at our 2024 Annual Meeting of Shareholders. Over 91% of votes cast were in favor of the proposal.</w:t>
      </w:r>
    </w:p>
    <w:p>
      <w:pPr>
        <w:jc w:val="both"/>
        <w:ind w:left="154" w:right="420" w:hanging="154"/>
        <w:spacing w:after="0" w:line="239" w:lineRule="auto"/>
        <w:tabs>
          <w:tab w:leader="none" w:pos="143" w:val="left"/>
        </w:tabs>
        <w:numPr>
          <w:ilvl w:val="0"/>
          <w:numId w:val="57"/>
        </w:numPr>
        <w:rPr>
          <w:rFonts w:ascii="Times New Roman" w:cs="Times New Roman" w:eastAsia="Times New Roman" w:hAnsi="Times New Roman"/>
          <w:sz w:val="16"/>
          <w:szCs w:val="16"/>
          <w:color w:val="auto"/>
        </w:rPr>
      </w:pPr>
      <w:r>
        <w:rPr>
          <w:rFonts w:ascii="Arial" w:cs="Arial" w:eastAsia="Arial" w:hAnsi="Arial"/>
          <w:sz w:val="16"/>
          <w:szCs w:val="16"/>
          <w:color w:val="auto"/>
        </w:rPr>
        <w:t>The Compensation &amp; Human Resources Committee believes these results affirmed shareholder support of our approach to executive compensation. As a result, we did not believe it was necessary to, and, therefore, did not, make any significant structural changes to our executive compensation program in response to our say-on-pay vote last year.</w:t>
      </w:r>
    </w:p>
    <w:p>
      <w:pPr>
        <w:spacing w:after="0" w:line="200" w:lineRule="exact"/>
        <w:rPr>
          <w:sz w:val="20"/>
          <w:szCs w:val="20"/>
          <w:color w:val="auto"/>
        </w:rPr>
      </w:pPr>
    </w:p>
    <w:p>
      <w:pPr>
        <w:sectPr>
          <w:pgSz w:w="11900" w:h="16838" w:orient="portrait"/>
          <w:cols w:equalWidth="0" w:num="2">
            <w:col w:w="2100" w:space="366"/>
            <w:col w:w="8774"/>
          </w:cols>
          <w:pgMar w:left="320" w:top="1154" w:right="339" w:bottom="1440" w:gutter="0" w:footer="0" w:header="0"/>
          <w:type w:val="continuous"/>
        </w:sectPr>
      </w:pPr>
    </w:p>
    <w:p>
      <w:pPr>
        <w:spacing w:after="0" w:line="60" w:lineRule="exact"/>
        <w:rPr>
          <w:sz w:val="20"/>
          <w:szCs w:val="20"/>
          <w:color w:val="auto"/>
        </w:rPr>
      </w:pPr>
    </w:p>
    <w:p>
      <w:pPr>
        <w:spacing w:after="0"/>
        <w:rPr>
          <w:sz w:val="20"/>
          <w:szCs w:val="20"/>
          <w:color w:val="auto"/>
        </w:rPr>
      </w:pPr>
      <w:r>
        <w:rPr>
          <w:rFonts w:ascii="Arial" w:cs="Arial" w:eastAsia="Arial" w:hAnsi="Arial"/>
          <w:sz w:val="20"/>
          <w:szCs w:val="20"/>
          <w:b w:val="1"/>
          <w:bCs w:val="1"/>
          <w:color w:val="C00000"/>
        </w:rPr>
        <w:t>Compensation Philosophy</w:t>
      </w:r>
    </w:p>
    <w:p>
      <w:pPr>
        <w:spacing w:after="0" w:line="84" w:lineRule="exact"/>
        <w:rPr>
          <w:sz w:val="20"/>
          <w:szCs w:val="20"/>
          <w:color w:val="auto"/>
        </w:rPr>
      </w:pPr>
    </w:p>
    <w:p>
      <w:pPr>
        <w:ind w:firstLine="320"/>
        <w:spacing w:after="0" w:line="233" w:lineRule="auto"/>
        <w:rPr>
          <w:sz w:val="20"/>
          <w:szCs w:val="20"/>
          <w:color w:val="auto"/>
        </w:rPr>
      </w:pPr>
      <w:r>
        <w:rPr>
          <w:rFonts w:ascii="Arial" w:cs="Arial" w:eastAsia="Arial" w:hAnsi="Arial"/>
          <w:sz w:val="18"/>
          <w:szCs w:val="18"/>
          <w:color w:val="auto"/>
        </w:rPr>
        <w:t>Our guiding compensation philosophy is to maintain an executive compensation program that allows us to attract, retain, motivate and reward highly qualified and talented executive officers who will enable us to execute on our strategic priorities, perform better than our</w:t>
      </w:r>
    </w:p>
    <w:p>
      <w:pPr>
        <w:spacing w:after="0" w:line="1" w:lineRule="exact"/>
        <w:rPr>
          <w:sz w:val="20"/>
          <w:szCs w:val="20"/>
          <w:color w:val="auto"/>
        </w:rPr>
      </w:pPr>
    </w:p>
    <w:p>
      <w:pPr>
        <w:spacing w:after="0" w:line="243" w:lineRule="auto"/>
        <w:rPr>
          <w:sz w:val="20"/>
          <w:szCs w:val="20"/>
          <w:color w:val="auto"/>
        </w:rPr>
      </w:pPr>
      <w:r>
        <w:rPr>
          <w:rFonts w:ascii="Arial" w:cs="Arial" w:eastAsia="Arial" w:hAnsi="Arial"/>
          <w:sz w:val="18"/>
          <w:szCs w:val="18"/>
          <w:color w:val="auto"/>
        </w:rPr>
        <w:t>competitors and drive long-term shareholder value. The following core principles provide a framework for our executive compensation program:</w:t>
      </w:r>
    </w:p>
    <w:p>
      <w:pPr>
        <w:spacing w:after="0" w:line="79"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2480" w:type="dxa"/>
            <w:vAlign w:val="bottom"/>
          </w:tcPr>
          <w:p>
            <w:pPr>
              <w:ind w:left="20"/>
              <w:spacing w:after="0"/>
              <w:rPr>
                <w:sz w:val="20"/>
                <w:szCs w:val="20"/>
                <w:color w:val="auto"/>
              </w:rPr>
            </w:pPr>
            <w:r>
              <w:rPr>
                <w:rFonts w:ascii="Arial" w:cs="Arial" w:eastAsia="Arial" w:hAnsi="Arial"/>
                <w:sz w:val="16"/>
                <w:szCs w:val="16"/>
                <w:color w:val="auto"/>
              </w:rPr>
              <w:t>Align with Shareholder Interests</w:t>
            </w:r>
          </w:p>
        </w:tc>
        <w:tc>
          <w:tcPr>
            <w:tcW w:w="380" w:type="dxa"/>
            <w:vAlign w:val="bottom"/>
          </w:tcPr>
          <w:p>
            <w:pPr>
              <w:ind w:left="20"/>
              <w:spacing w:after="0" w:line="161" w:lineRule="exact"/>
              <w:rPr>
                <w:sz w:val="20"/>
                <w:szCs w:val="20"/>
                <w:color w:val="auto"/>
              </w:rPr>
            </w:pPr>
            <w:r>
              <w:rPr>
                <w:rFonts w:ascii="MS PGothic" w:cs="MS PGothic" w:eastAsia="MS PGothic" w:hAnsi="MS PGothic"/>
                <w:sz w:val="16"/>
                <w:szCs w:val="16"/>
                <w:color w:val="auto"/>
                <w:shd w:val="clear" w:color="auto" w:fill="C00000"/>
              </w:rPr>
              <w:t>✓</w:t>
            </w:r>
          </w:p>
        </w:tc>
        <w:tc>
          <w:tcPr>
            <w:tcW w:w="8380" w:type="dxa"/>
            <w:vAlign w:val="bottom"/>
          </w:tcPr>
          <w:p>
            <w:pPr>
              <w:ind w:left="20"/>
              <w:spacing w:after="0"/>
              <w:rPr>
                <w:sz w:val="20"/>
                <w:szCs w:val="20"/>
                <w:color w:val="auto"/>
              </w:rPr>
            </w:pPr>
            <w:r>
              <w:rPr>
                <w:rFonts w:ascii="Arial" w:cs="Arial" w:eastAsia="Arial" w:hAnsi="Arial"/>
                <w:sz w:val="16"/>
                <w:szCs w:val="16"/>
                <w:color w:val="auto"/>
              </w:rPr>
              <w:t>Our executive compensation program is designed to align the interests of our executive officers with shareholder</w:t>
            </w:r>
          </w:p>
        </w:tc>
        <w:tc>
          <w:tcPr>
            <w:tcW w:w="0" w:type="dxa"/>
            <w:vAlign w:val="bottom"/>
          </w:tcPr>
          <w:p>
            <w:pPr>
              <w:spacing w:after="0"/>
              <w:rPr>
                <w:sz w:val="1"/>
                <w:szCs w:val="1"/>
                <w:color w:val="auto"/>
              </w:rPr>
            </w:pPr>
          </w:p>
        </w:tc>
      </w:tr>
      <w:tr>
        <w:trPr>
          <w:trHeight w:val="211"/>
        </w:trPr>
        <w:tc>
          <w:tcPr>
            <w:tcW w:w="2480" w:type="dxa"/>
            <w:vAlign w:val="bottom"/>
          </w:tcPr>
          <w:p>
            <w:pPr>
              <w:spacing w:after="0"/>
              <w:rPr>
                <w:sz w:val="18"/>
                <w:szCs w:val="18"/>
                <w:color w:val="auto"/>
              </w:rPr>
            </w:pPr>
          </w:p>
        </w:tc>
        <w:tc>
          <w:tcPr>
            <w:tcW w:w="380" w:type="dxa"/>
            <w:vAlign w:val="bottom"/>
            <w:vMerge w:val="restart"/>
          </w:tcPr>
          <w:p>
            <w:pPr>
              <w:ind w:left="20"/>
              <w:spacing w:after="0" w:line="161" w:lineRule="exact"/>
              <w:rPr>
                <w:sz w:val="20"/>
                <w:szCs w:val="20"/>
                <w:color w:val="auto"/>
              </w:rPr>
            </w:pPr>
            <w:r>
              <w:rPr>
                <w:rFonts w:ascii="MS PGothic" w:cs="MS PGothic" w:eastAsia="MS PGothic" w:hAnsi="MS PGothic"/>
                <w:sz w:val="16"/>
                <w:szCs w:val="16"/>
                <w:color w:val="auto"/>
                <w:shd w:val="clear" w:color="auto" w:fill="C00000"/>
              </w:rPr>
              <w:t>✓</w:t>
            </w:r>
          </w:p>
        </w:tc>
        <w:tc>
          <w:tcPr>
            <w:tcW w:w="8380" w:type="dxa"/>
            <w:vAlign w:val="bottom"/>
          </w:tcPr>
          <w:p>
            <w:pPr>
              <w:ind w:left="20"/>
              <w:spacing w:after="0"/>
              <w:rPr>
                <w:sz w:val="20"/>
                <w:szCs w:val="20"/>
                <w:color w:val="auto"/>
              </w:rPr>
            </w:pPr>
            <w:r>
              <w:rPr>
                <w:rFonts w:ascii="Arial" w:cs="Arial" w:eastAsia="Arial" w:hAnsi="Arial"/>
                <w:sz w:val="16"/>
                <w:szCs w:val="16"/>
                <w:color w:val="auto"/>
              </w:rPr>
              <w:t>interests</w:t>
            </w:r>
          </w:p>
        </w:tc>
        <w:tc>
          <w:tcPr>
            <w:tcW w:w="0" w:type="dxa"/>
            <w:vAlign w:val="bottom"/>
          </w:tcPr>
          <w:p>
            <w:pPr>
              <w:spacing w:after="0"/>
              <w:rPr>
                <w:sz w:val="1"/>
                <w:szCs w:val="1"/>
                <w:color w:val="auto"/>
              </w:rPr>
            </w:pPr>
          </w:p>
        </w:tc>
      </w:tr>
      <w:tr>
        <w:trPr>
          <w:trHeight w:val="189"/>
        </w:trPr>
        <w:tc>
          <w:tcPr>
            <w:tcW w:w="2480" w:type="dxa"/>
            <w:vAlign w:val="bottom"/>
          </w:tcPr>
          <w:p>
            <w:pPr>
              <w:spacing w:after="0"/>
              <w:rPr>
                <w:sz w:val="16"/>
                <w:szCs w:val="16"/>
                <w:color w:val="auto"/>
              </w:rPr>
            </w:pPr>
          </w:p>
        </w:tc>
        <w:tc>
          <w:tcPr>
            <w:tcW w:w="380" w:type="dxa"/>
            <w:vAlign w:val="bottom"/>
            <w:vMerge w:val="continue"/>
          </w:tcPr>
          <w:p>
            <w:pPr>
              <w:spacing w:after="0"/>
              <w:rPr>
                <w:sz w:val="16"/>
                <w:szCs w:val="16"/>
                <w:color w:val="auto"/>
              </w:rPr>
            </w:pPr>
          </w:p>
        </w:tc>
        <w:tc>
          <w:tcPr>
            <w:tcW w:w="8380" w:type="dxa"/>
            <w:vAlign w:val="bottom"/>
          </w:tcPr>
          <w:p>
            <w:pPr>
              <w:ind w:left="20"/>
              <w:spacing w:after="0"/>
              <w:rPr>
                <w:sz w:val="20"/>
                <w:szCs w:val="20"/>
                <w:color w:val="auto"/>
              </w:rPr>
            </w:pPr>
            <w:r>
              <w:rPr>
                <w:rFonts w:ascii="Arial" w:cs="Arial" w:eastAsia="Arial" w:hAnsi="Arial"/>
                <w:sz w:val="16"/>
                <w:szCs w:val="16"/>
                <w:color w:val="auto"/>
              </w:rPr>
              <w:t>At least two-thirds of our executive compensation is tied to TTC performance and the market value of our common</w:t>
            </w:r>
          </w:p>
        </w:tc>
        <w:tc>
          <w:tcPr>
            <w:tcW w:w="0" w:type="dxa"/>
            <w:vAlign w:val="bottom"/>
          </w:tcPr>
          <w:p>
            <w:pPr>
              <w:spacing w:after="0"/>
              <w:rPr>
                <w:sz w:val="1"/>
                <w:szCs w:val="1"/>
                <w:color w:val="auto"/>
              </w:rPr>
            </w:pPr>
          </w:p>
        </w:tc>
      </w:tr>
      <w:tr>
        <w:trPr>
          <w:trHeight w:val="211"/>
        </w:trPr>
        <w:tc>
          <w:tcPr>
            <w:tcW w:w="2480" w:type="dxa"/>
            <w:vAlign w:val="bottom"/>
          </w:tcPr>
          <w:p>
            <w:pPr>
              <w:spacing w:after="0"/>
              <w:rPr>
                <w:sz w:val="18"/>
                <w:szCs w:val="18"/>
                <w:color w:val="auto"/>
              </w:rPr>
            </w:pPr>
          </w:p>
        </w:tc>
        <w:tc>
          <w:tcPr>
            <w:tcW w:w="380" w:type="dxa"/>
            <w:vAlign w:val="bottom"/>
            <w:vMerge w:val="restart"/>
          </w:tcPr>
          <w:p>
            <w:pPr>
              <w:ind w:left="20"/>
              <w:spacing w:after="0" w:line="161" w:lineRule="exact"/>
              <w:rPr>
                <w:sz w:val="20"/>
                <w:szCs w:val="20"/>
                <w:color w:val="auto"/>
              </w:rPr>
            </w:pPr>
            <w:r>
              <w:rPr>
                <w:rFonts w:ascii="MS PGothic" w:cs="MS PGothic" w:eastAsia="MS PGothic" w:hAnsi="MS PGothic"/>
                <w:sz w:val="16"/>
                <w:szCs w:val="16"/>
                <w:color w:val="auto"/>
                <w:shd w:val="clear" w:color="auto" w:fill="C00000"/>
              </w:rPr>
              <w:t>✓</w:t>
            </w:r>
          </w:p>
        </w:tc>
        <w:tc>
          <w:tcPr>
            <w:tcW w:w="8380" w:type="dxa"/>
            <w:vAlign w:val="bottom"/>
          </w:tcPr>
          <w:p>
            <w:pPr>
              <w:ind w:left="20"/>
              <w:spacing w:after="0"/>
              <w:rPr>
                <w:sz w:val="20"/>
                <w:szCs w:val="20"/>
                <w:color w:val="auto"/>
              </w:rPr>
            </w:pPr>
            <w:r>
              <w:rPr>
                <w:rFonts w:ascii="Arial" w:cs="Arial" w:eastAsia="Arial" w:hAnsi="Arial"/>
                <w:sz w:val="16"/>
                <w:szCs w:val="16"/>
                <w:color w:val="auto"/>
              </w:rPr>
              <w:t>stock</w:t>
            </w:r>
          </w:p>
        </w:tc>
        <w:tc>
          <w:tcPr>
            <w:tcW w:w="0" w:type="dxa"/>
            <w:vAlign w:val="bottom"/>
          </w:tcPr>
          <w:p>
            <w:pPr>
              <w:spacing w:after="0"/>
              <w:rPr>
                <w:sz w:val="1"/>
                <w:szCs w:val="1"/>
                <w:color w:val="auto"/>
              </w:rPr>
            </w:pPr>
          </w:p>
        </w:tc>
      </w:tr>
      <w:tr>
        <w:trPr>
          <w:trHeight w:val="240"/>
        </w:trPr>
        <w:tc>
          <w:tcPr>
            <w:tcW w:w="2480" w:type="dxa"/>
            <w:vAlign w:val="bottom"/>
          </w:tcPr>
          <w:p>
            <w:pPr>
              <w:spacing w:after="0"/>
              <w:rPr>
                <w:sz w:val="20"/>
                <w:szCs w:val="20"/>
                <w:color w:val="auto"/>
              </w:rPr>
            </w:pPr>
          </w:p>
        </w:tc>
        <w:tc>
          <w:tcPr>
            <w:tcW w:w="380" w:type="dxa"/>
            <w:vAlign w:val="bottom"/>
            <w:vMerge w:val="continue"/>
          </w:tcPr>
          <w:p>
            <w:pPr>
              <w:spacing w:after="0"/>
              <w:rPr>
                <w:sz w:val="20"/>
                <w:szCs w:val="20"/>
                <w:color w:val="auto"/>
              </w:rPr>
            </w:pPr>
          </w:p>
        </w:tc>
        <w:tc>
          <w:tcPr>
            <w:tcW w:w="8380" w:type="dxa"/>
            <w:vAlign w:val="bottom"/>
          </w:tcPr>
          <w:p>
            <w:pPr>
              <w:ind w:left="20"/>
              <w:spacing w:after="0"/>
              <w:rPr>
                <w:sz w:val="20"/>
                <w:szCs w:val="20"/>
                <w:color w:val="auto"/>
              </w:rPr>
            </w:pPr>
            <w:r>
              <w:rPr>
                <w:rFonts w:ascii="Arial" w:cs="Arial" w:eastAsia="Arial" w:hAnsi="Arial"/>
                <w:sz w:val="16"/>
                <w:szCs w:val="16"/>
                <w:color w:val="auto"/>
              </w:rPr>
              <w:t>Our stock ownership guidelines strengthen alignment of our executive officers interests with those of our shareholders</w:t>
            </w:r>
          </w:p>
        </w:tc>
        <w:tc>
          <w:tcPr>
            <w:tcW w:w="0" w:type="dxa"/>
            <w:vAlign w:val="bottom"/>
          </w:tcPr>
          <w:p>
            <w:pPr>
              <w:spacing w:after="0"/>
              <w:rPr>
                <w:sz w:val="1"/>
                <w:szCs w:val="1"/>
                <w:color w:val="auto"/>
              </w:rPr>
            </w:pPr>
          </w:p>
        </w:tc>
      </w:tr>
      <w:tr>
        <w:trPr>
          <w:trHeight w:val="244"/>
        </w:trPr>
        <w:tc>
          <w:tcPr>
            <w:tcW w:w="2480" w:type="dxa"/>
            <w:vAlign w:val="bottom"/>
            <w:shd w:val="clear" w:color="auto" w:fill="DBDBDB"/>
          </w:tcPr>
          <w:p>
            <w:pPr>
              <w:ind w:left="20"/>
              <w:spacing w:after="0"/>
              <w:rPr>
                <w:sz w:val="20"/>
                <w:szCs w:val="20"/>
                <w:color w:val="auto"/>
              </w:rPr>
            </w:pPr>
            <w:r>
              <w:rPr>
                <w:rFonts w:ascii="Arial" w:cs="Arial" w:eastAsia="Arial" w:hAnsi="Arial"/>
                <w:sz w:val="16"/>
                <w:szCs w:val="16"/>
                <w:color w:val="auto"/>
              </w:rPr>
              <w:t>Link Pay to Performance</w:t>
            </w:r>
          </w:p>
        </w:tc>
        <w:tc>
          <w:tcPr>
            <w:tcW w:w="380" w:type="dxa"/>
            <w:vAlign w:val="bottom"/>
            <w:shd w:val="clear" w:color="auto" w:fill="DBDBDB"/>
          </w:tcPr>
          <w:p>
            <w:pPr>
              <w:ind w:left="20"/>
              <w:spacing w:after="0" w:line="161" w:lineRule="exact"/>
              <w:rPr>
                <w:sz w:val="20"/>
                <w:szCs w:val="20"/>
                <w:color w:val="auto"/>
              </w:rPr>
            </w:pPr>
            <w:r>
              <w:rPr>
                <w:rFonts w:ascii="MS PGothic" w:cs="MS PGothic" w:eastAsia="MS PGothic" w:hAnsi="MS PGothic"/>
                <w:sz w:val="16"/>
                <w:szCs w:val="16"/>
                <w:color w:val="auto"/>
                <w:shd w:val="clear" w:color="auto" w:fill="C00000"/>
              </w:rPr>
              <w:t>✓</w:t>
            </w:r>
          </w:p>
        </w:tc>
        <w:tc>
          <w:tcPr>
            <w:tcW w:w="8380" w:type="dxa"/>
            <w:vAlign w:val="bottom"/>
            <w:shd w:val="clear" w:color="auto" w:fill="DBDBDB"/>
          </w:tcPr>
          <w:p>
            <w:pPr>
              <w:ind w:left="20"/>
              <w:spacing w:after="0"/>
              <w:rPr>
                <w:sz w:val="20"/>
                <w:szCs w:val="20"/>
                <w:color w:val="auto"/>
              </w:rPr>
            </w:pPr>
            <w:r>
              <w:rPr>
                <w:rFonts w:ascii="Arial" w:cs="Arial" w:eastAsia="Arial" w:hAnsi="Arial"/>
                <w:sz w:val="16"/>
                <w:szCs w:val="16"/>
                <w:color w:val="auto"/>
              </w:rPr>
              <w:t>At least two-thirds of our executive compensation is tied to TTC performance</w:t>
            </w:r>
          </w:p>
        </w:tc>
        <w:tc>
          <w:tcPr>
            <w:tcW w:w="0" w:type="dxa"/>
            <w:vAlign w:val="bottom"/>
          </w:tcPr>
          <w:p>
            <w:pPr>
              <w:spacing w:after="0"/>
              <w:rPr>
                <w:sz w:val="1"/>
                <w:szCs w:val="1"/>
                <w:color w:val="auto"/>
              </w:rPr>
            </w:pPr>
          </w:p>
        </w:tc>
      </w:tr>
      <w:tr>
        <w:trPr>
          <w:trHeight w:val="240"/>
        </w:trPr>
        <w:tc>
          <w:tcPr>
            <w:tcW w:w="2480" w:type="dxa"/>
            <w:vAlign w:val="bottom"/>
            <w:shd w:val="clear" w:color="auto" w:fill="DBDBDB"/>
          </w:tcPr>
          <w:p>
            <w:pPr>
              <w:spacing w:after="0"/>
              <w:rPr>
                <w:sz w:val="20"/>
                <w:szCs w:val="20"/>
                <w:color w:val="auto"/>
              </w:rPr>
            </w:pPr>
          </w:p>
        </w:tc>
        <w:tc>
          <w:tcPr>
            <w:tcW w:w="380" w:type="dxa"/>
            <w:vAlign w:val="bottom"/>
            <w:shd w:val="clear" w:color="auto" w:fill="DBDBDB"/>
          </w:tcPr>
          <w:p>
            <w:pPr>
              <w:ind w:left="20"/>
              <w:spacing w:after="0" w:line="161" w:lineRule="exact"/>
              <w:rPr>
                <w:sz w:val="20"/>
                <w:szCs w:val="20"/>
                <w:color w:val="auto"/>
              </w:rPr>
            </w:pPr>
            <w:r>
              <w:rPr>
                <w:rFonts w:ascii="MS PGothic" w:cs="MS PGothic" w:eastAsia="MS PGothic" w:hAnsi="MS PGothic"/>
                <w:sz w:val="16"/>
                <w:szCs w:val="16"/>
                <w:color w:val="auto"/>
                <w:shd w:val="clear" w:color="auto" w:fill="C00000"/>
              </w:rPr>
              <w:t>✓</w:t>
            </w:r>
          </w:p>
        </w:tc>
        <w:tc>
          <w:tcPr>
            <w:tcW w:w="8380" w:type="dxa"/>
            <w:vAlign w:val="bottom"/>
            <w:shd w:val="clear" w:color="auto" w:fill="DBDBDB"/>
          </w:tcPr>
          <w:p>
            <w:pPr>
              <w:ind w:left="20"/>
              <w:spacing w:after="0"/>
              <w:rPr>
                <w:sz w:val="20"/>
                <w:szCs w:val="20"/>
                <w:color w:val="auto"/>
              </w:rPr>
            </w:pPr>
            <w:r>
              <w:rPr>
                <w:rFonts w:ascii="Arial" w:cs="Arial" w:eastAsia="Arial" w:hAnsi="Arial"/>
                <w:sz w:val="16"/>
                <w:szCs w:val="16"/>
                <w:color w:val="auto"/>
              </w:rPr>
              <w:t>Our annual cash incentive targets align with our annual financial goals</w:t>
            </w:r>
          </w:p>
        </w:tc>
        <w:tc>
          <w:tcPr>
            <w:tcW w:w="0" w:type="dxa"/>
            <w:vAlign w:val="bottom"/>
          </w:tcPr>
          <w:p>
            <w:pPr>
              <w:spacing w:after="0"/>
              <w:rPr>
                <w:sz w:val="1"/>
                <w:szCs w:val="1"/>
                <w:color w:val="auto"/>
              </w:rPr>
            </w:pPr>
          </w:p>
        </w:tc>
      </w:tr>
      <w:tr>
        <w:trPr>
          <w:trHeight w:val="240"/>
        </w:trPr>
        <w:tc>
          <w:tcPr>
            <w:tcW w:w="2480" w:type="dxa"/>
            <w:vAlign w:val="bottom"/>
            <w:shd w:val="clear" w:color="auto" w:fill="DBDBDB"/>
          </w:tcPr>
          <w:p>
            <w:pPr>
              <w:spacing w:after="0"/>
              <w:rPr>
                <w:sz w:val="20"/>
                <w:szCs w:val="20"/>
                <w:color w:val="auto"/>
              </w:rPr>
            </w:pPr>
          </w:p>
        </w:tc>
        <w:tc>
          <w:tcPr>
            <w:tcW w:w="380" w:type="dxa"/>
            <w:vAlign w:val="bottom"/>
            <w:shd w:val="clear" w:color="auto" w:fill="DBDBDB"/>
          </w:tcPr>
          <w:p>
            <w:pPr>
              <w:ind w:left="20"/>
              <w:spacing w:after="0" w:line="161" w:lineRule="exact"/>
              <w:rPr>
                <w:sz w:val="20"/>
                <w:szCs w:val="20"/>
                <w:color w:val="auto"/>
              </w:rPr>
            </w:pPr>
            <w:r>
              <w:rPr>
                <w:rFonts w:ascii="MS PGothic" w:cs="MS PGothic" w:eastAsia="MS PGothic" w:hAnsi="MS PGothic"/>
                <w:sz w:val="16"/>
                <w:szCs w:val="16"/>
                <w:color w:val="auto"/>
                <w:shd w:val="clear" w:color="auto" w:fill="C00000"/>
              </w:rPr>
              <w:t>✓</w:t>
            </w:r>
          </w:p>
        </w:tc>
        <w:tc>
          <w:tcPr>
            <w:tcW w:w="8380" w:type="dxa"/>
            <w:vAlign w:val="bottom"/>
            <w:shd w:val="clear" w:color="auto" w:fill="DBDBDB"/>
          </w:tcPr>
          <w:p>
            <w:pPr>
              <w:ind w:left="20"/>
              <w:spacing w:after="0"/>
              <w:rPr>
                <w:sz w:val="20"/>
                <w:szCs w:val="20"/>
                <w:color w:val="auto"/>
              </w:rPr>
            </w:pPr>
            <w:r>
              <w:rPr>
                <w:rFonts w:ascii="Arial" w:cs="Arial" w:eastAsia="Arial" w:hAnsi="Arial"/>
                <w:sz w:val="16"/>
                <w:szCs w:val="16"/>
                <w:color w:val="auto"/>
              </w:rPr>
              <w:t>Our long-term incentives align with our long-term growth strategy</w:t>
            </w:r>
          </w:p>
        </w:tc>
        <w:tc>
          <w:tcPr>
            <w:tcW w:w="0" w:type="dxa"/>
            <w:vAlign w:val="bottom"/>
          </w:tcPr>
          <w:p>
            <w:pPr>
              <w:spacing w:after="0"/>
              <w:rPr>
                <w:sz w:val="1"/>
                <w:szCs w:val="1"/>
                <w:color w:val="auto"/>
              </w:rPr>
            </w:pPr>
          </w:p>
        </w:tc>
      </w:tr>
      <w:tr>
        <w:trPr>
          <w:trHeight w:val="204"/>
        </w:trPr>
        <w:tc>
          <w:tcPr>
            <w:tcW w:w="2480" w:type="dxa"/>
            <w:vAlign w:val="bottom"/>
          </w:tcPr>
          <w:p>
            <w:pPr>
              <w:ind w:left="20"/>
              <w:spacing w:after="0"/>
              <w:rPr>
                <w:sz w:val="20"/>
                <w:szCs w:val="20"/>
                <w:color w:val="auto"/>
              </w:rPr>
            </w:pPr>
            <w:r>
              <w:rPr>
                <w:rFonts w:ascii="Arial" w:cs="Arial" w:eastAsia="Arial" w:hAnsi="Arial"/>
                <w:sz w:val="16"/>
                <w:szCs w:val="16"/>
                <w:color w:val="auto"/>
              </w:rPr>
              <w:t>Provide Competitive Pay</w:t>
            </w:r>
          </w:p>
        </w:tc>
        <w:tc>
          <w:tcPr>
            <w:tcW w:w="380" w:type="dxa"/>
            <w:vAlign w:val="bottom"/>
          </w:tcPr>
          <w:p>
            <w:pPr>
              <w:ind w:left="20"/>
              <w:spacing w:after="0" w:line="161" w:lineRule="exact"/>
              <w:rPr>
                <w:sz w:val="20"/>
                <w:szCs w:val="20"/>
                <w:color w:val="auto"/>
              </w:rPr>
            </w:pPr>
            <w:r>
              <w:rPr>
                <w:rFonts w:ascii="MS PGothic" w:cs="MS PGothic" w:eastAsia="MS PGothic" w:hAnsi="MS PGothic"/>
                <w:sz w:val="16"/>
                <w:szCs w:val="16"/>
                <w:color w:val="auto"/>
                <w:shd w:val="clear" w:color="auto" w:fill="C00000"/>
              </w:rPr>
              <w:t>✓</w:t>
            </w:r>
          </w:p>
        </w:tc>
        <w:tc>
          <w:tcPr>
            <w:tcW w:w="8380" w:type="dxa"/>
            <w:vAlign w:val="bottom"/>
          </w:tcPr>
          <w:p>
            <w:pPr>
              <w:ind w:left="20"/>
              <w:spacing w:after="0"/>
              <w:rPr>
                <w:sz w:val="20"/>
                <w:szCs w:val="20"/>
                <w:color w:val="auto"/>
              </w:rPr>
            </w:pPr>
            <w:r>
              <w:rPr>
                <w:rFonts w:ascii="Arial" w:cs="Arial" w:eastAsia="Arial" w:hAnsi="Arial"/>
                <w:sz w:val="16"/>
                <w:szCs w:val="16"/>
                <w:color w:val="auto"/>
              </w:rPr>
              <w:t>We obtain market data from our independent external consultant</w:t>
            </w:r>
          </w:p>
        </w:tc>
        <w:tc>
          <w:tcPr>
            <w:tcW w:w="0" w:type="dxa"/>
            <w:vAlign w:val="bottom"/>
          </w:tcPr>
          <w:p>
            <w:pPr>
              <w:spacing w:after="0"/>
              <w:rPr>
                <w:sz w:val="1"/>
                <w:szCs w:val="1"/>
                <w:color w:val="auto"/>
              </w:rPr>
            </w:pPr>
          </w:p>
        </w:tc>
      </w:tr>
      <w:tr>
        <w:trPr>
          <w:trHeight w:val="316"/>
        </w:trPr>
        <w:tc>
          <w:tcPr>
            <w:tcW w:w="2480" w:type="dxa"/>
            <w:vAlign w:val="bottom"/>
          </w:tcPr>
          <w:p>
            <w:pPr>
              <w:spacing w:after="0"/>
              <w:rPr>
                <w:sz w:val="24"/>
                <w:szCs w:val="24"/>
                <w:color w:val="auto"/>
              </w:rPr>
            </w:pPr>
          </w:p>
        </w:tc>
        <w:tc>
          <w:tcPr>
            <w:tcW w:w="380" w:type="dxa"/>
            <w:vAlign w:val="bottom"/>
          </w:tcPr>
          <w:p>
            <w:pPr>
              <w:ind w:left="20"/>
              <w:spacing w:after="0" w:line="161" w:lineRule="exact"/>
              <w:rPr>
                <w:sz w:val="20"/>
                <w:szCs w:val="20"/>
                <w:color w:val="auto"/>
              </w:rPr>
            </w:pPr>
            <w:r>
              <w:rPr>
                <w:rFonts w:ascii="MS PGothic" w:cs="MS PGothic" w:eastAsia="MS PGothic" w:hAnsi="MS PGothic"/>
                <w:sz w:val="16"/>
                <w:szCs w:val="16"/>
                <w:color w:val="auto"/>
                <w:shd w:val="clear" w:color="auto" w:fill="C00000"/>
              </w:rPr>
              <w:t>✓</w:t>
            </w:r>
          </w:p>
        </w:tc>
        <w:tc>
          <w:tcPr>
            <w:tcW w:w="8380" w:type="dxa"/>
            <w:vAlign w:val="bottom"/>
          </w:tcPr>
          <w:p>
            <w:pPr>
              <w:ind w:left="20"/>
              <w:spacing w:after="0"/>
              <w:rPr>
                <w:sz w:val="20"/>
                <w:szCs w:val="20"/>
                <w:color w:val="auto"/>
              </w:rPr>
            </w:pPr>
            <w:r>
              <w:rPr>
                <w:rFonts w:ascii="Arial" w:cs="Arial" w:eastAsia="Arial" w:hAnsi="Arial"/>
                <w:sz w:val="16"/>
                <w:szCs w:val="16"/>
                <w:color w:val="auto"/>
              </w:rPr>
              <w:t>We typically target pay opportunities within a competitive range of the market 50</w:t>
            </w:r>
            <w:r>
              <w:rPr>
                <w:rFonts w:ascii="Arial" w:cs="Arial" w:eastAsia="Arial" w:hAnsi="Arial"/>
                <w:sz w:val="20"/>
                <w:szCs w:val="20"/>
                <w:color w:val="auto"/>
                <w:vertAlign w:val="superscript"/>
              </w:rPr>
              <w:t>th</w:t>
            </w:r>
            <w:r>
              <w:rPr>
                <w:rFonts w:ascii="Arial" w:cs="Arial" w:eastAsia="Arial" w:hAnsi="Arial"/>
                <w:sz w:val="16"/>
                <w:szCs w:val="16"/>
                <w:color w:val="auto"/>
              </w:rPr>
              <w:t xml:space="preserve"> percentile</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154" w:right="339" w:bottom="1440" w:gutter="0" w:footer="0" w:header="0"/>
          <w:type w:val="continuous"/>
        </w:sectPr>
      </w:pPr>
    </w:p>
    <w:bookmarkStart w:id="46" w:name="page47"/>
    <w:bookmarkEnd w:id="46"/>
    <w:p>
      <w:pPr>
        <w:ind w:left="53"/>
        <w:spacing w:after="0"/>
        <w:rPr>
          <w:sz w:val="20"/>
          <w:szCs w:val="20"/>
          <w:color w:val="auto"/>
        </w:rPr>
      </w:pPr>
      <w:r>
        <w:rPr>
          <w:rFonts w:ascii="Arial" w:cs="Arial" w:eastAsia="Arial" w:hAnsi="Arial"/>
          <w:sz w:val="20"/>
          <w:szCs w:val="20"/>
          <w:b w:val="1"/>
          <w:bCs w:val="1"/>
          <w:color w:val="C00000"/>
        </w:rPr>
        <w:t>Compensation Highlights and Best Practices</w:t>
      </w:r>
    </w:p>
    <w:p>
      <w:pPr>
        <w:spacing w:after="0" w:line="244" w:lineRule="exact"/>
        <w:rPr>
          <w:sz w:val="20"/>
          <w:szCs w:val="20"/>
          <w:color w:val="auto"/>
        </w:rPr>
      </w:pPr>
    </w:p>
    <w:p>
      <w:pPr>
        <w:ind w:left="53" w:right="20" w:firstLine="320"/>
        <w:spacing w:after="0" w:line="262" w:lineRule="auto"/>
        <w:rPr>
          <w:sz w:val="20"/>
          <w:szCs w:val="20"/>
          <w:color w:val="auto"/>
        </w:rPr>
      </w:pPr>
      <w:r>
        <w:rPr>
          <w:rFonts w:ascii="Arial" w:cs="Arial" w:eastAsia="Arial" w:hAnsi="Arial"/>
          <w:sz w:val="18"/>
          <w:szCs w:val="18"/>
          <w:color w:val="auto"/>
        </w:rPr>
        <w:t>Our compensation practices include many best pay practices that support our executive compensation objectives and philosophy, and benefit our shareholders.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38100</wp:posOffset>
            </wp:positionH>
            <wp:positionV relativeFrom="paragraph">
              <wp:posOffset>71120</wp:posOffset>
            </wp:positionV>
            <wp:extent cx="6947535" cy="1612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6947535" cy="161290"/>
                    </a:xfrm>
                    <a:prstGeom prst="rect">
                      <a:avLst/>
                    </a:prstGeom>
                    <a:noFill/>
                  </pic:spPr>
                </pic:pic>
              </a:graphicData>
            </a:graphic>
          </wp:anchor>
        </w:drawing>
      </w:r>
    </w:p>
    <w:p>
      <w:pPr>
        <w:sectPr>
          <w:pgSz w:w="11900" w:h="16838" w:orient="portrait"/>
          <w:cols w:equalWidth="0" w:num="1">
            <w:col w:w="11293"/>
          </w:cols>
          <w:pgMar w:left="267" w:top="1103" w:right="339" w:bottom="1440" w:gutter="0" w:footer="0" w:header="0"/>
        </w:sectPr>
      </w:pPr>
    </w:p>
    <w:p>
      <w:pPr>
        <w:spacing w:after="0" w:line="120" w:lineRule="exact"/>
        <w:rPr>
          <w:sz w:val="20"/>
          <w:szCs w:val="20"/>
          <w:color w:val="auto"/>
        </w:rPr>
      </w:pPr>
    </w:p>
    <w:p>
      <w:pPr>
        <w:ind w:left="2533"/>
        <w:spacing w:after="0"/>
        <w:rPr>
          <w:sz w:val="20"/>
          <w:szCs w:val="20"/>
          <w:color w:val="auto"/>
        </w:rPr>
      </w:pPr>
      <w:r>
        <w:rPr>
          <w:rFonts w:ascii="Arial" w:cs="Arial" w:eastAsia="Arial" w:hAnsi="Arial"/>
          <w:sz w:val="18"/>
          <w:szCs w:val="18"/>
          <w:b w:val="1"/>
          <w:bCs w:val="1"/>
          <w:color w:val="FFFFFF"/>
        </w:rPr>
        <w:t>What We Do</w:t>
      </w:r>
    </w:p>
    <w:p>
      <w:pPr>
        <w:spacing w:after="0" w:line="38" w:lineRule="exact"/>
        <w:rPr>
          <w:sz w:val="20"/>
          <w:szCs w:val="20"/>
          <w:color w:val="auto"/>
        </w:rPr>
      </w:pPr>
    </w:p>
    <w:p>
      <w:pPr>
        <w:ind w:left="453" w:right="20" w:hanging="453"/>
        <w:spacing w:after="0" w:line="183" w:lineRule="auto"/>
        <w:tabs>
          <w:tab w:leader="none" w:pos="453" w:val="left"/>
        </w:tabs>
        <w:numPr>
          <w:ilvl w:val="0"/>
          <w:numId w:val="58"/>
        </w:numPr>
        <w:rPr>
          <w:rFonts w:ascii="MS PGothic" w:cs="MS PGothic" w:eastAsia="MS PGothic" w:hAnsi="MS PGothic"/>
          <w:sz w:val="33"/>
          <w:szCs w:val="33"/>
          <w:color w:val="auto"/>
          <w:vertAlign w:val="subscript"/>
          <w:shd w:val="clear" w:color="auto" w:fill="C00000"/>
        </w:rPr>
      </w:pPr>
      <w:r>
        <w:rPr>
          <w:rFonts w:ascii="Arial" w:cs="Arial" w:eastAsia="Arial" w:hAnsi="Arial"/>
          <w:sz w:val="15"/>
          <w:szCs w:val="15"/>
          <w:color w:val="auto"/>
        </w:rPr>
        <w:t>Structure our executive officer compensation so it is competitive, and a significant portion of pay is at risk</w:t>
      </w:r>
    </w:p>
    <w:p>
      <w:pPr>
        <w:spacing w:after="0" w:line="30" w:lineRule="exact"/>
        <w:rPr>
          <w:rFonts w:ascii="MS PGothic" w:cs="MS PGothic" w:eastAsia="MS PGothic" w:hAnsi="MS PGothic"/>
          <w:sz w:val="33"/>
          <w:szCs w:val="33"/>
          <w:color w:val="auto"/>
          <w:vertAlign w:val="subscript"/>
          <w:shd w:val="clear" w:color="auto" w:fill="C00000"/>
        </w:rPr>
      </w:pPr>
    </w:p>
    <w:p>
      <w:pPr>
        <w:ind w:left="453" w:right="360" w:hanging="453"/>
        <w:spacing w:after="0" w:line="183" w:lineRule="auto"/>
        <w:tabs>
          <w:tab w:leader="none" w:pos="453" w:val="left"/>
        </w:tabs>
        <w:numPr>
          <w:ilvl w:val="0"/>
          <w:numId w:val="58"/>
        </w:numPr>
        <w:rPr>
          <w:rFonts w:ascii="MS PGothic" w:cs="MS PGothic" w:eastAsia="MS PGothic" w:hAnsi="MS PGothic"/>
          <w:sz w:val="33"/>
          <w:szCs w:val="33"/>
          <w:color w:val="auto"/>
          <w:vertAlign w:val="subscript"/>
          <w:shd w:val="clear" w:color="auto" w:fill="C00000"/>
        </w:rPr>
      </w:pPr>
      <w:r>
        <w:rPr>
          <w:rFonts w:ascii="Arial" w:cs="Arial" w:eastAsia="Arial" w:hAnsi="Arial"/>
          <w:sz w:val="15"/>
          <w:szCs w:val="15"/>
          <w:color w:val="auto"/>
        </w:rPr>
        <w:t>Emphasize long-term performance in our equity-based incentive awards</w:t>
      </w:r>
    </w:p>
    <w:p>
      <w:pPr>
        <w:spacing w:after="0" w:line="43" w:lineRule="exact"/>
        <w:rPr>
          <w:rFonts w:ascii="MS PGothic" w:cs="MS PGothic" w:eastAsia="MS PGothic" w:hAnsi="MS PGothic"/>
          <w:sz w:val="33"/>
          <w:szCs w:val="33"/>
          <w:color w:val="auto"/>
          <w:vertAlign w:val="subscript"/>
          <w:shd w:val="clear" w:color="auto" w:fill="C00000"/>
        </w:rPr>
      </w:pPr>
    </w:p>
    <w:p>
      <w:pPr>
        <w:ind w:left="453" w:hanging="453"/>
        <w:spacing w:after="0"/>
        <w:tabs>
          <w:tab w:leader="none" w:pos="453" w:val="left"/>
        </w:tabs>
        <w:numPr>
          <w:ilvl w:val="0"/>
          <w:numId w:val="58"/>
        </w:numPr>
        <w:rPr>
          <w:rFonts w:ascii="MS PGothic" w:cs="MS PGothic" w:eastAsia="MS PGothic" w:hAnsi="MS PGothic"/>
          <w:sz w:val="20"/>
          <w:szCs w:val="20"/>
          <w:color w:val="auto"/>
          <w:shd w:val="clear" w:color="auto" w:fill="C00000"/>
        </w:rPr>
      </w:pPr>
      <w:r>
        <w:rPr>
          <w:rFonts w:ascii="Arial" w:cs="Arial" w:eastAsia="Arial" w:hAnsi="Arial"/>
          <w:sz w:val="16"/>
          <w:szCs w:val="16"/>
          <w:color w:val="auto"/>
        </w:rPr>
        <w:t>Use a mix of performance measures in our incentive plans</w:t>
      </w:r>
    </w:p>
    <w:p>
      <w:pPr>
        <w:spacing w:after="0" w:line="74" w:lineRule="exact"/>
        <w:rPr>
          <w:rFonts w:ascii="MS PGothic" w:cs="MS PGothic" w:eastAsia="MS PGothic" w:hAnsi="MS PGothic"/>
          <w:sz w:val="20"/>
          <w:szCs w:val="20"/>
          <w:color w:val="auto"/>
          <w:shd w:val="clear" w:color="auto" w:fill="C00000"/>
        </w:rPr>
      </w:pPr>
    </w:p>
    <w:p>
      <w:pPr>
        <w:ind w:left="453" w:hanging="453"/>
        <w:spacing w:after="0"/>
        <w:tabs>
          <w:tab w:leader="none" w:pos="453" w:val="left"/>
        </w:tabs>
        <w:numPr>
          <w:ilvl w:val="0"/>
          <w:numId w:val="58"/>
        </w:numPr>
        <w:rPr>
          <w:rFonts w:ascii="MS PGothic" w:cs="MS PGothic" w:eastAsia="MS PGothic" w:hAnsi="MS PGothic"/>
          <w:sz w:val="20"/>
          <w:szCs w:val="20"/>
          <w:color w:val="auto"/>
          <w:shd w:val="clear" w:color="auto" w:fill="C00000"/>
        </w:rPr>
      </w:pPr>
      <w:r>
        <w:rPr>
          <w:rFonts w:ascii="Arial" w:cs="Arial" w:eastAsia="Arial" w:hAnsi="Arial"/>
          <w:sz w:val="16"/>
          <w:szCs w:val="16"/>
          <w:color w:val="auto"/>
        </w:rPr>
        <w:t>Establish threshold levels of performance and caps on payouts</w:t>
      </w:r>
    </w:p>
    <w:p>
      <w:pPr>
        <w:spacing w:after="0" w:line="141" w:lineRule="exact"/>
        <w:rPr>
          <w:rFonts w:ascii="MS PGothic" w:cs="MS PGothic" w:eastAsia="MS PGothic" w:hAnsi="MS PGothic"/>
          <w:sz w:val="20"/>
          <w:szCs w:val="20"/>
          <w:color w:val="auto"/>
          <w:shd w:val="clear" w:color="auto" w:fill="C00000"/>
        </w:rPr>
      </w:pPr>
    </w:p>
    <w:p>
      <w:pPr>
        <w:ind w:left="453" w:hanging="453"/>
        <w:spacing w:after="0"/>
        <w:tabs>
          <w:tab w:leader="none" w:pos="453" w:val="left"/>
        </w:tabs>
        <w:numPr>
          <w:ilvl w:val="0"/>
          <w:numId w:val="58"/>
        </w:numPr>
        <w:rPr>
          <w:rFonts w:ascii="MS PGothic" w:cs="MS PGothic" w:eastAsia="MS PGothic" w:hAnsi="MS PGothic"/>
          <w:sz w:val="20"/>
          <w:szCs w:val="20"/>
          <w:color w:val="auto"/>
          <w:shd w:val="clear" w:color="auto" w:fill="C00000"/>
        </w:rPr>
      </w:pPr>
      <w:r>
        <w:rPr>
          <w:rFonts w:ascii="Arial" w:cs="Arial" w:eastAsia="Arial" w:hAnsi="Arial"/>
          <w:sz w:val="16"/>
          <w:szCs w:val="16"/>
          <w:color w:val="auto"/>
        </w:rPr>
        <w:t>Maintain a robust clawback policy and provisions</w:t>
      </w:r>
    </w:p>
    <w:p>
      <w:pPr>
        <w:spacing w:after="0" w:line="127" w:lineRule="exact"/>
        <w:rPr>
          <w:rFonts w:ascii="MS PGothic" w:cs="MS PGothic" w:eastAsia="MS PGothic" w:hAnsi="MS PGothic"/>
          <w:sz w:val="20"/>
          <w:szCs w:val="20"/>
          <w:color w:val="auto"/>
          <w:shd w:val="clear" w:color="auto" w:fill="C00000"/>
        </w:rPr>
      </w:pPr>
    </w:p>
    <w:p>
      <w:pPr>
        <w:ind w:left="453" w:hanging="453"/>
        <w:spacing w:after="0" w:line="183" w:lineRule="auto"/>
        <w:tabs>
          <w:tab w:leader="none" w:pos="453" w:val="left"/>
        </w:tabs>
        <w:numPr>
          <w:ilvl w:val="0"/>
          <w:numId w:val="58"/>
        </w:numPr>
        <w:rPr>
          <w:rFonts w:ascii="MS PGothic" w:cs="MS PGothic" w:eastAsia="MS PGothic" w:hAnsi="MS PGothic"/>
          <w:sz w:val="33"/>
          <w:szCs w:val="33"/>
          <w:color w:val="auto"/>
          <w:vertAlign w:val="subscript"/>
          <w:shd w:val="clear" w:color="auto" w:fill="C00000"/>
        </w:rPr>
      </w:pPr>
      <w:r>
        <w:rPr>
          <w:rFonts w:ascii="Arial" w:cs="Arial" w:eastAsia="Arial" w:hAnsi="Arial"/>
          <w:sz w:val="15"/>
          <w:szCs w:val="15"/>
          <w:color w:val="auto"/>
        </w:rPr>
        <w:t>Have robust stock ownership guidelines and holding requirements for executive officers</w:t>
      </w:r>
    </w:p>
    <w:p>
      <w:pPr>
        <w:spacing w:after="0" w:line="43" w:lineRule="exact"/>
        <w:rPr>
          <w:rFonts w:ascii="MS PGothic" w:cs="MS PGothic" w:eastAsia="MS PGothic" w:hAnsi="MS PGothic"/>
          <w:sz w:val="33"/>
          <w:szCs w:val="33"/>
          <w:color w:val="auto"/>
          <w:vertAlign w:val="subscript"/>
          <w:shd w:val="clear" w:color="auto" w:fill="C00000"/>
        </w:rPr>
      </w:pPr>
    </w:p>
    <w:p>
      <w:pPr>
        <w:ind w:left="453" w:hanging="453"/>
        <w:spacing w:after="0"/>
        <w:tabs>
          <w:tab w:leader="none" w:pos="453" w:val="left"/>
        </w:tabs>
        <w:numPr>
          <w:ilvl w:val="0"/>
          <w:numId w:val="58"/>
        </w:numPr>
        <w:rPr>
          <w:rFonts w:ascii="MS PGothic" w:cs="MS PGothic" w:eastAsia="MS PGothic" w:hAnsi="MS PGothic"/>
          <w:sz w:val="20"/>
          <w:szCs w:val="20"/>
          <w:color w:val="auto"/>
          <w:shd w:val="clear" w:color="auto" w:fill="C00000"/>
        </w:rPr>
      </w:pPr>
      <w:r>
        <w:rPr>
          <w:rFonts w:ascii="Arial" w:cs="Arial" w:eastAsia="Arial" w:hAnsi="Arial"/>
          <w:sz w:val="16"/>
          <w:szCs w:val="16"/>
          <w:color w:val="auto"/>
        </w:rPr>
        <w:t>Require minimum vesting periods on equity awards</w:t>
      </w:r>
    </w:p>
    <w:p>
      <w:pPr>
        <w:spacing w:after="0" w:line="74" w:lineRule="exact"/>
        <w:rPr>
          <w:rFonts w:ascii="MS PGothic" w:cs="MS PGothic" w:eastAsia="MS PGothic" w:hAnsi="MS PGothic"/>
          <w:sz w:val="20"/>
          <w:szCs w:val="20"/>
          <w:color w:val="auto"/>
          <w:shd w:val="clear" w:color="auto" w:fill="C00000"/>
        </w:rPr>
      </w:pPr>
    </w:p>
    <w:p>
      <w:pPr>
        <w:ind w:left="453" w:hanging="453"/>
        <w:spacing w:after="0"/>
        <w:tabs>
          <w:tab w:leader="none" w:pos="453" w:val="left"/>
        </w:tabs>
        <w:numPr>
          <w:ilvl w:val="0"/>
          <w:numId w:val="58"/>
        </w:numPr>
        <w:rPr>
          <w:rFonts w:ascii="MS PGothic" w:cs="MS PGothic" w:eastAsia="MS PGothic" w:hAnsi="MS PGothic"/>
          <w:sz w:val="20"/>
          <w:szCs w:val="20"/>
          <w:color w:val="auto"/>
          <w:shd w:val="clear" w:color="auto" w:fill="C00000"/>
        </w:rPr>
      </w:pPr>
      <w:r>
        <w:rPr>
          <w:rFonts w:ascii="Arial" w:cs="Arial" w:eastAsia="Arial" w:hAnsi="Arial"/>
          <w:sz w:val="16"/>
          <w:szCs w:val="16"/>
          <w:color w:val="auto"/>
        </w:rPr>
        <w:t>Hold an annual say-on-pay vote</w:t>
      </w:r>
    </w:p>
    <w:p>
      <w:pPr>
        <w:spacing w:after="0" w:line="20" w:lineRule="exact"/>
        <w:rPr>
          <w:sz w:val="20"/>
          <w:szCs w:val="20"/>
          <w:color w:val="auto"/>
        </w:rPr>
      </w:pPr>
      <w:r>
        <w:rPr>
          <w:sz w:val="20"/>
          <w:szCs w:val="20"/>
          <w:color w:val="auto"/>
        </w:rPr>
        <w:br w:type="column"/>
      </w:r>
    </w:p>
    <w:p>
      <w:pPr>
        <w:spacing w:after="0" w:line="100" w:lineRule="exact"/>
        <w:rPr>
          <w:sz w:val="20"/>
          <w:szCs w:val="20"/>
          <w:color w:val="auto"/>
        </w:rPr>
      </w:pPr>
    </w:p>
    <w:p>
      <w:pPr>
        <w:ind w:left="2082"/>
        <w:spacing w:after="0"/>
        <w:rPr>
          <w:sz w:val="20"/>
          <w:szCs w:val="20"/>
          <w:color w:val="auto"/>
        </w:rPr>
      </w:pPr>
      <w:r>
        <w:rPr>
          <w:rFonts w:ascii="Arial" w:cs="Arial" w:eastAsia="Arial" w:hAnsi="Arial"/>
          <w:sz w:val="18"/>
          <w:szCs w:val="18"/>
          <w:b w:val="1"/>
          <w:bCs w:val="1"/>
          <w:color w:val="FFFFFF"/>
        </w:rPr>
        <w:t>What We Don't Do</w:t>
      </w:r>
    </w:p>
    <w:p>
      <w:pPr>
        <w:spacing w:after="0" w:line="118" w:lineRule="exact"/>
        <w:rPr>
          <w:sz w:val="20"/>
          <w:szCs w:val="20"/>
          <w:color w:val="auto"/>
        </w:rPr>
      </w:pPr>
    </w:p>
    <w:p>
      <w:pPr>
        <w:ind w:left="342" w:hanging="342"/>
        <w:spacing w:after="0"/>
        <w:tabs>
          <w:tab w:leader="none" w:pos="342" w:val="left"/>
        </w:tabs>
        <w:numPr>
          <w:ilvl w:val="0"/>
          <w:numId w:val="59"/>
        </w:numPr>
        <w:rPr>
          <w:rFonts w:ascii="Arial" w:cs="Arial" w:eastAsia="Arial" w:hAnsi="Arial"/>
          <w:sz w:val="18"/>
          <w:szCs w:val="18"/>
          <w:b w:val="1"/>
          <w:bCs w:val="1"/>
          <w:i w:val="1"/>
          <w:iCs w:val="1"/>
          <w:color w:val="BF2115"/>
        </w:rPr>
      </w:pPr>
      <w:r>
        <w:rPr>
          <w:rFonts w:ascii="Arial" w:cs="Arial" w:eastAsia="Arial" w:hAnsi="Arial"/>
          <w:sz w:val="16"/>
          <w:szCs w:val="16"/>
          <w:color w:val="auto"/>
        </w:rPr>
        <w:t>No guaranteed salary increases</w:t>
      </w:r>
    </w:p>
    <w:p>
      <w:pPr>
        <w:spacing w:after="0" w:line="206" w:lineRule="exact"/>
        <w:rPr>
          <w:rFonts w:ascii="Arial" w:cs="Arial" w:eastAsia="Arial" w:hAnsi="Arial"/>
          <w:sz w:val="18"/>
          <w:szCs w:val="18"/>
          <w:b w:val="1"/>
          <w:bCs w:val="1"/>
          <w:i w:val="1"/>
          <w:iCs w:val="1"/>
          <w:color w:val="BF2115"/>
        </w:rPr>
      </w:pPr>
    </w:p>
    <w:p>
      <w:pPr>
        <w:ind w:left="342" w:hanging="342"/>
        <w:spacing w:after="0"/>
        <w:tabs>
          <w:tab w:leader="none" w:pos="342" w:val="left"/>
        </w:tabs>
        <w:numPr>
          <w:ilvl w:val="0"/>
          <w:numId w:val="59"/>
        </w:numPr>
        <w:rPr>
          <w:rFonts w:ascii="Arial" w:cs="Arial" w:eastAsia="Arial" w:hAnsi="Arial"/>
          <w:sz w:val="18"/>
          <w:szCs w:val="18"/>
          <w:b w:val="1"/>
          <w:bCs w:val="1"/>
          <w:i w:val="1"/>
          <w:iCs w:val="1"/>
          <w:color w:val="BF2115"/>
        </w:rPr>
      </w:pPr>
      <w:r>
        <w:rPr>
          <w:rFonts w:ascii="Arial" w:cs="Arial" w:eastAsia="Arial" w:hAnsi="Arial"/>
          <w:sz w:val="16"/>
          <w:szCs w:val="16"/>
          <w:color w:val="auto"/>
        </w:rPr>
        <w:t>No guaranteed bonuses, except on occasion to new hires</w:t>
      </w:r>
    </w:p>
    <w:p>
      <w:pPr>
        <w:spacing w:after="0" w:line="139" w:lineRule="exact"/>
        <w:rPr>
          <w:rFonts w:ascii="Arial" w:cs="Arial" w:eastAsia="Arial" w:hAnsi="Arial"/>
          <w:sz w:val="18"/>
          <w:szCs w:val="18"/>
          <w:b w:val="1"/>
          <w:bCs w:val="1"/>
          <w:i w:val="1"/>
          <w:iCs w:val="1"/>
          <w:color w:val="BF2115"/>
        </w:rPr>
      </w:pPr>
    </w:p>
    <w:p>
      <w:pPr>
        <w:ind w:left="342" w:hanging="342"/>
        <w:spacing w:after="0"/>
        <w:tabs>
          <w:tab w:leader="none" w:pos="342" w:val="left"/>
        </w:tabs>
        <w:numPr>
          <w:ilvl w:val="0"/>
          <w:numId w:val="59"/>
        </w:numPr>
        <w:rPr>
          <w:rFonts w:ascii="Arial" w:cs="Arial" w:eastAsia="Arial" w:hAnsi="Arial"/>
          <w:sz w:val="18"/>
          <w:szCs w:val="18"/>
          <w:b w:val="1"/>
          <w:bCs w:val="1"/>
          <w:i w:val="1"/>
          <w:iCs w:val="1"/>
          <w:color w:val="BF2115"/>
        </w:rPr>
      </w:pPr>
      <w:r>
        <w:rPr>
          <w:rFonts w:ascii="Arial" w:cs="Arial" w:eastAsia="Arial" w:hAnsi="Arial"/>
          <w:sz w:val="16"/>
          <w:szCs w:val="16"/>
          <w:color w:val="auto"/>
        </w:rPr>
        <w:t>No excessive perquisites</w:t>
      </w:r>
    </w:p>
    <w:p>
      <w:pPr>
        <w:spacing w:after="0" w:line="73" w:lineRule="exact"/>
        <w:rPr>
          <w:rFonts w:ascii="Arial" w:cs="Arial" w:eastAsia="Arial" w:hAnsi="Arial"/>
          <w:sz w:val="18"/>
          <w:szCs w:val="18"/>
          <w:b w:val="1"/>
          <w:bCs w:val="1"/>
          <w:i w:val="1"/>
          <w:iCs w:val="1"/>
          <w:color w:val="BF2115"/>
        </w:rPr>
      </w:pPr>
    </w:p>
    <w:p>
      <w:pPr>
        <w:ind w:left="342" w:hanging="342"/>
        <w:spacing w:after="0"/>
        <w:tabs>
          <w:tab w:leader="none" w:pos="342" w:val="left"/>
        </w:tabs>
        <w:numPr>
          <w:ilvl w:val="0"/>
          <w:numId w:val="59"/>
        </w:numPr>
        <w:rPr>
          <w:rFonts w:ascii="Arial" w:cs="Arial" w:eastAsia="Arial" w:hAnsi="Arial"/>
          <w:sz w:val="18"/>
          <w:szCs w:val="18"/>
          <w:b w:val="1"/>
          <w:bCs w:val="1"/>
          <w:i w:val="1"/>
          <w:iCs w:val="1"/>
          <w:color w:val="BF2115"/>
        </w:rPr>
      </w:pPr>
      <w:r>
        <w:rPr>
          <w:rFonts w:ascii="Arial" w:cs="Arial" w:eastAsia="Arial" w:hAnsi="Arial"/>
          <w:sz w:val="16"/>
          <w:szCs w:val="16"/>
          <w:color w:val="auto"/>
        </w:rPr>
        <w:t>No individual employment agreements</w:t>
      </w:r>
    </w:p>
    <w:p>
      <w:pPr>
        <w:spacing w:after="0" w:line="59" w:lineRule="exact"/>
        <w:rPr>
          <w:rFonts w:ascii="Arial" w:cs="Arial" w:eastAsia="Arial" w:hAnsi="Arial"/>
          <w:sz w:val="18"/>
          <w:szCs w:val="18"/>
          <w:b w:val="1"/>
          <w:bCs w:val="1"/>
          <w:i w:val="1"/>
          <w:iCs w:val="1"/>
          <w:color w:val="BF2115"/>
        </w:rPr>
      </w:pPr>
    </w:p>
    <w:p>
      <w:pPr>
        <w:ind w:left="342"/>
        <w:spacing w:after="0"/>
        <w:rPr>
          <w:rFonts w:ascii="Arial" w:cs="Arial" w:eastAsia="Arial" w:hAnsi="Arial"/>
          <w:sz w:val="18"/>
          <w:szCs w:val="18"/>
          <w:b w:val="1"/>
          <w:bCs w:val="1"/>
          <w:i w:val="1"/>
          <w:iCs w:val="1"/>
          <w:color w:val="BF2115"/>
        </w:rPr>
      </w:pPr>
      <w:r>
        <w:rPr>
          <w:rFonts w:ascii="Arial" w:cs="Arial" w:eastAsia="Arial" w:hAnsi="Arial"/>
          <w:sz w:val="16"/>
          <w:szCs w:val="16"/>
          <w:color w:val="auto"/>
        </w:rPr>
        <w:t>No short sales or derivative transactions in TTC stock, including</w:t>
      </w:r>
    </w:p>
    <w:p>
      <w:pPr>
        <w:spacing w:after="0" w:line="5" w:lineRule="exact"/>
        <w:rPr>
          <w:rFonts w:ascii="Arial" w:cs="Arial" w:eastAsia="Arial" w:hAnsi="Arial"/>
          <w:sz w:val="18"/>
          <w:szCs w:val="18"/>
          <w:b w:val="1"/>
          <w:bCs w:val="1"/>
          <w:i w:val="1"/>
          <w:iCs w:val="1"/>
          <w:color w:val="BF2115"/>
        </w:rPr>
      </w:pPr>
    </w:p>
    <w:p>
      <w:pPr>
        <w:ind w:left="342" w:hanging="342"/>
        <w:spacing w:after="0" w:line="184" w:lineRule="auto"/>
        <w:tabs>
          <w:tab w:leader="none" w:pos="342" w:val="left"/>
        </w:tabs>
        <w:numPr>
          <w:ilvl w:val="0"/>
          <w:numId w:val="59"/>
        </w:numPr>
        <w:rPr>
          <w:rFonts w:ascii="Arial" w:cs="Arial" w:eastAsia="Arial" w:hAnsi="Arial"/>
          <w:sz w:val="22"/>
          <w:szCs w:val="22"/>
          <w:b w:val="1"/>
          <w:bCs w:val="1"/>
          <w:i w:val="1"/>
          <w:iCs w:val="1"/>
          <w:color w:val="BF2115"/>
          <w:vertAlign w:val="superscript"/>
        </w:rPr>
      </w:pPr>
      <w:r>
        <w:rPr>
          <w:rFonts w:ascii="Arial" w:cs="Arial" w:eastAsia="Arial" w:hAnsi="Arial"/>
          <w:sz w:val="12"/>
          <w:szCs w:val="12"/>
          <w:color w:val="auto"/>
        </w:rPr>
        <w:t>hedges, or pledging</w:t>
      </w:r>
    </w:p>
    <w:p>
      <w:pPr>
        <w:spacing w:after="0" w:line="126" w:lineRule="exact"/>
        <w:rPr>
          <w:rFonts w:ascii="Arial" w:cs="Arial" w:eastAsia="Arial" w:hAnsi="Arial"/>
          <w:sz w:val="22"/>
          <w:szCs w:val="22"/>
          <w:b w:val="1"/>
          <w:bCs w:val="1"/>
          <w:i w:val="1"/>
          <w:iCs w:val="1"/>
          <w:color w:val="BF2115"/>
          <w:vertAlign w:val="superscript"/>
        </w:rPr>
      </w:pPr>
    </w:p>
    <w:p>
      <w:pPr>
        <w:ind w:left="342" w:hanging="342"/>
        <w:spacing w:after="0" w:line="225" w:lineRule="auto"/>
        <w:tabs>
          <w:tab w:leader="none" w:pos="342" w:val="left"/>
        </w:tabs>
        <w:numPr>
          <w:ilvl w:val="0"/>
          <w:numId w:val="59"/>
        </w:numPr>
        <w:rPr>
          <w:rFonts w:ascii="Arial" w:cs="Arial" w:eastAsia="Arial" w:hAnsi="Arial"/>
          <w:sz w:val="18"/>
          <w:szCs w:val="18"/>
          <w:b w:val="1"/>
          <w:bCs w:val="1"/>
          <w:i w:val="1"/>
          <w:iCs w:val="1"/>
          <w:color w:val="BF2115"/>
        </w:rPr>
      </w:pPr>
      <w:r>
        <w:rPr>
          <w:rFonts w:ascii="Arial" w:cs="Arial" w:eastAsia="Arial" w:hAnsi="Arial"/>
          <w:sz w:val="16"/>
          <w:szCs w:val="16"/>
          <w:color w:val="auto"/>
        </w:rPr>
        <w:t>No current payment of dividends on unvested awards</w:t>
      </w:r>
    </w:p>
    <w:p>
      <w:pPr>
        <w:spacing w:after="0" w:line="136" w:lineRule="exact"/>
        <w:rPr>
          <w:rFonts w:ascii="Arial" w:cs="Arial" w:eastAsia="Arial" w:hAnsi="Arial"/>
          <w:sz w:val="18"/>
          <w:szCs w:val="18"/>
          <w:b w:val="1"/>
          <w:bCs w:val="1"/>
          <w:i w:val="1"/>
          <w:iCs w:val="1"/>
          <w:color w:val="BF2115"/>
        </w:rPr>
      </w:pPr>
    </w:p>
    <w:p>
      <w:pPr>
        <w:ind w:left="342" w:hanging="342"/>
        <w:spacing w:after="0"/>
        <w:tabs>
          <w:tab w:leader="none" w:pos="342" w:val="left"/>
        </w:tabs>
        <w:numPr>
          <w:ilvl w:val="0"/>
          <w:numId w:val="59"/>
        </w:numPr>
        <w:rPr>
          <w:rFonts w:ascii="Arial" w:cs="Arial" w:eastAsia="Arial" w:hAnsi="Arial"/>
          <w:sz w:val="18"/>
          <w:szCs w:val="18"/>
          <w:b w:val="1"/>
          <w:bCs w:val="1"/>
          <w:i w:val="1"/>
          <w:iCs w:val="1"/>
          <w:color w:val="BF2115"/>
        </w:rPr>
      </w:pPr>
      <w:r>
        <w:rPr>
          <w:rFonts w:ascii="Arial" w:cs="Arial" w:eastAsia="Arial" w:hAnsi="Arial"/>
          <w:sz w:val="16"/>
          <w:szCs w:val="16"/>
          <w:color w:val="auto"/>
        </w:rPr>
        <w:t>No repricing of stock options</w:t>
      </w:r>
    </w:p>
    <w:p>
      <w:pPr>
        <w:spacing w:after="0" w:line="73" w:lineRule="exact"/>
        <w:rPr>
          <w:rFonts w:ascii="Arial" w:cs="Arial" w:eastAsia="Arial" w:hAnsi="Arial"/>
          <w:sz w:val="18"/>
          <w:szCs w:val="18"/>
          <w:b w:val="1"/>
          <w:bCs w:val="1"/>
          <w:i w:val="1"/>
          <w:iCs w:val="1"/>
          <w:color w:val="BF2115"/>
        </w:rPr>
      </w:pPr>
    </w:p>
    <w:p>
      <w:pPr>
        <w:ind w:left="342" w:hanging="342"/>
        <w:spacing w:after="0"/>
        <w:tabs>
          <w:tab w:leader="none" w:pos="342" w:val="left"/>
        </w:tabs>
        <w:numPr>
          <w:ilvl w:val="0"/>
          <w:numId w:val="59"/>
        </w:numPr>
        <w:rPr>
          <w:rFonts w:ascii="Arial" w:cs="Arial" w:eastAsia="Arial" w:hAnsi="Arial"/>
          <w:sz w:val="18"/>
          <w:szCs w:val="18"/>
          <w:b w:val="1"/>
          <w:bCs w:val="1"/>
          <w:i w:val="1"/>
          <w:iCs w:val="1"/>
          <w:color w:val="BF2115"/>
        </w:rPr>
      </w:pPr>
      <w:r>
        <w:rPr>
          <w:rFonts w:ascii="Arial" w:cs="Arial" w:eastAsia="Arial" w:hAnsi="Arial"/>
          <w:sz w:val="16"/>
          <w:szCs w:val="16"/>
          <w:color w:val="auto"/>
        </w:rPr>
        <w:t>No excise or other tax gross-ups</w:t>
      </w:r>
    </w:p>
    <w:p>
      <w:pPr>
        <w:spacing w:after="0" w:line="200" w:lineRule="exact"/>
        <w:rPr>
          <w:sz w:val="20"/>
          <w:szCs w:val="20"/>
          <w:color w:val="auto"/>
        </w:rPr>
      </w:pPr>
    </w:p>
    <w:p>
      <w:pPr>
        <w:sectPr>
          <w:pgSz w:w="11900" w:h="16838" w:orient="portrait"/>
          <w:cols w:equalWidth="0" w:num="2">
            <w:col w:w="5353" w:space="298"/>
            <w:col w:w="5642"/>
          </w:cols>
          <w:pgMar w:left="267" w:top="1103" w:right="339" w:bottom="1440" w:gutter="0" w:footer="0" w:header="0"/>
          <w:type w:val="continuous"/>
        </w:sectPr>
      </w:pPr>
    </w:p>
    <w:p>
      <w:pPr>
        <w:spacing w:after="0" w:line="77" w:lineRule="exact"/>
        <w:rPr>
          <w:sz w:val="20"/>
          <w:szCs w:val="20"/>
          <w:color w:val="auto"/>
        </w:rPr>
      </w:pPr>
    </w:p>
    <w:p>
      <w:pPr>
        <w:ind w:left="53"/>
        <w:spacing w:after="0"/>
        <w:rPr>
          <w:sz w:val="20"/>
          <w:szCs w:val="20"/>
          <w:color w:val="auto"/>
        </w:rPr>
      </w:pPr>
      <w:r>
        <w:rPr>
          <w:rFonts w:ascii="Arial" w:cs="Arial" w:eastAsia="Arial" w:hAnsi="Arial"/>
          <w:sz w:val="20"/>
          <w:szCs w:val="20"/>
          <w:b w:val="1"/>
          <w:bCs w:val="1"/>
          <w:color w:val="C00000"/>
        </w:rPr>
        <w:t>Pay for Performance and Pay Mix</w:t>
      </w:r>
    </w:p>
    <w:p>
      <w:pPr>
        <w:spacing w:after="0" w:line="97" w:lineRule="exact"/>
        <w:rPr>
          <w:sz w:val="20"/>
          <w:szCs w:val="20"/>
          <w:color w:val="auto"/>
        </w:rPr>
      </w:pPr>
    </w:p>
    <w:p>
      <w:pPr>
        <w:ind w:left="373"/>
        <w:spacing w:after="0"/>
        <w:rPr>
          <w:sz w:val="20"/>
          <w:szCs w:val="20"/>
          <w:color w:val="auto"/>
        </w:rPr>
      </w:pPr>
      <w:r>
        <w:rPr>
          <w:rFonts w:ascii="Arial" w:cs="Arial" w:eastAsia="Arial" w:hAnsi="Arial"/>
          <w:sz w:val="18"/>
          <w:szCs w:val="18"/>
          <w:color w:val="auto"/>
        </w:rPr>
        <w:t>We seek to motivate executive officers to achieve improved financial performance of our Company through incentive plans that reward</w:t>
      </w:r>
    </w:p>
    <w:p>
      <w:pPr>
        <w:spacing w:after="0" w:line="9" w:lineRule="exact"/>
        <w:rPr>
          <w:sz w:val="20"/>
          <w:szCs w:val="20"/>
          <w:color w:val="auto"/>
        </w:rPr>
      </w:pPr>
    </w:p>
    <w:p>
      <w:pPr>
        <w:ind w:left="53"/>
        <w:spacing w:after="0" w:line="237" w:lineRule="auto"/>
        <w:rPr>
          <w:sz w:val="20"/>
          <w:szCs w:val="20"/>
          <w:color w:val="auto"/>
        </w:rPr>
      </w:pPr>
      <w:r>
        <w:rPr>
          <w:rFonts w:ascii="Arial" w:cs="Arial" w:eastAsia="Arial" w:hAnsi="Arial"/>
          <w:sz w:val="17"/>
          <w:szCs w:val="17"/>
          <w:color w:val="auto"/>
        </w:rPr>
        <w:t>better performance with increased incentive payouts and hold executive officers accountable for financial performance that falls below targeted levels by paying reduced or no incentive payouts. Accordingly, a significant portion of the target total direct compensation for our Chairman and</w:t>
      </w:r>
    </w:p>
    <w:p>
      <w:pPr>
        <w:spacing w:after="0" w:line="1" w:lineRule="exact"/>
        <w:rPr>
          <w:sz w:val="20"/>
          <w:szCs w:val="20"/>
          <w:color w:val="auto"/>
        </w:rPr>
      </w:pPr>
    </w:p>
    <w:p>
      <w:pPr>
        <w:ind w:left="53"/>
        <w:spacing w:after="0" w:line="243" w:lineRule="auto"/>
        <w:rPr>
          <w:sz w:val="20"/>
          <w:szCs w:val="20"/>
          <w:color w:val="auto"/>
        </w:rPr>
      </w:pPr>
      <w:r>
        <w:rPr>
          <w:rFonts w:ascii="Arial" w:cs="Arial" w:eastAsia="Arial" w:hAnsi="Arial"/>
          <w:sz w:val="18"/>
          <w:szCs w:val="18"/>
          <w:color w:val="auto"/>
        </w:rPr>
        <w:t>CEO and other executive officers is comprised of short- and long-term variable performance-based, or at risk, compensation to directly link their pay to performance. Generally, higher level executive positions have a higher level of pay that is performance-based.</w:t>
      </w:r>
    </w:p>
    <w:p>
      <w:pPr>
        <w:spacing w:after="0" w:line="59" w:lineRule="exact"/>
        <w:rPr>
          <w:sz w:val="20"/>
          <w:szCs w:val="20"/>
          <w:color w:val="auto"/>
        </w:rPr>
      </w:pPr>
    </w:p>
    <w:p>
      <w:pPr>
        <w:ind w:left="53" w:firstLine="320"/>
        <w:spacing w:after="0" w:line="262" w:lineRule="auto"/>
        <w:rPr>
          <w:sz w:val="20"/>
          <w:szCs w:val="20"/>
          <w:color w:val="auto"/>
        </w:rPr>
      </w:pPr>
      <w:r>
        <w:rPr>
          <w:rFonts w:ascii="Arial" w:cs="Arial" w:eastAsia="Arial" w:hAnsi="Arial"/>
          <w:sz w:val="18"/>
          <w:szCs w:val="18"/>
          <w:color w:val="auto"/>
        </w:rPr>
        <w:t>The breakdown of variable, at-risk, pay (broken out between target annual cash incentives and target long-term incentives) compared fixed pay (i.e., annual base salary) for our Chairman and CEO and other NEOs is shown below:</w:t>
      </w:r>
    </w:p>
    <w:p>
      <w:pPr>
        <w:spacing w:after="0" w:line="88" w:lineRule="exact"/>
        <w:rPr>
          <w:sz w:val="20"/>
          <w:szCs w:val="20"/>
          <w:color w:val="auto"/>
        </w:rPr>
      </w:pPr>
    </w:p>
    <w:tbl>
      <w:tblPr>
        <w:tblLayout w:type="fixed"/>
        <w:tblInd w:w="373" w:type="dxa"/>
        <w:tblCellMar>
          <w:top w:w="0" w:type="dxa"/>
          <w:left w:w="0" w:type="dxa"/>
          <w:bottom w:w="0" w:type="dxa"/>
          <w:right w:w="0" w:type="dxa"/>
        </w:tblCellMar>
      </w:tblPr>
      <w:tr>
        <w:trPr>
          <w:trHeight w:val="184"/>
        </w:trPr>
        <w:tc>
          <w:tcPr>
            <w:tcW w:w="5300" w:type="dxa"/>
            <w:vAlign w:val="bottom"/>
            <w:shd w:val="clear" w:color="auto" w:fill="BF2115"/>
          </w:tcPr>
          <w:p>
            <w:pPr>
              <w:jc w:val="center"/>
              <w:spacing w:after="0"/>
              <w:rPr>
                <w:sz w:val="20"/>
                <w:szCs w:val="20"/>
                <w:color w:val="auto"/>
              </w:rPr>
            </w:pPr>
            <w:r>
              <w:rPr>
                <w:rFonts w:ascii="Arial" w:cs="Arial" w:eastAsia="Arial" w:hAnsi="Arial"/>
                <w:sz w:val="16"/>
                <w:szCs w:val="16"/>
                <w:b w:val="1"/>
                <w:bCs w:val="1"/>
                <w:color w:val="FFFFFF"/>
              </w:rPr>
              <w:t>Chairman and CEO</w:t>
            </w:r>
          </w:p>
        </w:tc>
        <w:tc>
          <w:tcPr>
            <w:tcW w:w="80" w:type="dxa"/>
            <w:vAlign w:val="bottom"/>
          </w:tcPr>
          <w:p>
            <w:pPr>
              <w:spacing w:after="0"/>
              <w:rPr>
                <w:sz w:val="16"/>
                <w:szCs w:val="16"/>
                <w:color w:val="auto"/>
              </w:rPr>
            </w:pPr>
          </w:p>
        </w:tc>
        <w:tc>
          <w:tcPr>
            <w:tcW w:w="5140" w:type="dxa"/>
            <w:vAlign w:val="bottom"/>
            <w:shd w:val="clear" w:color="auto" w:fill="BF2115"/>
          </w:tcPr>
          <w:p>
            <w:pPr>
              <w:jc w:val="center"/>
              <w:spacing w:after="0"/>
              <w:rPr>
                <w:sz w:val="20"/>
                <w:szCs w:val="20"/>
                <w:color w:val="auto"/>
              </w:rPr>
            </w:pPr>
            <w:r>
              <w:rPr>
                <w:rFonts w:ascii="Arial" w:cs="Arial" w:eastAsia="Arial" w:hAnsi="Arial"/>
                <w:sz w:val="16"/>
                <w:szCs w:val="16"/>
                <w:b w:val="1"/>
                <w:bCs w:val="1"/>
                <w:color w:val="FFFFFF"/>
              </w:rPr>
              <w:t>All Other Named Executive Officers</w:t>
            </w:r>
          </w:p>
        </w:tc>
      </w:tr>
      <w:tr>
        <w:trPr>
          <w:trHeight w:val="213"/>
        </w:trPr>
        <w:tc>
          <w:tcPr>
            <w:tcW w:w="5300" w:type="dxa"/>
            <w:vAlign w:val="bottom"/>
            <w:shd w:val="clear" w:color="auto" w:fill="BF2115"/>
          </w:tcPr>
          <w:p>
            <w:pPr>
              <w:jc w:val="center"/>
              <w:spacing w:after="0"/>
              <w:rPr>
                <w:sz w:val="20"/>
                <w:szCs w:val="20"/>
                <w:color w:val="auto"/>
              </w:rPr>
            </w:pPr>
            <w:r>
              <w:rPr>
                <w:rFonts w:ascii="Arial" w:cs="Arial" w:eastAsia="Arial" w:hAnsi="Arial"/>
                <w:sz w:val="16"/>
                <w:szCs w:val="16"/>
                <w:b w:val="1"/>
                <w:bCs w:val="1"/>
                <w:color w:val="FFFFFF"/>
                <w:w w:val="99"/>
              </w:rPr>
              <w:t>Target Total Direct Compensation Mix</w:t>
            </w:r>
          </w:p>
        </w:tc>
        <w:tc>
          <w:tcPr>
            <w:tcW w:w="80" w:type="dxa"/>
            <w:vAlign w:val="bottom"/>
          </w:tcPr>
          <w:p>
            <w:pPr>
              <w:spacing w:after="0"/>
              <w:rPr>
                <w:sz w:val="18"/>
                <w:szCs w:val="18"/>
                <w:color w:val="auto"/>
              </w:rPr>
            </w:pPr>
          </w:p>
        </w:tc>
        <w:tc>
          <w:tcPr>
            <w:tcW w:w="5140" w:type="dxa"/>
            <w:vAlign w:val="bottom"/>
            <w:shd w:val="clear" w:color="auto" w:fill="BF2115"/>
          </w:tcPr>
          <w:p>
            <w:pPr>
              <w:jc w:val="center"/>
              <w:spacing w:after="0"/>
              <w:rPr>
                <w:sz w:val="20"/>
                <w:szCs w:val="20"/>
                <w:color w:val="auto"/>
              </w:rPr>
            </w:pPr>
            <w:r>
              <w:rPr>
                <w:rFonts w:ascii="Arial" w:cs="Arial" w:eastAsia="Arial" w:hAnsi="Arial"/>
                <w:sz w:val="16"/>
                <w:szCs w:val="16"/>
                <w:b w:val="1"/>
                <w:bCs w:val="1"/>
                <w:color w:val="FFFFFF"/>
                <w:w w:val="99"/>
              </w:rPr>
              <w:t>Target Total Direct Compensation Mix</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495935</wp:posOffset>
            </wp:positionH>
            <wp:positionV relativeFrom="paragraph">
              <wp:posOffset>50800</wp:posOffset>
            </wp:positionV>
            <wp:extent cx="6219190" cy="248221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6219190" cy="2482215"/>
                    </a:xfrm>
                    <a:prstGeom prst="rect">
                      <a:avLst/>
                    </a:prstGeom>
                    <a:noFill/>
                  </pic:spPr>
                </pic:pic>
              </a:graphicData>
            </a:graphic>
          </wp:anchor>
        </w:drawing>
      </w:r>
    </w:p>
    <w:p>
      <w:pPr>
        <w:sectPr>
          <w:pgSz w:w="11900" w:h="16838" w:orient="portrait"/>
          <w:cols w:equalWidth="0" w:num="1">
            <w:col w:w="11293"/>
          </w:cols>
          <w:pgMar w:left="267" w:top="1103"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ind w:right="-52"/>
        <w:spacing w:after="0"/>
        <w:rPr>
          <w:sz w:val="20"/>
          <w:szCs w:val="20"/>
          <w:color w:val="auto"/>
        </w:rPr>
      </w:pPr>
      <w:r>
        <w:rPr>
          <w:rFonts w:ascii="Arial" w:cs="Arial" w:eastAsia="Arial" w:hAnsi="Arial"/>
          <w:sz w:val="21"/>
          <w:szCs w:val="21"/>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25400</wp:posOffset>
            </wp:positionH>
            <wp:positionV relativeFrom="paragraph">
              <wp:posOffset>79375</wp:posOffset>
            </wp:positionV>
            <wp:extent cx="7159625" cy="425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93"/>
          </w:cols>
          <w:pgMar w:left="267" w:top="1103" w:right="339" w:bottom="1440" w:gutter="0" w:footer="0" w:header="0"/>
          <w:type w:val="continuous"/>
        </w:sectPr>
      </w:pPr>
    </w:p>
    <w:bookmarkStart w:id="47" w:name="page48"/>
    <w:bookmarkEnd w:id="47"/>
    <w:p>
      <w:pPr>
        <w:spacing w:after="0"/>
        <w:rPr>
          <w:sz w:val="20"/>
          <w:szCs w:val="20"/>
          <w:color w:val="auto"/>
        </w:rPr>
      </w:pPr>
      <w:r>
        <w:rPr>
          <w:rFonts w:ascii="Arial" w:cs="Arial" w:eastAsia="Arial" w:hAnsi="Arial"/>
          <w:sz w:val="20"/>
          <w:szCs w:val="20"/>
          <w:b w:val="1"/>
          <w:bCs w:val="1"/>
          <w:color w:val="C00000"/>
        </w:rPr>
        <w:t>Elements of Our Executive Compensation Program</w:t>
      </w:r>
    </w:p>
    <w:p>
      <w:pPr>
        <w:spacing w:after="0" w:line="110" w:lineRule="exact"/>
        <w:rPr>
          <w:sz w:val="20"/>
          <w:szCs w:val="20"/>
          <w:color w:val="auto"/>
        </w:rPr>
      </w:pPr>
    </w:p>
    <w:p>
      <w:pPr>
        <w:ind w:firstLine="320"/>
        <w:spacing w:after="0" w:line="262" w:lineRule="auto"/>
        <w:rPr>
          <w:sz w:val="20"/>
          <w:szCs w:val="20"/>
          <w:color w:val="auto"/>
        </w:rPr>
      </w:pPr>
      <w:r>
        <w:rPr>
          <w:rFonts w:ascii="Arial" w:cs="Arial" w:eastAsia="Arial" w:hAnsi="Arial"/>
          <w:sz w:val="18"/>
          <w:szCs w:val="18"/>
          <w:color w:val="auto"/>
        </w:rPr>
        <w:t>During fiscal 2024, our executive compensation program consisted of the following key elements, which are described in the table below and pages that follow, along with the key characteristics of and purpose for, each element and key actions taken during fiscal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20955</wp:posOffset>
            </wp:positionH>
            <wp:positionV relativeFrom="paragraph">
              <wp:posOffset>71120</wp:posOffset>
            </wp:positionV>
            <wp:extent cx="7108190" cy="135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08190" cy="135255"/>
                    </a:xfrm>
                    <a:prstGeom prst="rect">
                      <a:avLst/>
                    </a:prstGeom>
                    <a:noFill/>
                  </pic:spPr>
                </pic:pic>
              </a:graphicData>
            </a:graphic>
          </wp:anchor>
        </w:drawing>
      </w:r>
    </w:p>
    <w:p>
      <w:pPr>
        <w:sectPr>
          <w:pgSz w:w="11900" w:h="16838" w:orient="portrait"/>
          <w:cols w:equalWidth="0" w:num="1">
            <w:col w:w="11240"/>
          </w:cols>
          <w:pgMar w:left="320" w:top="1103" w:right="339" w:bottom="1440" w:gutter="0" w:footer="0" w:header="0"/>
        </w:sectPr>
      </w:pPr>
    </w:p>
    <w:p>
      <w:pPr>
        <w:spacing w:after="0" w:line="129" w:lineRule="exact"/>
        <w:rPr>
          <w:sz w:val="20"/>
          <w:szCs w:val="20"/>
          <w:color w:val="auto"/>
        </w:rPr>
      </w:pPr>
    </w:p>
    <w:p>
      <w:pPr>
        <w:ind w:left="400"/>
        <w:spacing w:after="0"/>
        <w:rPr>
          <w:sz w:val="20"/>
          <w:szCs w:val="20"/>
          <w:color w:val="auto"/>
        </w:rPr>
      </w:pPr>
      <w:r>
        <w:rPr>
          <w:rFonts w:ascii="Arial" w:cs="Arial" w:eastAsia="Arial" w:hAnsi="Arial"/>
          <w:sz w:val="13"/>
          <w:szCs w:val="13"/>
          <w:b w:val="1"/>
          <w:bCs w:val="1"/>
          <w:color w:val="FFFFFF"/>
        </w:rPr>
        <w:t>Element</w:t>
      </w:r>
    </w:p>
    <w:p>
      <w:pPr>
        <w:spacing w:after="0" w:line="20" w:lineRule="exact"/>
        <w:rPr>
          <w:sz w:val="20"/>
          <w:szCs w:val="20"/>
          <w:color w:val="auto"/>
        </w:rPr>
      </w:pPr>
      <w:r>
        <w:rPr>
          <w:sz w:val="20"/>
          <w:szCs w:val="20"/>
          <w:color w:val="auto"/>
        </w:rPr>
        <w:br w:type="column"/>
      </w:r>
    </w:p>
    <w:p>
      <w:pPr>
        <w:spacing w:after="0" w:line="109" w:lineRule="exact"/>
        <w:rPr>
          <w:sz w:val="20"/>
          <w:szCs w:val="20"/>
          <w:color w:val="auto"/>
        </w:rPr>
      </w:pPr>
    </w:p>
    <w:p>
      <w:pPr>
        <w:spacing w:after="0"/>
        <w:rPr>
          <w:sz w:val="20"/>
          <w:szCs w:val="20"/>
          <w:color w:val="auto"/>
        </w:rPr>
      </w:pPr>
      <w:r>
        <w:rPr>
          <w:rFonts w:ascii="Arial" w:cs="Arial" w:eastAsia="Arial" w:hAnsi="Arial"/>
          <w:sz w:val="14"/>
          <w:szCs w:val="14"/>
          <w:b w:val="1"/>
          <w:bCs w:val="1"/>
          <w:color w:val="FFFFFF"/>
        </w:rPr>
        <w:t>Key Characteristics</w:t>
      </w:r>
    </w:p>
    <w:p>
      <w:pPr>
        <w:spacing w:after="0" w:line="20" w:lineRule="exact"/>
        <w:rPr>
          <w:sz w:val="20"/>
          <w:szCs w:val="20"/>
          <w:color w:val="auto"/>
        </w:rPr>
      </w:pPr>
      <w:r>
        <w:rPr>
          <w:sz w:val="20"/>
          <w:szCs w:val="20"/>
          <w:color w:val="auto"/>
        </w:rPr>
        <w:br w:type="column"/>
      </w:r>
    </w:p>
    <w:p>
      <w:pPr>
        <w:spacing w:after="0" w:line="109" w:lineRule="exact"/>
        <w:rPr>
          <w:sz w:val="20"/>
          <w:szCs w:val="20"/>
          <w:color w:val="auto"/>
        </w:rPr>
      </w:pPr>
    </w:p>
    <w:p>
      <w:pPr>
        <w:spacing w:after="0"/>
        <w:tabs>
          <w:tab w:leader="none" w:pos="2980" w:val="left"/>
        </w:tabs>
        <w:rPr>
          <w:sz w:val="20"/>
          <w:szCs w:val="20"/>
          <w:color w:val="auto"/>
        </w:rPr>
      </w:pPr>
      <w:r>
        <w:rPr>
          <w:rFonts w:ascii="Arial" w:cs="Arial" w:eastAsia="Arial" w:hAnsi="Arial"/>
          <w:sz w:val="14"/>
          <w:szCs w:val="14"/>
          <w:b w:val="1"/>
          <w:bCs w:val="1"/>
          <w:color w:val="FFFFFF"/>
        </w:rPr>
        <w:t>Purpose</w:t>
      </w:r>
      <w:r>
        <w:rPr>
          <w:sz w:val="20"/>
          <w:szCs w:val="20"/>
          <w:color w:val="auto"/>
        </w:rPr>
        <w:tab/>
      </w:r>
      <w:r>
        <w:rPr>
          <w:rFonts w:ascii="Arial" w:cs="Arial" w:eastAsia="Arial" w:hAnsi="Arial"/>
          <w:sz w:val="14"/>
          <w:szCs w:val="14"/>
          <w:b w:val="1"/>
          <w:bCs w:val="1"/>
          <w:color w:val="FFFFFF"/>
        </w:rPr>
        <w:t>Key Fiscal 2024 Actions</w:t>
      </w:r>
    </w:p>
    <w:p>
      <w:pPr>
        <w:spacing w:after="0" w:line="34" w:lineRule="exact"/>
        <w:rPr>
          <w:sz w:val="20"/>
          <w:szCs w:val="20"/>
          <w:color w:val="auto"/>
        </w:rPr>
      </w:pPr>
    </w:p>
    <w:p>
      <w:pPr>
        <w:sectPr>
          <w:pgSz w:w="11900" w:h="16838" w:orient="portrait"/>
          <w:cols w:equalWidth="0" w:num="3">
            <w:col w:w="1360" w:space="720"/>
            <w:col w:w="2700" w:space="720"/>
            <w:col w:w="5740"/>
          </w:cols>
          <w:pgMar w:left="320" w:top="1103" w:right="339" w:bottom="1440" w:gutter="0" w:footer="0" w:header="0"/>
          <w:type w:val="continuous"/>
        </w:sectPr>
      </w:pPr>
    </w:p>
    <w:p>
      <w:pPr>
        <w:ind w:left="40"/>
        <w:spacing w:after="0"/>
        <w:rPr>
          <w:sz w:val="20"/>
          <w:szCs w:val="20"/>
          <w:color w:val="auto"/>
        </w:rPr>
      </w:pPr>
      <w:r>
        <w:rPr>
          <w:rFonts w:ascii="Arial" w:cs="Arial" w:eastAsia="Arial" w:hAnsi="Arial"/>
          <w:sz w:val="15"/>
          <w:szCs w:val="15"/>
          <w:color w:val="auto"/>
        </w:rPr>
        <w:t>Base Salary</w:t>
      </w:r>
    </w:p>
    <w:p>
      <w:pPr>
        <w:spacing w:after="0" w:line="20" w:lineRule="exact"/>
        <w:rPr>
          <w:sz w:val="20"/>
          <w:szCs w:val="20"/>
          <w:color w:val="auto"/>
        </w:rPr>
      </w:pPr>
      <w:r>
        <w:rPr>
          <w:sz w:val="20"/>
          <w:szCs w:val="20"/>
          <w:color w:val="auto"/>
        </w:rPr>
        <w:br w:type="column"/>
      </w:r>
    </w:p>
    <w:p>
      <w:pPr>
        <w:spacing w:after="0" w:line="7" w:lineRule="exact"/>
        <w:rPr>
          <w:sz w:val="20"/>
          <w:szCs w:val="20"/>
          <w:color w:val="auto"/>
        </w:rPr>
      </w:pPr>
    </w:p>
    <w:p>
      <w:pPr>
        <w:spacing w:after="0" w:line="261" w:lineRule="auto"/>
        <w:rPr>
          <w:sz w:val="20"/>
          <w:szCs w:val="20"/>
          <w:color w:val="auto"/>
        </w:rPr>
      </w:pPr>
      <w:r>
        <w:rPr>
          <w:rFonts w:ascii="Arial" w:cs="Arial" w:eastAsia="Arial" w:hAnsi="Arial"/>
          <w:sz w:val="16"/>
          <w:szCs w:val="16"/>
          <w:color w:val="auto"/>
        </w:rPr>
        <w:t>A fixed amount, paid in cash and reviewed annually and,</w:t>
      </w:r>
    </w:p>
    <w:p>
      <w:pPr>
        <w:spacing w:after="0"/>
        <w:rPr>
          <w:sz w:val="20"/>
          <w:szCs w:val="20"/>
          <w:color w:val="auto"/>
        </w:rPr>
      </w:pPr>
      <w:r>
        <w:rPr>
          <w:rFonts w:ascii="Arial" w:cs="Arial" w:eastAsia="Arial" w:hAnsi="Arial"/>
          <w:sz w:val="16"/>
          <w:szCs w:val="16"/>
          <w:color w:val="auto"/>
        </w:rPr>
        <w:t>if appropriate, adjusted.</w:t>
      </w:r>
    </w:p>
    <w:p>
      <w:pPr>
        <w:spacing w:after="0" w:line="20" w:lineRule="exact"/>
        <w:rPr>
          <w:sz w:val="20"/>
          <w:szCs w:val="20"/>
          <w:color w:val="auto"/>
        </w:rPr>
      </w:pPr>
      <w:r>
        <w:rPr>
          <w:sz w:val="20"/>
          <w:szCs w:val="20"/>
          <w:color w:val="auto"/>
        </w:rPr>
        <w:br w:type="column"/>
      </w:r>
    </w:p>
    <w:p>
      <w:pPr>
        <w:spacing w:after="0" w:line="252" w:lineRule="auto"/>
        <w:rPr>
          <w:sz w:val="20"/>
          <w:szCs w:val="20"/>
          <w:color w:val="auto"/>
        </w:rPr>
      </w:pPr>
      <w:r>
        <w:rPr>
          <w:rFonts w:ascii="Arial" w:cs="Arial" w:eastAsia="Arial" w:hAnsi="Arial"/>
          <w:sz w:val="16"/>
          <w:szCs w:val="16"/>
          <w:color w:val="auto"/>
        </w:rPr>
        <w:t>Provide a source of fixed income that is market competitive and reflects scope and responsibility of the position held.</w:t>
      </w:r>
    </w:p>
    <w:p>
      <w:pPr>
        <w:spacing w:after="0" w:line="20" w:lineRule="exact"/>
        <w:rPr>
          <w:sz w:val="20"/>
          <w:szCs w:val="20"/>
          <w:color w:val="auto"/>
        </w:rPr>
      </w:pPr>
      <w:r>
        <w:rPr>
          <w:sz w:val="20"/>
          <w:szCs w:val="20"/>
          <w:color w:val="auto"/>
        </w:rPr>
        <w:br w:type="column"/>
      </w:r>
    </w:p>
    <w:p>
      <w:pPr>
        <w:ind w:right="140"/>
        <w:spacing w:after="0" w:line="261" w:lineRule="auto"/>
        <w:rPr>
          <w:sz w:val="20"/>
          <w:szCs w:val="20"/>
          <w:color w:val="auto"/>
        </w:rPr>
      </w:pPr>
      <w:r>
        <w:rPr>
          <w:rFonts w:ascii="Arial" w:cs="Arial" w:eastAsia="Arial" w:hAnsi="Arial"/>
          <w:sz w:val="16"/>
          <w:szCs w:val="16"/>
          <w:color w:val="auto"/>
        </w:rPr>
        <w:t>Our NEOs received base salary increases on March 1, 2024.</w:t>
      </w:r>
    </w:p>
    <w:p>
      <w:pPr>
        <w:spacing w:after="0" w:line="13" w:lineRule="exact"/>
        <w:rPr>
          <w:sz w:val="20"/>
          <w:szCs w:val="20"/>
          <w:color w:val="auto"/>
        </w:rPr>
      </w:pPr>
    </w:p>
    <w:p>
      <w:pPr>
        <w:ind w:right="380"/>
        <w:spacing w:after="0" w:line="249" w:lineRule="auto"/>
        <w:rPr>
          <w:sz w:val="20"/>
          <w:szCs w:val="20"/>
          <w:color w:val="auto"/>
        </w:rPr>
      </w:pPr>
      <w:r>
        <w:rPr>
          <w:rFonts w:ascii="Arial" w:cs="Arial" w:eastAsia="Arial" w:hAnsi="Arial"/>
          <w:sz w:val="16"/>
          <w:szCs w:val="16"/>
          <w:color w:val="auto"/>
        </w:rPr>
        <w:t>Our Chairman and CEO received a base salary increase of 3.9% and our other NEOs received a base salary increase of 4.0% to 7.3% over their respective fiscal 2023 base salaries.</w:t>
      </w:r>
    </w:p>
    <w:p>
      <w:pPr>
        <w:spacing w:after="0" w:line="13" w:lineRule="exact"/>
        <w:rPr>
          <w:sz w:val="20"/>
          <w:szCs w:val="20"/>
          <w:color w:val="auto"/>
        </w:rPr>
      </w:pPr>
    </w:p>
    <w:p>
      <w:pPr>
        <w:sectPr>
          <w:pgSz w:w="11900" w:h="16838" w:orient="portrait"/>
          <w:cols w:equalWidth="0" w:num="4">
            <w:col w:w="900" w:space="420"/>
            <w:col w:w="2320" w:space="560"/>
            <w:col w:w="3000" w:space="200"/>
            <w:col w:w="3840"/>
          </w:cols>
          <w:pgMar w:left="320" w:top="1103" w:right="339" w:bottom="1440" w:gutter="0" w:footer="0" w:header="0"/>
          <w:type w:val="continuous"/>
        </w:sectPr>
      </w:pPr>
    </w:p>
    <w:tbl>
      <w:tblPr>
        <w:tblLayout w:type="fixed"/>
        <w:tblInd w:w="40" w:type="dxa"/>
        <w:tblCellMar>
          <w:top w:w="0" w:type="dxa"/>
          <w:left w:w="0" w:type="dxa"/>
          <w:bottom w:w="0" w:type="dxa"/>
          <w:right w:w="0" w:type="dxa"/>
        </w:tblCellMar>
      </w:tblPr>
      <w:tr>
        <w:trPr>
          <w:trHeight w:val="184"/>
        </w:trPr>
        <w:tc>
          <w:tcPr>
            <w:tcW w:w="1100" w:type="dxa"/>
            <w:vAlign w:val="bottom"/>
            <w:shd w:val="clear" w:color="auto" w:fill="DBDBDB"/>
          </w:tcPr>
          <w:p>
            <w:pPr>
              <w:spacing w:after="0"/>
              <w:rPr>
                <w:sz w:val="20"/>
                <w:szCs w:val="20"/>
                <w:color w:val="auto"/>
              </w:rPr>
            </w:pPr>
            <w:r>
              <w:rPr>
                <w:rFonts w:ascii="Arial" w:cs="Arial" w:eastAsia="Arial" w:hAnsi="Arial"/>
                <w:sz w:val="16"/>
                <w:szCs w:val="16"/>
                <w:color w:val="auto"/>
              </w:rPr>
              <w:t>Annual Cash</w:t>
            </w:r>
          </w:p>
        </w:tc>
        <w:tc>
          <w:tcPr>
            <w:tcW w:w="2960" w:type="dxa"/>
            <w:vAlign w:val="bottom"/>
            <w:shd w:val="clear" w:color="auto" w:fill="DBDBDB"/>
          </w:tcPr>
          <w:p>
            <w:pPr>
              <w:ind w:left="180"/>
              <w:spacing w:after="0"/>
              <w:rPr>
                <w:sz w:val="20"/>
                <w:szCs w:val="20"/>
                <w:color w:val="auto"/>
              </w:rPr>
            </w:pPr>
            <w:r>
              <w:rPr>
                <w:rFonts w:ascii="Arial" w:cs="Arial" w:eastAsia="Arial" w:hAnsi="Arial"/>
                <w:sz w:val="16"/>
                <w:szCs w:val="16"/>
                <w:color w:val="auto"/>
              </w:rPr>
              <w:t>A variable, short-term element of</w:t>
            </w:r>
          </w:p>
        </w:tc>
        <w:tc>
          <w:tcPr>
            <w:tcW w:w="3220" w:type="dxa"/>
            <w:vAlign w:val="bottom"/>
            <w:shd w:val="clear" w:color="auto" w:fill="DBDBDB"/>
          </w:tcPr>
          <w:p>
            <w:pPr>
              <w:ind w:left="100"/>
              <w:spacing w:after="0"/>
              <w:rPr>
                <w:sz w:val="20"/>
                <w:szCs w:val="20"/>
                <w:color w:val="auto"/>
              </w:rPr>
            </w:pPr>
            <w:r>
              <w:rPr>
                <w:rFonts w:ascii="Arial" w:cs="Arial" w:eastAsia="Arial" w:hAnsi="Arial"/>
                <w:sz w:val="16"/>
                <w:szCs w:val="16"/>
                <w:color w:val="auto"/>
              </w:rPr>
              <w:t>Motivate and reward our executive officers</w:t>
            </w:r>
          </w:p>
        </w:tc>
        <w:tc>
          <w:tcPr>
            <w:tcW w:w="3900" w:type="dxa"/>
            <w:vAlign w:val="bottom"/>
            <w:vMerge w:val="restart"/>
            <w:shd w:val="clear" w:color="auto" w:fill="DBDBDB"/>
          </w:tcPr>
          <w:p>
            <w:pPr>
              <w:ind w:left="80"/>
              <w:spacing w:after="0"/>
              <w:rPr>
                <w:sz w:val="20"/>
                <w:szCs w:val="20"/>
                <w:color w:val="auto"/>
              </w:rPr>
            </w:pPr>
            <w:r>
              <w:rPr>
                <w:rFonts w:ascii="Arial" w:cs="Arial" w:eastAsia="Arial" w:hAnsi="Arial"/>
                <w:sz w:val="16"/>
                <w:szCs w:val="16"/>
                <w:color w:val="auto"/>
              </w:rPr>
              <w:t>At the beginning of fiscal 2024, a target award as a</w:t>
            </w:r>
          </w:p>
        </w:tc>
        <w:tc>
          <w:tcPr>
            <w:tcW w:w="0" w:type="dxa"/>
            <w:vAlign w:val="bottom"/>
          </w:tcPr>
          <w:p>
            <w:pPr>
              <w:spacing w:after="0"/>
              <w:rPr>
                <w:sz w:val="1"/>
                <w:szCs w:val="1"/>
                <w:color w:val="auto"/>
              </w:rPr>
            </w:pPr>
          </w:p>
        </w:tc>
      </w:tr>
      <w:tr>
        <w:trPr>
          <w:trHeight w:val="53"/>
        </w:trPr>
        <w:tc>
          <w:tcPr>
            <w:tcW w:w="1100" w:type="dxa"/>
            <w:vAlign w:val="bottom"/>
            <w:vMerge w:val="restart"/>
            <w:shd w:val="clear" w:color="auto" w:fill="DBDBDB"/>
          </w:tcPr>
          <w:p>
            <w:pPr>
              <w:spacing w:after="0"/>
              <w:rPr>
                <w:sz w:val="20"/>
                <w:szCs w:val="20"/>
                <w:color w:val="auto"/>
              </w:rPr>
            </w:pPr>
            <w:r>
              <w:rPr>
                <w:rFonts w:ascii="Arial" w:cs="Arial" w:eastAsia="Arial" w:hAnsi="Arial"/>
                <w:sz w:val="16"/>
                <w:szCs w:val="16"/>
                <w:color w:val="auto"/>
              </w:rPr>
              <w:t>Incentive</w:t>
            </w:r>
          </w:p>
        </w:tc>
        <w:tc>
          <w:tcPr>
            <w:tcW w:w="2960" w:type="dxa"/>
            <w:vAlign w:val="bottom"/>
            <w:vMerge w:val="restart"/>
            <w:shd w:val="clear" w:color="auto" w:fill="DBDBDB"/>
          </w:tcPr>
          <w:p>
            <w:pPr>
              <w:ind w:left="180"/>
              <w:spacing w:after="0"/>
              <w:rPr>
                <w:sz w:val="20"/>
                <w:szCs w:val="20"/>
                <w:color w:val="auto"/>
              </w:rPr>
            </w:pPr>
            <w:r>
              <w:rPr>
                <w:rFonts w:ascii="Arial" w:cs="Arial" w:eastAsia="Arial" w:hAnsi="Arial"/>
                <w:sz w:val="16"/>
                <w:szCs w:val="16"/>
                <w:color w:val="auto"/>
              </w:rPr>
              <w:t>compensation, payable in cash based</w:t>
            </w:r>
          </w:p>
        </w:tc>
        <w:tc>
          <w:tcPr>
            <w:tcW w:w="3220" w:type="dxa"/>
            <w:vAlign w:val="bottom"/>
            <w:vMerge w:val="restart"/>
            <w:shd w:val="clear" w:color="auto" w:fill="DBDBDB"/>
          </w:tcPr>
          <w:p>
            <w:pPr>
              <w:ind w:left="100"/>
              <w:spacing w:after="0"/>
              <w:rPr>
                <w:sz w:val="20"/>
                <w:szCs w:val="20"/>
                <w:color w:val="auto"/>
              </w:rPr>
            </w:pPr>
            <w:r>
              <w:rPr>
                <w:rFonts w:ascii="Arial" w:cs="Arial" w:eastAsia="Arial" w:hAnsi="Arial"/>
                <w:sz w:val="16"/>
                <w:szCs w:val="16"/>
                <w:color w:val="auto"/>
              </w:rPr>
              <w:t>for achievement of annual financial goals</w:t>
            </w:r>
          </w:p>
        </w:tc>
        <w:tc>
          <w:tcPr>
            <w:tcW w:w="3900" w:type="dxa"/>
            <w:vAlign w:val="bottom"/>
            <w:vMerge w:val="continue"/>
            <w:shd w:val="clear" w:color="auto" w:fill="DBDBDB"/>
          </w:tcPr>
          <w:p>
            <w:pPr>
              <w:spacing w:after="0"/>
              <w:rPr>
                <w:sz w:val="4"/>
                <w:szCs w:val="4"/>
                <w:color w:val="auto"/>
              </w:rPr>
            </w:pPr>
          </w:p>
        </w:tc>
        <w:tc>
          <w:tcPr>
            <w:tcW w:w="0" w:type="dxa"/>
            <w:vAlign w:val="bottom"/>
          </w:tcPr>
          <w:p>
            <w:pPr>
              <w:spacing w:after="0"/>
              <w:rPr>
                <w:sz w:val="1"/>
                <w:szCs w:val="1"/>
                <w:color w:val="auto"/>
              </w:rPr>
            </w:pPr>
          </w:p>
        </w:tc>
      </w:tr>
      <w:tr>
        <w:trPr>
          <w:trHeight w:val="133"/>
        </w:trPr>
        <w:tc>
          <w:tcPr>
            <w:tcW w:w="1100" w:type="dxa"/>
            <w:vAlign w:val="bottom"/>
            <w:vMerge w:val="continue"/>
            <w:shd w:val="clear" w:color="auto" w:fill="DBDBDB"/>
          </w:tcPr>
          <w:p>
            <w:pPr>
              <w:spacing w:after="0"/>
              <w:rPr>
                <w:sz w:val="11"/>
                <w:szCs w:val="11"/>
                <w:color w:val="auto"/>
              </w:rPr>
            </w:pPr>
          </w:p>
        </w:tc>
        <w:tc>
          <w:tcPr>
            <w:tcW w:w="2960" w:type="dxa"/>
            <w:vAlign w:val="bottom"/>
            <w:vMerge w:val="continue"/>
            <w:shd w:val="clear" w:color="auto" w:fill="DBDBDB"/>
          </w:tcPr>
          <w:p>
            <w:pPr>
              <w:spacing w:after="0"/>
              <w:rPr>
                <w:sz w:val="11"/>
                <w:szCs w:val="11"/>
                <w:color w:val="auto"/>
              </w:rPr>
            </w:pPr>
          </w:p>
        </w:tc>
        <w:tc>
          <w:tcPr>
            <w:tcW w:w="3220" w:type="dxa"/>
            <w:vAlign w:val="bottom"/>
            <w:vMerge w:val="continue"/>
            <w:shd w:val="clear" w:color="auto" w:fill="DBDBDB"/>
          </w:tcPr>
          <w:p>
            <w:pPr>
              <w:spacing w:after="0"/>
              <w:rPr>
                <w:sz w:val="11"/>
                <w:szCs w:val="11"/>
                <w:color w:val="auto"/>
              </w:rPr>
            </w:pPr>
          </w:p>
        </w:tc>
        <w:tc>
          <w:tcPr>
            <w:tcW w:w="3900" w:type="dxa"/>
            <w:vAlign w:val="bottom"/>
            <w:vMerge w:val="restart"/>
            <w:shd w:val="clear" w:color="auto" w:fill="DBDBDB"/>
          </w:tcPr>
          <w:p>
            <w:pPr>
              <w:ind w:left="80"/>
              <w:spacing w:after="0" w:line="174" w:lineRule="exact"/>
              <w:rPr>
                <w:sz w:val="20"/>
                <w:szCs w:val="20"/>
                <w:color w:val="auto"/>
              </w:rPr>
            </w:pPr>
            <w:r>
              <w:rPr>
                <w:rFonts w:ascii="Arial" w:cs="Arial" w:eastAsia="Arial" w:hAnsi="Arial"/>
                <w:sz w:val="16"/>
                <w:szCs w:val="16"/>
                <w:color w:val="auto"/>
              </w:rPr>
              <w:t>percent of base salary was established at 130% for</w:t>
            </w:r>
          </w:p>
        </w:tc>
        <w:tc>
          <w:tcPr>
            <w:tcW w:w="0" w:type="dxa"/>
            <w:vAlign w:val="bottom"/>
          </w:tcPr>
          <w:p>
            <w:pPr>
              <w:spacing w:after="0"/>
              <w:rPr>
                <w:sz w:val="1"/>
                <w:szCs w:val="1"/>
                <w:color w:val="auto"/>
              </w:rPr>
            </w:pPr>
          </w:p>
        </w:tc>
      </w:tr>
      <w:tr>
        <w:trPr>
          <w:trHeight w:val="40"/>
        </w:trPr>
        <w:tc>
          <w:tcPr>
            <w:tcW w:w="1100" w:type="dxa"/>
            <w:vAlign w:val="bottom"/>
            <w:shd w:val="clear" w:color="auto" w:fill="DBDBDB"/>
          </w:tcPr>
          <w:p>
            <w:pPr>
              <w:spacing w:after="0"/>
              <w:rPr>
                <w:sz w:val="3"/>
                <w:szCs w:val="3"/>
                <w:color w:val="auto"/>
              </w:rPr>
            </w:pPr>
          </w:p>
        </w:tc>
        <w:tc>
          <w:tcPr>
            <w:tcW w:w="2960" w:type="dxa"/>
            <w:vAlign w:val="bottom"/>
            <w:vMerge w:val="restart"/>
            <w:shd w:val="clear" w:color="auto" w:fill="DBDBDB"/>
          </w:tcPr>
          <w:p>
            <w:pPr>
              <w:ind w:left="180"/>
              <w:spacing w:after="0"/>
              <w:rPr>
                <w:sz w:val="20"/>
                <w:szCs w:val="20"/>
                <w:color w:val="auto"/>
              </w:rPr>
            </w:pPr>
            <w:r>
              <w:rPr>
                <w:rFonts w:ascii="Arial" w:cs="Arial" w:eastAsia="Arial" w:hAnsi="Arial"/>
                <w:sz w:val="16"/>
                <w:szCs w:val="16"/>
                <w:color w:val="auto"/>
              </w:rPr>
              <w:t>on achievement of pre-established</w:t>
            </w:r>
          </w:p>
        </w:tc>
        <w:tc>
          <w:tcPr>
            <w:tcW w:w="3220" w:type="dxa"/>
            <w:vAlign w:val="bottom"/>
            <w:vMerge w:val="restart"/>
            <w:shd w:val="clear" w:color="auto" w:fill="DBDBDB"/>
          </w:tcPr>
          <w:p>
            <w:pPr>
              <w:ind w:left="100"/>
              <w:spacing w:after="0"/>
              <w:rPr>
                <w:sz w:val="20"/>
                <w:szCs w:val="20"/>
                <w:color w:val="auto"/>
              </w:rPr>
            </w:pPr>
            <w:r>
              <w:rPr>
                <w:rFonts w:ascii="Arial" w:cs="Arial" w:eastAsia="Arial" w:hAnsi="Arial"/>
                <w:sz w:val="16"/>
                <w:szCs w:val="16"/>
                <w:color w:val="auto"/>
              </w:rPr>
              <w:t>intended to drive overall company, division</w:t>
            </w:r>
          </w:p>
        </w:tc>
        <w:tc>
          <w:tcPr>
            <w:tcW w:w="3900" w:type="dxa"/>
            <w:vAlign w:val="bottom"/>
            <w:vMerge w:val="continue"/>
            <w:shd w:val="clear" w:color="auto" w:fill="DBDBDB"/>
          </w:tcPr>
          <w:p>
            <w:pPr>
              <w:spacing w:after="0"/>
              <w:rPr>
                <w:sz w:val="3"/>
                <w:szCs w:val="3"/>
                <w:color w:val="auto"/>
              </w:rPr>
            </w:pPr>
          </w:p>
        </w:tc>
        <w:tc>
          <w:tcPr>
            <w:tcW w:w="0" w:type="dxa"/>
            <w:vAlign w:val="bottom"/>
          </w:tcPr>
          <w:p>
            <w:pPr>
              <w:spacing w:after="0"/>
              <w:rPr>
                <w:sz w:val="1"/>
                <w:szCs w:val="1"/>
                <w:color w:val="auto"/>
              </w:rPr>
            </w:pPr>
          </w:p>
        </w:tc>
      </w:tr>
      <w:tr>
        <w:trPr>
          <w:trHeight w:val="161"/>
        </w:trPr>
        <w:tc>
          <w:tcPr>
            <w:tcW w:w="1100" w:type="dxa"/>
            <w:vAlign w:val="bottom"/>
            <w:shd w:val="clear" w:color="auto" w:fill="DBDBDB"/>
          </w:tcPr>
          <w:p>
            <w:pPr>
              <w:spacing w:after="0"/>
              <w:rPr>
                <w:sz w:val="13"/>
                <w:szCs w:val="13"/>
                <w:color w:val="auto"/>
              </w:rPr>
            </w:pPr>
          </w:p>
        </w:tc>
        <w:tc>
          <w:tcPr>
            <w:tcW w:w="2960" w:type="dxa"/>
            <w:vAlign w:val="bottom"/>
            <w:vMerge w:val="continue"/>
            <w:shd w:val="clear" w:color="auto" w:fill="DBDBDB"/>
          </w:tcPr>
          <w:p>
            <w:pPr>
              <w:spacing w:after="0"/>
              <w:rPr>
                <w:sz w:val="13"/>
                <w:szCs w:val="13"/>
                <w:color w:val="auto"/>
              </w:rPr>
            </w:pPr>
          </w:p>
        </w:tc>
        <w:tc>
          <w:tcPr>
            <w:tcW w:w="3220" w:type="dxa"/>
            <w:vAlign w:val="bottom"/>
            <w:vMerge w:val="continue"/>
            <w:shd w:val="clear" w:color="auto" w:fill="DBDBDB"/>
          </w:tcPr>
          <w:p>
            <w:pPr>
              <w:spacing w:after="0"/>
              <w:rPr>
                <w:sz w:val="13"/>
                <w:szCs w:val="13"/>
                <w:color w:val="auto"/>
              </w:rPr>
            </w:pPr>
          </w:p>
        </w:tc>
        <w:tc>
          <w:tcPr>
            <w:tcW w:w="3900" w:type="dxa"/>
            <w:vAlign w:val="bottom"/>
            <w:shd w:val="clear" w:color="auto" w:fill="DBDBDB"/>
          </w:tcPr>
          <w:p>
            <w:pPr>
              <w:ind w:left="80"/>
              <w:spacing w:after="0" w:line="161" w:lineRule="exact"/>
              <w:rPr>
                <w:sz w:val="20"/>
                <w:szCs w:val="20"/>
                <w:color w:val="auto"/>
              </w:rPr>
            </w:pPr>
            <w:r>
              <w:rPr>
                <w:rFonts w:ascii="Arial" w:cs="Arial" w:eastAsia="Arial" w:hAnsi="Arial"/>
                <w:sz w:val="16"/>
                <w:szCs w:val="16"/>
                <w:color w:val="auto"/>
              </w:rPr>
              <w:t>our Chairman and CEO. Target awards for other</w:t>
            </w:r>
          </w:p>
        </w:tc>
        <w:tc>
          <w:tcPr>
            <w:tcW w:w="0" w:type="dxa"/>
            <w:vAlign w:val="bottom"/>
          </w:tcPr>
          <w:p>
            <w:pPr>
              <w:spacing w:after="0"/>
              <w:rPr>
                <w:sz w:val="1"/>
                <w:szCs w:val="1"/>
                <w:color w:val="auto"/>
              </w:rPr>
            </w:pPr>
          </w:p>
        </w:tc>
      </w:tr>
      <w:tr>
        <w:trPr>
          <w:trHeight w:val="173"/>
        </w:trPr>
        <w:tc>
          <w:tcPr>
            <w:tcW w:w="1100" w:type="dxa"/>
            <w:vAlign w:val="bottom"/>
            <w:shd w:val="clear" w:color="auto" w:fill="DBDBDB"/>
          </w:tcPr>
          <w:p>
            <w:pPr>
              <w:spacing w:after="0"/>
              <w:rPr>
                <w:sz w:val="15"/>
                <w:szCs w:val="15"/>
                <w:color w:val="auto"/>
              </w:rPr>
            </w:pPr>
          </w:p>
        </w:tc>
        <w:tc>
          <w:tcPr>
            <w:tcW w:w="2960" w:type="dxa"/>
            <w:vAlign w:val="bottom"/>
            <w:shd w:val="clear" w:color="auto" w:fill="DBDBDB"/>
          </w:tcPr>
          <w:p>
            <w:pPr>
              <w:ind w:left="180"/>
              <w:spacing w:after="0" w:line="174" w:lineRule="exact"/>
              <w:rPr>
                <w:sz w:val="20"/>
                <w:szCs w:val="20"/>
                <w:color w:val="auto"/>
              </w:rPr>
            </w:pPr>
            <w:r>
              <w:rPr>
                <w:rFonts w:ascii="Arial" w:cs="Arial" w:eastAsia="Arial" w:hAnsi="Arial"/>
                <w:sz w:val="16"/>
                <w:szCs w:val="16"/>
                <w:color w:val="auto"/>
              </w:rPr>
              <w:t>annual financial goals.</w:t>
            </w:r>
          </w:p>
        </w:tc>
        <w:tc>
          <w:tcPr>
            <w:tcW w:w="3220" w:type="dxa"/>
            <w:vAlign w:val="bottom"/>
            <w:shd w:val="clear" w:color="auto" w:fill="DBDBDB"/>
          </w:tcPr>
          <w:p>
            <w:pPr>
              <w:ind w:left="100"/>
              <w:spacing w:after="0" w:line="174" w:lineRule="exact"/>
              <w:rPr>
                <w:sz w:val="20"/>
                <w:szCs w:val="20"/>
                <w:color w:val="auto"/>
              </w:rPr>
            </w:pPr>
            <w:r>
              <w:rPr>
                <w:rFonts w:ascii="Arial" w:cs="Arial" w:eastAsia="Arial" w:hAnsi="Arial"/>
                <w:sz w:val="16"/>
                <w:szCs w:val="16"/>
                <w:color w:val="auto"/>
              </w:rPr>
              <w:t>or business and / or operational</w:t>
            </w:r>
          </w:p>
        </w:tc>
        <w:tc>
          <w:tcPr>
            <w:tcW w:w="3900" w:type="dxa"/>
            <w:vAlign w:val="bottom"/>
            <w:shd w:val="clear" w:color="auto" w:fill="DBDBDB"/>
          </w:tcPr>
          <w:p>
            <w:pPr>
              <w:ind w:left="80"/>
              <w:spacing w:after="0" w:line="174" w:lineRule="exact"/>
              <w:rPr>
                <w:sz w:val="20"/>
                <w:szCs w:val="20"/>
                <w:color w:val="auto"/>
              </w:rPr>
            </w:pPr>
            <w:r>
              <w:rPr>
                <w:rFonts w:ascii="Arial" w:cs="Arial" w:eastAsia="Arial" w:hAnsi="Arial"/>
                <w:sz w:val="16"/>
                <w:szCs w:val="16"/>
                <w:color w:val="auto"/>
              </w:rPr>
              <w:t>NEOs were established between 65% and 70% of</w:t>
            </w:r>
          </w:p>
        </w:tc>
        <w:tc>
          <w:tcPr>
            <w:tcW w:w="0" w:type="dxa"/>
            <w:vAlign w:val="bottom"/>
          </w:tcPr>
          <w:p>
            <w:pPr>
              <w:spacing w:after="0"/>
              <w:rPr>
                <w:sz w:val="1"/>
                <w:szCs w:val="1"/>
                <w:color w:val="auto"/>
              </w:rPr>
            </w:pPr>
          </w:p>
        </w:tc>
      </w:tr>
      <w:tr>
        <w:trPr>
          <w:trHeight w:val="223"/>
        </w:trPr>
        <w:tc>
          <w:tcPr>
            <w:tcW w:w="1100" w:type="dxa"/>
            <w:vAlign w:val="bottom"/>
            <w:shd w:val="clear" w:color="auto" w:fill="DBDBDB"/>
          </w:tcPr>
          <w:p>
            <w:pPr>
              <w:spacing w:after="0"/>
              <w:rPr>
                <w:sz w:val="19"/>
                <w:szCs w:val="19"/>
                <w:color w:val="auto"/>
              </w:rPr>
            </w:pPr>
          </w:p>
        </w:tc>
        <w:tc>
          <w:tcPr>
            <w:tcW w:w="2960" w:type="dxa"/>
            <w:vAlign w:val="bottom"/>
            <w:shd w:val="clear" w:color="auto" w:fill="DBDBDB"/>
          </w:tcPr>
          <w:p>
            <w:pPr>
              <w:spacing w:after="0"/>
              <w:rPr>
                <w:sz w:val="19"/>
                <w:szCs w:val="19"/>
                <w:color w:val="auto"/>
              </w:rPr>
            </w:pPr>
          </w:p>
        </w:tc>
        <w:tc>
          <w:tcPr>
            <w:tcW w:w="3220" w:type="dxa"/>
            <w:vAlign w:val="bottom"/>
            <w:shd w:val="clear" w:color="auto" w:fill="DBDBDB"/>
          </w:tcPr>
          <w:p>
            <w:pPr>
              <w:ind w:left="100"/>
              <w:spacing w:after="0"/>
              <w:rPr>
                <w:sz w:val="20"/>
                <w:szCs w:val="20"/>
                <w:color w:val="auto"/>
              </w:rPr>
            </w:pPr>
            <w:r>
              <w:rPr>
                <w:rFonts w:ascii="Arial" w:cs="Arial" w:eastAsia="Arial" w:hAnsi="Arial"/>
                <w:sz w:val="16"/>
                <w:szCs w:val="16"/>
                <w:color w:val="auto"/>
              </w:rPr>
              <w:t>performance.</w:t>
            </w:r>
          </w:p>
        </w:tc>
        <w:tc>
          <w:tcPr>
            <w:tcW w:w="3900" w:type="dxa"/>
            <w:vAlign w:val="bottom"/>
            <w:shd w:val="clear" w:color="auto" w:fill="DBDBDB"/>
          </w:tcPr>
          <w:p>
            <w:pPr>
              <w:ind w:left="80"/>
              <w:spacing w:after="0"/>
              <w:rPr>
                <w:sz w:val="20"/>
                <w:szCs w:val="20"/>
                <w:color w:val="auto"/>
              </w:rPr>
            </w:pPr>
            <w:r>
              <w:rPr>
                <w:rFonts w:ascii="Arial" w:cs="Arial" w:eastAsia="Arial" w:hAnsi="Arial"/>
                <w:sz w:val="16"/>
                <w:szCs w:val="16"/>
                <w:color w:val="auto"/>
              </w:rPr>
              <w:t>base salary.</w:t>
            </w:r>
          </w:p>
        </w:tc>
        <w:tc>
          <w:tcPr>
            <w:tcW w:w="0" w:type="dxa"/>
            <w:vAlign w:val="bottom"/>
          </w:tcPr>
          <w:p>
            <w:pPr>
              <w:spacing w:after="0"/>
              <w:rPr>
                <w:sz w:val="1"/>
                <w:szCs w:val="1"/>
                <w:color w:val="auto"/>
              </w:rPr>
            </w:pPr>
          </w:p>
        </w:tc>
      </w:tr>
      <w:tr>
        <w:trPr>
          <w:trHeight w:val="216"/>
        </w:trPr>
        <w:tc>
          <w:tcPr>
            <w:tcW w:w="1100" w:type="dxa"/>
            <w:vAlign w:val="bottom"/>
            <w:shd w:val="clear" w:color="auto" w:fill="DBDBDB"/>
          </w:tcPr>
          <w:p>
            <w:pPr>
              <w:spacing w:after="0"/>
              <w:rPr>
                <w:sz w:val="18"/>
                <w:szCs w:val="18"/>
                <w:color w:val="auto"/>
              </w:rPr>
            </w:pPr>
          </w:p>
        </w:tc>
        <w:tc>
          <w:tcPr>
            <w:tcW w:w="2960" w:type="dxa"/>
            <w:vAlign w:val="bottom"/>
            <w:shd w:val="clear" w:color="auto" w:fill="DBDBDB"/>
          </w:tcPr>
          <w:p>
            <w:pPr>
              <w:spacing w:after="0"/>
              <w:rPr>
                <w:sz w:val="18"/>
                <w:szCs w:val="18"/>
                <w:color w:val="auto"/>
              </w:rPr>
            </w:pPr>
          </w:p>
        </w:tc>
        <w:tc>
          <w:tcPr>
            <w:tcW w:w="3220" w:type="dxa"/>
            <w:vAlign w:val="bottom"/>
            <w:shd w:val="clear" w:color="auto" w:fill="DBDBDB"/>
          </w:tcPr>
          <w:p>
            <w:pPr>
              <w:spacing w:after="0"/>
              <w:rPr>
                <w:sz w:val="18"/>
                <w:szCs w:val="18"/>
                <w:color w:val="auto"/>
              </w:rPr>
            </w:pPr>
          </w:p>
        </w:tc>
        <w:tc>
          <w:tcPr>
            <w:tcW w:w="3900" w:type="dxa"/>
            <w:vAlign w:val="bottom"/>
            <w:shd w:val="clear" w:color="auto" w:fill="DBDBDB"/>
          </w:tcPr>
          <w:p>
            <w:pPr>
              <w:ind w:left="80"/>
              <w:spacing w:after="0"/>
              <w:rPr>
                <w:sz w:val="20"/>
                <w:szCs w:val="20"/>
                <w:color w:val="auto"/>
              </w:rPr>
            </w:pPr>
            <w:r>
              <w:rPr>
                <w:rFonts w:ascii="Arial" w:cs="Arial" w:eastAsia="Arial" w:hAnsi="Arial"/>
                <w:sz w:val="16"/>
                <w:szCs w:val="16"/>
                <w:color w:val="auto"/>
              </w:rPr>
              <w:t>Corporate performance measures, weightings and</w:t>
            </w:r>
          </w:p>
        </w:tc>
        <w:tc>
          <w:tcPr>
            <w:tcW w:w="0" w:type="dxa"/>
            <w:vAlign w:val="bottom"/>
          </w:tcPr>
          <w:p>
            <w:pPr>
              <w:spacing w:after="0"/>
              <w:rPr>
                <w:sz w:val="1"/>
                <w:szCs w:val="1"/>
                <w:color w:val="auto"/>
              </w:rPr>
            </w:pPr>
          </w:p>
        </w:tc>
      </w:tr>
      <w:tr>
        <w:trPr>
          <w:trHeight w:val="173"/>
        </w:trPr>
        <w:tc>
          <w:tcPr>
            <w:tcW w:w="1100" w:type="dxa"/>
            <w:vAlign w:val="bottom"/>
            <w:shd w:val="clear" w:color="auto" w:fill="DBDBDB"/>
          </w:tcPr>
          <w:p>
            <w:pPr>
              <w:spacing w:after="0"/>
              <w:rPr>
                <w:sz w:val="15"/>
                <w:szCs w:val="15"/>
                <w:color w:val="auto"/>
              </w:rPr>
            </w:pPr>
          </w:p>
        </w:tc>
        <w:tc>
          <w:tcPr>
            <w:tcW w:w="2960" w:type="dxa"/>
            <w:vAlign w:val="bottom"/>
            <w:shd w:val="clear" w:color="auto" w:fill="DBDBDB"/>
          </w:tcPr>
          <w:p>
            <w:pPr>
              <w:spacing w:after="0"/>
              <w:rPr>
                <w:sz w:val="15"/>
                <w:szCs w:val="15"/>
                <w:color w:val="auto"/>
              </w:rPr>
            </w:pPr>
          </w:p>
        </w:tc>
        <w:tc>
          <w:tcPr>
            <w:tcW w:w="3220" w:type="dxa"/>
            <w:vAlign w:val="bottom"/>
            <w:shd w:val="clear" w:color="auto" w:fill="DBDBDB"/>
          </w:tcPr>
          <w:p>
            <w:pPr>
              <w:spacing w:after="0"/>
              <w:rPr>
                <w:sz w:val="15"/>
                <w:szCs w:val="15"/>
                <w:color w:val="auto"/>
              </w:rPr>
            </w:pPr>
          </w:p>
        </w:tc>
        <w:tc>
          <w:tcPr>
            <w:tcW w:w="3900" w:type="dxa"/>
            <w:vAlign w:val="bottom"/>
            <w:shd w:val="clear" w:color="auto" w:fill="DBDBDB"/>
          </w:tcPr>
          <w:p>
            <w:pPr>
              <w:ind w:left="80"/>
              <w:spacing w:after="0" w:line="174" w:lineRule="exact"/>
              <w:rPr>
                <w:sz w:val="20"/>
                <w:szCs w:val="20"/>
                <w:color w:val="auto"/>
              </w:rPr>
            </w:pPr>
            <w:r>
              <w:rPr>
                <w:rFonts w:ascii="Arial" w:cs="Arial" w:eastAsia="Arial" w:hAnsi="Arial"/>
                <w:sz w:val="16"/>
                <w:szCs w:val="16"/>
                <w:color w:val="auto"/>
              </w:rPr>
              <w:t>goals were established for all of our NEOs.</w:t>
            </w:r>
          </w:p>
        </w:tc>
        <w:tc>
          <w:tcPr>
            <w:tcW w:w="0" w:type="dxa"/>
            <w:vAlign w:val="bottom"/>
          </w:tcPr>
          <w:p>
            <w:pPr>
              <w:spacing w:after="0"/>
              <w:rPr>
                <w:sz w:val="1"/>
                <w:szCs w:val="1"/>
                <w:color w:val="auto"/>
              </w:rPr>
            </w:pPr>
          </w:p>
        </w:tc>
      </w:tr>
      <w:tr>
        <w:trPr>
          <w:trHeight w:val="173"/>
        </w:trPr>
        <w:tc>
          <w:tcPr>
            <w:tcW w:w="1100" w:type="dxa"/>
            <w:vAlign w:val="bottom"/>
            <w:shd w:val="clear" w:color="auto" w:fill="DBDBDB"/>
          </w:tcPr>
          <w:p>
            <w:pPr>
              <w:spacing w:after="0"/>
              <w:rPr>
                <w:sz w:val="15"/>
                <w:szCs w:val="15"/>
                <w:color w:val="auto"/>
              </w:rPr>
            </w:pPr>
          </w:p>
        </w:tc>
        <w:tc>
          <w:tcPr>
            <w:tcW w:w="2960" w:type="dxa"/>
            <w:vAlign w:val="bottom"/>
            <w:shd w:val="clear" w:color="auto" w:fill="DBDBDB"/>
          </w:tcPr>
          <w:p>
            <w:pPr>
              <w:spacing w:after="0"/>
              <w:rPr>
                <w:sz w:val="15"/>
                <w:szCs w:val="15"/>
                <w:color w:val="auto"/>
              </w:rPr>
            </w:pPr>
          </w:p>
        </w:tc>
        <w:tc>
          <w:tcPr>
            <w:tcW w:w="3220" w:type="dxa"/>
            <w:vAlign w:val="bottom"/>
            <w:shd w:val="clear" w:color="auto" w:fill="DBDBDB"/>
          </w:tcPr>
          <w:p>
            <w:pPr>
              <w:spacing w:after="0"/>
              <w:rPr>
                <w:sz w:val="15"/>
                <w:szCs w:val="15"/>
                <w:color w:val="auto"/>
              </w:rPr>
            </w:pPr>
          </w:p>
        </w:tc>
        <w:tc>
          <w:tcPr>
            <w:tcW w:w="3900" w:type="dxa"/>
            <w:vAlign w:val="bottom"/>
            <w:shd w:val="clear" w:color="auto" w:fill="DBDBDB"/>
          </w:tcPr>
          <w:p>
            <w:pPr>
              <w:ind w:left="80"/>
              <w:spacing w:after="0" w:line="174" w:lineRule="exact"/>
              <w:rPr>
                <w:sz w:val="20"/>
                <w:szCs w:val="20"/>
                <w:color w:val="auto"/>
              </w:rPr>
            </w:pPr>
            <w:r>
              <w:rPr>
                <w:rFonts w:ascii="Arial" w:cs="Arial" w:eastAsia="Arial" w:hAnsi="Arial"/>
                <w:sz w:val="16"/>
                <w:szCs w:val="16"/>
                <w:color w:val="auto"/>
              </w:rPr>
              <w:t>Additionally, divisional performance measures,</w:t>
            </w:r>
          </w:p>
        </w:tc>
        <w:tc>
          <w:tcPr>
            <w:tcW w:w="0" w:type="dxa"/>
            <w:vAlign w:val="bottom"/>
          </w:tcPr>
          <w:p>
            <w:pPr>
              <w:spacing w:after="0"/>
              <w:rPr>
                <w:sz w:val="1"/>
                <w:szCs w:val="1"/>
                <w:color w:val="auto"/>
              </w:rPr>
            </w:pPr>
          </w:p>
        </w:tc>
      </w:tr>
      <w:tr>
        <w:trPr>
          <w:trHeight w:val="173"/>
        </w:trPr>
        <w:tc>
          <w:tcPr>
            <w:tcW w:w="1100" w:type="dxa"/>
            <w:vAlign w:val="bottom"/>
            <w:shd w:val="clear" w:color="auto" w:fill="DBDBDB"/>
          </w:tcPr>
          <w:p>
            <w:pPr>
              <w:spacing w:after="0"/>
              <w:rPr>
                <w:sz w:val="15"/>
                <w:szCs w:val="15"/>
                <w:color w:val="auto"/>
              </w:rPr>
            </w:pPr>
          </w:p>
        </w:tc>
        <w:tc>
          <w:tcPr>
            <w:tcW w:w="2960" w:type="dxa"/>
            <w:vAlign w:val="bottom"/>
            <w:shd w:val="clear" w:color="auto" w:fill="DBDBDB"/>
          </w:tcPr>
          <w:p>
            <w:pPr>
              <w:spacing w:after="0"/>
              <w:rPr>
                <w:sz w:val="15"/>
                <w:szCs w:val="15"/>
                <w:color w:val="auto"/>
              </w:rPr>
            </w:pPr>
          </w:p>
        </w:tc>
        <w:tc>
          <w:tcPr>
            <w:tcW w:w="3220" w:type="dxa"/>
            <w:vAlign w:val="bottom"/>
            <w:shd w:val="clear" w:color="auto" w:fill="DBDBDB"/>
          </w:tcPr>
          <w:p>
            <w:pPr>
              <w:spacing w:after="0"/>
              <w:rPr>
                <w:sz w:val="15"/>
                <w:szCs w:val="15"/>
                <w:color w:val="auto"/>
              </w:rPr>
            </w:pPr>
          </w:p>
        </w:tc>
        <w:tc>
          <w:tcPr>
            <w:tcW w:w="3900" w:type="dxa"/>
            <w:vAlign w:val="bottom"/>
            <w:shd w:val="clear" w:color="auto" w:fill="DBDBDB"/>
          </w:tcPr>
          <w:p>
            <w:pPr>
              <w:ind w:left="80"/>
              <w:spacing w:after="0" w:line="174" w:lineRule="exact"/>
              <w:rPr>
                <w:sz w:val="20"/>
                <w:szCs w:val="20"/>
                <w:color w:val="auto"/>
              </w:rPr>
            </w:pPr>
            <w:r>
              <w:rPr>
                <w:rFonts w:ascii="Arial" w:cs="Arial" w:eastAsia="Arial" w:hAnsi="Arial"/>
                <w:sz w:val="16"/>
                <w:szCs w:val="16"/>
                <w:color w:val="auto"/>
              </w:rPr>
              <w:t>weightings and goals were established for Ms. Dahl,</w:t>
            </w:r>
          </w:p>
        </w:tc>
        <w:tc>
          <w:tcPr>
            <w:tcW w:w="0" w:type="dxa"/>
            <w:vAlign w:val="bottom"/>
          </w:tcPr>
          <w:p>
            <w:pPr>
              <w:spacing w:after="0"/>
              <w:rPr>
                <w:sz w:val="1"/>
                <w:szCs w:val="1"/>
                <w:color w:val="auto"/>
              </w:rPr>
            </w:pPr>
          </w:p>
        </w:tc>
      </w:tr>
      <w:tr>
        <w:trPr>
          <w:trHeight w:val="234"/>
        </w:trPr>
        <w:tc>
          <w:tcPr>
            <w:tcW w:w="1100" w:type="dxa"/>
            <w:vAlign w:val="bottom"/>
            <w:tcBorders>
              <w:bottom w:val="single" w:sz="8" w:color="DBDBDB"/>
            </w:tcBorders>
            <w:shd w:val="clear" w:color="auto" w:fill="DBDBDB"/>
          </w:tcPr>
          <w:p>
            <w:pPr>
              <w:spacing w:after="0"/>
              <w:rPr>
                <w:sz w:val="20"/>
                <w:szCs w:val="20"/>
                <w:color w:val="auto"/>
              </w:rPr>
            </w:pPr>
          </w:p>
        </w:tc>
        <w:tc>
          <w:tcPr>
            <w:tcW w:w="2960" w:type="dxa"/>
            <w:vAlign w:val="bottom"/>
            <w:tcBorders>
              <w:bottom w:val="single" w:sz="8" w:color="DBDBDB"/>
            </w:tcBorders>
            <w:shd w:val="clear" w:color="auto" w:fill="DBDBDB"/>
          </w:tcPr>
          <w:p>
            <w:pPr>
              <w:spacing w:after="0"/>
              <w:rPr>
                <w:sz w:val="20"/>
                <w:szCs w:val="20"/>
                <w:color w:val="auto"/>
              </w:rPr>
            </w:pPr>
          </w:p>
        </w:tc>
        <w:tc>
          <w:tcPr>
            <w:tcW w:w="3220" w:type="dxa"/>
            <w:vAlign w:val="bottom"/>
            <w:tcBorders>
              <w:bottom w:val="single" w:sz="8" w:color="DBDBDB"/>
            </w:tcBorders>
            <w:shd w:val="clear" w:color="auto" w:fill="DBDBDB"/>
          </w:tcPr>
          <w:p>
            <w:pPr>
              <w:spacing w:after="0"/>
              <w:rPr>
                <w:sz w:val="20"/>
                <w:szCs w:val="20"/>
                <w:color w:val="auto"/>
              </w:rPr>
            </w:pPr>
          </w:p>
        </w:tc>
        <w:tc>
          <w:tcPr>
            <w:tcW w:w="3900" w:type="dxa"/>
            <w:vAlign w:val="bottom"/>
            <w:tcBorders>
              <w:bottom w:val="single" w:sz="8" w:color="DBDBDB"/>
            </w:tcBorders>
            <w:shd w:val="clear" w:color="auto" w:fill="DBDBDB"/>
          </w:tcPr>
          <w:p>
            <w:pPr>
              <w:ind w:left="80"/>
              <w:spacing w:after="0"/>
              <w:rPr>
                <w:sz w:val="20"/>
                <w:szCs w:val="20"/>
                <w:color w:val="auto"/>
              </w:rPr>
            </w:pPr>
            <w:r>
              <w:rPr>
                <w:rFonts w:ascii="Arial" w:cs="Arial" w:eastAsia="Arial" w:hAnsi="Arial"/>
                <w:sz w:val="16"/>
                <w:szCs w:val="16"/>
                <w:color w:val="auto"/>
              </w:rPr>
              <w:t>as Vice President, International.</w:t>
            </w:r>
          </w:p>
        </w:tc>
        <w:tc>
          <w:tcPr>
            <w:tcW w:w="0" w:type="dxa"/>
            <w:vAlign w:val="bottom"/>
          </w:tcPr>
          <w:p>
            <w:pPr>
              <w:spacing w:after="0"/>
              <w:rPr>
                <w:sz w:val="1"/>
                <w:szCs w:val="1"/>
                <w:color w:val="auto"/>
              </w:rPr>
            </w:pPr>
          </w:p>
        </w:tc>
      </w:tr>
      <w:tr>
        <w:trPr>
          <w:trHeight w:val="173"/>
        </w:trPr>
        <w:tc>
          <w:tcPr>
            <w:tcW w:w="1100" w:type="dxa"/>
            <w:vAlign w:val="bottom"/>
          </w:tcPr>
          <w:p>
            <w:pPr>
              <w:spacing w:after="0" w:line="173" w:lineRule="exact"/>
              <w:rPr>
                <w:sz w:val="20"/>
                <w:szCs w:val="20"/>
                <w:color w:val="auto"/>
              </w:rPr>
            </w:pPr>
            <w:r>
              <w:rPr>
                <w:rFonts w:ascii="Arial" w:cs="Arial" w:eastAsia="Arial" w:hAnsi="Arial"/>
                <w:sz w:val="16"/>
                <w:szCs w:val="16"/>
                <w:color w:val="auto"/>
              </w:rPr>
              <w:t>Long-Term</w:t>
            </w:r>
          </w:p>
        </w:tc>
        <w:tc>
          <w:tcPr>
            <w:tcW w:w="2960" w:type="dxa"/>
            <w:vAlign w:val="bottom"/>
          </w:tcPr>
          <w:p>
            <w:pPr>
              <w:ind w:left="180"/>
              <w:spacing w:after="0" w:line="173" w:lineRule="exact"/>
              <w:rPr>
                <w:sz w:val="20"/>
                <w:szCs w:val="20"/>
                <w:color w:val="auto"/>
              </w:rPr>
            </w:pPr>
            <w:r>
              <w:rPr>
                <w:rFonts w:ascii="Arial" w:cs="Arial" w:eastAsia="Arial" w:hAnsi="Arial"/>
                <w:sz w:val="16"/>
                <w:szCs w:val="16"/>
                <w:color w:val="auto"/>
              </w:rPr>
              <w:t>A variable, long-term element of</w:t>
            </w:r>
          </w:p>
        </w:tc>
        <w:tc>
          <w:tcPr>
            <w:tcW w:w="3220" w:type="dxa"/>
            <w:vAlign w:val="bottom"/>
          </w:tcPr>
          <w:p>
            <w:pPr>
              <w:ind w:left="100"/>
              <w:spacing w:after="0" w:line="173" w:lineRule="exact"/>
              <w:rPr>
                <w:sz w:val="20"/>
                <w:szCs w:val="20"/>
                <w:color w:val="auto"/>
              </w:rPr>
            </w:pPr>
            <w:r>
              <w:rPr>
                <w:rFonts w:ascii="Arial" w:cs="Arial" w:eastAsia="Arial" w:hAnsi="Arial"/>
                <w:sz w:val="16"/>
                <w:szCs w:val="16"/>
                <w:color w:val="auto"/>
              </w:rPr>
              <w:t>Align the interests of our executive officers</w:t>
            </w:r>
          </w:p>
        </w:tc>
        <w:tc>
          <w:tcPr>
            <w:tcW w:w="3900" w:type="dxa"/>
            <w:vAlign w:val="bottom"/>
            <w:vMerge w:val="restart"/>
          </w:tcPr>
          <w:p>
            <w:pPr>
              <w:ind w:left="80"/>
              <w:spacing w:after="0"/>
              <w:rPr>
                <w:sz w:val="20"/>
                <w:szCs w:val="20"/>
                <w:color w:val="auto"/>
              </w:rPr>
            </w:pPr>
            <w:r>
              <w:rPr>
                <w:rFonts w:ascii="Arial" w:cs="Arial" w:eastAsia="Arial" w:hAnsi="Arial"/>
                <w:sz w:val="16"/>
                <w:szCs w:val="16"/>
                <w:color w:val="auto"/>
              </w:rPr>
              <w:t>All of our NEOs were granted performance share</w:t>
            </w:r>
          </w:p>
        </w:tc>
        <w:tc>
          <w:tcPr>
            <w:tcW w:w="0" w:type="dxa"/>
            <w:vAlign w:val="bottom"/>
          </w:tcPr>
          <w:p>
            <w:pPr>
              <w:spacing w:after="0"/>
              <w:rPr>
                <w:sz w:val="1"/>
                <w:szCs w:val="1"/>
                <w:color w:val="auto"/>
              </w:rPr>
            </w:pPr>
          </w:p>
        </w:tc>
      </w:tr>
      <w:tr>
        <w:trPr>
          <w:trHeight w:val="53"/>
        </w:trPr>
        <w:tc>
          <w:tcPr>
            <w:tcW w:w="1100" w:type="dxa"/>
            <w:vAlign w:val="bottom"/>
            <w:vMerge w:val="restart"/>
          </w:tcPr>
          <w:p>
            <w:pPr>
              <w:spacing w:after="0"/>
              <w:rPr>
                <w:sz w:val="20"/>
                <w:szCs w:val="20"/>
                <w:color w:val="auto"/>
              </w:rPr>
            </w:pPr>
            <w:r>
              <w:rPr>
                <w:rFonts w:ascii="Arial" w:cs="Arial" w:eastAsia="Arial" w:hAnsi="Arial"/>
                <w:sz w:val="16"/>
                <w:szCs w:val="16"/>
                <w:color w:val="auto"/>
              </w:rPr>
              <w:t>Incentives</w:t>
            </w:r>
          </w:p>
        </w:tc>
        <w:tc>
          <w:tcPr>
            <w:tcW w:w="2960" w:type="dxa"/>
            <w:vAlign w:val="bottom"/>
            <w:vMerge w:val="restart"/>
          </w:tcPr>
          <w:p>
            <w:pPr>
              <w:ind w:left="180"/>
              <w:spacing w:after="0"/>
              <w:rPr>
                <w:sz w:val="20"/>
                <w:szCs w:val="20"/>
                <w:color w:val="auto"/>
              </w:rPr>
            </w:pPr>
            <w:r>
              <w:rPr>
                <w:rFonts w:ascii="Arial" w:cs="Arial" w:eastAsia="Arial" w:hAnsi="Arial"/>
                <w:sz w:val="16"/>
                <w:szCs w:val="16"/>
                <w:color w:val="auto"/>
              </w:rPr>
              <w:t>compensation, provided in the form of</w:t>
            </w:r>
          </w:p>
        </w:tc>
        <w:tc>
          <w:tcPr>
            <w:tcW w:w="3220" w:type="dxa"/>
            <w:vAlign w:val="bottom"/>
            <w:vMerge w:val="restart"/>
          </w:tcPr>
          <w:p>
            <w:pPr>
              <w:ind w:left="100"/>
              <w:spacing w:after="0"/>
              <w:rPr>
                <w:sz w:val="20"/>
                <w:szCs w:val="20"/>
                <w:color w:val="auto"/>
              </w:rPr>
            </w:pPr>
            <w:r>
              <w:rPr>
                <w:rFonts w:ascii="Arial" w:cs="Arial" w:eastAsia="Arial" w:hAnsi="Arial"/>
                <w:sz w:val="16"/>
                <w:szCs w:val="16"/>
                <w:color w:val="auto"/>
              </w:rPr>
              <w:t>with our shareholders; encourage focus on</w:t>
            </w:r>
          </w:p>
        </w:tc>
        <w:tc>
          <w:tcPr>
            <w:tcW w:w="39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33"/>
        </w:trPr>
        <w:tc>
          <w:tcPr>
            <w:tcW w:w="1100" w:type="dxa"/>
            <w:vAlign w:val="bottom"/>
            <w:vMerge w:val="continue"/>
          </w:tcPr>
          <w:p>
            <w:pPr>
              <w:spacing w:after="0"/>
              <w:rPr>
                <w:sz w:val="11"/>
                <w:szCs w:val="11"/>
                <w:color w:val="auto"/>
              </w:rPr>
            </w:pPr>
          </w:p>
        </w:tc>
        <w:tc>
          <w:tcPr>
            <w:tcW w:w="2960" w:type="dxa"/>
            <w:vAlign w:val="bottom"/>
            <w:vMerge w:val="continue"/>
          </w:tcPr>
          <w:p>
            <w:pPr>
              <w:spacing w:after="0"/>
              <w:rPr>
                <w:sz w:val="11"/>
                <w:szCs w:val="11"/>
                <w:color w:val="auto"/>
              </w:rPr>
            </w:pPr>
          </w:p>
        </w:tc>
        <w:tc>
          <w:tcPr>
            <w:tcW w:w="3220" w:type="dxa"/>
            <w:vAlign w:val="bottom"/>
            <w:vMerge w:val="continue"/>
          </w:tcPr>
          <w:p>
            <w:pPr>
              <w:spacing w:after="0"/>
              <w:rPr>
                <w:sz w:val="11"/>
                <w:szCs w:val="11"/>
                <w:color w:val="auto"/>
              </w:rPr>
            </w:pPr>
          </w:p>
        </w:tc>
        <w:tc>
          <w:tcPr>
            <w:tcW w:w="3900" w:type="dxa"/>
            <w:vAlign w:val="bottom"/>
            <w:vMerge w:val="restart"/>
          </w:tcPr>
          <w:p>
            <w:pPr>
              <w:ind w:left="80"/>
              <w:spacing w:after="0"/>
              <w:rPr>
                <w:sz w:val="20"/>
                <w:szCs w:val="20"/>
                <w:color w:val="auto"/>
              </w:rPr>
            </w:pPr>
            <w:r>
              <w:rPr>
                <w:rFonts w:ascii="Arial" w:cs="Arial" w:eastAsia="Arial" w:hAnsi="Arial"/>
                <w:sz w:val="16"/>
                <w:szCs w:val="16"/>
                <w:color w:val="auto"/>
              </w:rPr>
              <w:t>awards and stock options.</w:t>
            </w:r>
          </w:p>
        </w:tc>
        <w:tc>
          <w:tcPr>
            <w:tcW w:w="0" w:type="dxa"/>
            <w:vAlign w:val="bottom"/>
          </w:tcPr>
          <w:p>
            <w:pPr>
              <w:spacing w:after="0"/>
              <w:rPr>
                <w:sz w:val="1"/>
                <w:szCs w:val="1"/>
                <w:color w:val="auto"/>
              </w:rPr>
            </w:pPr>
          </w:p>
        </w:tc>
      </w:tr>
      <w:tr>
        <w:trPr>
          <w:trHeight w:val="77"/>
        </w:trPr>
        <w:tc>
          <w:tcPr>
            <w:tcW w:w="1100" w:type="dxa"/>
            <w:vAlign w:val="bottom"/>
          </w:tcPr>
          <w:p>
            <w:pPr>
              <w:spacing w:after="0"/>
              <w:rPr>
                <w:sz w:val="6"/>
                <w:szCs w:val="6"/>
                <w:color w:val="auto"/>
              </w:rPr>
            </w:pPr>
          </w:p>
        </w:tc>
        <w:tc>
          <w:tcPr>
            <w:tcW w:w="2960" w:type="dxa"/>
            <w:vAlign w:val="bottom"/>
            <w:vMerge w:val="restart"/>
          </w:tcPr>
          <w:p>
            <w:pPr>
              <w:ind w:left="180"/>
              <w:spacing w:after="0"/>
              <w:rPr>
                <w:sz w:val="20"/>
                <w:szCs w:val="20"/>
                <w:color w:val="auto"/>
              </w:rPr>
            </w:pPr>
            <w:r>
              <w:rPr>
                <w:rFonts w:ascii="Arial" w:cs="Arial" w:eastAsia="Arial" w:hAnsi="Arial"/>
                <w:sz w:val="16"/>
                <w:szCs w:val="16"/>
                <w:color w:val="auto"/>
              </w:rPr>
              <w:t>performance share awards (payable</w:t>
            </w:r>
          </w:p>
        </w:tc>
        <w:tc>
          <w:tcPr>
            <w:tcW w:w="3220" w:type="dxa"/>
            <w:vAlign w:val="bottom"/>
            <w:vMerge w:val="restart"/>
          </w:tcPr>
          <w:p>
            <w:pPr>
              <w:ind w:left="100"/>
              <w:spacing w:after="0"/>
              <w:rPr>
                <w:sz w:val="20"/>
                <w:szCs w:val="20"/>
                <w:color w:val="auto"/>
              </w:rPr>
            </w:pPr>
            <w:r>
              <w:rPr>
                <w:rFonts w:ascii="Arial" w:cs="Arial" w:eastAsia="Arial" w:hAnsi="Arial"/>
                <w:sz w:val="16"/>
                <w:szCs w:val="16"/>
                <w:color w:val="auto"/>
              </w:rPr>
              <w:t>long-term company financial performance</w:t>
            </w:r>
          </w:p>
        </w:tc>
        <w:tc>
          <w:tcPr>
            <w:tcW w:w="39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25"/>
        </w:trPr>
        <w:tc>
          <w:tcPr>
            <w:tcW w:w="1100" w:type="dxa"/>
            <w:vAlign w:val="bottom"/>
          </w:tcPr>
          <w:p>
            <w:pPr>
              <w:spacing w:after="0"/>
              <w:rPr>
                <w:sz w:val="10"/>
                <w:szCs w:val="10"/>
                <w:color w:val="auto"/>
              </w:rPr>
            </w:pPr>
          </w:p>
        </w:tc>
        <w:tc>
          <w:tcPr>
            <w:tcW w:w="2960" w:type="dxa"/>
            <w:vAlign w:val="bottom"/>
            <w:vMerge w:val="continue"/>
          </w:tcPr>
          <w:p>
            <w:pPr>
              <w:spacing w:after="0"/>
              <w:rPr>
                <w:sz w:val="10"/>
                <w:szCs w:val="10"/>
                <w:color w:val="auto"/>
              </w:rPr>
            </w:pPr>
          </w:p>
        </w:tc>
        <w:tc>
          <w:tcPr>
            <w:tcW w:w="3220" w:type="dxa"/>
            <w:vAlign w:val="bottom"/>
            <w:vMerge w:val="continue"/>
          </w:tcPr>
          <w:p>
            <w:pPr>
              <w:spacing w:after="0"/>
              <w:rPr>
                <w:sz w:val="10"/>
                <w:szCs w:val="10"/>
                <w:color w:val="auto"/>
              </w:rPr>
            </w:pPr>
          </w:p>
        </w:tc>
        <w:tc>
          <w:tcPr>
            <w:tcW w:w="390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1">
            <w:col w:w="11240"/>
          </w:cols>
          <w:pgMar w:left="320" w:top="1103" w:right="339" w:bottom="1440" w:gutter="0" w:footer="0" w:header="0"/>
          <w:type w:val="continuous"/>
        </w:sectPr>
      </w:pPr>
    </w:p>
    <w:p>
      <w:pPr>
        <w:ind w:left="1320"/>
        <w:spacing w:after="0" w:line="234" w:lineRule="auto"/>
        <w:rPr>
          <w:sz w:val="20"/>
          <w:szCs w:val="20"/>
          <w:color w:val="auto"/>
        </w:rPr>
      </w:pPr>
      <w:r>
        <w:rPr>
          <w:rFonts w:ascii="Arial" w:cs="Arial" w:eastAsia="Arial" w:hAnsi="Arial"/>
          <w:sz w:val="16"/>
          <w:szCs w:val="16"/>
          <w:color w:val="auto"/>
        </w:rPr>
        <w:t>based on achievement of three-year measures that are deemed strategically and cumulative financial goals) and stock operationally important to our Company;</w:t>
      </w:r>
    </w:p>
    <w:p>
      <w:pPr>
        <w:spacing w:after="0" w:line="1" w:lineRule="exact"/>
        <w:rPr>
          <w:sz w:val="20"/>
          <w:szCs w:val="20"/>
          <w:color w:val="auto"/>
        </w:rPr>
      </w:pPr>
    </w:p>
    <w:p>
      <w:pPr>
        <w:ind w:left="1320"/>
        <w:spacing w:after="0"/>
        <w:rPr>
          <w:sz w:val="20"/>
          <w:szCs w:val="20"/>
          <w:color w:val="auto"/>
        </w:rPr>
      </w:pPr>
      <w:r>
        <w:rPr>
          <w:rFonts w:ascii="Arial" w:cs="Arial" w:eastAsia="Arial" w:hAnsi="Arial"/>
          <w:sz w:val="16"/>
          <w:szCs w:val="16"/>
          <w:color w:val="auto"/>
        </w:rPr>
        <w:t>options, which vest annually over three  promote retention of our executive officers;</w:t>
      </w:r>
    </w:p>
    <w:p>
      <w:pPr>
        <w:ind w:left="1320"/>
        <w:spacing w:after="0" w:line="229" w:lineRule="auto"/>
        <w:tabs>
          <w:tab w:leader="none" w:pos="4180" w:val="left"/>
        </w:tabs>
        <w:rPr>
          <w:sz w:val="20"/>
          <w:szCs w:val="20"/>
          <w:color w:val="auto"/>
        </w:rPr>
      </w:pPr>
      <w:r>
        <w:rPr>
          <w:rFonts w:ascii="Arial" w:cs="Arial" w:eastAsia="Arial" w:hAnsi="Arial"/>
          <w:sz w:val="16"/>
          <w:szCs w:val="16"/>
          <w:color w:val="auto"/>
        </w:rPr>
        <w:t>years.</w:t>
      </w:r>
      <w:r>
        <w:rPr>
          <w:sz w:val="20"/>
          <w:szCs w:val="20"/>
          <w:color w:val="auto"/>
        </w:rPr>
        <w:tab/>
      </w:r>
      <w:r>
        <w:rPr>
          <w:rFonts w:ascii="Arial" w:cs="Arial" w:eastAsia="Arial" w:hAnsi="Arial"/>
          <w:sz w:val="16"/>
          <w:szCs w:val="16"/>
          <w:color w:val="auto"/>
        </w:rPr>
        <w:t>and encourage significant ownership of our</w:t>
      </w:r>
    </w:p>
    <w:p>
      <w:pPr>
        <w:spacing w:after="0" w:line="1" w:lineRule="exact"/>
        <w:rPr>
          <w:sz w:val="20"/>
          <w:szCs w:val="20"/>
          <w:color w:val="auto"/>
        </w:rPr>
      </w:pPr>
    </w:p>
    <w:p>
      <w:pPr>
        <w:ind w:left="4200"/>
        <w:spacing w:after="0"/>
        <w:rPr>
          <w:sz w:val="20"/>
          <w:szCs w:val="20"/>
          <w:color w:val="auto"/>
        </w:rPr>
      </w:pPr>
      <w:r>
        <w:rPr>
          <w:rFonts w:ascii="Arial" w:cs="Arial" w:eastAsia="Arial" w:hAnsi="Arial"/>
          <w:sz w:val="16"/>
          <w:szCs w:val="16"/>
          <w:color w:val="auto"/>
        </w:rPr>
        <w:t>common stock.</w:t>
      </w:r>
    </w:p>
    <w:p>
      <w:pPr>
        <w:spacing w:after="0" w:line="20" w:lineRule="exact"/>
        <w:rPr>
          <w:sz w:val="20"/>
          <w:szCs w:val="20"/>
          <w:color w:val="auto"/>
        </w:rPr>
      </w:pPr>
      <w:r>
        <w:rPr>
          <w:sz w:val="20"/>
          <w:szCs w:val="20"/>
          <w:color w:val="auto"/>
        </w:rPr>
        <w:br w:type="column"/>
      </w:r>
    </w:p>
    <w:p>
      <w:pPr>
        <w:spacing w:after="0" w:line="163" w:lineRule="exact"/>
        <w:rPr>
          <w:sz w:val="20"/>
          <w:szCs w:val="20"/>
          <w:color w:val="auto"/>
        </w:rPr>
      </w:pPr>
    </w:p>
    <w:p>
      <w:pPr>
        <w:jc w:val="both"/>
        <w:ind w:right="160"/>
        <w:spacing w:after="0" w:line="243" w:lineRule="auto"/>
        <w:rPr>
          <w:sz w:val="20"/>
          <w:szCs w:val="20"/>
          <w:color w:val="auto"/>
        </w:rPr>
      </w:pPr>
      <w:r>
        <w:rPr>
          <w:rFonts w:ascii="Arial" w:cs="Arial" w:eastAsia="Arial" w:hAnsi="Arial"/>
          <w:sz w:val="16"/>
          <w:szCs w:val="16"/>
          <w:color w:val="auto"/>
        </w:rPr>
        <w:t>Additionally, Mr. Carpenter was granted a restricted stock unit award for retention purposes, which vests in full on the third anniversary of the date of grant.</w:t>
      </w:r>
    </w:p>
    <w:p>
      <w:pPr>
        <w:spacing w:after="0" w:line="191" w:lineRule="exact"/>
        <w:rPr>
          <w:sz w:val="20"/>
          <w:szCs w:val="20"/>
          <w:color w:val="auto"/>
        </w:rPr>
      </w:pPr>
    </w:p>
    <w:p>
      <w:pPr>
        <w:sectPr>
          <w:pgSz w:w="11900" w:h="16838" w:orient="portrait"/>
          <w:cols w:equalWidth="0" w:num="2">
            <w:col w:w="7300" w:space="100"/>
            <w:col w:w="3840"/>
          </w:cols>
          <w:pgMar w:left="320" w:top="1103" w:right="339" w:bottom="1440" w:gutter="0" w:footer="0" w:header="0"/>
          <w:type w:val="continuous"/>
        </w:sectPr>
      </w:pPr>
    </w:p>
    <w:tbl>
      <w:tblPr>
        <w:tblLayout w:type="fixed"/>
        <w:tblInd w:w="40" w:type="dxa"/>
        <w:tblCellMar>
          <w:top w:w="0" w:type="dxa"/>
          <w:left w:w="0" w:type="dxa"/>
          <w:bottom w:w="0" w:type="dxa"/>
          <w:right w:w="0" w:type="dxa"/>
        </w:tblCellMar>
      </w:tblPr>
      <w:tr>
        <w:trPr>
          <w:trHeight w:val="184"/>
        </w:trPr>
        <w:tc>
          <w:tcPr>
            <w:tcW w:w="1240" w:type="dxa"/>
            <w:vAlign w:val="bottom"/>
            <w:shd w:val="clear" w:color="auto" w:fill="DBDBDB"/>
          </w:tcPr>
          <w:p>
            <w:pPr>
              <w:spacing w:after="0"/>
              <w:rPr>
                <w:sz w:val="20"/>
                <w:szCs w:val="20"/>
                <w:color w:val="auto"/>
              </w:rPr>
            </w:pPr>
            <w:r>
              <w:rPr>
                <w:rFonts w:ascii="Arial" w:cs="Arial" w:eastAsia="Arial" w:hAnsi="Arial"/>
                <w:sz w:val="16"/>
                <w:szCs w:val="16"/>
                <w:color w:val="auto"/>
              </w:rPr>
              <w:t>Health and</w:t>
            </w:r>
          </w:p>
        </w:tc>
        <w:tc>
          <w:tcPr>
            <w:tcW w:w="2860" w:type="dxa"/>
            <w:vAlign w:val="bottom"/>
            <w:shd w:val="clear" w:color="auto" w:fill="DBDBDB"/>
          </w:tcPr>
          <w:p>
            <w:pPr>
              <w:ind w:left="40"/>
              <w:spacing w:after="0"/>
              <w:rPr>
                <w:sz w:val="20"/>
                <w:szCs w:val="20"/>
                <w:color w:val="auto"/>
              </w:rPr>
            </w:pPr>
            <w:r>
              <w:rPr>
                <w:rFonts w:ascii="Arial" w:cs="Arial" w:eastAsia="Arial" w:hAnsi="Arial"/>
                <w:sz w:val="16"/>
                <w:szCs w:val="16"/>
                <w:color w:val="auto"/>
              </w:rPr>
              <w:t>Includes medical and dental insurance,</w:t>
            </w:r>
          </w:p>
        </w:tc>
        <w:tc>
          <w:tcPr>
            <w:tcW w:w="3040" w:type="dxa"/>
            <w:vAlign w:val="bottom"/>
            <w:shd w:val="clear" w:color="auto" w:fill="DBDBDB"/>
          </w:tcPr>
          <w:p>
            <w:pPr>
              <w:ind w:left="60"/>
              <w:spacing w:after="0"/>
              <w:rPr>
                <w:sz w:val="20"/>
                <w:szCs w:val="20"/>
                <w:color w:val="auto"/>
              </w:rPr>
            </w:pPr>
            <w:r>
              <w:rPr>
                <w:rFonts w:ascii="Arial" w:cs="Arial" w:eastAsia="Arial" w:hAnsi="Arial"/>
                <w:sz w:val="16"/>
                <w:szCs w:val="16"/>
                <w:color w:val="auto"/>
              </w:rPr>
              <w:t>Provide competitive health and welfare</w:t>
            </w:r>
          </w:p>
        </w:tc>
        <w:tc>
          <w:tcPr>
            <w:tcW w:w="4040" w:type="dxa"/>
            <w:vAlign w:val="bottom"/>
            <w:shd w:val="clear" w:color="auto" w:fill="DBDBDB"/>
          </w:tcPr>
          <w:p>
            <w:pPr>
              <w:ind w:left="220"/>
              <w:spacing w:after="0"/>
              <w:rPr>
                <w:sz w:val="20"/>
                <w:szCs w:val="20"/>
                <w:color w:val="auto"/>
              </w:rPr>
            </w:pPr>
            <w:r>
              <w:rPr>
                <w:rFonts w:ascii="Arial" w:cs="Arial" w:eastAsia="Arial" w:hAnsi="Arial"/>
                <w:sz w:val="16"/>
                <w:szCs w:val="16"/>
                <w:color w:val="auto"/>
              </w:rPr>
              <w:t>No significant changes were made to our health and</w:t>
            </w:r>
          </w:p>
        </w:tc>
      </w:tr>
      <w:tr>
        <w:trPr>
          <w:trHeight w:val="187"/>
        </w:trPr>
        <w:tc>
          <w:tcPr>
            <w:tcW w:w="1240" w:type="dxa"/>
            <w:vAlign w:val="bottom"/>
            <w:shd w:val="clear" w:color="auto" w:fill="DBDBDB"/>
          </w:tcPr>
          <w:p>
            <w:pPr>
              <w:spacing w:after="0"/>
              <w:rPr>
                <w:sz w:val="20"/>
                <w:szCs w:val="20"/>
                <w:color w:val="auto"/>
              </w:rPr>
            </w:pPr>
            <w:r>
              <w:rPr>
                <w:rFonts w:ascii="Arial" w:cs="Arial" w:eastAsia="Arial" w:hAnsi="Arial"/>
                <w:sz w:val="16"/>
                <w:szCs w:val="16"/>
                <w:color w:val="auto"/>
              </w:rPr>
              <w:t>Welfare Benefits</w:t>
            </w:r>
          </w:p>
        </w:tc>
        <w:tc>
          <w:tcPr>
            <w:tcW w:w="2860" w:type="dxa"/>
            <w:vAlign w:val="bottom"/>
            <w:shd w:val="clear" w:color="auto" w:fill="DBDBDB"/>
          </w:tcPr>
          <w:p>
            <w:pPr>
              <w:ind w:left="40"/>
              <w:spacing w:after="0"/>
              <w:rPr>
                <w:sz w:val="20"/>
                <w:szCs w:val="20"/>
                <w:color w:val="auto"/>
              </w:rPr>
            </w:pPr>
            <w:r>
              <w:rPr>
                <w:rFonts w:ascii="Arial" w:cs="Arial" w:eastAsia="Arial" w:hAnsi="Arial"/>
                <w:sz w:val="16"/>
                <w:szCs w:val="16"/>
                <w:color w:val="auto"/>
              </w:rPr>
              <w:t>life and disability insurance and certain</w:t>
            </w:r>
          </w:p>
        </w:tc>
        <w:tc>
          <w:tcPr>
            <w:tcW w:w="3040" w:type="dxa"/>
            <w:vAlign w:val="bottom"/>
            <w:shd w:val="clear" w:color="auto" w:fill="DBDBDB"/>
          </w:tcPr>
          <w:p>
            <w:pPr>
              <w:ind w:left="60"/>
              <w:spacing w:after="0"/>
              <w:rPr>
                <w:sz w:val="20"/>
                <w:szCs w:val="20"/>
                <w:color w:val="auto"/>
              </w:rPr>
            </w:pPr>
            <w:r>
              <w:rPr>
                <w:rFonts w:ascii="Arial" w:cs="Arial" w:eastAsia="Arial" w:hAnsi="Arial"/>
                <w:sz w:val="16"/>
                <w:szCs w:val="16"/>
                <w:color w:val="auto"/>
              </w:rPr>
              <w:t>benefits.</w:t>
            </w:r>
          </w:p>
        </w:tc>
        <w:tc>
          <w:tcPr>
            <w:tcW w:w="4040" w:type="dxa"/>
            <w:vAlign w:val="bottom"/>
            <w:shd w:val="clear" w:color="auto" w:fill="DBDBDB"/>
          </w:tcPr>
          <w:p>
            <w:pPr>
              <w:ind w:left="220"/>
              <w:spacing w:after="0"/>
              <w:rPr>
                <w:sz w:val="20"/>
                <w:szCs w:val="20"/>
                <w:color w:val="auto"/>
              </w:rPr>
            </w:pPr>
            <w:r>
              <w:rPr>
                <w:rFonts w:ascii="Arial" w:cs="Arial" w:eastAsia="Arial" w:hAnsi="Arial"/>
                <w:sz w:val="16"/>
                <w:szCs w:val="16"/>
                <w:color w:val="auto"/>
              </w:rPr>
              <w:t>welfare benefits.</w:t>
            </w:r>
          </w:p>
        </w:tc>
      </w:tr>
      <w:tr>
        <w:trPr>
          <w:trHeight w:val="211"/>
        </w:trPr>
        <w:tc>
          <w:tcPr>
            <w:tcW w:w="1240" w:type="dxa"/>
            <w:vAlign w:val="bottom"/>
            <w:shd w:val="clear" w:color="auto" w:fill="DBDBDB"/>
          </w:tcPr>
          <w:p>
            <w:pPr>
              <w:spacing w:after="0"/>
              <w:rPr>
                <w:sz w:val="18"/>
                <w:szCs w:val="18"/>
                <w:color w:val="auto"/>
              </w:rPr>
            </w:pPr>
          </w:p>
        </w:tc>
        <w:tc>
          <w:tcPr>
            <w:tcW w:w="2860" w:type="dxa"/>
            <w:vAlign w:val="bottom"/>
            <w:shd w:val="clear" w:color="auto" w:fill="DBDBDB"/>
          </w:tcPr>
          <w:p>
            <w:pPr>
              <w:ind w:left="40"/>
              <w:spacing w:after="0"/>
              <w:rPr>
                <w:sz w:val="20"/>
                <w:szCs w:val="20"/>
                <w:color w:val="auto"/>
              </w:rPr>
            </w:pPr>
            <w:r>
              <w:rPr>
                <w:rFonts w:ascii="Arial" w:cs="Arial" w:eastAsia="Arial" w:hAnsi="Arial"/>
                <w:sz w:val="16"/>
                <w:szCs w:val="16"/>
                <w:color w:val="auto"/>
              </w:rPr>
              <w:t>voluntary benefits.</w:t>
            </w:r>
          </w:p>
        </w:tc>
        <w:tc>
          <w:tcPr>
            <w:tcW w:w="3040" w:type="dxa"/>
            <w:vAlign w:val="bottom"/>
            <w:shd w:val="clear" w:color="auto" w:fill="DBDBDB"/>
          </w:tcPr>
          <w:p>
            <w:pPr>
              <w:spacing w:after="0"/>
              <w:rPr>
                <w:sz w:val="18"/>
                <w:szCs w:val="18"/>
                <w:color w:val="auto"/>
              </w:rPr>
            </w:pPr>
          </w:p>
        </w:tc>
        <w:tc>
          <w:tcPr>
            <w:tcW w:w="4040" w:type="dxa"/>
            <w:vAlign w:val="bottom"/>
            <w:shd w:val="clear" w:color="auto" w:fill="DBDBDB"/>
          </w:tcPr>
          <w:p>
            <w:pPr>
              <w:spacing w:after="0"/>
              <w:rPr>
                <w:sz w:val="18"/>
                <w:szCs w:val="18"/>
                <w:color w:val="auto"/>
              </w:rPr>
            </w:pPr>
          </w:p>
        </w:tc>
      </w:tr>
      <w:tr>
        <w:trPr>
          <w:trHeight w:val="30"/>
        </w:trPr>
        <w:tc>
          <w:tcPr>
            <w:tcW w:w="1240" w:type="dxa"/>
            <w:vAlign w:val="bottom"/>
            <w:shd w:val="clear" w:color="auto" w:fill="DBDBDB"/>
          </w:tcPr>
          <w:p>
            <w:pPr>
              <w:spacing w:after="0"/>
              <w:rPr>
                <w:sz w:val="2"/>
                <w:szCs w:val="2"/>
                <w:color w:val="auto"/>
              </w:rPr>
            </w:pPr>
          </w:p>
        </w:tc>
        <w:tc>
          <w:tcPr>
            <w:tcW w:w="2860" w:type="dxa"/>
            <w:vAlign w:val="bottom"/>
            <w:shd w:val="clear" w:color="auto" w:fill="DBDBDB"/>
          </w:tcPr>
          <w:p>
            <w:pPr>
              <w:spacing w:after="0"/>
              <w:rPr>
                <w:sz w:val="2"/>
                <w:szCs w:val="2"/>
                <w:color w:val="auto"/>
              </w:rPr>
            </w:pPr>
          </w:p>
        </w:tc>
        <w:tc>
          <w:tcPr>
            <w:tcW w:w="3040" w:type="dxa"/>
            <w:vAlign w:val="bottom"/>
            <w:shd w:val="clear" w:color="auto" w:fill="DBDBDB"/>
          </w:tcPr>
          <w:p>
            <w:pPr>
              <w:spacing w:after="0"/>
              <w:rPr>
                <w:sz w:val="2"/>
                <w:szCs w:val="2"/>
                <w:color w:val="auto"/>
              </w:rPr>
            </w:pPr>
          </w:p>
        </w:tc>
        <w:tc>
          <w:tcPr>
            <w:tcW w:w="4040" w:type="dxa"/>
            <w:vAlign w:val="bottom"/>
            <w:shd w:val="clear" w:color="auto" w:fill="DBDBDB"/>
          </w:tcPr>
          <w:p>
            <w:pPr>
              <w:spacing w:after="0"/>
              <w:rPr>
                <w:sz w:val="2"/>
                <w:szCs w:val="2"/>
                <w:color w:val="auto"/>
              </w:rPr>
            </w:pPr>
          </w:p>
        </w:tc>
      </w:tr>
    </w:tbl>
    <w:p>
      <w:pPr>
        <w:spacing w:after="0" w:line="1" w:lineRule="exact"/>
        <w:rPr>
          <w:sz w:val="20"/>
          <w:szCs w:val="20"/>
          <w:color w:val="auto"/>
        </w:rPr>
      </w:pPr>
    </w:p>
    <w:p>
      <w:pPr>
        <w:sectPr>
          <w:pgSz w:w="11900" w:h="16838" w:orient="portrait"/>
          <w:cols w:equalWidth="0" w:num="1">
            <w:col w:w="11240"/>
          </w:cols>
          <w:pgMar w:left="320" w:top="1103" w:right="339" w:bottom="1440" w:gutter="0" w:footer="0" w:header="0"/>
          <w:type w:val="continuous"/>
        </w:sectPr>
      </w:pPr>
    </w:p>
    <w:p>
      <w:pPr>
        <w:ind w:left="1320" w:hanging="1280"/>
        <w:spacing w:after="0" w:line="244" w:lineRule="auto"/>
        <w:rPr>
          <w:sz w:val="20"/>
          <w:szCs w:val="20"/>
          <w:color w:val="auto"/>
        </w:rPr>
      </w:pPr>
      <w:r>
        <w:rPr>
          <w:rFonts w:ascii="Arial" w:cs="Arial" w:eastAsia="Arial" w:hAnsi="Arial"/>
          <w:sz w:val="16"/>
          <w:szCs w:val="16"/>
          <w:color w:val="auto"/>
        </w:rPr>
        <w:t>Retirement Plans Includes a defined contribution</w:t>
      </w:r>
      <w:r>
        <w:rPr>
          <w:sz w:val="20"/>
          <w:szCs w:val="20"/>
          <w:color w:val="auto"/>
        </w:rPr>
        <w:t xml:space="preserve"> </w:t>
      </w:r>
      <w:r>
        <w:rPr>
          <w:rFonts w:ascii="Arial" w:cs="Arial" w:eastAsia="Arial" w:hAnsi="Arial"/>
          <w:sz w:val="16"/>
          <w:szCs w:val="16"/>
          <w:color w:val="auto"/>
        </w:rPr>
        <w:t>Provide an opportunity for employees to retirement plan and certain nonqualified save and prepare financially for retirement.</w:t>
      </w:r>
    </w:p>
    <w:p>
      <w:pPr>
        <w:spacing w:after="0" w:line="20" w:lineRule="exact"/>
        <w:rPr>
          <w:sz w:val="20"/>
          <w:szCs w:val="20"/>
          <w:color w:val="auto"/>
        </w:rPr>
      </w:pPr>
      <w:r>
        <w:rPr>
          <w:sz w:val="20"/>
          <w:szCs w:val="20"/>
          <w:color w:val="auto"/>
        </w:rPr>
        <w:br w:type="column"/>
      </w:r>
    </w:p>
    <w:p>
      <w:pPr>
        <w:ind w:right="160"/>
        <w:spacing w:after="0" w:line="244" w:lineRule="auto"/>
        <w:rPr>
          <w:sz w:val="20"/>
          <w:szCs w:val="20"/>
          <w:color w:val="auto"/>
        </w:rPr>
      </w:pPr>
      <w:r>
        <w:rPr>
          <w:rFonts w:ascii="Arial" w:cs="Arial" w:eastAsia="Arial" w:hAnsi="Arial"/>
          <w:sz w:val="16"/>
          <w:szCs w:val="16"/>
          <w:color w:val="auto"/>
        </w:rPr>
        <w:t>No significant changes were made to our retirement plans.</w:t>
      </w:r>
    </w:p>
    <w:p>
      <w:pPr>
        <w:spacing w:after="0" w:line="1" w:lineRule="exact"/>
        <w:rPr>
          <w:sz w:val="20"/>
          <w:szCs w:val="20"/>
          <w:color w:val="auto"/>
        </w:rPr>
      </w:pPr>
    </w:p>
    <w:p>
      <w:pPr>
        <w:sectPr>
          <w:pgSz w:w="11900" w:h="16838" w:orient="portrait"/>
          <w:cols w:equalWidth="0" w:num="2">
            <w:col w:w="7220" w:space="180"/>
            <w:col w:w="3840"/>
          </w:cols>
          <w:pgMar w:left="320" w:top="1103" w:right="339" w:bottom="1440" w:gutter="0" w:footer="0" w:header="0"/>
          <w:type w:val="continuous"/>
        </w:sectPr>
      </w:pPr>
    </w:p>
    <w:p>
      <w:pPr>
        <w:ind w:left="1320"/>
        <w:spacing w:after="0"/>
        <w:rPr>
          <w:sz w:val="20"/>
          <w:szCs w:val="20"/>
          <w:color w:val="auto"/>
        </w:rPr>
      </w:pPr>
      <w:r>
        <w:rPr>
          <w:rFonts w:ascii="Arial" w:cs="Arial" w:eastAsia="Arial" w:hAnsi="Arial"/>
          <w:sz w:val="16"/>
          <w:szCs w:val="16"/>
          <w:color w:val="auto"/>
        </w:rPr>
        <w:t>retirement plans.</w:t>
      </w:r>
    </w:p>
    <w:p>
      <w:pPr>
        <w:spacing w:after="0" w:line="30" w:lineRule="exact"/>
        <w:rPr>
          <w:sz w:val="20"/>
          <w:szCs w:val="20"/>
          <w:color w:val="auto"/>
        </w:rPr>
      </w:pPr>
    </w:p>
    <w:tbl>
      <w:tblPr>
        <w:tblLayout w:type="fixed"/>
        <w:tblInd w:w="40" w:type="dxa"/>
        <w:tblCellMar>
          <w:top w:w="0" w:type="dxa"/>
          <w:left w:w="0" w:type="dxa"/>
          <w:bottom w:w="0" w:type="dxa"/>
          <w:right w:w="0" w:type="dxa"/>
        </w:tblCellMar>
      </w:tblPr>
      <w:tr>
        <w:trPr>
          <w:trHeight w:val="184"/>
        </w:trPr>
        <w:tc>
          <w:tcPr>
            <w:tcW w:w="1040" w:type="dxa"/>
            <w:vAlign w:val="bottom"/>
            <w:shd w:val="clear" w:color="auto" w:fill="DBDBDB"/>
          </w:tcPr>
          <w:p>
            <w:pPr>
              <w:spacing w:after="0"/>
              <w:rPr>
                <w:sz w:val="20"/>
                <w:szCs w:val="20"/>
                <w:color w:val="auto"/>
              </w:rPr>
            </w:pPr>
            <w:r>
              <w:rPr>
                <w:rFonts w:ascii="Arial" w:cs="Arial" w:eastAsia="Arial" w:hAnsi="Arial"/>
                <w:sz w:val="16"/>
                <w:szCs w:val="16"/>
                <w:color w:val="auto"/>
              </w:rPr>
              <w:t>Perquisites</w:t>
            </w:r>
          </w:p>
        </w:tc>
        <w:tc>
          <w:tcPr>
            <w:tcW w:w="6200" w:type="dxa"/>
            <w:vAlign w:val="bottom"/>
            <w:gridSpan w:val="2"/>
            <w:shd w:val="clear" w:color="auto" w:fill="DBDBDB"/>
          </w:tcPr>
          <w:p>
            <w:pPr>
              <w:ind w:left="240"/>
              <w:spacing w:after="0"/>
              <w:rPr>
                <w:sz w:val="20"/>
                <w:szCs w:val="20"/>
                <w:color w:val="auto"/>
              </w:rPr>
            </w:pPr>
            <w:r>
              <w:rPr>
                <w:rFonts w:ascii="Arial" w:cs="Arial" w:eastAsia="Arial" w:hAnsi="Arial"/>
                <w:sz w:val="16"/>
                <w:szCs w:val="16"/>
                <w:color w:val="auto"/>
              </w:rPr>
              <w:t>Includes a financial planning allowance, Assist in promoting the personal financial</w:t>
            </w:r>
          </w:p>
        </w:tc>
        <w:tc>
          <w:tcPr>
            <w:tcW w:w="3940" w:type="dxa"/>
            <w:vAlign w:val="bottom"/>
            <w:shd w:val="clear" w:color="auto" w:fill="DBDBDB"/>
          </w:tcPr>
          <w:p>
            <w:pPr>
              <w:ind w:left="120"/>
              <w:spacing w:after="0"/>
              <w:rPr>
                <w:sz w:val="20"/>
                <w:szCs w:val="20"/>
                <w:color w:val="auto"/>
              </w:rPr>
            </w:pPr>
            <w:r>
              <w:rPr>
                <w:rFonts w:ascii="Arial" w:cs="Arial" w:eastAsia="Arial" w:hAnsi="Arial"/>
                <w:sz w:val="16"/>
                <w:szCs w:val="16"/>
                <w:color w:val="auto"/>
              </w:rPr>
              <w:t>No significant changes were made to perquisites.</w:t>
            </w:r>
          </w:p>
        </w:tc>
      </w:tr>
      <w:tr>
        <w:trPr>
          <w:trHeight w:val="187"/>
        </w:trPr>
        <w:tc>
          <w:tcPr>
            <w:tcW w:w="1040" w:type="dxa"/>
            <w:vAlign w:val="bottom"/>
            <w:shd w:val="clear" w:color="auto" w:fill="DBDBDB"/>
          </w:tcPr>
          <w:p>
            <w:pPr>
              <w:spacing w:after="0"/>
              <w:rPr>
                <w:sz w:val="16"/>
                <w:szCs w:val="16"/>
                <w:color w:val="auto"/>
              </w:rPr>
            </w:pPr>
          </w:p>
        </w:tc>
        <w:tc>
          <w:tcPr>
            <w:tcW w:w="2980" w:type="dxa"/>
            <w:vAlign w:val="bottom"/>
            <w:shd w:val="clear" w:color="auto" w:fill="DBDBDB"/>
          </w:tcPr>
          <w:p>
            <w:pPr>
              <w:ind w:left="240"/>
              <w:spacing w:after="0"/>
              <w:rPr>
                <w:sz w:val="20"/>
                <w:szCs w:val="20"/>
                <w:color w:val="auto"/>
              </w:rPr>
            </w:pPr>
            <w:r>
              <w:rPr>
                <w:rFonts w:ascii="Arial" w:cs="Arial" w:eastAsia="Arial" w:hAnsi="Arial"/>
                <w:sz w:val="16"/>
                <w:szCs w:val="16"/>
                <w:color w:val="auto"/>
              </w:rPr>
              <w:t>Company products, company-leased</w:t>
            </w:r>
          </w:p>
        </w:tc>
        <w:tc>
          <w:tcPr>
            <w:tcW w:w="3220" w:type="dxa"/>
            <w:vAlign w:val="bottom"/>
            <w:shd w:val="clear" w:color="auto" w:fill="DBDBDB"/>
          </w:tcPr>
          <w:p>
            <w:pPr>
              <w:ind w:left="140"/>
              <w:spacing w:after="0"/>
              <w:rPr>
                <w:sz w:val="20"/>
                <w:szCs w:val="20"/>
                <w:color w:val="auto"/>
              </w:rPr>
            </w:pPr>
            <w:r>
              <w:rPr>
                <w:rFonts w:ascii="Arial" w:cs="Arial" w:eastAsia="Arial" w:hAnsi="Arial"/>
                <w:sz w:val="16"/>
                <w:szCs w:val="16"/>
                <w:color w:val="auto"/>
              </w:rPr>
              <w:t>security of our executive officers; promote</w:t>
            </w:r>
          </w:p>
        </w:tc>
        <w:tc>
          <w:tcPr>
            <w:tcW w:w="3940" w:type="dxa"/>
            <w:vAlign w:val="bottom"/>
            <w:shd w:val="clear" w:color="auto" w:fill="DBDBDB"/>
          </w:tcPr>
          <w:p>
            <w:pPr>
              <w:spacing w:after="0"/>
              <w:rPr>
                <w:sz w:val="16"/>
                <w:szCs w:val="16"/>
                <w:color w:val="auto"/>
              </w:rPr>
            </w:pPr>
          </w:p>
        </w:tc>
      </w:tr>
      <w:tr>
        <w:trPr>
          <w:trHeight w:val="187"/>
        </w:trPr>
        <w:tc>
          <w:tcPr>
            <w:tcW w:w="1040" w:type="dxa"/>
            <w:vAlign w:val="bottom"/>
            <w:shd w:val="clear" w:color="auto" w:fill="DBDBDB"/>
          </w:tcPr>
          <w:p>
            <w:pPr>
              <w:spacing w:after="0"/>
              <w:rPr>
                <w:sz w:val="16"/>
                <w:szCs w:val="16"/>
                <w:color w:val="auto"/>
              </w:rPr>
            </w:pPr>
          </w:p>
        </w:tc>
        <w:tc>
          <w:tcPr>
            <w:tcW w:w="2980" w:type="dxa"/>
            <w:vAlign w:val="bottom"/>
            <w:shd w:val="clear" w:color="auto" w:fill="DBDBDB"/>
          </w:tcPr>
          <w:p>
            <w:pPr>
              <w:ind w:left="240"/>
              <w:spacing w:after="0"/>
              <w:rPr>
                <w:sz w:val="20"/>
                <w:szCs w:val="20"/>
                <w:color w:val="auto"/>
              </w:rPr>
            </w:pPr>
            <w:r>
              <w:rPr>
                <w:rFonts w:ascii="Arial" w:cs="Arial" w:eastAsia="Arial" w:hAnsi="Arial"/>
                <w:sz w:val="16"/>
                <w:szCs w:val="16"/>
                <w:color w:val="auto"/>
              </w:rPr>
              <w:t>automobile, executive physical and</w:t>
            </w:r>
          </w:p>
        </w:tc>
        <w:tc>
          <w:tcPr>
            <w:tcW w:w="3220" w:type="dxa"/>
            <w:vAlign w:val="bottom"/>
            <w:shd w:val="clear" w:color="auto" w:fill="DBDBDB"/>
          </w:tcPr>
          <w:p>
            <w:pPr>
              <w:ind w:left="140"/>
              <w:spacing w:after="0"/>
              <w:rPr>
                <w:sz w:val="20"/>
                <w:szCs w:val="20"/>
                <w:color w:val="auto"/>
              </w:rPr>
            </w:pPr>
            <w:r>
              <w:rPr>
                <w:rFonts w:ascii="Arial" w:cs="Arial" w:eastAsia="Arial" w:hAnsi="Arial"/>
                <w:sz w:val="16"/>
                <w:szCs w:val="16"/>
                <w:color w:val="auto"/>
              </w:rPr>
              <w:t>personal use of our products by our</w:t>
            </w:r>
          </w:p>
        </w:tc>
        <w:tc>
          <w:tcPr>
            <w:tcW w:w="3940" w:type="dxa"/>
            <w:vAlign w:val="bottom"/>
            <w:shd w:val="clear" w:color="auto" w:fill="DBDBDB"/>
          </w:tcPr>
          <w:p>
            <w:pPr>
              <w:spacing w:after="0"/>
              <w:rPr>
                <w:sz w:val="16"/>
                <w:szCs w:val="16"/>
                <w:color w:val="auto"/>
              </w:rPr>
            </w:pPr>
          </w:p>
        </w:tc>
      </w:tr>
      <w:tr>
        <w:trPr>
          <w:trHeight w:val="173"/>
        </w:trPr>
        <w:tc>
          <w:tcPr>
            <w:tcW w:w="1040" w:type="dxa"/>
            <w:vAlign w:val="bottom"/>
            <w:shd w:val="clear" w:color="auto" w:fill="DBDBDB"/>
          </w:tcPr>
          <w:p>
            <w:pPr>
              <w:spacing w:after="0"/>
              <w:rPr>
                <w:sz w:val="15"/>
                <w:szCs w:val="15"/>
                <w:color w:val="auto"/>
              </w:rPr>
            </w:pPr>
          </w:p>
        </w:tc>
        <w:tc>
          <w:tcPr>
            <w:tcW w:w="2980" w:type="dxa"/>
            <w:vAlign w:val="bottom"/>
            <w:shd w:val="clear" w:color="auto" w:fill="DBDBDB"/>
          </w:tcPr>
          <w:p>
            <w:pPr>
              <w:ind w:left="240"/>
              <w:spacing w:after="0" w:line="174" w:lineRule="exact"/>
              <w:rPr>
                <w:sz w:val="20"/>
                <w:szCs w:val="20"/>
                <w:color w:val="auto"/>
              </w:rPr>
            </w:pPr>
            <w:r>
              <w:rPr>
                <w:rFonts w:ascii="Arial" w:cs="Arial" w:eastAsia="Arial" w:hAnsi="Arial"/>
                <w:sz w:val="16"/>
                <w:szCs w:val="16"/>
                <w:color w:val="auto"/>
              </w:rPr>
              <w:t>certain travel costs for spouses in</w:t>
            </w:r>
          </w:p>
        </w:tc>
        <w:tc>
          <w:tcPr>
            <w:tcW w:w="3220" w:type="dxa"/>
            <w:vAlign w:val="bottom"/>
            <w:shd w:val="clear" w:color="auto" w:fill="DBDBDB"/>
          </w:tcPr>
          <w:p>
            <w:pPr>
              <w:ind w:left="140"/>
              <w:spacing w:after="0" w:line="174" w:lineRule="exact"/>
              <w:rPr>
                <w:sz w:val="20"/>
                <w:szCs w:val="20"/>
                <w:color w:val="auto"/>
              </w:rPr>
            </w:pPr>
            <w:r>
              <w:rPr>
                <w:rFonts w:ascii="Arial" w:cs="Arial" w:eastAsia="Arial" w:hAnsi="Arial"/>
                <w:sz w:val="16"/>
                <w:szCs w:val="16"/>
                <w:color w:val="auto"/>
              </w:rPr>
              <w:t>executive officers and the attraction,</w:t>
            </w:r>
          </w:p>
        </w:tc>
        <w:tc>
          <w:tcPr>
            <w:tcW w:w="3940" w:type="dxa"/>
            <w:vAlign w:val="bottom"/>
            <w:shd w:val="clear" w:color="auto" w:fill="DBDBDB"/>
          </w:tcPr>
          <w:p>
            <w:pPr>
              <w:spacing w:after="0"/>
              <w:rPr>
                <w:sz w:val="15"/>
                <w:szCs w:val="15"/>
                <w:color w:val="auto"/>
              </w:rPr>
            </w:pPr>
          </w:p>
        </w:tc>
      </w:tr>
      <w:tr>
        <w:trPr>
          <w:trHeight w:val="187"/>
        </w:trPr>
        <w:tc>
          <w:tcPr>
            <w:tcW w:w="1040" w:type="dxa"/>
            <w:vAlign w:val="bottom"/>
            <w:shd w:val="clear" w:color="auto" w:fill="DBDBDB"/>
          </w:tcPr>
          <w:p>
            <w:pPr>
              <w:spacing w:after="0"/>
              <w:rPr>
                <w:sz w:val="16"/>
                <w:szCs w:val="16"/>
                <w:color w:val="auto"/>
              </w:rPr>
            </w:pPr>
          </w:p>
        </w:tc>
        <w:tc>
          <w:tcPr>
            <w:tcW w:w="6200" w:type="dxa"/>
            <w:vAlign w:val="bottom"/>
            <w:gridSpan w:val="2"/>
            <w:shd w:val="clear" w:color="auto" w:fill="DBDBDB"/>
          </w:tcPr>
          <w:p>
            <w:pPr>
              <w:ind w:left="240"/>
              <w:spacing w:after="0"/>
              <w:rPr>
                <w:sz w:val="20"/>
                <w:szCs w:val="20"/>
                <w:color w:val="auto"/>
              </w:rPr>
            </w:pPr>
            <w:r>
              <w:rPr>
                <w:rFonts w:ascii="Arial" w:cs="Arial" w:eastAsia="Arial" w:hAnsi="Arial"/>
                <w:sz w:val="16"/>
                <w:szCs w:val="16"/>
                <w:color w:val="auto"/>
              </w:rPr>
              <w:t>connection with certain off-site business retention and wellbeing of our executive</w:t>
            </w:r>
          </w:p>
        </w:tc>
        <w:tc>
          <w:tcPr>
            <w:tcW w:w="3940" w:type="dxa"/>
            <w:vAlign w:val="bottom"/>
            <w:shd w:val="clear" w:color="auto" w:fill="DBDBDB"/>
          </w:tcPr>
          <w:p>
            <w:pPr>
              <w:spacing w:after="0"/>
              <w:rPr>
                <w:sz w:val="16"/>
                <w:szCs w:val="16"/>
                <w:color w:val="auto"/>
              </w:rPr>
            </w:pPr>
          </w:p>
        </w:tc>
      </w:tr>
      <w:tr>
        <w:trPr>
          <w:trHeight w:val="187"/>
        </w:trPr>
        <w:tc>
          <w:tcPr>
            <w:tcW w:w="1040" w:type="dxa"/>
            <w:vAlign w:val="bottom"/>
            <w:shd w:val="clear" w:color="auto" w:fill="DBDBDB"/>
          </w:tcPr>
          <w:p>
            <w:pPr>
              <w:spacing w:after="0"/>
              <w:rPr>
                <w:sz w:val="16"/>
                <w:szCs w:val="16"/>
                <w:color w:val="auto"/>
              </w:rPr>
            </w:pPr>
          </w:p>
        </w:tc>
        <w:tc>
          <w:tcPr>
            <w:tcW w:w="2980" w:type="dxa"/>
            <w:vAlign w:val="bottom"/>
            <w:shd w:val="clear" w:color="auto" w:fill="DBDBDB"/>
          </w:tcPr>
          <w:p>
            <w:pPr>
              <w:ind w:left="240"/>
              <w:spacing w:after="0"/>
              <w:rPr>
                <w:sz w:val="20"/>
                <w:szCs w:val="20"/>
                <w:color w:val="auto"/>
              </w:rPr>
            </w:pPr>
            <w:r>
              <w:rPr>
                <w:rFonts w:ascii="Arial" w:cs="Arial" w:eastAsia="Arial" w:hAnsi="Arial"/>
                <w:sz w:val="16"/>
                <w:szCs w:val="16"/>
                <w:color w:val="auto"/>
              </w:rPr>
              <w:t>related meetings in which it is</w:t>
            </w:r>
          </w:p>
        </w:tc>
        <w:tc>
          <w:tcPr>
            <w:tcW w:w="3220" w:type="dxa"/>
            <w:vAlign w:val="bottom"/>
            <w:shd w:val="clear" w:color="auto" w:fill="DBDBDB"/>
          </w:tcPr>
          <w:p>
            <w:pPr>
              <w:ind w:left="140"/>
              <w:spacing w:after="0"/>
              <w:rPr>
                <w:sz w:val="20"/>
                <w:szCs w:val="20"/>
                <w:color w:val="auto"/>
              </w:rPr>
            </w:pPr>
            <w:r>
              <w:rPr>
                <w:rFonts w:ascii="Arial" w:cs="Arial" w:eastAsia="Arial" w:hAnsi="Arial"/>
                <w:sz w:val="16"/>
                <w:szCs w:val="16"/>
                <w:color w:val="auto"/>
              </w:rPr>
              <w:t>officers.</w:t>
            </w:r>
          </w:p>
        </w:tc>
        <w:tc>
          <w:tcPr>
            <w:tcW w:w="3940" w:type="dxa"/>
            <w:vAlign w:val="bottom"/>
            <w:shd w:val="clear" w:color="auto" w:fill="DBDBDB"/>
          </w:tcPr>
          <w:p>
            <w:pPr>
              <w:spacing w:after="0"/>
              <w:rPr>
                <w:sz w:val="16"/>
                <w:szCs w:val="16"/>
                <w:color w:val="auto"/>
              </w:rPr>
            </w:pPr>
          </w:p>
        </w:tc>
      </w:tr>
      <w:tr>
        <w:trPr>
          <w:trHeight w:val="211"/>
        </w:trPr>
        <w:tc>
          <w:tcPr>
            <w:tcW w:w="1040" w:type="dxa"/>
            <w:vAlign w:val="bottom"/>
            <w:shd w:val="clear" w:color="auto" w:fill="DBDBDB"/>
          </w:tcPr>
          <w:p>
            <w:pPr>
              <w:spacing w:after="0"/>
              <w:rPr>
                <w:sz w:val="18"/>
                <w:szCs w:val="18"/>
                <w:color w:val="auto"/>
              </w:rPr>
            </w:pPr>
          </w:p>
        </w:tc>
        <w:tc>
          <w:tcPr>
            <w:tcW w:w="2980" w:type="dxa"/>
            <w:vAlign w:val="bottom"/>
            <w:shd w:val="clear" w:color="auto" w:fill="DBDBDB"/>
          </w:tcPr>
          <w:p>
            <w:pPr>
              <w:ind w:left="240"/>
              <w:spacing w:after="0"/>
              <w:rPr>
                <w:sz w:val="20"/>
                <w:szCs w:val="20"/>
                <w:color w:val="auto"/>
              </w:rPr>
            </w:pPr>
            <w:r>
              <w:rPr>
                <w:rFonts w:ascii="Arial" w:cs="Arial" w:eastAsia="Arial" w:hAnsi="Arial"/>
                <w:sz w:val="16"/>
                <w:szCs w:val="16"/>
                <w:color w:val="auto"/>
              </w:rPr>
              <w:t>appropriate for a spouse to attend.</w:t>
            </w:r>
          </w:p>
        </w:tc>
        <w:tc>
          <w:tcPr>
            <w:tcW w:w="3220" w:type="dxa"/>
            <w:vAlign w:val="bottom"/>
            <w:shd w:val="clear" w:color="auto" w:fill="DBDBDB"/>
          </w:tcPr>
          <w:p>
            <w:pPr>
              <w:spacing w:after="0"/>
              <w:rPr>
                <w:sz w:val="18"/>
                <w:szCs w:val="18"/>
                <w:color w:val="auto"/>
              </w:rPr>
            </w:pPr>
          </w:p>
        </w:tc>
        <w:tc>
          <w:tcPr>
            <w:tcW w:w="3940" w:type="dxa"/>
            <w:vAlign w:val="bottom"/>
            <w:shd w:val="clear" w:color="auto" w:fill="DBDBDB"/>
          </w:tcPr>
          <w:p>
            <w:pPr>
              <w:spacing w:after="0"/>
              <w:rPr>
                <w:sz w:val="18"/>
                <w:szCs w:val="18"/>
                <w:color w:val="auto"/>
              </w:rPr>
            </w:pPr>
          </w:p>
        </w:tc>
      </w:tr>
      <w:tr>
        <w:trPr>
          <w:trHeight w:val="30"/>
        </w:trPr>
        <w:tc>
          <w:tcPr>
            <w:tcW w:w="1040" w:type="dxa"/>
            <w:vAlign w:val="bottom"/>
            <w:shd w:val="clear" w:color="auto" w:fill="DBDBDB"/>
          </w:tcPr>
          <w:p>
            <w:pPr>
              <w:spacing w:after="0"/>
              <w:rPr>
                <w:sz w:val="2"/>
                <w:szCs w:val="2"/>
                <w:color w:val="auto"/>
              </w:rPr>
            </w:pPr>
          </w:p>
        </w:tc>
        <w:tc>
          <w:tcPr>
            <w:tcW w:w="2980" w:type="dxa"/>
            <w:vAlign w:val="bottom"/>
            <w:shd w:val="clear" w:color="auto" w:fill="DBDBDB"/>
          </w:tcPr>
          <w:p>
            <w:pPr>
              <w:spacing w:after="0"/>
              <w:rPr>
                <w:sz w:val="2"/>
                <w:szCs w:val="2"/>
                <w:color w:val="auto"/>
              </w:rPr>
            </w:pPr>
          </w:p>
        </w:tc>
        <w:tc>
          <w:tcPr>
            <w:tcW w:w="3220" w:type="dxa"/>
            <w:vAlign w:val="bottom"/>
            <w:shd w:val="clear" w:color="auto" w:fill="DBDBDB"/>
          </w:tcPr>
          <w:p>
            <w:pPr>
              <w:spacing w:after="0"/>
              <w:rPr>
                <w:sz w:val="2"/>
                <w:szCs w:val="2"/>
                <w:color w:val="auto"/>
              </w:rPr>
            </w:pPr>
          </w:p>
        </w:tc>
        <w:tc>
          <w:tcPr>
            <w:tcW w:w="3940" w:type="dxa"/>
            <w:vAlign w:val="bottom"/>
            <w:shd w:val="clear" w:color="auto" w:fill="DBDBDB"/>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103" w:right="339" w:bottom="1440" w:gutter="0" w:footer="0" w:header="0"/>
          <w:type w:val="continuous"/>
        </w:sectPr>
      </w:pPr>
    </w:p>
    <w:bookmarkStart w:id="48" w:name="page49"/>
    <w:bookmarkEnd w:id="48"/>
    <w:p>
      <w:pPr>
        <w:ind w:left="320"/>
        <w:spacing w:after="0"/>
        <w:rPr>
          <w:sz w:val="20"/>
          <w:szCs w:val="20"/>
          <w:color w:val="auto"/>
        </w:rPr>
      </w:pPr>
      <w:r>
        <w:rPr>
          <w:rFonts w:ascii="Arial" w:cs="Arial" w:eastAsia="Arial" w:hAnsi="Arial"/>
          <w:sz w:val="18"/>
          <w:szCs w:val="18"/>
          <w:b w:val="1"/>
          <w:bCs w:val="1"/>
          <w:color w:val="auto"/>
        </w:rPr>
        <w:t>Base Salary</w:t>
      </w:r>
    </w:p>
    <w:p>
      <w:pPr>
        <w:spacing w:after="0" w:line="102" w:lineRule="exact"/>
        <w:rPr>
          <w:sz w:val="20"/>
          <w:szCs w:val="20"/>
          <w:color w:val="auto"/>
        </w:rPr>
      </w:pPr>
    </w:p>
    <w:p>
      <w:pPr>
        <w:ind w:firstLine="320"/>
        <w:spacing w:after="0" w:line="233" w:lineRule="auto"/>
        <w:rPr>
          <w:sz w:val="20"/>
          <w:szCs w:val="20"/>
          <w:color w:val="auto"/>
        </w:rPr>
      </w:pPr>
      <w:r>
        <w:rPr>
          <w:rFonts w:ascii="Arial" w:cs="Arial" w:eastAsia="Arial" w:hAnsi="Arial"/>
          <w:sz w:val="18"/>
          <w:szCs w:val="18"/>
          <w:i w:val="1"/>
          <w:iCs w:val="1"/>
          <w:color w:val="auto"/>
        </w:rPr>
        <w:t xml:space="preserve">General. </w:t>
      </w:r>
      <w:r>
        <w:rPr>
          <w:rFonts w:ascii="Arial" w:cs="Arial" w:eastAsia="Arial" w:hAnsi="Arial"/>
          <w:sz w:val="18"/>
          <w:szCs w:val="18"/>
          <w:color w:val="auto"/>
        </w:rPr>
        <w:t>We set base salaries for new executive officers at the time of hire and review base salaries for our executive officers on an</w:t>
      </w:r>
      <w:r>
        <w:rPr>
          <w:rFonts w:ascii="Arial" w:cs="Arial" w:eastAsia="Arial" w:hAnsi="Arial"/>
          <w:sz w:val="18"/>
          <w:szCs w:val="18"/>
          <w:i w:val="1"/>
          <w:iCs w:val="1"/>
          <w:color w:val="auto"/>
        </w:rPr>
        <w:t xml:space="preserve"> </w:t>
      </w:r>
      <w:r>
        <w:rPr>
          <w:rFonts w:ascii="Arial" w:cs="Arial" w:eastAsia="Arial" w:hAnsi="Arial"/>
          <w:sz w:val="18"/>
          <w:szCs w:val="18"/>
          <w:color w:val="auto"/>
        </w:rPr>
        <w:t>annual basis to ensure they remain market competitive and reflect the scope and responsibility of their positions. Base salaries for our</w:t>
      </w:r>
    </w:p>
    <w:p>
      <w:pPr>
        <w:spacing w:after="0" w:line="233" w:lineRule="auto"/>
        <w:rPr>
          <w:sz w:val="20"/>
          <w:szCs w:val="20"/>
          <w:color w:val="auto"/>
        </w:rPr>
      </w:pPr>
      <w:r>
        <w:rPr>
          <w:rFonts w:ascii="Arial" w:cs="Arial" w:eastAsia="Arial" w:hAnsi="Arial"/>
          <w:sz w:val="18"/>
          <w:szCs w:val="18"/>
          <w:color w:val="auto"/>
        </w:rPr>
        <w:t>executive officers are reviewed and discussed at the regular meeting of the Compensation &amp; Human Resources Committee held each</w:t>
      </w:r>
    </w:p>
    <w:p>
      <w:pPr>
        <w:spacing w:after="0" w:line="234" w:lineRule="auto"/>
        <w:rPr>
          <w:sz w:val="20"/>
          <w:szCs w:val="20"/>
          <w:color w:val="auto"/>
        </w:rPr>
      </w:pPr>
      <w:r>
        <w:rPr>
          <w:rFonts w:ascii="Arial" w:cs="Arial" w:eastAsia="Arial" w:hAnsi="Arial"/>
          <w:sz w:val="18"/>
          <w:szCs w:val="18"/>
          <w:color w:val="auto"/>
        </w:rPr>
        <w:t>December and are effective the following March 1st. We also review base salaries in connection with promotions and otherwise upon a significant change in an executive officer's responsibilities or role.</w:t>
      </w:r>
    </w:p>
    <w:p>
      <w:pPr>
        <w:spacing w:after="0" w:line="74"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 xml:space="preserve">Discussion and Analysis. </w:t>
      </w:r>
      <w:r>
        <w:rPr>
          <w:rFonts w:ascii="Arial" w:cs="Arial" w:eastAsia="Arial" w:hAnsi="Arial"/>
          <w:sz w:val="18"/>
          <w:szCs w:val="18"/>
          <w:color w:val="auto"/>
        </w:rPr>
        <w:t>We take into consideration the following factors in setting or reviewing base salaries for our executive officers:</w:t>
      </w:r>
    </w:p>
    <w:p>
      <w:pPr>
        <w:spacing w:after="0" w:line="9" w:lineRule="exact"/>
        <w:rPr>
          <w:sz w:val="20"/>
          <w:szCs w:val="20"/>
          <w:color w:val="auto"/>
        </w:rPr>
      </w:pPr>
    </w:p>
    <w:p>
      <w:pPr>
        <w:spacing w:after="0" w:line="224" w:lineRule="auto"/>
        <w:rPr>
          <w:sz w:val="20"/>
          <w:szCs w:val="20"/>
          <w:color w:val="auto"/>
        </w:rPr>
      </w:pPr>
      <w:r>
        <w:rPr>
          <w:rFonts w:ascii="Arial" w:cs="Arial" w:eastAsia="Arial" w:hAnsi="Arial"/>
          <w:sz w:val="18"/>
          <w:szCs w:val="18"/>
          <w:color w:val="auto"/>
        </w:rPr>
        <w:t>current base salary; positioning relative to competitive market data; scope and complexity of the position; experience; tenure; historical and current levels of function, division and individual performance; future potential; and internal pay comparisons. Mr. Carpenter received an</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increase of 7.3% to base salary to improve his market positioning and reflect the scope, scale and complexity of his role.</w:t>
      </w:r>
    </w:p>
    <w:p>
      <w:pPr>
        <w:spacing w:after="0" w:line="84"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fiscal 2024 base salaries of our NEOs and any percent increase over fiscal 2023 base salaries are provided in the table below.</w:t>
      </w:r>
    </w:p>
    <w:p>
      <w:pPr>
        <w:spacing w:after="0" w:line="143" w:lineRule="exact"/>
        <w:rPr>
          <w:sz w:val="20"/>
          <w:szCs w:val="20"/>
          <w:color w:val="auto"/>
        </w:rPr>
      </w:pPr>
    </w:p>
    <w:tbl>
      <w:tblPr>
        <w:tblLayout w:type="fixed"/>
        <w:tblInd w:w="1240" w:type="dxa"/>
        <w:tblCellMar>
          <w:top w:w="0" w:type="dxa"/>
          <w:left w:w="0" w:type="dxa"/>
          <w:bottom w:w="0" w:type="dxa"/>
          <w:right w:w="0" w:type="dxa"/>
        </w:tblCellMar>
      </w:tblPr>
      <w:tr>
        <w:trPr>
          <w:trHeight w:val="204"/>
        </w:trPr>
        <w:tc>
          <w:tcPr>
            <w:tcW w:w="1980" w:type="dxa"/>
            <w:vAlign w:val="bottom"/>
            <w:shd w:val="clear" w:color="auto" w:fill="BF2115"/>
          </w:tcPr>
          <w:p>
            <w:pPr>
              <w:spacing w:after="0"/>
              <w:rPr>
                <w:sz w:val="17"/>
                <w:szCs w:val="17"/>
                <w:color w:val="auto"/>
              </w:rPr>
            </w:pPr>
          </w:p>
        </w:tc>
        <w:tc>
          <w:tcPr>
            <w:tcW w:w="3760" w:type="dxa"/>
            <w:vAlign w:val="bottom"/>
            <w:shd w:val="clear" w:color="auto" w:fill="BF2115"/>
          </w:tcPr>
          <w:p>
            <w:pPr>
              <w:jc w:val="right"/>
              <w:ind w:right="202"/>
              <w:spacing w:after="0"/>
              <w:rPr>
                <w:sz w:val="20"/>
                <w:szCs w:val="20"/>
                <w:color w:val="auto"/>
              </w:rPr>
            </w:pPr>
            <w:r>
              <w:rPr>
                <w:rFonts w:ascii="Arial" w:cs="Arial" w:eastAsia="Arial" w:hAnsi="Arial"/>
                <w:sz w:val="14"/>
                <w:szCs w:val="14"/>
                <w:b w:val="1"/>
                <w:bCs w:val="1"/>
                <w:color w:val="FFFFFF"/>
              </w:rPr>
              <w:t>New Base Salary as of March 1, 2024</w:t>
            </w:r>
          </w:p>
        </w:tc>
        <w:tc>
          <w:tcPr>
            <w:tcW w:w="3040" w:type="dxa"/>
            <w:vAlign w:val="bottom"/>
            <w:shd w:val="clear" w:color="auto" w:fill="BF2115"/>
          </w:tcPr>
          <w:p>
            <w:pPr>
              <w:jc w:val="right"/>
              <w:spacing w:after="0"/>
              <w:rPr>
                <w:sz w:val="20"/>
                <w:szCs w:val="20"/>
                <w:color w:val="auto"/>
              </w:rPr>
            </w:pPr>
            <w:r>
              <w:rPr>
                <w:rFonts w:ascii="Arial" w:cs="Arial" w:eastAsia="Arial" w:hAnsi="Arial"/>
                <w:sz w:val="14"/>
                <w:szCs w:val="14"/>
                <w:b w:val="1"/>
                <w:bCs w:val="1"/>
                <w:color w:val="FFFFFF"/>
              </w:rPr>
              <w:t>Percent Increase Over Previous Base Salary</w:t>
            </w:r>
          </w:p>
        </w:tc>
      </w:tr>
      <w:tr>
        <w:trPr>
          <w:trHeight w:val="209"/>
        </w:trPr>
        <w:tc>
          <w:tcPr>
            <w:tcW w:w="1980" w:type="dxa"/>
            <w:vAlign w:val="bottom"/>
            <w:shd w:val="clear" w:color="auto" w:fill="BF2115"/>
          </w:tcPr>
          <w:p>
            <w:pPr>
              <w:ind w:left="20"/>
              <w:spacing w:after="0"/>
              <w:rPr>
                <w:sz w:val="20"/>
                <w:szCs w:val="20"/>
                <w:color w:val="auto"/>
              </w:rPr>
            </w:pPr>
            <w:r>
              <w:rPr>
                <w:rFonts w:ascii="Arial" w:cs="Arial" w:eastAsia="Arial" w:hAnsi="Arial"/>
                <w:sz w:val="14"/>
                <w:szCs w:val="14"/>
                <w:b w:val="1"/>
                <w:bCs w:val="1"/>
                <w:color w:val="FFFFFF"/>
              </w:rPr>
              <w:t>Name</w:t>
            </w:r>
          </w:p>
        </w:tc>
        <w:tc>
          <w:tcPr>
            <w:tcW w:w="3760" w:type="dxa"/>
            <w:vAlign w:val="bottom"/>
            <w:shd w:val="clear" w:color="auto" w:fill="BF2115"/>
          </w:tcPr>
          <w:p>
            <w:pPr>
              <w:jc w:val="right"/>
              <w:ind w:right="1362"/>
              <w:spacing w:after="0"/>
              <w:rPr>
                <w:sz w:val="20"/>
                <w:szCs w:val="20"/>
                <w:color w:val="auto"/>
              </w:rPr>
            </w:pPr>
            <w:r>
              <w:rPr>
                <w:rFonts w:ascii="Arial" w:cs="Arial" w:eastAsia="Arial" w:hAnsi="Arial"/>
                <w:sz w:val="14"/>
                <w:szCs w:val="14"/>
                <w:b w:val="1"/>
                <w:bCs w:val="1"/>
                <w:color w:val="FFFFFF"/>
              </w:rPr>
              <w:t>($)</w:t>
            </w:r>
          </w:p>
        </w:tc>
        <w:tc>
          <w:tcPr>
            <w:tcW w:w="3040" w:type="dxa"/>
            <w:vAlign w:val="bottom"/>
            <w:shd w:val="clear" w:color="auto" w:fill="BF2115"/>
          </w:tcPr>
          <w:p>
            <w:pPr>
              <w:jc w:val="right"/>
              <w:ind w:right="1336"/>
              <w:spacing w:after="0"/>
              <w:rPr>
                <w:sz w:val="20"/>
                <w:szCs w:val="20"/>
                <w:color w:val="auto"/>
              </w:rPr>
            </w:pPr>
            <w:r>
              <w:rPr>
                <w:rFonts w:ascii="Arial" w:cs="Arial" w:eastAsia="Arial" w:hAnsi="Arial"/>
                <w:sz w:val="14"/>
                <w:szCs w:val="14"/>
                <w:b w:val="1"/>
                <w:bCs w:val="1"/>
                <w:color w:val="FFFFFF"/>
              </w:rPr>
              <w:t>(%)</w:t>
            </w:r>
          </w:p>
        </w:tc>
      </w:tr>
      <w:tr>
        <w:trPr>
          <w:trHeight w:val="240"/>
        </w:trPr>
        <w:tc>
          <w:tcPr>
            <w:tcW w:w="1980" w:type="dxa"/>
            <w:vAlign w:val="bottom"/>
          </w:tcPr>
          <w:p>
            <w:pPr>
              <w:ind w:left="20"/>
              <w:spacing w:after="0"/>
              <w:rPr>
                <w:sz w:val="20"/>
                <w:szCs w:val="20"/>
                <w:color w:val="auto"/>
              </w:rPr>
            </w:pPr>
            <w:r>
              <w:rPr>
                <w:rFonts w:ascii="Arial" w:cs="Arial" w:eastAsia="Arial" w:hAnsi="Arial"/>
                <w:sz w:val="16"/>
                <w:szCs w:val="16"/>
                <w:color w:val="auto"/>
              </w:rPr>
              <w:t>Mr. Olson</w:t>
            </w:r>
          </w:p>
        </w:tc>
        <w:tc>
          <w:tcPr>
            <w:tcW w:w="3760" w:type="dxa"/>
            <w:vAlign w:val="bottom"/>
          </w:tcPr>
          <w:p>
            <w:pPr>
              <w:jc w:val="right"/>
              <w:spacing w:after="0"/>
              <w:rPr>
                <w:sz w:val="20"/>
                <w:szCs w:val="20"/>
                <w:color w:val="auto"/>
              </w:rPr>
            </w:pPr>
            <w:r>
              <w:rPr>
                <w:rFonts w:ascii="Arial" w:cs="Arial" w:eastAsia="Arial" w:hAnsi="Arial"/>
                <w:sz w:val="16"/>
                <w:szCs w:val="16"/>
                <w:color w:val="auto"/>
              </w:rPr>
              <w:t>1,190,000</w:t>
            </w:r>
          </w:p>
        </w:tc>
        <w:tc>
          <w:tcPr>
            <w:tcW w:w="3040" w:type="dxa"/>
            <w:vAlign w:val="bottom"/>
          </w:tcPr>
          <w:p>
            <w:pPr>
              <w:jc w:val="right"/>
              <w:spacing w:after="0"/>
              <w:rPr>
                <w:sz w:val="20"/>
                <w:szCs w:val="20"/>
                <w:color w:val="auto"/>
              </w:rPr>
            </w:pPr>
            <w:r>
              <w:rPr>
                <w:rFonts w:ascii="Arial" w:cs="Arial" w:eastAsia="Arial" w:hAnsi="Arial"/>
                <w:sz w:val="18"/>
                <w:szCs w:val="18"/>
                <w:color w:val="auto"/>
              </w:rPr>
              <w:t>3.9</w:t>
            </w:r>
          </w:p>
        </w:tc>
      </w:tr>
      <w:tr>
        <w:trPr>
          <w:trHeight w:val="240"/>
        </w:trPr>
        <w:tc>
          <w:tcPr>
            <w:tcW w:w="1980" w:type="dxa"/>
            <w:vAlign w:val="bottom"/>
            <w:shd w:val="clear" w:color="auto" w:fill="DBDBDB"/>
          </w:tcPr>
          <w:p>
            <w:pPr>
              <w:ind w:left="20"/>
              <w:spacing w:after="0"/>
              <w:rPr>
                <w:sz w:val="20"/>
                <w:szCs w:val="20"/>
                <w:color w:val="auto"/>
              </w:rPr>
            </w:pPr>
            <w:r>
              <w:rPr>
                <w:rFonts w:ascii="Arial" w:cs="Arial" w:eastAsia="Arial" w:hAnsi="Arial"/>
                <w:sz w:val="16"/>
                <w:szCs w:val="16"/>
                <w:color w:val="auto"/>
              </w:rPr>
              <w:t>Ms. Drake</w:t>
            </w:r>
          </w:p>
        </w:tc>
        <w:tc>
          <w:tcPr>
            <w:tcW w:w="3760" w:type="dxa"/>
            <w:vAlign w:val="bottom"/>
            <w:shd w:val="clear" w:color="auto" w:fill="DBDBDB"/>
          </w:tcPr>
          <w:p>
            <w:pPr>
              <w:jc w:val="right"/>
              <w:spacing w:after="0"/>
              <w:rPr>
                <w:sz w:val="20"/>
                <w:szCs w:val="20"/>
                <w:color w:val="auto"/>
              </w:rPr>
            </w:pPr>
            <w:r>
              <w:rPr>
                <w:rFonts w:ascii="Arial" w:cs="Arial" w:eastAsia="Arial" w:hAnsi="Arial"/>
                <w:sz w:val="16"/>
                <w:szCs w:val="16"/>
                <w:color w:val="auto"/>
              </w:rPr>
              <w:t>587,500</w:t>
            </w:r>
          </w:p>
        </w:tc>
        <w:tc>
          <w:tcPr>
            <w:tcW w:w="30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4.0</w:t>
            </w:r>
          </w:p>
        </w:tc>
      </w:tr>
      <w:tr>
        <w:trPr>
          <w:trHeight w:val="240"/>
        </w:trPr>
        <w:tc>
          <w:tcPr>
            <w:tcW w:w="1980" w:type="dxa"/>
            <w:vAlign w:val="bottom"/>
          </w:tcPr>
          <w:p>
            <w:pPr>
              <w:ind w:left="20"/>
              <w:spacing w:after="0"/>
              <w:rPr>
                <w:sz w:val="20"/>
                <w:szCs w:val="20"/>
                <w:color w:val="auto"/>
              </w:rPr>
            </w:pPr>
            <w:r>
              <w:rPr>
                <w:rFonts w:ascii="Arial" w:cs="Arial" w:eastAsia="Arial" w:hAnsi="Arial"/>
                <w:sz w:val="16"/>
                <w:szCs w:val="16"/>
                <w:color w:val="auto"/>
              </w:rPr>
              <w:t>Mr. Carpenter</w:t>
            </w:r>
          </w:p>
        </w:tc>
        <w:tc>
          <w:tcPr>
            <w:tcW w:w="3760" w:type="dxa"/>
            <w:vAlign w:val="bottom"/>
          </w:tcPr>
          <w:p>
            <w:pPr>
              <w:jc w:val="right"/>
              <w:spacing w:after="0"/>
              <w:rPr>
                <w:sz w:val="20"/>
                <w:szCs w:val="20"/>
                <w:color w:val="auto"/>
              </w:rPr>
            </w:pPr>
            <w:r>
              <w:rPr>
                <w:rFonts w:ascii="Arial" w:cs="Arial" w:eastAsia="Arial" w:hAnsi="Arial"/>
                <w:sz w:val="16"/>
                <w:szCs w:val="16"/>
                <w:color w:val="auto"/>
              </w:rPr>
              <w:t>515,000</w:t>
            </w:r>
          </w:p>
        </w:tc>
        <w:tc>
          <w:tcPr>
            <w:tcW w:w="3040" w:type="dxa"/>
            <w:vAlign w:val="bottom"/>
          </w:tcPr>
          <w:p>
            <w:pPr>
              <w:jc w:val="right"/>
              <w:spacing w:after="0"/>
              <w:rPr>
                <w:sz w:val="20"/>
                <w:szCs w:val="20"/>
                <w:color w:val="auto"/>
              </w:rPr>
            </w:pPr>
            <w:r>
              <w:rPr>
                <w:rFonts w:ascii="Arial" w:cs="Arial" w:eastAsia="Arial" w:hAnsi="Arial"/>
                <w:sz w:val="18"/>
                <w:szCs w:val="18"/>
                <w:color w:val="auto"/>
              </w:rPr>
              <w:t>7.3</w:t>
            </w:r>
          </w:p>
        </w:tc>
      </w:tr>
      <w:tr>
        <w:trPr>
          <w:trHeight w:val="240"/>
        </w:trPr>
        <w:tc>
          <w:tcPr>
            <w:tcW w:w="1980" w:type="dxa"/>
            <w:vAlign w:val="bottom"/>
            <w:shd w:val="clear" w:color="auto" w:fill="DBDBDB"/>
          </w:tcPr>
          <w:p>
            <w:pPr>
              <w:ind w:left="20"/>
              <w:spacing w:after="0"/>
              <w:rPr>
                <w:sz w:val="20"/>
                <w:szCs w:val="20"/>
                <w:color w:val="auto"/>
              </w:rPr>
            </w:pPr>
            <w:r>
              <w:rPr>
                <w:rFonts w:ascii="Arial" w:cs="Arial" w:eastAsia="Arial" w:hAnsi="Arial"/>
                <w:sz w:val="16"/>
                <w:szCs w:val="16"/>
                <w:color w:val="auto"/>
              </w:rPr>
              <w:t>Ms. Dahl</w:t>
            </w:r>
          </w:p>
        </w:tc>
        <w:tc>
          <w:tcPr>
            <w:tcW w:w="3760" w:type="dxa"/>
            <w:vAlign w:val="bottom"/>
            <w:shd w:val="clear" w:color="auto" w:fill="DBDBDB"/>
          </w:tcPr>
          <w:p>
            <w:pPr>
              <w:jc w:val="right"/>
              <w:spacing w:after="0"/>
              <w:rPr>
                <w:sz w:val="20"/>
                <w:szCs w:val="20"/>
                <w:color w:val="auto"/>
              </w:rPr>
            </w:pPr>
            <w:r>
              <w:rPr>
                <w:rFonts w:ascii="Arial" w:cs="Arial" w:eastAsia="Arial" w:hAnsi="Arial"/>
                <w:sz w:val="16"/>
                <w:szCs w:val="16"/>
                <w:color w:val="auto"/>
              </w:rPr>
              <w:t>553,000</w:t>
            </w:r>
          </w:p>
        </w:tc>
        <w:tc>
          <w:tcPr>
            <w:tcW w:w="30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4.1</w:t>
            </w:r>
          </w:p>
        </w:tc>
      </w:tr>
      <w:tr>
        <w:trPr>
          <w:trHeight w:val="243"/>
        </w:trPr>
        <w:tc>
          <w:tcPr>
            <w:tcW w:w="1980" w:type="dxa"/>
            <w:vAlign w:val="bottom"/>
          </w:tcPr>
          <w:p>
            <w:pPr>
              <w:ind w:left="20"/>
              <w:spacing w:after="0"/>
              <w:rPr>
                <w:sz w:val="20"/>
                <w:szCs w:val="20"/>
                <w:color w:val="auto"/>
              </w:rPr>
            </w:pPr>
            <w:r>
              <w:rPr>
                <w:rFonts w:ascii="Arial" w:cs="Arial" w:eastAsia="Arial" w:hAnsi="Arial"/>
                <w:sz w:val="16"/>
                <w:szCs w:val="16"/>
                <w:color w:val="auto"/>
              </w:rPr>
              <w:t>Ms. Totsky</w:t>
            </w:r>
          </w:p>
        </w:tc>
        <w:tc>
          <w:tcPr>
            <w:tcW w:w="3760" w:type="dxa"/>
            <w:vAlign w:val="bottom"/>
          </w:tcPr>
          <w:p>
            <w:pPr>
              <w:jc w:val="right"/>
              <w:spacing w:after="0"/>
              <w:rPr>
                <w:sz w:val="20"/>
                <w:szCs w:val="20"/>
                <w:color w:val="auto"/>
              </w:rPr>
            </w:pPr>
            <w:r>
              <w:rPr>
                <w:rFonts w:ascii="Arial" w:cs="Arial" w:eastAsia="Arial" w:hAnsi="Arial"/>
                <w:sz w:val="16"/>
                <w:szCs w:val="16"/>
                <w:color w:val="auto"/>
              </w:rPr>
              <w:t>572,000</w:t>
            </w:r>
          </w:p>
        </w:tc>
        <w:tc>
          <w:tcPr>
            <w:tcW w:w="3040" w:type="dxa"/>
            <w:vAlign w:val="bottom"/>
          </w:tcPr>
          <w:p>
            <w:pPr>
              <w:jc w:val="right"/>
              <w:spacing w:after="0"/>
              <w:rPr>
                <w:sz w:val="20"/>
                <w:szCs w:val="20"/>
                <w:color w:val="auto"/>
              </w:rPr>
            </w:pPr>
            <w:r>
              <w:rPr>
                <w:rFonts w:ascii="Arial" w:cs="Arial" w:eastAsia="Arial" w:hAnsi="Arial"/>
                <w:sz w:val="18"/>
                <w:szCs w:val="18"/>
                <w:color w:val="auto"/>
              </w:rPr>
              <w:t>4.0</w:t>
            </w:r>
          </w:p>
        </w:tc>
      </w:tr>
    </w:tbl>
    <w:p>
      <w:pPr>
        <w:spacing w:after="0" w:line="200" w:lineRule="exact"/>
        <w:rPr>
          <w:sz w:val="20"/>
          <w:szCs w:val="20"/>
          <w:color w:val="auto"/>
        </w:rPr>
      </w:pPr>
    </w:p>
    <w:p>
      <w:pPr>
        <w:spacing w:after="0" w:line="312"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Annual Cash Incentives</w:t>
      </w:r>
    </w:p>
    <w:p>
      <w:pPr>
        <w:spacing w:after="0" w:line="102" w:lineRule="exact"/>
        <w:rPr>
          <w:sz w:val="20"/>
          <w:szCs w:val="20"/>
          <w:color w:val="auto"/>
        </w:rPr>
      </w:pPr>
    </w:p>
    <w:p>
      <w:pPr>
        <w:ind w:firstLine="320"/>
        <w:spacing w:after="0" w:line="233" w:lineRule="auto"/>
        <w:rPr>
          <w:sz w:val="20"/>
          <w:szCs w:val="20"/>
          <w:color w:val="auto"/>
        </w:rPr>
      </w:pPr>
      <w:r>
        <w:rPr>
          <w:rFonts w:ascii="Arial" w:cs="Arial" w:eastAsia="Arial" w:hAnsi="Arial"/>
          <w:sz w:val="18"/>
          <w:szCs w:val="18"/>
          <w:i w:val="1"/>
          <w:iCs w:val="1"/>
          <w:color w:val="auto"/>
        </w:rPr>
        <w:t>General</w:t>
      </w:r>
      <w:r>
        <w:rPr>
          <w:rFonts w:ascii="Arial" w:cs="Arial" w:eastAsia="Arial" w:hAnsi="Arial"/>
          <w:sz w:val="18"/>
          <w:szCs w:val="18"/>
          <w:color w:val="auto"/>
        </w:rPr>
        <w:t>. To help ensure we meet our compensation program objective of linking pay to performance, we provide the opportunity for our</w:t>
      </w:r>
      <w:r>
        <w:rPr>
          <w:rFonts w:ascii="Arial" w:cs="Arial" w:eastAsia="Arial" w:hAnsi="Arial"/>
          <w:sz w:val="18"/>
          <w:szCs w:val="18"/>
          <w:i w:val="1"/>
          <w:iCs w:val="1"/>
          <w:color w:val="auto"/>
        </w:rPr>
        <w:t xml:space="preserve"> </w:t>
      </w:r>
      <w:r>
        <w:rPr>
          <w:rFonts w:ascii="Arial" w:cs="Arial" w:eastAsia="Arial" w:hAnsi="Arial"/>
          <w:sz w:val="18"/>
          <w:szCs w:val="18"/>
          <w:color w:val="auto"/>
        </w:rPr>
        <w:t>executive officers to earn an annual cash incentive, which is designed to motivate attainment and reward accomplishment of annual financial</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goals.</w:t>
      </w:r>
    </w:p>
    <w:p>
      <w:pPr>
        <w:spacing w:after="0" w:line="84" w:lineRule="exact"/>
        <w:rPr>
          <w:sz w:val="20"/>
          <w:szCs w:val="20"/>
          <w:color w:val="auto"/>
        </w:rPr>
      </w:pPr>
    </w:p>
    <w:p>
      <w:pPr>
        <w:jc w:val="both"/>
        <w:ind w:firstLine="320"/>
        <w:spacing w:after="0" w:line="247" w:lineRule="auto"/>
        <w:rPr>
          <w:sz w:val="20"/>
          <w:szCs w:val="20"/>
          <w:color w:val="auto"/>
        </w:rPr>
      </w:pPr>
      <w:r>
        <w:rPr>
          <w:rFonts w:ascii="Arial" w:cs="Arial" w:eastAsia="Arial" w:hAnsi="Arial"/>
          <w:sz w:val="17"/>
          <w:szCs w:val="17"/>
          <w:color w:val="auto"/>
        </w:rPr>
        <w:t>At the beginning of each fiscal year, during its regular meeting held in December, the Compensation &amp; Human Resources Committee approves a target award expressed as a percentage of base salary for each executive officer and specific performance measures, weightings,</w:t>
      </w:r>
    </w:p>
    <w:p>
      <w:pPr>
        <w:spacing w:after="0" w:line="1" w:lineRule="exact"/>
        <w:rPr>
          <w:sz w:val="20"/>
          <w:szCs w:val="20"/>
          <w:color w:val="auto"/>
        </w:rPr>
      </w:pPr>
    </w:p>
    <w:p>
      <w:pPr>
        <w:spacing w:after="0" w:line="224" w:lineRule="auto"/>
        <w:rPr>
          <w:sz w:val="20"/>
          <w:szCs w:val="20"/>
          <w:color w:val="auto"/>
        </w:rPr>
      </w:pPr>
      <w:r>
        <w:rPr>
          <w:rFonts w:ascii="Arial" w:cs="Arial" w:eastAsia="Arial" w:hAnsi="Arial"/>
          <w:sz w:val="18"/>
          <w:szCs w:val="18"/>
          <w:color w:val="auto"/>
        </w:rPr>
        <w:t>goals and performance adjustment events, if any. For each performance measure, a threshold, target and maximum level of performance is defined, which have corresponding payout percentages. Following the end of the fiscal year, at the Committee's regular meeting held in</w:t>
      </w:r>
    </w:p>
    <w:p>
      <w:pPr>
        <w:spacing w:after="0" w:line="1" w:lineRule="exact"/>
        <w:rPr>
          <w:sz w:val="20"/>
          <w:szCs w:val="20"/>
          <w:color w:val="auto"/>
        </w:rPr>
      </w:pPr>
    </w:p>
    <w:p>
      <w:pPr>
        <w:spacing w:after="0" w:line="243" w:lineRule="auto"/>
        <w:rPr>
          <w:sz w:val="20"/>
          <w:szCs w:val="20"/>
          <w:color w:val="auto"/>
        </w:rPr>
      </w:pPr>
      <w:r>
        <w:rPr>
          <w:rFonts w:ascii="Arial" w:cs="Arial" w:eastAsia="Arial" w:hAnsi="Arial"/>
          <w:sz w:val="18"/>
          <w:szCs w:val="18"/>
          <w:color w:val="auto"/>
        </w:rPr>
        <w:t>December, Management presents a summary of, and the Committee certifies, actual performance as compared to the pre-established goals together with a corresponding payout percentage, which is expressed as a percent of target performance.</w:t>
      </w:r>
    </w:p>
    <w:p>
      <w:pPr>
        <w:spacing w:after="0" w:line="59" w:lineRule="exact"/>
        <w:rPr>
          <w:sz w:val="20"/>
          <w:szCs w:val="20"/>
          <w:color w:val="auto"/>
        </w:rPr>
      </w:pPr>
    </w:p>
    <w:p>
      <w:pPr>
        <w:ind w:firstLine="320"/>
        <w:spacing w:after="0" w:line="241" w:lineRule="auto"/>
        <w:rPr>
          <w:sz w:val="20"/>
          <w:szCs w:val="20"/>
          <w:color w:val="auto"/>
        </w:rPr>
      </w:pPr>
      <w:r>
        <w:rPr>
          <w:rFonts w:ascii="Arial" w:cs="Arial" w:eastAsia="Arial" w:hAnsi="Arial"/>
          <w:sz w:val="18"/>
          <w:szCs w:val="18"/>
          <w:i w:val="1"/>
          <w:iCs w:val="1"/>
          <w:color w:val="auto"/>
        </w:rPr>
        <w:t>Target Awards</w:t>
      </w:r>
      <w:r>
        <w:rPr>
          <w:rFonts w:ascii="Arial" w:cs="Arial" w:eastAsia="Arial" w:hAnsi="Arial"/>
          <w:sz w:val="18"/>
          <w:szCs w:val="18"/>
          <w:color w:val="auto"/>
        </w:rPr>
        <w:t>. When determining the target award for each executive officer, the Committee reviews the market 50</w:t>
      </w:r>
      <w:r>
        <w:rPr>
          <w:rFonts w:ascii="Arial" w:cs="Arial" w:eastAsia="Arial" w:hAnsi="Arial"/>
          <w:sz w:val="10"/>
          <w:szCs w:val="10"/>
          <w:color w:val="auto"/>
        </w:rPr>
        <w:t>th</w:t>
      </w:r>
      <w:r>
        <w:rPr>
          <w:rFonts w:ascii="Arial" w:cs="Arial" w:eastAsia="Arial" w:hAnsi="Arial"/>
          <w:sz w:val="18"/>
          <w:szCs w:val="18"/>
          <w:i w:val="1"/>
          <w:iCs w:val="1"/>
          <w:color w:val="auto"/>
        </w:rPr>
        <w:t xml:space="preserve"> </w:t>
      </w:r>
      <w:r>
        <w:rPr>
          <w:rFonts w:ascii="Arial" w:cs="Arial" w:eastAsia="Arial" w:hAnsi="Arial"/>
          <w:sz w:val="18"/>
          <w:szCs w:val="18"/>
          <w:color w:val="auto"/>
        </w:rPr>
        <w:t>percentile for target</w:t>
      </w:r>
      <w:r>
        <w:rPr>
          <w:rFonts w:ascii="Arial" w:cs="Arial" w:eastAsia="Arial" w:hAnsi="Arial"/>
          <w:sz w:val="18"/>
          <w:szCs w:val="18"/>
          <w:i w:val="1"/>
          <w:iCs w:val="1"/>
          <w:color w:val="auto"/>
        </w:rPr>
        <w:t xml:space="preserve"> </w:t>
      </w:r>
      <w:r>
        <w:rPr>
          <w:rFonts w:ascii="Arial" w:cs="Arial" w:eastAsia="Arial" w:hAnsi="Arial"/>
          <w:sz w:val="18"/>
          <w:szCs w:val="18"/>
          <w:color w:val="auto"/>
        </w:rPr>
        <w:t>total cash compensation (sum of base salary and target annual cash incentive) for the position in which such executive officer serves. Our</w:t>
      </w:r>
    </w:p>
    <w:p>
      <w:pPr>
        <w:spacing w:after="0" w:line="1" w:lineRule="exact"/>
        <w:rPr>
          <w:sz w:val="20"/>
          <w:szCs w:val="20"/>
          <w:color w:val="auto"/>
        </w:rPr>
      </w:pPr>
    </w:p>
    <w:p>
      <w:pPr>
        <w:spacing w:after="0" w:line="224" w:lineRule="auto"/>
        <w:rPr>
          <w:sz w:val="20"/>
          <w:szCs w:val="20"/>
          <w:color w:val="auto"/>
        </w:rPr>
      </w:pPr>
      <w:r>
        <w:rPr>
          <w:rFonts w:ascii="Arial" w:cs="Arial" w:eastAsia="Arial" w:hAnsi="Arial"/>
          <w:sz w:val="18"/>
          <w:szCs w:val="18"/>
          <w:color w:val="auto"/>
        </w:rPr>
        <w:t>objective is that when we achieve target levels of performance for each measure, resulting total cash compensation paid to our executive officers is within a reasonable range of the market 50</w:t>
      </w:r>
      <w:r>
        <w:rPr>
          <w:rFonts w:ascii="Arial" w:cs="Arial" w:eastAsia="Arial" w:hAnsi="Arial"/>
          <w:sz w:val="10"/>
          <w:szCs w:val="10"/>
          <w:color w:val="auto"/>
        </w:rPr>
        <w:t>th</w:t>
      </w:r>
      <w:r>
        <w:rPr>
          <w:rFonts w:ascii="Arial" w:cs="Arial" w:eastAsia="Arial" w:hAnsi="Arial"/>
          <w:sz w:val="18"/>
          <w:szCs w:val="18"/>
          <w:color w:val="auto"/>
        </w:rPr>
        <w:t xml:space="preserve"> percentile. Actual total cash compensation will generally exceed the market 50</w:t>
      </w:r>
      <w:r>
        <w:rPr>
          <w:rFonts w:ascii="Arial" w:cs="Arial" w:eastAsia="Arial" w:hAnsi="Arial"/>
          <w:sz w:val="10"/>
          <w:szCs w:val="10"/>
          <w:color w:val="auto"/>
        </w:rPr>
        <w:t>th</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percentile if actual performance for each measure exceeds the pre-established target annual financial goals and will generally be less than the</w:t>
      </w:r>
    </w:p>
    <w:p>
      <w:pPr>
        <w:spacing w:after="0" w:line="5" w:lineRule="exact"/>
        <w:rPr>
          <w:sz w:val="20"/>
          <w:szCs w:val="20"/>
          <w:color w:val="auto"/>
        </w:rPr>
      </w:pPr>
    </w:p>
    <w:p>
      <w:pPr>
        <w:jc w:val="both"/>
        <w:spacing w:after="0" w:line="224" w:lineRule="auto"/>
        <w:rPr>
          <w:sz w:val="20"/>
          <w:szCs w:val="20"/>
          <w:color w:val="auto"/>
        </w:rPr>
      </w:pPr>
      <w:r>
        <w:rPr>
          <w:rFonts w:ascii="Arial" w:cs="Arial" w:eastAsia="Arial" w:hAnsi="Arial"/>
          <w:sz w:val="18"/>
          <w:szCs w:val="18"/>
          <w:color w:val="auto"/>
        </w:rPr>
        <w:t>market 50</w:t>
      </w:r>
      <w:r>
        <w:rPr>
          <w:rFonts w:ascii="Arial" w:cs="Arial" w:eastAsia="Arial" w:hAnsi="Arial"/>
          <w:sz w:val="10"/>
          <w:szCs w:val="10"/>
          <w:color w:val="auto"/>
        </w:rPr>
        <w:t>th</w:t>
      </w:r>
      <w:r>
        <w:rPr>
          <w:rFonts w:ascii="Arial" w:cs="Arial" w:eastAsia="Arial" w:hAnsi="Arial"/>
          <w:sz w:val="18"/>
          <w:szCs w:val="18"/>
          <w:color w:val="auto"/>
        </w:rPr>
        <w:t xml:space="preserve"> percentile if actual performance for each measure is below the pre-established target annual financial goals. In addition to considering the market data, the Committee also considers experience, tenure, scope and complexity of the executive officer's position,</w:t>
      </w:r>
    </w:p>
    <w:p>
      <w:pPr>
        <w:spacing w:after="0" w:line="232" w:lineRule="auto"/>
        <w:rPr>
          <w:sz w:val="20"/>
          <w:szCs w:val="20"/>
          <w:color w:val="auto"/>
        </w:rPr>
      </w:pPr>
      <w:r>
        <w:rPr>
          <w:rFonts w:ascii="Arial" w:cs="Arial" w:eastAsia="Arial" w:hAnsi="Arial"/>
          <w:sz w:val="18"/>
          <w:szCs w:val="18"/>
          <w:color w:val="auto"/>
        </w:rPr>
        <w:t>individual contributions and performance, as well as internal pay equity. Actual awards can range from 0% (if threshold levels of performance</w:t>
      </w:r>
    </w:p>
    <w:p>
      <w:pPr>
        <w:spacing w:after="0" w:line="1" w:lineRule="exact"/>
        <w:rPr>
          <w:sz w:val="20"/>
          <w:szCs w:val="20"/>
          <w:color w:val="auto"/>
        </w:rPr>
      </w:pPr>
    </w:p>
    <w:p>
      <w:pPr>
        <w:spacing w:after="0" w:line="234" w:lineRule="auto"/>
        <w:rPr>
          <w:sz w:val="20"/>
          <w:szCs w:val="20"/>
          <w:color w:val="auto"/>
        </w:rPr>
      </w:pPr>
      <w:r>
        <w:rPr>
          <w:rFonts w:ascii="Arial" w:cs="Arial" w:eastAsia="Arial" w:hAnsi="Arial"/>
          <w:sz w:val="18"/>
          <w:szCs w:val="18"/>
          <w:color w:val="auto"/>
        </w:rPr>
        <w:t>are not met) to 200% of the target award (if maximum levels of performance are met for all of the performance measures) and the resulting competitiveness of total cash compensation will also vary accordingly.</w:t>
      </w:r>
    </w:p>
    <w:p>
      <w:pPr>
        <w:spacing w:after="0" w:line="87" w:lineRule="exact"/>
        <w:rPr>
          <w:sz w:val="20"/>
          <w:szCs w:val="20"/>
          <w:color w:val="auto"/>
        </w:rPr>
      </w:pPr>
    </w:p>
    <w:p>
      <w:pPr>
        <w:ind w:firstLine="388"/>
        <w:spacing w:after="0" w:line="262" w:lineRule="auto"/>
        <w:rPr>
          <w:sz w:val="20"/>
          <w:szCs w:val="20"/>
          <w:color w:val="auto"/>
        </w:rPr>
      </w:pPr>
      <w:r>
        <w:rPr>
          <w:rFonts w:ascii="Arial" w:cs="Arial" w:eastAsia="Arial" w:hAnsi="Arial"/>
          <w:sz w:val="18"/>
          <w:szCs w:val="18"/>
          <w:i w:val="1"/>
          <w:iCs w:val="1"/>
          <w:color w:val="auto"/>
        </w:rPr>
        <w:t xml:space="preserve">Fiscal 2024 Awards. </w:t>
      </w:r>
      <w:r>
        <w:rPr>
          <w:rFonts w:ascii="Arial" w:cs="Arial" w:eastAsia="Arial" w:hAnsi="Arial"/>
          <w:sz w:val="18"/>
          <w:szCs w:val="18"/>
          <w:color w:val="auto"/>
        </w:rPr>
        <w:t>The fiscal 2024 target awards for our NEOs, any change in the target award percentage, the resulting cash incentive</w:t>
      </w:r>
      <w:r>
        <w:rPr>
          <w:rFonts w:ascii="Arial" w:cs="Arial" w:eastAsia="Arial" w:hAnsi="Arial"/>
          <w:sz w:val="18"/>
          <w:szCs w:val="18"/>
          <w:i w:val="1"/>
          <w:iCs w:val="1"/>
          <w:color w:val="auto"/>
        </w:rPr>
        <w:t xml:space="preserve"> </w:t>
      </w:r>
      <w:r>
        <w:rPr>
          <w:rFonts w:ascii="Arial" w:cs="Arial" w:eastAsia="Arial" w:hAnsi="Arial"/>
          <w:sz w:val="18"/>
          <w:szCs w:val="18"/>
          <w:color w:val="auto"/>
        </w:rPr>
        <w:t>award, and actual target total cash compensation are below.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79375</wp:posOffset>
            </wp:positionV>
            <wp:extent cx="7159625" cy="425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095" w:right="339" w:bottom="1440" w:gutter="0" w:footer="0" w:header="0"/>
        </w:sectPr>
      </w:pPr>
    </w:p>
    <w:bookmarkStart w:id="49" w:name="page50"/>
    <w:bookmarkEnd w:id="49"/>
    <w:tbl>
      <w:tblPr>
        <w:tblLayout w:type="fixed"/>
        <w:tblInd w:w="160" w:type="dxa"/>
        <w:tblCellMar>
          <w:top w:w="0" w:type="dxa"/>
          <w:left w:w="0" w:type="dxa"/>
          <w:bottom w:w="0" w:type="dxa"/>
          <w:right w:w="0" w:type="dxa"/>
        </w:tblCellMar>
      </w:tblPr>
      <w:tr>
        <w:trPr>
          <w:trHeight w:val="239"/>
        </w:trPr>
        <w:tc>
          <w:tcPr>
            <w:tcW w:w="1340" w:type="dxa"/>
            <w:vAlign w:val="bottom"/>
            <w:shd w:val="clear" w:color="auto" w:fill="BF2115"/>
          </w:tcPr>
          <w:p>
            <w:pPr>
              <w:spacing w:after="0"/>
              <w:rPr>
                <w:sz w:val="20"/>
                <w:szCs w:val="20"/>
                <w:color w:val="auto"/>
              </w:rPr>
            </w:pPr>
          </w:p>
        </w:tc>
        <w:tc>
          <w:tcPr>
            <w:tcW w:w="2060" w:type="dxa"/>
            <w:vAlign w:val="bottom"/>
            <w:shd w:val="clear" w:color="auto" w:fill="BF2115"/>
          </w:tcPr>
          <w:p>
            <w:pPr>
              <w:spacing w:after="0"/>
              <w:rPr>
                <w:sz w:val="20"/>
                <w:szCs w:val="20"/>
                <w:color w:val="auto"/>
              </w:rPr>
            </w:pPr>
          </w:p>
        </w:tc>
        <w:tc>
          <w:tcPr>
            <w:tcW w:w="2060" w:type="dxa"/>
            <w:vAlign w:val="bottom"/>
            <w:vMerge w:val="restart"/>
            <w:shd w:val="clear" w:color="auto" w:fill="BF2115"/>
          </w:tcPr>
          <w:p>
            <w:pPr>
              <w:jc w:val="center"/>
              <w:ind w:right="263"/>
              <w:spacing w:after="0"/>
              <w:rPr>
                <w:sz w:val="20"/>
                <w:szCs w:val="20"/>
                <w:color w:val="auto"/>
              </w:rPr>
            </w:pPr>
            <w:r>
              <w:rPr>
                <w:rFonts w:ascii="Arial" w:cs="Arial" w:eastAsia="Arial" w:hAnsi="Arial"/>
                <w:sz w:val="14"/>
                <w:szCs w:val="14"/>
                <w:b w:val="1"/>
                <w:bCs w:val="1"/>
                <w:color w:val="FFFFFF"/>
              </w:rPr>
              <w:t>Fiscal 2024</w:t>
            </w:r>
          </w:p>
        </w:tc>
        <w:tc>
          <w:tcPr>
            <w:tcW w:w="1640" w:type="dxa"/>
            <w:vAlign w:val="bottom"/>
            <w:shd w:val="clear" w:color="auto" w:fill="BF2115"/>
          </w:tcPr>
          <w:p>
            <w:pPr>
              <w:jc w:val="center"/>
              <w:ind w:right="244"/>
              <w:spacing w:after="0"/>
              <w:rPr>
                <w:sz w:val="20"/>
                <w:szCs w:val="20"/>
                <w:color w:val="auto"/>
              </w:rPr>
            </w:pPr>
            <w:r>
              <w:rPr>
                <w:rFonts w:ascii="Arial" w:cs="Arial" w:eastAsia="Arial" w:hAnsi="Arial"/>
                <w:sz w:val="14"/>
                <w:szCs w:val="14"/>
                <w:b w:val="1"/>
                <w:bCs w:val="1"/>
                <w:color w:val="FFFFFF"/>
              </w:rPr>
              <w:t>Fiscal 2024</w:t>
            </w:r>
          </w:p>
        </w:tc>
        <w:tc>
          <w:tcPr>
            <w:tcW w:w="2060" w:type="dxa"/>
            <w:vAlign w:val="bottom"/>
            <w:shd w:val="clear" w:color="auto" w:fill="BF2115"/>
          </w:tcPr>
          <w:p>
            <w:pPr>
              <w:jc w:val="center"/>
              <w:ind w:right="224"/>
              <w:spacing w:after="0"/>
              <w:rPr>
                <w:sz w:val="20"/>
                <w:szCs w:val="20"/>
                <w:color w:val="auto"/>
              </w:rPr>
            </w:pPr>
            <w:r>
              <w:rPr>
                <w:rFonts w:ascii="Arial" w:cs="Arial" w:eastAsia="Arial" w:hAnsi="Arial"/>
                <w:sz w:val="14"/>
                <w:szCs w:val="14"/>
                <w:b w:val="1"/>
                <w:bCs w:val="1"/>
                <w:color w:val="FFFFFF"/>
              </w:rPr>
              <w:t>Fiscal 2024</w:t>
            </w:r>
          </w:p>
        </w:tc>
        <w:tc>
          <w:tcPr>
            <w:tcW w:w="1780" w:type="dxa"/>
            <w:vAlign w:val="bottom"/>
            <w:shd w:val="clear" w:color="auto" w:fill="BF2115"/>
          </w:tcPr>
          <w:p>
            <w:pPr>
              <w:jc w:val="center"/>
              <w:ind w:right="24"/>
              <w:spacing w:after="0"/>
              <w:rPr>
                <w:sz w:val="20"/>
                <w:szCs w:val="20"/>
                <w:color w:val="auto"/>
              </w:rPr>
            </w:pPr>
            <w:r>
              <w:rPr>
                <w:rFonts w:ascii="Arial" w:cs="Arial" w:eastAsia="Arial" w:hAnsi="Arial"/>
                <w:sz w:val="14"/>
                <w:szCs w:val="14"/>
                <w:b w:val="1"/>
                <w:bCs w:val="1"/>
                <w:color w:val="FFFFFF"/>
              </w:rPr>
              <w:t>Fiscal 2024</w:t>
            </w:r>
          </w:p>
        </w:tc>
        <w:tc>
          <w:tcPr>
            <w:tcW w:w="0" w:type="dxa"/>
            <w:vAlign w:val="bottom"/>
          </w:tcPr>
          <w:p>
            <w:pPr>
              <w:spacing w:after="0"/>
              <w:rPr>
                <w:sz w:val="1"/>
                <w:szCs w:val="1"/>
                <w:color w:val="auto"/>
              </w:rPr>
            </w:pPr>
          </w:p>
        </w:tc>
      </w:tr>
      <w:tr>
        <w:trPr>
          <w:trHeight w:val="93"/>
        </w:trPr>
        <w:tc>
          <w:tcPr>
            <w:tcW w:w="1340" w:type="dxa"/>
            <w:vAlign w:val="bottom"/>
            <w:shd w:val="clear" w:color="auto" w:fill="BF2115"/>
          </w:tcPr>
          <w:p>
            <w:pPr>
              <w:spacing w:after="0"/>
              <w:rPr>
                <w:sz w:val="8"/>
                <w:szCs w:val="8"/>
                <w:color w:val="auto"/>
              </w:rPr>
            </w:pPr>
          </w:p>
        </w:tc>
        <w:tc>
          <w:tcPr>
            <w:tcW w:w="2060" w:type="dxa"/>
            <w:vAlign w:val="bottom"/>
            <w:vMerge w:val="restart"/>
            <w:shd w:val="clear" w:color="auto" w:fill="BF2115"/>
          </w:tcPr>
          <w:p>
            <w:pPr>
              <w:jc w:val="center"/>
              <w:spacing w:after="0"/>
              <w:rPr>
                <w:sz w:val="20"/>
                <w:szCs w:val="20"/>
                <w:color w:val="auto"/>
              </w:rPr>
            </w:pPr>
            <w:r>
              <w:rPr>
                <w:rFonts w:ascii="Arial" w:cs="Arial" w:eastAsia="Arial" w:hAnsi="Arial"/>
                <w:sz w:val="14"/>
                <w:szCs w:val="14"/>
                <w:b w:val="1"/>
                <w:bCs w:val="1"/>
                <w:color w:val="FFFFFF"/>
              </w:rPr>
              <w:t>Fiscal 2024</w:t>
            </w:r>
          </w:p>
        </w:tc>
        <w:tc>
          <w:tcPr>
            <w:tcW w:w="2060" w:type="dxa"/>
            <w:vAlign w:val="bottom"/>
            <w:vMerge w:val="continue"/>
            <w:shd w:val="clear" w:color="auto" w:fill="BF2115"/>
          </w:tcPr>
          <w:p>
            <w:pPr>
              <w:spacing w:after="0"/>
              <w:rPr>
                <w:sz w:val="8"/>
                <w:szCs w:val="8"/>
                <w:color w:val="auto"/>
              </w:rPr>
            </w:pPr>
          </w:p>
        </w:tc>
        <w:tc>
          <w:tcPr>
            <w:tcW w:w="1640" w:type="dxa"/>
            <w:vAlign w:val="bottom"/>
            <w:vMerge w:val="restart"/>
            <w:shd w:val="clear" w:color="auto" w:fill="BF2115"/>
          </w:tcPr>
          <w:p>
            <w:pPr>
              <w:jc w:val="center"/>
              <w:ind w:right="224"/>
              <w:spacing w:after="0"/>
              <w:rPr>
                <w:sz w:val="20"/>
                <w:szCs w:val="20"/>
                <w:color w:val="auto"/>
              </w:rPr>
            </w:pPr>
            <w:r>
              <w:rPr>
                <w:rFonts w:ascii="Arial" w:cs="Arial" w:eastAsia="Arial" w:hAnsi="Arial"/>
                <w:sz w:val="14"/>
                <w:szCs w:val="14"/>
                <w:b w:val="1"/>
                <w:bCs w:val="1"/>
                <w:color w:val="FFFFFF"/>
              </w:rPr>
              <w:t>Target Award</w:t>
            </w:r>
          </w:p>
        </w:tc>
        <w:tc>
          <w:tcPr>
            <w:tcW w:w="2060" w:type="dxa"/>
            <w:vAlign w:val="bottom"/>
            <w:vMerge w:val="restart"/>
            <w:shd w:val="clear" w:color="auto" w:fill="BF2115"/>
          </w:tcPr>
          <w:p>
            <w:pPr>
              <w:jc w:val="center"/>
              <w:ind w:right="224"/>
              <w:spacing w:after="0"/>
              <w:rPr>
                <w:sz w:val="20"/>
                <w:szCs w:val="20"/>
                <w:color w:val="auto"/>
              </w:rPr>
            </w:pPr>
            <w:r>
              <w:rPr>
                <w:rFonts w:ascii="Arial" w:cs="Arial" w:eastAsia="Arial" w:hAnsi="Arial"/>
                <w:sz w:val="14"/>
                <w:szCs w:val="14"/>
                <w:b w:val="1"/>
                <w:bCs w:val="1"/>
                <w:color w:val="FFFFFF"/>
                <w:w w:val="99"/>
              </w:rPr>
              <w:t>Target Annual Cash</w:t>
            </w:r>
          </w:p>
        </w:tc>
        <w:tc>
          <w:tcPr>
            <w:tcW w:w="1780" w:type="dxa"/>
            <w:vAlign w:val="bottom"/>
            <w:vMerge w:val="restart"/>
            <w:shd w:val="clear" w:color="auto" w:fill="BF2115"/>
          </w:tcPr>
          <w:p>
            <w:pPr>
              <w:jc w:val="center"/>
              <w:ind w:right="44"/>
              <w:spacing w:after="0"/>
              <w:rPr>
                <w:sz w:val="20"/>
                <w:szCs w:val="20"/>
                <w:color w:val="auto"/>
              </w:rPr>
            </w:pPr>
            <w:r>
              <w:rPr>
                <w:rFonts w:ascii="Arial" w:cs="Arial" w:eastAsia="Arial" w:hAnsi="Arial"/>
                <w:sz w:val="14"/>
                <w:szCs w:val="14"/>
                <w:b w:val="1"/>
                <w:bCs w:val="1"/>
                <w:color w:val="FFFFFF"/>
                <w:w w:val="99"/>
              </w:rPr>
              <w:t>Target Total Cash</w:t>
            </w:r>
          </w:p>
        </w:tc>
        <w:tc>
          <w:tcPr>
            <w:tcW w:w="0" w:type="dxa"/>
            <w:vAlign w:val="bottom"/>
          </w:tcPr>
          <w:p>
            <w:pPr>
              <w:spacing w:after="0"/>
              <w:rPr>
                <w:sz w:val="1"/>
                <w:szCs w:val="1"/>
                <w:color w:val="auto"/>
              </w:rPr>
            </w:pPr>
          </w:p>
        </w:tc>
      </w:tr>
      <w:tr>
        <w:trPr>
          <w:trHeight w:val="107"/>
        </w:trPr>
        <w:tc>
          <w:tcPr>
            <w:tcW w:w="1340" w:type="dxa"/>
            <w:vAlign w:val="bottom"/>
            <w:shd w:val="clear" w:color="auto" w:fill="BF2115"/>
          </w:tcPr>
          <w:p>
            <w:pPr>
              <w:spacing w:after="0"/>
              <w:rPr>
                <w:sz w:val="9"/>
                <w:szCs w:val="9"/>
                <w:color w:val="auto"/>
              </w:rPr>
            </w:pPr>
          </w:p>
        </w:tc>
        <w:tc>
          <w:tcPr>
            <w:tcW w:w="2060" w:type="dxa"/>
            <w:vAlign w:val="bottom"/>
            <w:vMerge w:val="continue"/>
            <w:shd w:val="clear" w:color="auto" w:fill="BF2115"/>
          </w:tcPr>
          <w:p>
            <w:pPr>
              <w:spacing w:after="0"/>
              <w:rPr>
                <w:sz w:val="9"/>
                <w:szCs w:val="9"/>
                <w:color w:val="auto"/>
              </w:rPr>
            </w:pPr>
          </w:p>
        </w:tc>
        <w:tc>
          <w:tcPr>
            <w:tcW w:w="2060" w:type="dxa"/>
            <w:vAlign w:val="bottom"/>
            <w:vMerge w:val="restart"/>
            <w:shd w:val="clear" w:color="auto" w:fill="BF2115"/>
          </w:tcPr>
          <w:p>
            <w:pPr>
              <w:jc w:val="center"/>
              <w:ind w:right="243"/>
              <w:spacing w:after="0"/>
              <w:rPr>
                <w:sz w:val="20"/>
                <w:szCs w:val="20"/>
                <w:color w:val="auto"/>
              </w:rPr>
            </w:pPr>
            <w:r>
              <w:rPr>
                <w:rFonts w:ascii="Arial" w:cs="Arial" w:eastAsia="Arial" w:hAnsi="Arial"/>
                <w:sz w:val="14"/>
                <w:szCs w:val="14"/>
                <w:b w:val="1"/>
                <w:bCs w:val="1"/>
                <w:color w:val="FFFFFF"/>
              </w:rPr>
              <w:t>Award at Target</w:t>
            </w:r>
          </w:p>
        </w:tc>
        <w:tc>
          <w:tcPr>
            <w:tcW w:w="1640" w:type="dxa"/>
            <w:vAlign w:val="bottom"/>
            <w:vMerge w:val="continue"/>
            <w:shd w:val="clear" w:color="auto" w:fill="BF2115"/>
          </w:tcPr>
          <w:p>
            <w:pPr>
              <w:spacing w:after="0"/>
              <w:rPr>
                <w:sz w:val="9"/>
                <w:szCs w:val="9"/>
                <w:color w:val="auto"/>
              </w:rPr>
            </w:pPr>
          </w:p>
        </w:tc>
        <w:tc>
          <w:tcPr>
            <w:tcW w:w="2060" w:type="dxa"/>
            <w:vAlign w:val="bottom"/>
            <w:vMerge w:val="continue"/>
            <w:shd w:val="clear" w:color="auto" w:fill="BF2115"/>
          </w:tcPr>
          <w:p>
            <w:pPr>
              <w:spacing w:after="0"/>
              <w:rPr>
                <w:sz w:val="9"/>
                <w:szCs w:val="9"/>
                <w:color w:val="auto"/>
              </w:rPr>
            </w:pPr>
          </w:p>
        </w:tc>
        <w:tc>
          <w:tcPr>
            <w:tcW w:w="1780" w:type="dxa"/>
            <w:vAlign w:val="bottom"/>
            <w:vMerge w:val="continue"/>
            <w:shd w:val="clear" w:color="auto" w:fill="BF2115"/>
          </w:tcPr>
          <w:p>
            <w:pPr>
              <w:spacing w:after="0"/>
              <w:rPr>
                <w:sz w:val="9"/>
                <w:szCs w:val="9"/>
                <w:color w:val="auto"/>
              </w:rPr>
            </w:pPr>
          </w:p>
        </w:tc>
        <w:tc>
          <w:tcPr>
            <w:tcW w:w="0" w:type="dxa"/>
            <w:vAlign w:val="bottom"/>
          </w:tcPr>
          <w:p>
            <w:pPr>
              <w:spacing w:after="0"/>
              <w:rPr>
                <w:sz w:val="1"/>
                <w:szCs w:val="1"/>
                <w:color w:val="auto"/>
              </w:rPr>
            </w:pPr>
          </w:p>
        </w:tc>
      </w:tr>
      <w:tr>
        <w:trPr>
          <w:trHeight w:val="93"/>
        </w:trPr>
        <w:tc>
          <w:tcPr>
            <w:tcW w:w="1340" w:type="dxa"/>
            <w:vAlign w:val="bottom"/>
            <w:shd w:val="clear" w:color="auto" w:fill="BF2115"/>
          </w:tcPr>
          <w:p>
            <w:pPr>
              <w:spacing w:after="0"/>
              <w:rPr>
                <w:sz w:val="8"/>
                <w:szCs w:val="8"/>
                <w:color w:val="auto"/>
              </w:rPr>
            </w:pPr>
          </w:p>
        </w:tc>
        <w:tc>
          <w:tcPr>
            <w:tcW w:w="2060" w:type="dxa"/>
            <w:vAlign w:val="bottom"/>
            <w:vMerge w:val="restart"/>
            <w:shd w:val="clear" w:color="auto" w:fill="BF2115"/>
          </w:tcPr>
          <w:p>
            <w:pPr>
              <w:jc w:val="center"/>
              <w:ind w:left="3"/>
              <w:spacing w:after="0"/>
              <w:rPr>
                <w:sz w:val="20"/>
                <w:szCs w:val="20"/>
                <w:color w:val="auto"/>
              </w:rPr>
            </w:pPr>
            <w:r>
              <w:rPr>
                <w:rFonts w:ascii="Arial" w:cs="Arial" w:eastAsia="Arial" w:hAnsi="Arial"/>
                <w:sz w:val="14"/>
                <w:szCs w:val="14"/>
                <w:b w:val="1"/>
                <w:bCs w:val="1"/>
                <w:color w:val="FFFFFF"/>
              </w:rPr>
              <w:t>Base Salary Earnings</w:t>
            </w:r>
          </w:p>
        </w:tc>
        <w:tc>
          <w:tcPr>
            <w:tcW w:w="2060" w:type="dxa"/>
            <w:vAlign w:val="bottom"/>
            <w:vMerge w:val="continue"/>
            <w:shd w:val="clear" w:color="auto" w:fill="BF2115"/>
          </w:tcPr>
          <w:p>
            <w:pPr>
              <w:spacing w:after="0"/>
              <w:rPr>
                <w:sz w:val="8"/>
                <w:szCs w:val="8"/>
                <w:color w:val="auto"/>
              </w:rPr>
            </w:pPr>
          </w:p>
        </w:tc>
        <w:tc>
          <w:tcPr>
            <w:tcW w:w="1640" w:type="dxa"/>
            <w:vAlign w:val="bottom"/>
            <w:vMerge w:val="restart"/>
            <w:shd w:val="clear" w:color="auto" w:fill="BF2115"/>
          </w:tcPr>
          <w:p>
            <w:pPr>
              <w:jc w:val="center"/>
              <w:ind w:right="244"/>
              <w:spacing w:after="0"/>
              <w:rPr>
                <w:sz w:val="20"/>
                <w:szCs w:val="20"/>
                <w:color w:val="auto"/>
              </w:rPr>
            </w:pPr>
            <w:r>
              <w:rPr>
                <w:rFonts w:ascii="Arial" w:cs="Arial" w:eastAsia="Arial" w:hAnsi="Arial"/>
                <w:sz w:val="14"/>
                <w:szCs w:val="14"/>
                <w:b w:val="1"/>
                <w:bCs w:val="1"/>
                <w:color w:val="FFFFFF"/>
              </w:rPr>
              <w:t>Percentage</w:t>
            </w:r>
          </w:p>
        </w:tc>
        <w:tc>
          <w:tcPr>
            <w:tcW w:w="2060" w:type="dxa"/>
            <w:vAlign w:val="bottom"/>
            <w:vMerge w:val="restart"/>
            <w:shd w:val="clear" w:color="auto" w:fill="BF2115"/>
          </w:tcPr>
          <w:p>
            <w:pPr>
              <w:jc w:val="center"/>
              <w:ind w:right="224"/>
              <w:spacing w:after="0"/>
              <w:rPr>
                <w:sz w:val="20"/>
                <w:szCs w:val="20"/>
                <w:color w:val="auto"/>
              </w:rPr>
            </w:pPr>
            <w:r>
              <w:rPr>
                <w:rFonts w:ascii="Arial" w:cs="Arial" w:eastAsia="Arial" w:hAnsi="Arial"/>
                <w:sz w:val="14"/>
                <w:szCs w:val="14"/>
                <w:b w:val="1"/>
                <w:bCs w:val="1"/>
                <w:color w:val="FFFFFF"/>
              </w:rPr>
              <w:t>Incentive Award</w:t>
            </w:r>
          </w:p>
        </w:tc>
        <w:tc>
          <w:tcPr>
            <w:tcW w:w="1780" w:type="dxa"/>
            <w:vAlign w:val="bottom"/>
            <w:vMerge w:val="restart"/>
            <w:shd w:val="clear" w:color="auto" w:fill="BF2115"/>
          </w:tcPr>
          <w:p>
            <w:pPr>
              <w:jc w:val="center"/>
              <w:ind w:right="44"/>
              <w:spacing w:after="0"/>
              <w:rPr>
                <w:sz w:val="20"/>
                <w:szCs w:val="20"/>
                <w:color w:val="auto"/>
              </w:rPr>
            </w:pPr>
            <w:r>
              <w:rPr>
                <w:rFonts w:ascii="Arial" w:cs="Arial" w:eastAsia="Arial" w:hAnsi="Arial"/>
                <w:sz w:val="14"/>
                <w:szCs w:val="14"/>
                <w:b w:val="1"/>
                <w:bCs w:val="1"/>
                <w:color w:val="FFFFFF"/>
              </w:rPr>
              <w:t>Compensation</w:t>
            </w:r>
          </w:p>
        </w:tc>
        <w:tc>
          <w:tcPr>
            <w:tcW w:w="0" w:type="dxa"/>
            <w:vAlign w:val="bottom"/>
          </w:tcPr>
          <w:p>
            <w:pPr>
              <w:spacing w:after="0"/>
              <w:rPr>
                <w:sz w:val="1"/>
                <w:szCs w:val="1"/>
                <w:color w:val="auto"/>
              </w:rPr>
            </w:pPr>
          </w:p>
        </w:tc>
      </w:tr>
      <w:tr>
        <w:trPr>
          <w:trHeight w:val="99"/>
        </w:trPr>
        <w:tc>
          <w:tcPr>
            <w:tcW w:w="1340" w:type="dxa"/>
            <w:vAlign w:val="bottom"/>
            <w:shd w:val="clear" w:color="auto" w:fill="BF2115"/>
          </w:tcPr>
          <w:p>
            <w:pPr>
              <w:spacing w:after="0"/>
              <w:rPr>
                <w:sz w:val="8"/>
                <w:szCs w:val="8"/>
                <w:color w:val="auto"/>
              </w:rPr>
            </w:pPr>
          </w:p>
        </w:tc>
        <w:tc>
          <w:tcPr>
            <w:tcW w:w="2060" w:type="dxa"/>
            <w:vAlign w:val="bottom"/>
            <w:vMerge w:val="continue"/>
            <w:shd w:val="clear" w:color="auto" w:fill="BF2115"/>
          </w:tcPr>
          <w:p>
            <w:pPr>
              <w:spacing w:after="0"/>
              <w:rPr>
                <w:sz w:val="8"/>
                <w:szCs w:val="8"/>
                <w:color w:val="auto"/>
              </w:rPr>
            </w:pPr>
          </w:p>
        </w:tc>
        <w:tc>
          <w:tcPr>
            <w:tcW w:w="2060" w:type="dxa"/>
            <w:vAlign w:val="bottom"/>
            <w:vMerge w:val="restart"/>
            <w:shd w:val="clear" w:color="auto" w:fill="BF2115"/>
          </w:tcPr>
          <w:p>
            <w:pPr>
              <w:jc w:val="center"/>
              <w:ind w:right="263"/>
              <w:spacing w:after="0"/>
              <w:rPr>
                <w:sz w:val="20"/>
                <w:szCs w:val="20"/>
                <w:color w:val="auto"/>
              </w:rPr>
            </w:pPr>
            <w:r>
              <w:rPr>
                <w:rFonts w:ascii="Arial" w:cs="Arial" w:eastAsia="Arial" w:hAnsi="Arial"/>
                <w:sz w:val="14"/>
                <w:szCs w:val="14"/>
                <w:b w:val="1"/>
                <w:bCs w:val="1"/>
                <w:color w:val="FFFFFF"/>
              </w:rPr>
              <w:t>(% of base salary)</w:t>
            </w:r>
          </w:p>
        </w:tc>
        <w:tc>
          <w:tcPr>
            <w:tcW w:w="1640" w:type="dxa"/>
            <w:vAlign w:val="bottom"/>
            <w:vMerge w:val="continue"/>
            <w:shd w:val="clear" w:color="auto" w:fill="BF2115"/>
          </w:tcPr>
          <w:p>
            <w:pPr>
              <w:spacing w:after="0"/>
              <w:rPr>
                <w:sz w:val="8"/>
                <w:szCs w:val="8"/>
                <w:color w:val="auto"/>
              </w:rPr>
            </w:pPr>
          </w:p>
        </w:tc>
        <w:tc>
          <w:tcPr>
            <w:tcW w:w="2060" w:type="dxa"/>
            <w:vAlign w:val="bottom"/>
            <w:vMerge w:val="continue"/>
            <w:shd w:val="clear" w:color="auto" w:fill="BF2115"/>
          </w:tcPr>
          <w:p>
            <w:pPr>
              <w:spacing w:after="0"/>
              <w:rPr>
                <w:sz w:val="8"/>
                <w:szCs w:val="8"/>
                <w:color w:val="auto"/>
              </w:rPr>
            </w:pPr>
          </w:p>
        </w:tc>
        <w:tc>
          <w:tcPr>
            <w:tcW w:w="1780" w:type="dxa"/>
            <w:vAlign w:val="bottom"/>
            <w:vMerge w:val="continue"/>
            <w:shd w:val="clear" w:color="auto" w:fill="BF2115"/>
          </w:tcPr>
          <w:p>
            <w:pPr>
              <w:spacing w:after="0"/>
              <w:rPr>
                <w:sz w:val="8"/>
                <w:szCs w:val="8"/>
                <w:color w:val="auto"/>
              </w:rPr>
            </w:pPr>
          </w:p>
        </w:tc>
        <w:tc>
          <w:tcPr>
            <w:tcW w:w="0" w:type="dxa"/>
            <w:vAlign w:val="bottom"/>
          </w:tcPr>
          <w:p>
            <w:pPr>
              <w:spacing w:after="0"/>
              <w:rPr>
                <w:sz w:val="1"/>
                <w:szCs w:val="1"/>
                <w:color w:val="auto"/>
              </w:rPr>
            </w:pPr>
          </w:p>
        </w:tc>
      </w:tr>
      <w:tr>
        <w:trPr>
          <w:trHeight w:val="101"/>
        </w:trPr>
        <w:tc>
          <w:tcPr>
            <w:tcW w:w="1340" w:type="dxa"/>
            <w:vAlign w:val="bottom"/>
            <w:vMerge w:val="restart"/>
            <w:shd w:val="clear" w:color="auto" w:fill="BF2115"/>
          </w:tcPr>
          <w:p>
            <w:pPr>
              <w:ind w:left="580"/>
              <w:spacing w:after="0"/>
              <w:rPr>
                <w:sz w:val="20"/>
                <w:szCs w:val="20"/>
                <w:color w:val="auto"/>
              </w:rPr>
            </w:pPr>
            <w:r>
              <w:rPr>
                <w:rFonts w:ascii="Arial" w:cs="Arial" w:eastAsia="Arial" w:hAnsi="Arial"/>
                <w:sz w:val="14"/>
                <w:szCs w:val="14"/>
                <w:b w:val="1"/>
                <w:bCs w:val="1"/>
                <w:color w:val="FFFFFF"/>
              </w:rPr>
              <w:t>Name</w:t>
            </w:r>
          </w:p>
        </w:tc>
        <w:tc>
          <w:tcPr>
            <w:tcW w:w="2060" w:type="dxa"/>
            <w:vAlign w:val="bottom"/>
            <w:vMerge w:val="restart"/>
            <w:shd w:val="clear" w:color="auto" w:fill="BF2115"/>
          </w:tcPr>
          <w:p>
            <w:pPr>
              <w:jc w:val="center"/>
              <w:ind w:left="3"/>
              <w:spacing w:after="0"/>
              <w:rPr>
                <w:sz w:val="20"/>
                <w:szCs w:val="20"/>
                <w:color w:val="auto"/>
              </w:rPr>
            </w:pPr>
            <w:r>
              <w:rPr>
                <w:rFonts w:ascii="Arial" w:cs="Arial" w:eastAsia="Arial" w:hAnsi="Arial"/>
                <w:sz w:val="14"/>
                <w:szCs w:val="14"/>
                <w:b w:val="1"/>
                <w:bCs w:val="1"/>
                <w:color w:val="FFFFFF"/>
              </w:rPr>
              <w:t>($)</w:t>
            </w:r>
          </w:p>
        </w:tc>
        <w:tc>
          <w:tcPr>
            <w:tcW w:w="2060" w:type="dxa"/>
            <w:vAlign w:val="bottom"/>
            <w:vMerge w:val="continue"/>
            <w:shd w:val="clear" w:color="auto" w:fill="BF2115"/>
          </w:tcPr>
          <w:p>
            <w:pPr>
              <w:spacing w:after="0"/>
              <w:rPr>
                <w:sz w:val="8"/>
                <w:szCs w:val="8"/>
                <w:color w:val="auto"/>
              </w:rPr>
            </w:pPr>
          </w:p>
        </w:tc>
        <w:tc>
          <w:tcPr>
            <w:tcW w:w="1640" w:type="dxa"/>
            <w:vAlign w:val="bottom"/>
            <w:vMerge w:val="restart"/>
            <w:shd w:val="clear" w:color="auto" w:fill="BF2115"/>
          </w:tcPr>
          <w:p>
            <w:pPr>
              <w:jc w:val="center"/>
              <w:ind w:right="244"/>
              <w:spacing w:after="0"/>
              <w:rPr>
                <w:sz w:val="20"/>
                <w:szCs w:val="20"/>
                <w:color w:val="auto"/>
              </w:rPr>
            </w:pPr>
            <w:r>
              <w:rPr>
                <w:rFonts w:ascii="Arial" w:cs="Arial" w:eastAsia="Arial" w:hAnsi="Arial"/>
                <w:sz w:val="14"/>
                <w:szCs w:val="14"/>
                <w:b w:val="1"/>
                <w:bCs w:val="1"/>
                <w:color w:val="FFFFFF"/>
              </w:rPr>
              <w:t>Change</w:t>
            </w:r>
          </w:p>
        </w:tc>
        <w:tc>
          <w:tcPr>
            <w:tcW w:w="2060" w:type="dxa"/>
            <w:vAlign w:val="bottom"/>
            <w:vMerge w:val="restart"/>
            <w:shd w:val="clear" w:color="auto" w:fill="BF2115"/>
          </w:tcPr>
          <w:p>
            <w:pPr>
              <w:jc w:val="center"/>
              <w:ind w:right="224"/>
              <w:spacing w:after="0"/>
              <w:rPr>
                <w:sz w:val="20"/>
                <w:szCs w:val="20"/>
                <w:color w:val="auto"/>
              </w:rPr>
            </w:pPr>
            <w:r>
              <w:rPr>
                <w:rFonts w:ascii="Arial" w:cs="Arial" w:eastAsia="Arial" w:hAnsi="Arial"/>
                <w:sz w:val="14"/>
                <w:szCs w:val="14"/>
                <w:b w:val="1"/>
                <w:bCs w:val="1"/>
                <w:color w:val="FFFFFF"/>
                <w:w w:val="93"/>
              </w:rPr>
              <w:t>($)</w:t>
            </w:r>
          </w:p>
        </w:tc>
        <w:tc>
          <w:tcPr>
            <w:tcW w:w="1780" w:type="dxa"/>
            <w:vAlign w:val="bottom"/>
            <w:vMerge w:val="restart"/>
            <w:shd w:val="clear" w:color="auto" w:fill="BF2115"/>
          </w:tcPr>
          <w:p>
            <w:pPr>
              <w:jc w:val="center"/>
              <w:ind w:right="44"/>
              <w:spacing w:after="0"/>
              <w:rPr>
                <w:sz w:val="20"/>
                <w:szCs w:val="20"/>
                <w:color w:val="auto"/>
              </w:rPr>
            </w:pPr>
            <w:r>
              <w:rPr>
                <w:rFonts w:ascii="Arial" w:cs="Arial" w:eastAsia="Arial" w:hAnsi="Arial"/>
                <w:sz w:val="14"/>
                <w:szCs w:val="14"/>
                <w:b w:val="1"/>
                <w:bCs w:val="1"/>
                <w:color w:val="FFFFFF"/>
              </w:rPr>
              <w:t>($)</w:t>
            </w:r>
          </w:p>
        </w:tc>
        <w:tc>
          <w:tcPr>
            <w:tcW w:w="0" w:type="dxa"/>
            <w:vAlign w:val="bottom"/>
          </w:tcPr>
          <w:p>
            <w:pPr>
              <w:spacing w:after="0"/>
              <w:rPr>
                <w:sz w:val="1"/>
                <w:szCs w:val="1"/>
                <w:color w:val="auto"/>
              </w:rPr>
            </w:pPr>
          </w:p>
        </w:tc>
      </w:tr>
      <w:tr>
        <w:trPr>
          <w:trHeight w:val="121"/>
        </w:trPr>
        <w:tc>
          <w:tcPr>
            <w:tcW w:w="1340" w:type="dxa"/>
            <w:vAlign w:val="bottom"/>
            <w:vMerge w:val="continue"/>
            <w:shd w:val="clear" w:color="auto" w:fill="BF2115"/>
          </w:tcPr>
          <w:p>
            <w:pPr>
              <w:spacing w:after="0"/>
              <w:rPr>
                <w:sz w:val="10"/>
                <w:szCs w:val="10"/>
                <w:color w:val="auto"/>
              </w:rPr>
            </w:pPr>
          </w:p>
        </w:tc>
        <w:tc>
          <w:tcPr>
            <w:tcW w:w="2060" w:type="dxa"/>
            <w:vAlign w:val="bottom"/>
            <w:vMerge w:val="continue"/>
            <w:shd w:val="clear" w:color="auto" w:fill="BF2115"/>
          </w:tcPr>
          <w:p>
            <w:pPr>
              <w:spacing w:after="0"/>
              <w:rPr>
                <w:sz w:val="10"/>
                <w:szCs w:val="10"/>
                <w:color w:val="auto"/>
              </w:rPr>
            </w:pPr>
          </w:p>
        </w:tc>
        <w:tc>
          <w:tcPr>
            <w:tcW w:w="2060" w:type="dxa"/>
            <w:vAlign w:val="bottom"/>
            <w:shd w:val="clear" w:color="auto" w:fill="BF2115"/>
          </w:tcPr>
          <w:p>
            <w:pPr>
              <w:spacing w:after="0"/>
              <w:rPr>
                <w:sz w:val="10"/>
                <w:szCs w:val="10"/>
                <w:color w:val="auto"/>
              </w:rPr>
            </w:pPr>
          </w:p>
        </w:tc>
        <w:tc>
          <w:tcPr>
            <w:tcW w:w="1640" w:type="dxa"/>
            <w:vAlign w:val="bottom"/>
            <w:vMerge w:val="continue"/>
            <w:shd w:val="clear" w:color="auto" w:fill="BF2115"/>
          </w:tcPr>
          <w:p>
            <w:pPr>
              <w:spacing w:after="0"/>
              <w:rPr>
                <w:sz w:val="10"/>
                <w:szCs w:val="10"/>
                <w:color w:val="auto"/>
              </w:rPr>
            </w:pPr>
          </w:p>
        </w:tc>
        <w:tc>
          <w:tcPr>
            <w:tcW w:w="2060" w:type="dxa"/>
            <w:vAlign w:val="bottom"/>
            <w:vMerge w:val="continue"/>
            <w:shd w:val="clear" w:color="auto" w:fill="BF2115"/>
          </w:tcPr>
          <w:p>
            <w:pPr>
              <w:spacing w:after="0"/>
              <w:rPr>
                <w:sz w:val="10"/>
                <w:szCs w:val="10"/>
                <w:color w:val="auto"/>
              </w:rPr>
            </w:pPr>
          </w:p>
        </w:tc>
        <w:tc>
          <w:tcPr>
            <w:tcW w:w="1780" w:type="dxa"/>
            <w:vAlign w:val="bottom"/>
            <w:vMerge w:val="continue"/>
            <w:shd w:val="clear" w:color="auto" w:fill="BF2115"/>
          </w:tcPr>
          <w:p>
            <w:pPr>
              <w:spacing w:after="0"/>
              <w:rPr>
                <w:sz w:val="10"/>
                <w:szCs w:val="10"/>
                <w:color w:val="auto"/>
              </w:rPr>
            </w:pPr>
          </w:p>
        </w:tc>
        <w:tc>
          <w:tcPr>
            <w:tcW w:w="0" w:type="dxa"/>
            <w:vAlign w:val="bottom"/>
          </w:tcPr>
          <w:p>
            <w:pPr>
              <w:spacing w:after="0"/>
              <w:rPr>
                <w:sz w:val="1"/>
                <w:szCs w:val="1"/>
                <w:color w:val="auto"/>
              </w:rPr>
            </w:pPr>
          </w:p>
        </w:tc>
      </w:tr>
      <w:tr>
        <w:trPr>
          <w:trHeight w:val="211"/>
        </w:trPr>
        <w:tc>
          <w:tcPr>
            <w:tcW w:w="1340" w:type="dxa"/>
            <w:vAlign w:val="bottom"/>
          </w:tcPr>
          <w:p>
            <w:pPr>
              <w:ind w:left="20"/>
              <w:spacing w:after="0"/>
              <w:rPr>
                <w:sz w:val="20"/>
                <w:szCs w:val="20"/>
                <w:color w:val="auto"/>
              </w:rPr>
            </w:pPr>
            <w:r>
              <w:rPr>
                <w:rFonts w:ascii="Arial" w:cs="Arial" w:eastAsia="Arial" w:hAnsi="Arial"/>
                <w:sz w:val="16"/>
                <w:szCs w:val="16"/>
                <w:color w:val="auto"/>
              </w:rPr>
              <w:t>Mr. Olson</w:t>
            </w:r>
          </w:p>
        </w:tc>
        <w:tc>
          <w:tcPr>
            <w:tcW w:w="2060" w:type="dxa"/>
            <w:vAlign w:val="bottom"/>
          </w:tcPr>
          <w:p>
            <w:pPr>
              <w:jc w:val="right"/>
              <w:ind w:right="163"/>
              <w:spacing w:after="0"/>
              <w:rPr>
                <w:sz w:val="20"/>
                <w:szCs w:val="20"/>
                <w:color w:val="auto"/>
              </w:rPr>
            </w:pPr>
            <w:r>
              <w:rPr>
                <w:rFonts w:ascii="Arial" w:cs="Arial" w:eastAsia="Arial" w:hAnsi="Arial"/>
                <w:sz w:val="16"/>
                <w:szCs w:val="16"/>
                <w:color w:val="auto"/>
              </w:rPr>
              <w:t>1,174,609</w:t>
            </w:r>
          </w:p>
        </w:tc>
        <w:tc>
          <w:tcPr>
            <w:tcW w:w="2060" w:type="dxa"/>
            <w:vAlign w:val="bottom"/>
          </w:tcPr>
          <w:p>
            <w:pPr>
              <w:jc w:val="right"/>
              <w:ind w:right="163"/>
              <w:spacing w:after="0"/>
              <w:rPr>
                <w:sz w:val="20"/>
                <w:szCs w:val="20"/>
                <w:color w:val="auto"/>
              </w:rPr>
            </w:pPr>
            <w:r>
              <w:rPr>
                <w:rFonts w:ascii="Arial" w:cs="Arial" w:eastAsia="Arial" w:hAnsi="Arial"/>
                <w:sz w:val="16"/>
                <w:szCs w:val="16"/>
                <w:color w:val="auto"/>
              </w:rPr>
              <w:t>130 %</w:t>
            </w:r>
          </w:p>
        </w:tc>
        <w:tc>
          <w:tcPr>
            <w:tcW w:w="1640" w:type="dxa"/>
            <w:vAlign w:val="bottom"/>
          </w:tcPr>
          <w:p>
            <w:pPr>
              <w:jc w:val="right"/>
              <w:ind w:right="144"/>
              <w:spacing w:after="0"/>
              <w:rPr>
                <w:sz w:val="20"/>
                <w:szCs w:val="20"/>
                <w:color w:val="auto"/>
              </w:rPr>
            </w:pPr>
            <w:r>
              <w:rPr>
                <w:rFonts w:ascii="Arial" w:cs="Arial" w:eastAsia="Arial" w:hAnsi="Arial"/>
                <w:sz w:val="16"/>
                <w:szCs w:val="16"/>
                <w:color w:val="auto"/>
              </w:rPr>
              <w:t>No Change</w:t>
            </w:r>
          </w:p>
        </w:tc>
        <w:tc>
          <w:tcPr>
            <w:tcW w:w="2060" w:type="dxa"/>
            <w:vAlign w:val="bottom"/>
          </w:tcPr>
          <w:p>
            <w:pPr>
              <w:jc w:val="right"/>
              <w:ind w:right="144"/>
              <w:spacing w:after="0"/>
              <w:rPr>
                <w:sz w:val="20"/>
                <w:szCs w:val="20"/>
                <w:color w:val="auto"/>
              </w:rPr>
            </w:pPr>
            <w:r>
              <w:rPr>
                <w:rFonts w:ascii="Arial" w:cs="Arial" w:eastAsia="Arial" w:hAnsi="Arial"/>
                <w:sz w:val="16"/>
                <w:szCs w:val="16"/>
                <w:color w:val="auto"/>
              </w:rPr>
              <w:t>1,526,992</w:t>
            </w:r>
          </w:p>
        </w:tc>
        <w:tc>
          <w:tcPr>
            <w:tcW w:w="1780" w:type="dxa"/>
            <w:vAlign w:val="bottom"/>
          </w:tcPr>
          <w:p>
            <w:pPr>
              <w:jc w:val="right"/>
              <w:spacing w:after="0"/>
              <w:rPr>
                <w:sz w:val="20"/>
                <w:szCs w:val="20"/>
                <w:color w:val="auto"/>
              </w:rPr>
            </w:pPr>
            <w:r>
              <w:rPr>
                <w:rFonts w:ascii="Arial" w:cs="Arial" w:eastAsia="Arial" w:hAnsi="Arial"/>
                <w:sz w:val="16"/>
                <w:szCs w:val="16"/>
                <w:color w:val="auto"/>
              </w:rPr>
              <w:t>2,701,601</w:t>
            </w:r>
          </w:p>
        </w:tc>
        <w:tc>
          <w:tcPr>
            <w:tcW w:w="0" w:type="dxa"/>
            <w:vAlign w:val="bottom"/>
          </w:tcPr>
          <w:p>
            <w:pPr>
              <w:spacing w:after="0"/>
              <w:rPr>
                <w:sz w:val="1"/>
                <w:szCs w:val="1"/>
                <w:color w:val="auto"/>
              </w:rPr>
            </w:pPr>
          </w:p>
        </w:tc>
      </w:tr>
      <w:tr>
        <w:trPr>
          <w:trHeight w:val="29"/>
        </w:trPr>
        <w:tc>
          <w:tcPr>
            <w:tcW w:w="1340" w:type="dxa"/>
            <w:vAlign w:val="bottom"/>
          </w:tcPr>
          <w:p>
            <w:pPr>
              <w:spacing w:after="0"/>
              <w:rPr>
                <w:sz w:val="2"/>
                <w:szCs w:val="2"/>
                <w:color w:val="auto"/>
              </w:rPr>
            </w:pPr>
          </w:p>
        </w:tc>
        <w:tc>
          <w:tcPr>
            <w:tcW w:w="2060" w:type="dxa"/>
            <w:vAlign w:val="bottom"/>
          </w:tcPr>
          <w:p>
            <w:pPr>
              <w:spacing w:after="0"/>
              <w:rPr>
                <w:sz w:val="2"/>
                <w:szCs w:val="2"/>
                <w:color w:val="auto"/>
              </w:rPr>
            </w:pPr>
          </w:p>
        </w:tc>
        <w:tc>
          <w:tcPr>
            <w:tcW w:w="2060" w:type="dxa"/>
            <w:vAlign w:val="bottom"/>
          </w:tcPr>
          <w:p>
            <w:pPr>
              <w:spacing w:after="0"/>
              <w:rPr>
                <w:sz w:val="2"/>
                <w:szCs w:val="2"/>
                <w:color w:val="auto"/>
              </w:rPr>
            </w:pPr>
          </w:p>
        </w:tc>
        <w:tc>
          <w:tcPr>
            <w:tcW w:w="1640" w:type="dxa"/>
            <w:vAlign w:val="bottom"/>
          </w:tcPr>
          <w:p>
            <w:pPr>
              <w:spacing w:after="0"/>
              <w:rPr>
                <w:sz w:val="2"/>
                <w:szCs w:val="2"/>
                <w:color w:val="auto"/>
              </w:rPr>
            </w:pPr>
          </w:p>
        </w:tc>
        <w:tc>
          <w:tcPr>
            <w:tcW w:w="2060" w:type="dxa"/>
            <w:vAlign w:val="bottom"/>
          </w:tcPr>
          <w:p>
            <w:pPr>
              <w:spacing w:after="0"/>
              <w:rPr>
                <w:sz w:val="2"/>
                <w:szCs w:val="2"/>
                <w:color w:val="auto"/>
              </w:rPr>
            </w:pPr>
          </w:p>
        </w:tc>
        <w:tc>
          <w:tcPr>
            <w:tcW w:w="1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134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6"/>
                <w:szCs w:val="16"/>
                <w:color w:val="auto"/>
              </w:rPr>
              <w:t>Ms. Drake</w:t>
            </w:r>
          </w:p>
        </w:tc>
        <w:tc>
          <w:tcPr>
            <w:tcW w:w="2060" w:type="dxa"/>
            <w:vAlign w:val="bottom"/>
            <w:tcBorders>
              <w:bottom w:val="single" w:sz="8" w:color="DBDBDB"/>
            </w:tcBorders>
            <w:shd w:val="clear" w:color="auto" w:fill="DBDBDB"/>
          </w:tcPr>
          <w:p>
            <w:pPr>
              <w:jc w:val="right"/>
              <w:ind w:right="163"/>
              <w:spacing w:after="0"/>
              <w:rPr>
                <w:sz w:val="20"/>
                <w:szCs w:val="20"/>
                <w:color w:val="auto"/>
              </w:rPr>
            </w:pPr>
            <w:r>
              <w:rPr>
                <w:rFonts w:ascii="Arial" w:cs="Arial" w:eastAsia="Arial" w:hAnsi="Arial"/>
                <w:sz w:val="16"/>
                <w:szCs w:val="16"/>
                <w:color w:val="auto"/>
              </w:rPr>
              <w:t>579,813</w:t>
            </w:r>
          </w:p>
        </w:tc>
        <w:tc>
          <w:tcPr>
            <w:tcW w:w="2060" w:type="dxa"/>
            <w:vAlign w:val="bottom"/>
            <w:tcBorders>
              <w:bottom w:val="single" w:sz="8" w:color="DBDBDB"/>
            </w:tcBorders>
            <w:shd w:val="clear" w:color="auto" w:fill="DBDBDB"/>
          </w:tcPr>
          <w:p>
            <w:pPr>
              <w:jc w:val="right"/>
              <w:ind w:right="163"/>
              <w:spacing w:after="0"/>
              <w:rPr>
                <w:sz w:val="20"/>
                <w:szCs w:val="20"/>
                <w:color w:val="auto"/>
              </w:rPr>
            </w:pPr>
            <w:r>
              <w:rPr>
                <w:rFonts w:ascii="Arial" w:cs="Arial" w:eastAsia="Arial" w:hAnsi="Arial"/>
                <w:sz w:val="16"/>
                <w:szCs w:val="16"/>
                <w:color w:val="auto"/>
              </w:rPr>
              <w:t>70 %</w:t>
            </w:r>
          </w:p>
        </w:tc>
        <w:tc>
          <w:tcPr>
            <w:tcW w:w="1640" w:type="dxa"/>
            <w:vAlign w:val="bottom"/>
            <w:tcBorders>
              <w:bottom w:val="single" w:sz="8" w:color="DBDBDB"/>
            </w:tcBorders>
            <w:shd w:val="clear" w:color="auto" w:fill="DBDBDB"/>
          </w:tcPr>
          <w:p>
            <w:pPr>
              <w:jc w:val="right"/>
              <w:ind w:right="144"/>
              <w:spacing w:after="0"/>
              <w:rPr>
                <w:sz w:val="20"/>
                <w:szCs w:val="20"/>
                <w:color w:val="auto"/>
              </w:rPr>
            </w:pPr>
            <w:r>
              <w:rPr>
                <w:rFonts w:ascii="Arial" w:cs="Arial" w:eastAsia="Arial" w:hAnsi="Arial"/>
                <w:sz w:val="16"/>
                <w:szCs w:val="16"/>
                <w:color w:val="auto"/>
              </w:rPr>
              <w:t>+5%</w:t>
            </w:r>
          </w:p>
        </w:tc>
        <w:tc>
          <w:tcPr>
            <w:tcW w:w="2060" w:type="dxa"/>
            <w:vAlign w:val="bottom"/>
            <w:tcBorders>
              <w:bottom w:val="single" w:sz="8" w:color="DBDBDB"/>
            </w:tcBorders>
            <w:shd w:val="clear" w:color="auto" w:fill="DBDBDB"/>
          </w:tcPr>
          <w:p>
            <w:pPr>
              <w:jc w:val="right"/>
              <w:ind w:right="144"/>
              <w:spacing w:after="0"/>
              <w:rPr>
                <w:sz w:val="20"/>
                <w:szCs w:val="20"/>
                <w:color w:val="auto"/>
              </w:rPr>
            </w:pPr>
            <w:r>
              <w:rPr>
                <w:rFonts w:ascii="Arial" w:cs="Arial" w:eastAsia="Arial" w:hAnsi="Arial"/>
                <w:sz w:val="16"/>
                <w:szCs w:val="16"/>
                <w:color w:val="auto"/>
              </w:rPr>
              <w:t>405,869</w:t>
            </w:r>
          </w:p>
        </w:tc>
        <w:tc>
          <w:tcPr>
            <w:tcW w:w="178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6"/>
                <w:szCs w:val="16"/>
                <w:color w:val="auto"/>
              </w:rPr>
              <w:t>985,682</w:t>
            </w:r>
          </w:p>
        </w:tc>
        <w:tc>
          <w:tcPr>
            <w:tcW w:w="0" w:type="dxa"/>
            <w:vAlign w:val="bottom"/>
          </w:tcPr>
          <w:p>
            <w:pPr>
              <w:spacing w:after="0"/>
              <w:rPr>
                <w:sz w:val="1"/>
                <w:szCs w:val="1"/>
                <w:color w:val="auto"/>
              </w:rPr>
            </w:pPr>
          </w:p>
        </w:tc>
      </w:tr>
      <w:tr>
        <w:trPr>
          <w:trHeight w:val="211"/>
        </w:trPr>
        <w:tc>
          <w:tcPr>
            <w:tcW w:w="1340" w:type="dxa"/>
            <w:vAlign w:val="bottom"/>
          </w:tcPr>
          <w:p>
            <w:pPr>
              <w:ind w:left="20"/>
              <w:spacing w:after="0"/>
              <w:rPr>
                <w:sz w:val="20"/>
                <w:szCs w:val="20"/>
                <w:color w:val="auto"/>
              </w:rPr>
            </w:pPr>
            <w:r>
              <w:rPr>
                <w:rFonts w:ascii="Arial" w:cs="Arial" w:eastAsia="Arial" w:hAnsi="Arial"/>
                <w:sz w:val="16"/>
                <w:szCs w:val="16"/>
                <w:color w:val="auto"/>
              </w:rPr>
              <w:t>Mr. Carpenter</w:t>
            </w:r>
          </w:p>
        </w:tc>
        <w:tc>
          <w:tcPr>
            <w:tcW w:w="2060" w:type="dxa"/>
            <w:vAlign w:val="bottom"/>
          </w:tcPr>
          <w:p>
            <w:pPr>
              <w:jc w:val="right"/>
              <w:ind w:right="163"/>
              <w:spacing w:after="0"/>
              <w:rPr>
                <w:sz w:val="20"/>
                <w:szCs w:val="20"/>
                <w:color w:val="auto"/>
              </w:rPr>
            </w:pPr>
            <w:r>
              <w:rPr>
                <w:rFonts w:ascii="Arial" w:cs="Arial" w:eastAsia="Arial" w:hAnsi="Arial"/>
                <w:sz w:val="16"/>
                <w:szCs w:val="16"/>
                <w:color w:val="auto"/>
              </w:rPr>
              <w:t>503,025</w:t>
            </w:r>
          </w:p>
        </w:tc>
        <w:tc>
          <w:tcPr>
            <w:tcW w:w="2060" w:type="dxa"/>
            <w:vAlign w:val="bottom"/>
          </w:tcPr>
          <w:p>
            <w:pPr>
              <w:jc w:val="right"/>
              <w:ind w:right="163"/>
              <w:spacing w:after="0"/>
              <w:rPr>
                <w:sz w:val="20"/>
                <w:szCs w:val="20"/>
                <w:color w:val="auto"/>
              </w:rPr>
            </w:pPr>
            <w:r>
              <w:rPr>
                <w:rFonts w:ascii="Arial" w:cs="Arial" w:eastAsia="Arial" w:hAnsi="Arial"/>
                <w:sz w:val="16"/>
                <w:szCs w:val="16"/>
                <w:color w:val="auto"/>
              </w:rPr>
              <w:t>65 %</w:t>
            </w:r>
          </w:p>
        </w:tc>
        <w:tc>
          <w:tcPr>
            <w:tcW w:w="1640" w:type="dxa"/>
            <w:vAlign w:val="bottom"/>
          </w:tcPr>
          <w:p>
            <w:pPr>
              <w:jc w:val="right"/>
              <w:ind w:right="144"/>
              <w:spacing w:after="0"/>
              <w:rPr>
                <w:sz w:val="20"/>
                <w:szCs w:val="20"/>
                <w:color w:val="auto"/>
              </w:rPr>
            </w:pPr>
            <w:r>
              <w:rPr>
                <w:rFonts w:ascii="Arial" w:cs="Arial" w:eastAsia="Arial" w:hAnsi="Arial"/>
                <w:sz w:val="16"/>
                <w:szCs w:val="16"/>
                <w:color w:val="auto"/>
              </w:rPr>
              <w:t>+5%</w:t>
            </w:r>
          </w:p>
        </w:tc>
        <w:tc>
          <w:tcPr>
            <w:tcW w:w="2060" w:type="dxa"/>
            <w:vAlign w:val="bottom"/>
          </w:tcPr>
          <w:p>
            <w:pPr>
              <w:jc w:val="right"/>
              <w:ind w:right="144"/>
              <w:spacing w:after="0"/>
              <w:rPr>
                <w:sz w:val="20"/>
                <w:szCs w:val="20"/>
                <w:color w:val="auto"/>
              </w:rPr>
            </w:pPr>
            <w:r>
              <w:rPr>
                <w:rFonts w:ascii="Arial" w:cs="Arial" w:eastAsia="Arial" w:hAnsi="Arial"/>
                <w:sz w:val="16"/>
                <w:szCs w:val="16"/>
                <w:color w:val="auto"/>
              </w:rPr>
              <w:t>326,966</w:t>
            </w:r>
          </w:p>
        </w:tc>
        <w:tc>
          <w:tcPr>
            <w:tcW w:w="1780" w:type="dxa"/>
            <w:vAlign w:val="bottom"/>
          </w:tcPr>
          <w:p>
            <w:pPr>
              <w:jc w:val="right"/>
              <w:spacing w:after="0"/>
              <w:rPr>
                <w:sz w:val="20"/>
                <w:szCs w:val="20"/>
                <w:color w:val="auto"/>
              </w:rPr>
            </w:pPr>
            <w:r>
              <w:rPr>
                <w:rFonts w:ascii="Arial" w:cs="Arial" w:eastAsia="Arial" w:hAnsi="Arial"/>
                <w:sz w:val="16"/>
                <w:szCs w:val="16"/>
                <w:color w:val="auto"/>
              </w:rPr>
              <w:t>829,991</w:t>
            </w:r>
          </w:p>
        </w:tc>
        <w:tc>
          <w:tcPr>
            <w:tcW w:w="0" w:type="dxa"/>
            <w:vAlign w:val="bottom"/>
          </w:tcPr>
          <w:p>
            <w:pPr>
              <w:spacing w:after="0"/>
              <w:rPr>
                <w:sz w:val="1"/>
                <w:szCs w:val="1"/>
                <w:color w:val="auto"/>
              </w:rPr>
            </w:pPr>
          </w:p>
        </w:tc>
      </w:tr>
      <w:tr>
        <w:trPr>
          <w:trHeight w:val="29"/>
        </w:trPr>
        <w:tc>
          <w:tcPr>
            <w:tcW w:w="1340" w:type="dxa"/>
            <w:vAlign w:val="bottom"/>
          </w:tcPr>
          <w:p>
            <w:pPr>
              <w:spacing w:after="0"/>
              <w:rPr>
                <w:sz w:val="2"/>
                <w:szCs w:val="2"/>
                <w:color w:val="auto"/>
              </w:rPr>
            </w:pPr>
          </w:p>
        </w:tc>
        <w:tc>
          <w:tcPr>
            <w:tcW w:w="2060" w:type="dxa"/>
            <w:vAlign w:val="bottom"/>
          </w:tcPr>
          <w:p>
            <w:pPr>
              <w:spacing w:after="0"/>
              <w:rPr>
                <w:sz w:val="2"/>
                <w:szCs w:val="2"/>
                <w:color w:val="auto"/>
              </w:rPr>
            </w:pPr>
          </w:p>
        </w:tc>
        <w:tc>
          <w:tcPr>
            <w:tcW w:w="2060" w:type="dxa"/>
            <w:vAlign w:val="bottom"/>
          </w:tcPr>
          <w:p>
            <w:pPr>
              <w:spacing w:after="0"/>
              <w:rPr>
                <w:sz w:val="2"/>
                <w:szCs w:val="2"/>
                <w:color w:val="auto"/>
              </w:rPr>
            </w:pPr>
          </w:p>
        </w:tc>
        <w:tc>
          <w:tcPr>
            <w:tcW w:w="1640" w:type="dxa"/>
            <w:vAlign w:val="bottom"/>
          </w:tcPr>
          <w:p>
            <w:pPr>
              <w:spacing w:after="0"/>
              <w:rPr>
                <w:sz w:val="2"/>
                <w:szCs w:val="2"/>
                <w:color w:val="auto"/>
              </w:rPr>
            </w:pPr>
          </w:p>
        </w:tc>
        <w:tc>
          <w:tcPr>
            <w:tcW w:w="2060" w:type="dxa"/>
            <w:vAlign w:val="bottom"/>
          </w:tcPr>
          <w:p>
            <w:pPr>
              <w:spacing w:after="0"/>
              <w:rPr>
                <w:sz w:val="2"/>
                <w:szCs w:val="2"/>
                <w:color w:val="auto"/>
              </w:rPr>
            </w:pPr>
          </w:p>
        </w:tc>
        <w:tc>
          <w:tcPr>
            <w:tcW w:w="1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134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6"/>
                <w:szCs w:val="16"/>
                <w:color w:val="auto"/>
              </w:rPr>
              <w:t>Ms. Dahl</w:t>
            </w:r>
          </w:p>
        </w:tc>
        <w:tc>
          <w:tcPr>
            <w:tcW w:w="2060" w:type="dxa"/>
            <w:vAlign w:val="bottom"/>
            <w:tcBorders>
              <w:bottom w:val="single" w:sz="8" w:color="DBDBDB"/>
            </w:tcBorders>
            <w:shd w:val="clear" w:color="auto" w:fill="DBDBDB"/>
          </w:tcPr>
          <w:p>
            <w:pPr>
              <w:jc w:val="right"/>
              <w:ind w:right="163"/>
              <w:spacing w:after="0"/>
              <w:rPr>
                <w:sz w:val="20"/>
                <w:szCs w:val="20"/>
                <w:color w:val="auto"/>
              </w:rPr>
            </w:pPr>
            <w:r>
              <w:rPr>
                <w:rFonts w:ascii="Arial" w:cs="Arial" w:eastAsia="Arial" w:hAnsi="Arial"/>
                <w:sz w:val="16"/>
                <w:szCs w:val="16"/>
                <w:color w:val="auto"/>
              </w:rPr>
              <w:t>545,477</w:t>
            </w:r>
          </w:p>
        </w:tc>
        <w:tc>
          <w:tcPr>
            <w:tcW w:w="2060" w:type="dxa"/>
            <w:vAlign w:val="bottom"/>
            <w:tcBorders>
              <w:bottom w:val="single" w:sz="8" w:color="DBDBDB"/>
            </w:tcBorders>
            <w:shd w:val="clear" w:color="auto" w:fill="DBDBDB"/>
          </w:tcPr>
          <w:p>
            <w:pPr>
              <w:jc w:val="right"/>
              <w:ind w:right="163"/>
              <w:spacing w:after="0"/>
              <w:rPr>
                <w:sz w:val="20"/>
                <w:szCs w:val="20"/>
                <w:color w:val="auto"/>
              </w:rPr>
            </w:pPr>
            <w:r>
              <w:rPr>
                <w:rFonts w:ascii="Arial" w:cs="Arial" w:eastAsia="Arial" w:hAnsi="Arial"/>
                <w:sz w:val="16"/>
                <w:szCs w:val="16"/>
                <w:color w:val="auto"/>
              </w:rPr>
              <w:t>65 %</w:t>
            </w:r>
          </w:p>
        </w:tc>
        <w:tc>
          <w:tcPr>
            <w:tcW w:w="1640" w:type="dxa"/>
            <w:vAlign w:val="bottom"/>
            <w:tcBorders>
              <w:bottom w:val="single" w:sz="8" w:color="DBDBDB"/>
            </w:tcBorders>
            <w:shd w:val="clear" w:color="auto" w:fill="DBDBDB"/>
          </w:tcPr>
          <w:p>
            <w:pPr>
              <w:jc w:val="right"/>
              <w:ind w:right="144"/>
              <w:spacing w:after="0"/>
              <w:rPr>
                <w:sz w:val="20"/>
                <w:szCs w:val="20"/>
                <w:color w:val="auto"/>
              </w:rPr>
            </w:pPr>
            <w:r>
              <w:rPr>
                <w:rFonts w:ascii="Arial" w:cs="Arial" w:eastAsia="Arial" w:hAnsi="Arial"/>
                <w:sz w:val="16"/>
                <w:szCs w:val="16"/>
                <w:color w:val="auto"/>
              </w:rPr>
              <w:t>No Change</w:t>
            </w:r>
          </w:p>
        </w:tc>
        <w:tc>
          <w:tcPr>
            <w:tcW w:w="2060" w:type="dxa"/>
            <w:vAlign w:val="bottom"/>
            <w:tcBorders>
              <w:bottom w:val="single" w:sz="8" w:color="DBDBDB"/>
            </w:tcBorders>
            <w:shd w:val="clear" w:color="auto" w:fill="DBDBDB"/>
          </w:tcPr>
          <w:p>
            <w:pPr>
              <w:jc w:val="right"/>
              <w:ind w:right="144"/>
              <w:spacing w:after="0"/>
              <w:rPr>
                <w:sz w:val="20"/>
                <w:szCs w:val="20"/>
                <w:color w:val="auto"/>
              </w:rPr>
            </w:pPr>
            <w:r>
              <w:rPr>
                <w:rFonts w:ascii="Arial" w:cs="Arial" w:eastAsia="Arial" w:hAnsi="Arial"/>
                <w:sz w:val="16"/>
                <w:szCs w:val="16"/>
                <w:color w:val="auto"/>
              </w:rPr>
              <w:t>354,560</w:t>
            </w:r>
          </w:p>
        </w:tc>
        <w:tc>
          <w:tcPr>
            <w:tcW w:w="178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6"/>
                <w:szCs w:val="16"/>
                <w:color w:val="auto"/>
              </w:rPr>
              <w:t>900,036</w:t>
            </w:r>
          </w:p>
        </w:tc>
        <w:tc>
          <w:tcPr>
            <w:tcW w:w="0" w:type="dxa"/>
            <w:vAlign w:val="bottom"/>
          </w:tcPr>
          <w:p>
            <w:pPr>
              <w:spacing w:after="0"/>
              <w:rPr>
                <w:sz w:val="1"/>
                <w:szCs w:val="1"/>
                <w:color w:val="auto"/>
              </w:rPr>
            </w:pPr>
          </w:p>
        </w:tc>
      </w:tr>
      <w:tr>
        <w:trPr>
          <w:trHeight w:val="211"/>
        </w:trPr>
        <w:tc>
          <w:tcPr>
            <w:tcW w:w="1340" w:type="dxa"/>
            <w:vAlign w:val="bottom"/>
          </w:tcPr>
          <w:p>
            <w:pPr>
              <w:ind w:left="20"/>
              <w:spacing w:after="0"/>
              <w:rPr>
                <w:sz w:val="20"/>
                <w:szCs w:val="20"/>
                <w:color w:val="auto"/>
              </w:rPr>
            </w:pPr>
            <w:r>
              <w:rPr>
                <w:rFonts w:ascii="Arial" w:cs="Arial" w:eastAsia="Arial" w:hAnsi="Arial"/>
                <w:sz w:val="16"/>
                <w:szCs w:val="16"/>
                <w:color w:val="auto"/>
              </w:rPr>
              <w:t>Ms. Totsky</w:t>
            </w:r>
          </w:p>
        </w:tc>
        <w:tc>
          <w:tcPr>
            <w:tcW w:w="2060" w:type="dxa"/>
            <w:vAlign w:val="bottom"/>
          </w:tcPr>
          <w:p>
            <w:pPr>
              <w:jc w:val="right"/>
              <w:ind w:right="163"/>
              <w:spacing w:after="0"/>
              <w:rPr>
                <w:sz w:val="20"/>
                <w:szCs w:val="20"/>
                <w:color w:val="auto"/>
              </w:rPr>
            </w:pPr>
            <w:r>
              <w:rPr>
                <w:rFonts w:ascii="Arial" w:cs="Arial" w:eastAsia="Arial" w:hAnsi="Arial"/>
                <w:sz w:val="16"/>
                <w:szCs w:val="16"/>
                <w:color w:val="auto"/>
              </w:rPr>
              <w:t>564,474</w:t>
            </w:r>
          </w:p>
        </w:tc>
        <w:tc>
          <w:tcPr>
            <w:tcW w:w="2060" w:type="dxa"/>
            <w:vAlign w:val="bottom"/>
          </w:tcPr>
          <w:p>
            <w:pPr>
              <w:jc w:val="right"/>
              <w:ind w:right="163"/>
              <w:spacing w:after="0"/>
              <w:rPr>
                <w:sz w:val="20"/>
                <w:szCs w:val="20"/>
                <w:color w:val="auto"/>
              </w:rPr>
            </w:pPr>
            <w:r>
              <w:rPr>
                <w:rFonts w:ascii="Arial" w:cs="Arial" w:eastAsia="Arial" w:hAnsi="Arial"/>
                <w:sz w:val="16"/>
                <w:szCs w:val="16"/>
                <w:color w:val="auto"/>
              </w:rPr>
              <w:t>65 %</w:t>
            </w:r>
          </w:p>
        </w:tc>
        <w:tc>
          <w:tcPr>
            <w:tcW w:w="1640" w:type="dxa"/>
            <w:vAlign w:val="bottom"/>
          </w:tcPr>
          <w:p>
            <w:pPr>
              <w:jc w:val="right"/>
              <w:ind w:right="144"/>
              <w:spacing w:after="0"/>
              <w:rPr>
                <w:sz w:val="20"/>
                <w:szCs w:val="20"/>
                <w:color w:val="auto"/>
              </w:rPr>
            </w:pPr>
            <w:r>
              <w:rPr>
                <w:rFonts w:ascii="Arial" w:cs="Arial" w:eastAsia="Arial" w:hAnsi="Arial"/>
                <w:sz w:val="16"/>
                <w:szCs w:val="16"/>
                <w:color w:val="auto"/>
              </w:rPr>
              <w:t>No Change</w:t>
            </w:r>
          </w:p>
        </w:tc>
        <w:tc>
          <w:tcPr>
            <w:tcW w:w="2060" w:type="dxa"/>
            <w:vAlign w:val="bottom"/>
          </w:tcPr>
          <w:p>
            <w:pPr>
              <w:jc w:val="right"/>
              <w:ind w:right="144"/>
              <w:spacing w:after="0"/>
              <w:rPr>
                <w:sz w:val="20"/>
                <w:szCs w:val="20"/>
                <w:color w:val="auto"/>
              </w:rPr>
            </w:pPr>
            <w:r>
              <w:rPr>
                <w:rFonts w:ascii="Arial" w:cs="Arial" w:eastAsia="Arial" w:hAnsi="Arial"/>
                <w:sz w:val="16"/>
                <w:szCs w:val="16"/>
                <w:color w:val="auto"/>
              </w:rPr>
              <w:t>366,908</w:t>
            </w:r>
          </w:p>
        </w:tc>
        <w:tc>
          <w:tcPr>
            <w:tcW w:w="1780" w:type="dxa"/>
            <w:vAlign w:val="bottom"/>
          </w:tcPr>
          <w:p>
            <w:pPr>
              <w:jc w:val="right"/>
              <w:spacing w:after="0"/>
              <w:rPr>
                <w:sz w:val="20"/>
                <w:szCs w:val="20"/>
                <w:color w:val="auto"/>
              </w:rPr>
            </w:pPr>
            <w:r>
              <w:rPr>
                <w:rFonts w:ascii="Arial" w:cs="Arial" w:eastAsia="Arial" w:hAnsi="Arial"/>
                <w:sz w:val="16"/>
                <w:szCs w:val="16"/>
                <w:color w:val="auto"/>
              </w:rPr>
              <w:t>931,382</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46" w:lineRule="exact"/>
        <w:rPr>
          <w:sz w:val="20"/>
          <w:szCs w:val="20"/>
          <w:color w:val="auto"/>
        </w:rPr>
      </w:pPr>
    </w:p>
    <w:p>
      <w:pPr>
        <w:ind w:firstLine="320"/>
        <w:spacing w:after="0" w:line="233" w:lineRule="auto"/>
        <w:rPr>
          <w:sz w:val="20"/>
          <w:szCs w:val="20"/>
          <w:color w:val="auto"/>
        </w:rPr>
      </w:pPr>
      <w:r>
        <w:rPr>
          <w:rFonts w:ascii="Arial" w:cs="Arial" w:eastAsia="Arial" w:hAnsi="Arial"/>
          <w:sz w:val="18"/>
          <w:szCs w:val="18"/>
          <w:color w:val="auto"/>
        </w:rPr>
        <w:t>We believe the fiscal 2024 target annual cash incentive awards when combined with the annual base salaries are within a reasonable range of the market 50</w:t>
      </w:r>
      <w:r>
        <w:rPr>
          <w:rFonts w:ascii="Arial" w:cs="Arial" w:eastAsia="Arial" w:hAnsi="Arial"/>
          <w:sz w:val="10"/>
          <w:szCs w:val="10"/>
          <w:color w:val="auto"/>
        </w:rPr>
        <w:t>th</w:t>
      </w:r>
      <w:r>
        <w:rPr>
          <w:rFonts w:ascii="Arial" w:cs="Arial" w:eastAsia="Arial" w:hAnsi="Arial"/>
          <w:sz w:val="18"/>
          <w:szCs w:val="18"/>
          <w:color w:val="auto"/>
        </w:rPr>
        <w:t xml:space="preserve"> percentile and that the differentiation of target awards among our NEOs was appropriate given the scope and</w:t>
      </w:r>
    </w:p>
    <w:p>
      <w:pPr>
        <w:spacing w:after="0" w:line="1" w:lineRule="exact"/>
        <w:rPr>
          <w:sz w:val="20"/>
          <w:szCs w:val="20"/>
          <w:color w:val="auto"/>
        </w:rPr>
      </w:pPr>
    </w:p>
    <w:p>
      <w:pPr>
        <w:spacing w:after="0" w:line="243" w:lineRule="auto"/>
        <w:rPr>
          <w:sz w:val="20"/>
          <w:szCs w:val="20"/>
          <w:color w:val="auto"/>
        </w:rPr>
      </w:pPr>
      <w:r>
        <w:rPr>
          <w:rFonts w:ascii="Arial" w:cs="Arial" w:eastAsia="Arial" w:hAnsi="Arial"/>
          <w:sz w:val="18"/>
          <w:szCs w:val="18"/>
          <w:color w:val="auto"/>
        </w:rPr>
        <w:t>responsibility of their respective positions. The 5% increases in the target award percentages for Ms. Drake and Mr. Carpenter were intended to bring their target total cash compensation closer to the desired market positioning.</w:t>
      </w:r>
    </w:p>
    <w:p>
      <w:pPr>
        <w:spacing w:after="0" w:line="59" w:lineRule="exact"/>
        <w:rPr>
          <w:sz w:val="20"/>
          <w:szCs w:val="20"/>
          <w:color w:val="auto"/>
        </w:rPr>
      </w:pPr>
    </w:p>
    <w:p>
      <w:pPr>
        <w:ind w:firstLine="320"/>
        <w:spacing w:after="0" w:line="241" w:lineRule="auto"/>
        <w:rPr>
          <w:sz w:val="20"/>
          <w:szCs w:val="20"/>
          <w:color w:val="auto"/>
        </w:rPr>
      </w:pPr>
      <w:r>
        <w:rPr>
          <w:rFonts w:ascii="Arial" w:cs="Arial" w:eastAsia="Arial" w:hAnsi="Arial"/>
          <w:sz w:val="18"/>
          <w:szCs w:val="18"/>
          <w:i w:val="1"/>
          <w:iCs w:val="1"/>
          <w:color w:val="auto"/>
        </w:rPr>
        <w:t xml:space="preserve">Performance Measures, Weightings and Goals. </w:t>
      </w:r>
      <w:r>
        <w:rPr>
          <w:rFonts w:ascii="Arial" w:cs="Arial" w:eastAsia="Arial" w:hAnsi="Arial"/>
          <w:sz w:val="18"/>
          <w:szCs w:val="18"/>
          <w:color w:val="auto"/>
        </w:rPr>
        <w:t>Each year, the Committee determines performance measures, weightings, goals and</w:t>
      </w:r>
      <w:r>
        <w:rPr>
          <w:rFonts w:ascii="Arial" w:cs="Arial" w:eastAsia="Arial" w:hAnsi="Arial"/>
          <w:sz w:val="18"/>
          <w:szCs w:val="18"/>
          <w:i w:val="1"/>
          <w:iCs w:val="1"/>
          <w:color w:val="auto"/>
        </w:rPr>
        <w:t xml:space="preserve"> </w:t>
      </w:r>
      <w:r>
        <w:rPr>
          <w:rFonts w:ascii="Arial" w:cs="Arial" w:eastAsia="Arial" w:hAnsi="Arial"/>
          <w:sz w:val="18"/>
          <w:szCs w:val="18"/>
          <w:color w:val="auto"/>
        </w:rPr>
        <w:t>performance adjustment events, if any, for the annual cash incentive awards. We believe that in order to motivate our executive officers to</w:t>
      </w:r>
    </w:p>
    <w:p>
      <w:pPr>
        <w:spacing w:after="0" w:line="1" w:lineRule="exact"/>
        <w:rPr>
          <w:sz w:val="20"/>
          <w:szCs w:val="20"/>
          <w:color w:val="auto"/>
        </w:rPr>
      </w:pPr>
    </w:p>
    <w:p>
      <w:pPr>
        <w:spacing w:after="0" w:line="224" w:lineRule="auto"/>
        <w:rPr>
          <w:sz w:val="20"/>
          <w:szCs w:val="20"/>
          <w:color w:val="auto"/>
        </w:rPr>
      </w:pPr>
      <w:r>
        <w:rPr>
          <w:rFonts w:ascii="Arial" w:cs="Arial" w:eastAsia="Arial" w:hAnsi="Arial"/>
          <w:sz w:val="18"/>
          <w:szCs w:val="18"/>
          <w:color w:val="auto"/>
        </w:rPr>
        <w:t>achieve annual financial goals, it is important to select performance measures aligned with our annual financial goals, as well as drive shareholder value. Key elements for fiscal 2024 included profitability, revenue growth, and asset efficiency, and, accordingly, the corporate</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performance measures for fiscal 2024 and their weightings were intended to support these key elements.</w:t>
      </w:r>
    </w:p>
    <w:p>
      <w:pPr>
        <w:spacing w:after="0" w:line="84"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corporate performance measures and weightings for fiscal 2024 were the same as last fiscal year and were as follows:</w:t>
      </w:r>
    </w:p>
    <w:p>
      <w:pPr>
        <w:spacing w:after="0" w:line="143" w:lineRule="exact"/>
        <w:rPr>
          <w:sz w:val="20"/>
          <w:szCs w:val="20"/>
          <w:color w:val="auto"/>
        </w:rPr>
      </w:pPr>
    </w:p>
    <w:tbl>
      <w:tblPr>
        <w:tblLayout w:type="fixed"/>
        <w:tblInd w:w="980" w:type="dxa"/>
        <w:tblCellMar>
          <w:top w:w="0" w:type="dxa"/>
          <w:left w:w="0" w:type="dxa"/>
          <w:bottom w:w="0" w:type="dxa"/>
          <w:right w:w="0" w:type="dxa"/>
        </w:tblCellMar>
      </w:tblPr>
      <w:tr>
        <w:trPr>
          <w:trHeight w:val="213"/>
        </w:trPr>
        <w:tc>
          <w:tcPr>
            <w:tcW w:w="3420" w:type="dxa"/>
            <w:vAlign w:val="bottom"/>
            <w:shd w:val="clear" w:color="auto" w:fill="BF2115"/>
          </w:tcPr>
          <w:p>
            <w:pPr>
              <w:spacing w:after="0"/>
              <w:rPr>
                <w:sz w:val="18"/>
                <w:szCs w:val="18"/>
                <w:color w:val="auto"/>
              </w:rPr>
            </w:pPr>
          </w:p>
        </w:tc>
        <w:tc>
          <w:tcPr>
            <w:tcW w:w="5880" w:type="dxa"/>
            <w:vAlign w:val="bottom"/>
            <w:shd w:val="clear" w:color="auto" w:fill="BF2115"/>
          </w:tcPr>
          <w:p>
            <w:pPr>
              <w:jc w:val="right"/>
              <w:ind w:right="3442"/>
              <w:spacing w:after="0"/>
              <w:rPr>
                <w:sz w:val="20"/>
                <w:szCs w:val="20"/>
                <w:color w:val="auto"/>
              </w:rPr>
            </w:pPr>
            <w:r>
              <w:rPr>
                <w:rFonts w:ascii="Arial" w:cs="Arial" w:eastAsia="Arial" w:hAnsi="Arial"/>
                <w:sz w:val="14"/>
                <w:szCs w:val="14"/>
                <w:b w:val="1"/>
                <w:bCs w:val="1"/>
                <w:color w:val="FFFFFF"/>
              </w:rPr>
              <w:t>Corporate Performance Measures</w:t>
            </w:r>
          </w:p>
        </w:tc>
      </w:tr>
      <w:tr>
        <w:trPr>
          <w:trHeight w:val="211"/>
        </w:trPr>
        <w:tc>
          <w:tcPr>
            <w:tcW w:w="3420" w:type="dxa"/>
            <w:vAlign w:val="bottom"/>
          </w:tcPr>
          <w:p>
            <w:pPr>
              <w:ind w:left="20"/>
              <w:spacing w:after="0"/>
              <w:rPr>
                <w:sz w:val="20"/>
                <w:szCs w:val="20"/>
                <w:color w:val="auto"/>
              </w:rPr>
            </w:pPr>
            <w:r>
              <w:rPr>
                <w:rFonts w:ascii="Arial" w:cs="Arial" w:eastAsia="Arial" w:hAnsi="Arial"/>
                <w:sz w:val="16"/>
                <w:szCs w:val="16"/>
                <w:color w:val="auto"/>
              </w:rPr>
              <w:t>Adjusted diluted EPS*</w:t>
            </w:r>
          </w:p>
        </w:tc>
        <w:tc>
          <w:tcPr>
            <w:tcW w:w="5880" w:type="dxa"/>
            <w:vAlign w:val="bottom"/>
          </w:tcPr>
          <w:p>
            <w:pPr>
              <w:jc w:val="right"/>
              <w:ind w:right="882"/>
              <w:spacing w:after="0"/>
              <w:rPr>
                <w:sz w:val="20"/>
                <w:szCs w:val="20"/>
                <w:color w:val="auto"/>
              </w:rPr>
            </w:pPr>
            <w:r>
              <w:rPr>
                <w:rFonts w:ascii="Arial" w:cs="Arial" w:eastAsia="Arial" w:hAnsi="Arial"/>
                <w:sz w:val="16"/>
                <w:szCs w:val="16"/>
                <w:color w:val="auto"/>
              </w:rPr>
              <w:t>50%</w:t>
            </w:r>
          </w:p>
        </w:tc>
      </w:tr>
      <w:tr>
        <w:trPr>
          <w:trHeight w:val="29"/>
        </w:trPr>
        <w:tc>
          <w:tcPr>
            <w:tcW w:w="3420" w:type="dxa"/>
            <w:vAlign w:val="bottom"/>
          </w:tcPr>
          <w:p>
            <w:pPr>
              <w:spacing w:after="0"/>
              <w:rPr>
                <w:sz w:val="2"/>
                <w:szCs w:val="2"/>
                <w:color w:val="auto"/>
              </w:rPr>
            </w:pPr>
          </w:p>
        </w:tc>
        <w:tc>
          <w:tcPr>
            <w:tcW w:w="5880" w:type="dxa"/>
            <w:vAlign w:val="bottom"/>
          </w:tcPr>
          <w:p>
            <w:pPr>
              <w:spacing w:after="0"/>
              <w:rPr>
                <w:sz w:val="2"/>
                <w:szCs w:val="2"/>
                <w:color w:val="auto"/>
              </w:rPr>
            </w:pPr>
          </w:p>
        </w:tc>
      </w:tr>
      <w:tr>
        <w:trPr>
          <w:trHeight w:val="220"/>
        </w:trPr>
        <w:tc>
          <w:tcPr>
            <w:tcW w:w="342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6"/>
                <w:szCs w:val="16"/>
                <w:color w:val="auto"/>
              </w:rPr>
              <w:t>Corporate revenue growth</w:t>
            </w:r>
          </w:p>
        </w:tc>
        <w:tc>
          <w:tcPr>
            <w:tcW w:w="5880" w:type="dxa"/>
            <w:vAlign w:val="bottom"/>
            <w:tcBorders>
              <w:bottom w:val="single" w:sz="8" w:color="DBDBDB"/>
            </w:tcBorders>
            <w:shd w:val="clear" w:color="auto" w:fill="DBDBDB"/>
          </w:tcPr>
          <w:p>
            <w:pPr>
              <w:jc w:val="right"/>
              <w:ind w:right="882"/>
              <w:spacing w:after="0"/>
              <w:rPr>
                <w:sz w:val="20"/>
                <w:szCs w:val="20"/>
                <w:color w:val="auto"/>
              </w:rPr>
            </w:pPr>
            <w:r>
              <w:rPr>
                <w:rFonts w:ascii="Arial" w:cs="Arial" w:eastAsia="Arial" w:hAnsi="Arial"/>
                <w:sz w:val="16"/>
                <w:szCs w:val="16"/>
                <w:color w:val="auto"/>
              </w:rPr>
              <w:t>25%</w:t>
            </w:r>
          </w:p>
        </w:tc>
      </w:tr>
      <w:tr>
        <w:trPr>
          <w:trHeight w:val="211"/>
        </w:trPr>
        <w:tc>
          <w:tcPr>
            <w:tcW w:w="3420" w:type="dxa"/>
            <w:vAlign w:val="bottom"/>
          </w:tcPr>
          <w:p>
            <w:pPr>
              <w:ind w:left="20"/>
              <w:spacing w:after="0"/>
              <w:rPr>
                <w:sz w:val="20"/>
                <w:szCs w:val="20"/>
                <w:color w:val="auto"/>
              </w:rPr>
            </w:pPr>
            <w:r>
              <w:rPr>
                <w:rFonts w:ascii="Arial" w:cs="Arial" w:eastAsia="Arial" w:hAnsi="Arial"/>
                <w:sz w:val="16"/>
                <w:szCs w:val="16"/>
                <w:color w:val="auto"/>
              </w:rPr>
              <w:t>Corporate working capital as a percent of sales</w:t>
            </w:r>
          </w:p>
        </w:tc>
        <w:tc>
          <w:tcPr>
            <w:tcW w:w="5880" w:type="dxa"/>
            <w:vAlign w:val="bottom"/>
          </w:tcPr>
          <w:p>
            <w:pPr>
              <w:jc w:val="right"/>
              <w:ind w:right="882"/>
              <w:spacing w:after="0"/>
              <w:rPr>
                <w:sz w:val="20"/>
                <w:szCs w:val="20"/>
                <w:color w:val="auto"/>
              </w:rPr>
            </w:pPr>
            <w:r>
              <w:rPr>
                <w:rFonts w:ascii="Arial" w:cs="Arial" w:eastAsia="Arial" w:hAnsi="Arial"/>
                <w:sz w:val="16"/>
                <w:szCs w:val="16"/>
                <w:color w:val="auto"/>
              </w:rPr>
              <w:t>25%</w:t>
            </w:r>
          </w:p>
        </w:tc>
      </w:tr>
    </w:tbl>
    <w:p>
      <w:pPr>
        <w:spacing w:after="0" w:line="28" w:lineRule="exact"/>
        <w:rPr>
          <w:sz w:val="20"/>
          <w:szCs w:val="20"/>
          <w:color w:val="auto"/>
        </w:rPr>
      </w:pPr>
    </w:p>
    <w:p>
      <w:pPr>
        <w:ind w:left="1000"/>
        <w:spacing w:after="0"/>
        <w:rPr>
          <w:sz w:val="20"/>
          <w:szCs w:val="20"/>
          <w:color w:val="auto"/>
        </w:rPr>
      </w:pPr>
      <w:r>
        <w:rPr>
          <w:rFonts w:ascii="Arial" w:cs="Arial" w:eastAsia="Arial" w:hAnsi="Arial"/>
          <w:sz w:val="16"/>
          <w:szCs w:val="16"/>
          <w:color w:val="auto"/>
        </w:rPr>
        <w:t>* Non-GAAP financial measure. See fiscal 2024 investor presentation for definition and reconciliation to GAAP financial measure.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622935</wp:posOffset>
            </wp:positionH>
            <wp:positionV relativeFrom="paragraph">
              <wp:posOffset>-115570</wp:posOffset>
            </wp:positionV>
            <wp:extent cx="5905500" cy="15240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5905500" cy="152400"/>
                    </a:xfrm>
                    <a:prstGeom prst="rect">
                      <a:avLst/>
                    </a:prstGeom>
                    <a:noFill/>
                  </pic:spPr>
                </pic:pic>
              </a:graphicData>
            </a:graphic>
          </wp:anchor>
        </w:drawing>
      </w:r>
    </w:p>
    <w:p>
      <w:pPr>
        <w:spacing w:after="0" w:line="207" w:lineRule="exact"/>
        <w:rPr>
          <w:sz w:val="20"/>
          <w:szCs w:val="20"/>
          <w:color w:val="auto"/>
        </w:rPr>
      </w:pPr>
    </w:p>
    <w:p>
      <w:pPr>
        <w:ind w:left="320"/>
        <w:spacing w:after="0"/>
        <w:rPr>
          <w:sz w:val="20"/>
          <w:szCs w:val="20"/>
          <w:color w:val="auto"/>
        </w:rPr>
      </w:pPr>
      <w:r>
        <w:rPr>
          <w:rFonts w:ascii="Arial" w:cs="Arial" w:eastAsia="Arial" w:hAnsi="Arial"/>
          <w:sz w:val="18"/>
          <w:szCs w:val="18"/>
          <w:color w:val="auto"/>
        </w:rPr>
        <w:t>At its meeting in December 2023, the Committee's first meeting of fiscal 2024, threshold, target and maximum goals were established by</w:t>
      </w:r>
    </w:p>
    <w:p>
      <w:pPr>
        <w:spacing w:after="0" w:line="9" w:lineRule="exact"/>
        <w:rPr>
          <w:sz w:val="20"/>
          <w:szCs w:val="20"/>
          <w:color w:val="auto"/>
        </w:rPr>
      </w:pPr>
    </w:p>
    <w:p>
      <w:pPr>
        <w:spacing w:after="0" w:line="224" w:lineRule="auto"/>
        <w:rPr>
          <w:sz w:val="20"/>
          <w:szCs w:val="20"/>
          <w:color w:val="auto"/>
        </w:rPr>
      </w:pPr>
      <w:r>
        <w:rPr>
          <w:rFonts w:ascii="Arial" w:cs="Arial" w:eastAsia="Arial" w:hAnsi="Arial"/>
          <w:sz w:val="18"/>
          <w:szCs w:val="18"/>
          <w:color w:val="auto"/>
        </w:rPr>
        <w:t>the Committee for each corporate performance measure. Target levels of performance were established based on our annual financial goals, which takes into account our prior fiscal year actual financial results, our competitive situation and the general outlook for our business for</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fiscal 2024. Similarly, threshold and maximum performance goals are established that consider internal and external factors. As in past years,</w:t>
      </w:r>
    </w:p>
    <w:p>
      <w:pPr>
        <w:spacing w:after="0" w:line="5" w:lineRule="exact"/>
        <w:rPr>
          <w:sz w:val="20"/>
          <w:szCs w:val="20"/>
          <w:color w:val="auto"/>
        </w:rPr>
      </w:pPr>
    </w:p>
    <w:p>
      <w:pPr>
        <w:spacing w:after="0" w:line="234" w:lineRule="auto"/>
        <w:rPr>
          <w:sz w:val="20"/>
          <w:szCs w:val="20"/>
          <w:color w:val="auto"/>
        </w:rPr>
      </w:pPr>
      <w:r>
        <w:rPr>
          <w:rFonts w:ascii="Arial" w:cs="Arial" w:eastAsia="Arial" w:hAnsi="Arial"/>
          <w:sz w:val="18"/>
          <w:szCs w:val="18"/>
          <w:color w:val="auto"/>
        </w:rPr>
        <w:t>the adjusted diluted EPS threshold goal, which was set at 80% of plan, must have been met in order for there to be any payout for corporate participants.</w:t>
      </w:r>
    </w:p>
    <w:p>
      <w:pPr>
        <w:spacing w:after="0" w:line="74" w:lineRule="exact"/>
        <w:rPr>
          <w:sz w:val="20"/>
          <w:szCs w:val="20"/>
          <w:color w:val="auto"/>
        </w:rPr>
      </w:pPr>
    </w:p>
    <w:p>
      <w:pPr>
        <w:ind w:firstLine="320"/>
        <w:spacing w:after="0" w:line="233" w:lineRule="auto"/>
        <w:rPr>
          <w:sz w:val="20"/>
          <w:szCs w:val="20"/>
          <w:color w:val="auto"/>
        </w:rPr>
      </w:pPr>
      <w:r>
        <w:rPr>
          <w:rFonts w:ascii="Arial" w:cs="Arial" w:eastAsia="Arial" w:hAnsi="Arial"/>
          <w:sz w:val="18"/>
          <w:szCs w:val="18"/>
          <w:color w:val="auto"/>
        </w:rPr>
        <w:t>Although the Committee established the following specific adjustment events for determining corporate performance payouts, none of these adjustment events occurred so no adjustments were made for fiscal 2024 payouts.</w:t>
      </w:r>
    </w:p>
    <w:p>
      <w:pPr>
        <w:spacing w:after="0" w:line="1" w:lineRule="exact"/>
        <w:rPr>
          <w:sz w:val="20"/>
          <w:szCs w:val="20"/>
          <w:color w:val="auto"/>
        </w:rPr>
      </w:pPr>
    </w:p>
    <w:p>
      <w:pPr>
        <w:jc w:val="both"/>
        <w:ind w:left="640" w:hanging="313"/>
        <w:spacing w:after="0" w:line="226" w:lineRule="auto"/>
        <w:tabs>
          <w:tab w:leader="none" w:pos="635" w:val="left"/>
        </w:tabs>
        <w:numPr>
          <w:ilvl w:val="0"/>
          <w:numId w:val="60"/>
        </w:numPr>
        <w:rPr>
          <w:rFonts w:ascii="Arial" w:cs="Arial" w:eastAsia="Arial" w:hAnsi="Arial"/>
          <w:sz w:val="18"/>
          <w:szCs w:val="18"/>
          <w:color w:val="auto"/>
        </w:rPr>
      </w:pPr>
      <w:r>
        <w:rPr>
          <w:rFonts w:ascii="Arial" w:cs="Arial" w:eastAsia="Arial" w:hAnsi="Arial"/>
          <w:sz w:val="18"/>
          <w:szCs w:val="18"/>
          <w:color w:val="auto"/>
        </w:rPr>
        <w:t>If the first-year projected revenue was anticipated to be greater than $10 million, then the impact of the acquisition would be excluded, unless such impact was included in the fiscal 2024 goals. If the first-year projected revenue was anticipated to be less than $10 million, then the impact would be included in the payout calculation.</w:t>
      </w:r>
    </w:p>
    <w:p>
      <w:pPr>
        <w:spacing w:after="0" w:line="2" w:lineRule="exact"/>
        <w:rPr>
          <w:rFonts w:ascii="Arial" w:cs="Arial" w:eastAsia="Arial" w:hAnsi="Arial"/>
          <w:sz w:val="18"/>
          <w:szCs w:val="18"/>
          <w:color w:val="auto"/>
        </w:rPr>
      </w:pPr>
    </w:p>
    <w:p>
      <w:pPr>
        <w:ind w:left="640" w:right="20" w:hanging="313"/>
        <w:spacing w:after="0" w:line="243" w:lineRule="auto"/>
        <w:tabs>
          <w:tab w:leader="none" w:pos="635" w:val="left"/>
        </w:tabs>
        <w:numPr>
          <w:ilvl w:val="0"/>
          <w:numId w:val="60"/>
        </w:numPr>
        <w:rPr>
          <w:rFonts w:ascii="Arial" w:cs="Arial" w:eastAsia="Arial" w:hAnsi="Arial"/>
          <w:sz w:val="18"/>
          <w:szCs w:val="18"/>
          <w:color w:val="auto"/>
        </w:rPr>
      </w:pPr>
      <w:r>
        <w:rPr>
          <w:rFonts w:ascii="Arial" w:cs="Arial" w:eastAsia="Arial" w:hAnsi="Arial"/>
          <w:sz w:val="18"/>
          <w:szCs w:val="18"/>
          <w:color w:val="auto"/>
        </w:rPr>
        <w:t>In addition, any externally driven changes in accounting principles and standards were to be excluded if the cumulative net impact on the payout of all such accounting adjustments affected the award payout by more than 2%.</w:t>
      </w:r>
    </w:p>
    <w:p>
      <w:pPr>
        <w:spacing w:after="0" w:line="59" w:lineRule="exact"/>
        <w:rPr>
          <w:sz w:val="20"/>
          <w:szCs w:val="20"/>
          <w:color w:val="auto"/>
        </w:rPr>
      </w:pPr>
    </w:p>
    <w:p>
      <w:pPr>
        <w:ind w:firstLine="320"/>
        <w:spacing w:after="0" w:line="255" w:lineRule="auto"/>
        <w:rPr>
          <w:sz w:val="20"/>
          <w:szCs w:val="20"/>
          <w:color w:val="auto"/>
        </w:rPr>
      </w:pPr>
      <w:r>
        <w:rPr>
          <w:rFonts w:ascii="Arial" w:cs="Arial" w:eastAsia="Arial" w:hAnsi="Arial"/>
          <w:sz w:val="17"/>
          <w:szCs w:val="17"/>
          <w:i w:val="1"/>
          <w:iCs w:val="1"/>
          <w:color w:val="auto"/>
        </w:rPr>
        <w:t xml:space="preserve">Performance Measures and Goals. </w:t>
      </w:r>
      <w:r>
        <w:rPr>
          <w:rFonts w:ascii="Arial" w:cs="Arial" w:eastAsia="Arial" w:hAnsi="Arial"/>
          <w:sz w:val="17"/>
          <w:szCs w:val="17"/>
          <w:color w:val="auto"/>
        </w:rPr>
        <w:t>Our executive officers with all corporate responsibilities, which includes all of our NEOs other than Ms.</w:t>
      </w:r>
      <w:r>
        <w:rPr>
          <w:rFonts w:ascii="Arial" w:cs="Arial" w:eastAsia="Arial" w:hAnsi="Arial"/>
          <w:sz w:val="17"/>
          <w:szCs w:val="17"/>
          <w:i w:val="1"/>
          <w:iCs w:val="1"/>
          <w:color w:val="auto"/>
        </w:rPr>
        <w:t xml:space="preserve"> </w:t>
      </w:r>
      <w:r>
        <w:rPr>
          <w:rFonts w:ascii="Arial" w:cs="Arial" w:eastAsia="Arial" w:hAnsi="Arial"/>
          <w:sz w:val="17"/>
          <w:szCs w:val="17"/>
          <w:color w:val="auto"/>
        </w:rPr>
        <w:t>Dahl, had 100% of their annual cash incentive tied to corporate performance to encourage an enterprise-wide performance perspective. Due to</w:t>
      </w:r>
    </w:p>
    <w:p>
      <w:pPr>
        <w:spacing w:after="0" w:line="1" w:lineRule="exact"/>
        <w:rPr>
          <w:sz w:val="20"/>
          <w:szCs w:val="20"/>
          <w:color w:val="auto"/>
        </w:rPr>
      </w:pPr>
    </w:p>
    <w:p>
      <w:pPr>
        <w:ind w:right="20"/>
        <w:spacing w:after="0" w:line="234" w:lineRule="auto"/>
        <w:rPr>
          <w:sz w:val="20"/>
          <w:szCs w:val="20"/>
          <w:color w:val="auto"/>
        </w:rPr>
      </w:pPr>
      <w:r>
        <w:rPr>
          <w:rFonts w:ascii="Arial" w:cs="Arial" w:eastAsia="Arial" w:hAnsi="Arial"/>
          <w:sz w:val="18"/>
          <w:szCs w:val="18"/>
          <w:color w:val="auto"/>
        </w:rPr>
        <w:t>her role as Vice President, International, Ms. Dahl's annual cash incentive was tied 50% to corporate performance and 50% to performance of the international division.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154" w:right="339" w:bottom="1440" w:gutter="0" w:footer="0" w:header="0"/>
        </w:sectPr>
      </w:pPr>
    </w:p>
    <w:bookmarkStart w:id="50" w:name="page51"/>
    <w:bookmarkEnd w:id="50"/>
    <w:p>
      <w:pPr>
        <w:ind w:left="320"/>
        <w:spacing w:after="0"/>
        <w:rPr>
          <w:sz w:val="20"/>
          <w:szCs w:val="20"/>
          <w:color w:val="auto"/>
        </w:rPr>
      </w:pPr>
      <w:r>
        <w:rPr>
          <w:rFonts w:ascii="Arial" w:cs="Arial" w:eastAsia="Arial" w:hAnsi="Arial"/>
          <w:sz w:val="17"/>
          <w:szCs w:val="17"/>
          <w:color w:val="auto"/>
        </w:rPr>
        <w:t>The fiscal 2024 corporate performance measures, weightings, goals and actual performance levels are reflected in the table below.</w:t>
      </w:r>
    </w:p>
    <w:p>
      <w:pPr>
        <w:spacing w:after="0" w:line="168" w:lineRule="exact"/>
        <w:rPr>
          <w:sz w:val="20"/>
          <w:szCs w:val="20"/>
          <w:color w:val="auto"/>
        </w:rPr>
      </w:pPr>
    </w:p>
    <w:tbl>
      <w:tblPr>
        <w:tblLayout w:type="fixed"/>
        <w:tblInd w:w="720" w:type="dxa"/>
        <w:tblCellMar>
          <w:top w:w="0" w:type="dxa"/>
          <w:left w:w="0" w:type="dxa"/>
          <w:bottom w:w="0" w:type="dxa"/>
          <w:right w:w="0" w:type="dxa"/>
        </w:tblCellMar>
      </w:tblPr>
      <w:tr>
        <w:trPr>
          <w:trHeight w:val="204"/>
        </w:trPr>
        <w:tc>
          <w:tcPr>
            <w:tcW w:w="2860" w:type="dxa"/>
            <w:vAlign w:val="bottom"/>
            <w:shd w:val="clear" w:color="auto" w:fill="BF2115"/>
          </w:tcPr>
          <w:p>
            <w:pPr>
              <w:spacing w:after="0"/>
              <w:rPr>
                <w:sz w:val="20"/>
                <w:szCs w:val="20"/>
                <w:color w:val="auto"/>
              </w:rPr>
            </w:pPr>
            <w:r>
              <w:rPr>
                <w:rFonts w:ascii="Arial" w:cs="Arial" w:eastAsia="Arial" w:hAnsi="Arial"/>
                <w:sz w:val="14"/>
                <w:szCs w:val="14"/>
                <w:b w:val="1"/>
                <w:bCs w:val="1"/>
                <w:color w:val="FFFFFF"/>
              </w:rPr>
              <w:t>Corporate:</w:t>
            </w:r>
          </w:p>
        </w:tc>
        <w:tc>
          <w:tcPr>
            <w:tcW w:w="1600" w:type="dxa"/>
            <w:vAlign w:val="bottom"/>
            <w:shd w:val="clear" w:color="auto" w:fill="BF2115"/>
          </w:tcPr>
          <w:p>
            <w:pPr>
              <w:jc w:val="center"/>
              <w:ind w:left="209"/>
              <w:spacing w:after="0"/>
              <w:rPr>
                <w:sz w:val="20"/>
                <w:szCs w:val="20"/>
                <w:color w:val="auto"/>
              </w:rPr>
            </w:pPr>
            <w:r>
              <w:rPr>
                <w:rFonts w:ascii="Arial" w:cs="Arial" w:eastAsia="Arial" w:hAnsi="Arial"/>
                <w:sz w:val="14"/>
                <w:szCs w:val="14"/>
                <w:b w:val="1"/>
                <w:bCs w:val="1"/>
                <w:color w:val="FFFFFF"/>
              </w:rPr>
              <w:t>Threshold</w:t>
            </w:r>
          </w:p>
        </w:tc>
        <w:tc>
          <w:tcPr>
            <w:tcW w:w="1340" w:type="dxa"/>
            <w:vAlign w:val="bottom"/>
            <w:shd w:val="clear" w:color="auto" w:fill="BF2115"/>
          </w:tcPr>
          <w:p>
            <w:pPr>
              <w:jc w:val="center"/>
              <w:spacing w:after="0"/>
              <w:rPr>
                <w:sz w:val="20"/>
                <w:szCs w:val="20"/>
                <w:color w:val="auto"/>
              </w:rPr>
            </w:pPr>
            <w:r>
              <w:rPr>
                <w:rFonts w:ascii="Arial" w:cs="Arial" w:eastAsia="Arial" w:hAnsi="Arial"/>
                <w:sz w:val="14"/>
                <w:szCs w:val="14"/>
                <w:b w:val="1"/>
                <w:bCs w:val="1"/>
                <w:color w:val="FFFFFF"/>
                <w:w w:val="98"/>
              </w:rPr>
              <w:t>Target</w:t>
            </w:r>
          </w:p>
        </w:tc>
        <w:tc>
          <w:tcPr>
            <w:tcW w:w="1800" w:type="dxa"/>
            <w:vAlign w:val="bottom"/>
            <w:shd w:val="clear" w:color="auto" w:fill="BF2115"/>
          </w:tcPr>
          <w:p>
            <w:pPr>
              <w:jc w:val="center"/>
              <w:ind w:right="389"/>
              <w:spacing w:after="0"/>
              <w:rPr>
                <w:sz w:val="20"/>
                <w:szCs w:val="20"/>
                <w:color w:val="auto"/>
              </w:rPr>
            </w:pPr>
            <w:r>
              <w:rPr>
                <w:rFonts w:ascii="Arial" w:cs="Arial" w:eastAsia="Arial" w:hAnsi="Arial"/>
                <w:sz w:val="14"/>
                <w:szCs w:val="14"/>
                <w:b w:val="1"/>
                <w:bCs w:val="1"/>
                <w:color w:val="FFFFFF"/>
              </w:rPr>
              <w:t>Maximum</w:t>
            </w:r>
          </w:p>
        </w:tc>
        <w:tc>
          <w:tcPr>
            <w:tcW w:w="2220" w:type="dxa"/>
            <w:vAlign w:val="bottom"/>
            <w:shd w:val="clear" w:color="auto" w:fill="BF2115"/>
          </w:tcPr>
          <w:p>
            <w:pPr>
              <w:spacing w:after="0"/>
              <w:rPr>
                <w:sz w:val="17"/>
                <w:szCs w:val="17"/>
                <w:color w:val="auto"/>
              </w:rPr>
            </w:pPr>
          </w:p>
        </w:tc>
      </w:tr>
      <w:tr>
        <w:trPr>
          <w:trHeight w:val="209"/>
        </w:trPr>
        <w:tc>
          <w:tcPr>
            <w:tcW w:w="2860" w:type="dxa"/>
            <w:vAlign w:val="bottom"/>
            <w:shd w:val="clear" w:color="auto" w:fill="BF2115"/>
          </w:tcPr>
          <w:p>
            <w:pPr>
              <w:spacing w:after="0"/>
              <w:rPr>
                <w:sz w:val="20"/>
                <w:szCs w:val="20"/>
                <w:color w:val="auto"/>
              </w:rPr>
            </w:pPr>
            <w:r>
              <w:rPr>
                <w:rFonts w:ascii="Arial" w:cs="Arial" w:eastAsia="Arial" w:hAnsi="Arial"/>
                <w:sz w:val="14"/>
                <w:szCs w:val="14"/>
                <w:b w:val="1"/>
                <w:bCs w:val="1"/>
                <w:color w:val="FFFFFF"/>
              </w:rPr>
              <w:t>Fiscal 2024 Performance Measures</w:t>
            </w:r>
          </w:p>
        </w:tc>
        <w:tc>
          <w:tcPr>
            <w:tcW w:w="1600" w:type="dxa"/>
            <w:vAlign w:val="bottom"/>
            <w:shd w:val="clear" w:color="auto" w:fill="BF2115"/>
          </w:tcPr>
          <w:p>
            <w:pPr>
              <w:jc w:val="center"/>
              <w:ind w:left="209"/>
              <w:spacing w:after="0"/>
              <w:rPr>
                <w:sz w:val="20"/>
                <w:szCs w:val="20"/>
                <w:color w:val="auto"/>
              </w:rPr>
            </w:pPr>
            <w:r>
              <w:rPr>
                <w:rFonts w:ascii="Arial" w:cs="Arial" w:eastAsia="Arial" w:hAnsi="Arial"/>
                <w:sz w:val="14"/>
                <w:szCs w:val="14"/>
                <w:b w:val="1"/>
                <w:bCs w:val="1"/>
                <w:color w:val="FFFFFF"/>
              </w:rPr>
              <w:t>(40% payout)</w:t>
            </w:r>
          </w:p>
        </w:tc>
        <w:tc>
          <w:tcPr>
            <w:tcW w:w="1340" w:type="dxa"/>
            <w:vAlign w:val="bottom"/>
            <w:shd w:val="clear" w:color="auto" w:fill="BF2115"/>
          </w:tcPr>
          <w:p>
            <w:pPr>
              <w:jc w:val="center"/>
              <w:spacing w:after="0"/>
              <w:rPr>
                <w:sz w:val="20"/>
                <w:szCs w:val="20"/>
                <w:color w:val="auto"/>
              </w:rPr>
            </w:pPr>
            <w:r>
              <w:rPr>
                <w:rFonts w:ascii="Arial" w:cs="Arial" w:eastAsia="Arial" w:hAnsi="Arial"/>
                <w:sz w:val="14"/>
                <w:szCs w:val="14"/>
                <w:b w:val="1"/>
                <w:bCs w:val="1"/>
                <w:color w:val="FFFFFF"/>
              </w:rPr>
              <w:t>(100% payout)</w:t>
            </w:r>
          </w:p>
        </w:tc>
        <w:tc>
          <w:tcPr>
            <w:tcW w:w="1800" w:type="dxa"/>
            <w:vAlign w:val="bottom"/>
            <w:shd w:val="clear" w:color="auto" w:fill="BF2115"/>
          </w:tcPr>
          <w:p>
            <w:pPr>
              <w:jc w:val="center"/>
              <w:ind w:right="389"/>
              <w:spacing w:after="0"/>
              <w:rPr>
                <w:sz w:val="20"/>
                <w:szCs w:val="20"/>
                <w:color w:val="auto"/>
              </w:rPr>
            </w:pPr>
            <w:r>
              <w:rPr>
                <w:rFonts w:ascii="Arial" w:cs="Arial" w:eastAsia="Arial" w:hAnsi="Arial"/>
                <w:sz w:val="14"/>
                <w:szCs w:val="14"/>
                <w:b w:val="1"/>
                <w:bCs w:val="1"/>
                <w:color w:val="FFFFFF"/>
              </w:rPr>
              <w:t>(200% payout)</w:t>
            </w:r>
          </w:p>
        </w:tc>
        <w:tc>
          <w:tcPr>
            <w:tcW w:w="2220" w:type="dxa"/>
            <w:vAlign w:val="bottom"/>
            <w:shd w:val="clear" w:color="auto" w:fill="BF2115"/>
          </w:tcPr>
          <w:p>
            <w:pPr>
              <w:ind w:left="660"/>
              <w:spacing w:after="0"/>
              <w:rPr>
                <w:sz w:val="20"/>
                <w:szCs w:val="20"/>
                <w:color w:val="auto"/>
              </w:rPr>
            </w:pPr>
            <w:r>
              <w:rPr>
                <w:rFonts w:ascii="Arial" w:cs="Arial" w:eastAsia="Arial" w:hAnsi="Arial"/>
                <w:sz w:val="14"/>
                <w:szCs w:val="14"/>
                <w:b w:val="1"/>
                <w:bCs w:val="1"/>
                <w:color w:val="FFFFFF"/>
              </w:rPr>
              <w:t>Actual</w:t>
            </w:r>
          </w:p>
        </w:tc>
      </w:tr>
    </w:tbl>
    <w:p>
      <w:pPr>
        <w:spacing w:after="0" w:line="31" w:lineRule="exact"/>
        <w:rPr>
          <w:sz w:val="20"/>
          <w:szCs w:val="20"/>
          <w:color w:val="auto"/>
        </w:rPr>
      </w:pPr>
    </w:p>
    <w:p>
      <w:pPr>
        <w:sectPr>
          <w:pgSz w:w="11900" w:h="16838" w:orient="portrait"/>
          <w:cols w:equalWidth="0" w:num="1">
            <w:col w:w="11240"/>
          </w:cols>
          <w:pgMar w:left="320" w:top="1097" w:right="339" w:bottom="1440" w:gutter="0" w:footer="0" w:header="0"/>
        </w:sectPr>
      </w:pPr>
    </w:p>
    <w:p>
      <w:pPr>
        <w:spacing w:after="0" w:line="80" w:lineRule="exact"/>
        <w:rPr>
          <w:sz w:val="20"/>
          <w:szCs w:val="20"/>
          <w:color w:val="auto"/>
        </w:rPr>
      </w:pPr>
    </w:p>
    <w:p>
      <w:pPr>
        <w:ind w:left="720"/>
        <w:spacing w:after="0"/>
        <w:rPr>
          <w:sz w:val="20"/>
          <w:szCs w:val="20"/>
          <w:color w:val="auto"/>
        </w:rPr>
      </w:pPr>
      <w:r>
        <w:rPr>
          <w:rFonts w:ascii="Arial" w:cs="Arial" w:eastAsia="Arial" w:hAnsi="Arial"/>
          <w:sz w:val="14"/>
          <w:szCs w:val="14"/>
          <w:color w:val="auto"/>
        </w:rPr>
        <w:t>50% adjusted diluted EPS</w:t>
      </w:r>
    </w:p>
    <w:p>
      <w:pPr>
        <w:spacing w:after="0" w:line="253" w:lineRule="exact"/>
        <w:rPr>
          <w:sz w:val="20"/>
          <w:szCs w:val="20"/>
          <w:color w:val="auto"/>
        </w:rPr>
      </w:pPr>
    </w:p>
    <w:p>
      <w:pPr>
        <w:ind w:left="720"/>
        <w:spacing w:after="0"/>
        <w:rPr>
          <w:sz w:val="20"/>
          <w:szCs w:val="20"/>
          <w:color w:val="auto"/>
        </w:rPr>
      </w:pPr>
      <w:r>
        <w:rPr>
          <w:rFonts w:ascii="Arial" w:cs="Arial" w:eastAsia="Arial" w:hAnsi="Arial"/>
          <w:sz w:val="14"/>
          <w:szCs w:val="14"/>
          <w:color w:val="auto"/>
        </w:rPr>
        <w:t>25% corporate revenue growth</w:t>
      </w:r>
    </w:p>
    <w:p>
      <w:pPr>
        <w:spacing w:after="0" w:line="173" w:lineRule="exact"/>
        <w:rPr>
          <w:sz w:val="20"/>
          <w:szCs w:val="20"/>
          <w:color w:val="auto"/>
        </w:rPr>
      </w:pPr>
    </w:p>
    <w:p>
      <w:pPr>
        <w:ind w:left="720"/>
        <w:spacing w:after="0" w:line="280" w:lineRule="auto"/>
        <w:rPr>
          <w:sz w:val="20"/>
          <w:szCs w:val="20"/>
          <w:color w:val="auto"/>
        </w:rPr>
      </w:pPr>
      <w:r>
        <w:rPr>
          <w:rFonts w:ascii="Arial" w:cs="Arial" w:eastAsia="Arial" w:hAnsi="Arial"/>
          <w:sz w:val="14"/>
          <w:szCs w:val="14"/>
          <w:color w:val="auto"/>
        </w:rPr>
        <w:t>25% corporate working capital as a percent of sales</w:t>
      </w:r>
    </w:p>
    <w:p>
      <w:pPr>
        <w:spacing w:after="0" w:line="25" w:lineRule="exact"/>
        <w:rPr>
          <w:sz w:val="20"/>
          <w:szCs w:val="20"/>
          <w:color w:val="auto"/>
        </w:rPr>
      </w:pPr>
    </w:p>
    <w:p>
      <w:pPr>
        <w:ind w:left="720"/>
        <w:spacing w:after="0"/>
        <w:rPr>
          <w:sz w:val="20"/>
          <w:szCs w:val="20"/>
          <w:color w:val="auto"/>
        </w:rPr>
      </w:pPr>
      <w:r>
        <w:rPr>
          <w:rFonts w:ascii="Arial" w:cs="Arial" w:eastAsia="Arial" w:hAnsi="Arial"/>
          <w:sz w:val="14"/>
          <w:szCs w:val="14"/>
          <w:b w:val="1"/>
          <w:bCs w:val="1"/>
          <w:color w:val="auto"/>
        </w:rPr>
        <w:t>Corporate performance payout</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3"/>
        </w:trPr>
        <w:tc>
          <w:tcPr>
            <w:tcW w:w="920" w:type="dxa"/>
            <w:vAlign w:val="bottom"/>
            <w:vMerge w:val="restart"/>
          </w:tcPr>
          <w:p>
            <w:pPr>
              <w:jc w:val="center"/>
              <w:ind w:right="369"/>
              <w:spacing w:after="0"/>
              <w:rPr>
                <w:sz w:val="20"/>
                <w:szCs w:val="20"/>
                <w:color w:val="auto"/>
              </w:rPr>
            </w:pPr>
            <w:r>
              <w:rPr>
                <w:rFonts w:ascii="Arial" w:cs="Arial" w:eastAsia="Arial" w:hAnsi="Arial"/>
                <w:sz w:val="14"/>
                <w:szCs w:val="14"/>
                <w:color w:val="auto"/>
              </w:rPr>
              <w:t>$3.58</w:t>
            </w:r>
          </w:p>
        </w:tc>
        <w:tc>
          <w:tcPr>
            <w:tcW w:w="1320" w:type="dxa"/>
            <w:vAlign w:val="bottom"/>
            <w:vMerge w:val="restart"/>
          </w:tcPr>
          <w:p>
            <w:pPr>
              <w:jc w:val="center"/>
              <w:spacing w:after="0"/>
              <w:rPr>
                <w:sz w:val="20"/>
                <w:szCs w:val="20"/>
                <w:color w:val="auto"/>
              </w:rPr>
            </w:pPr>
            <w:r>
              <w:rPr>
                <w:rFonts w:ascii="Arial" w:cs="Arial" w:eastAsia="Arial" w:hAnsi="Arial"/>
                <w:sz w:val="14"/>
                <w:szCs w:val="14"/>
                <w:color w:val="auto"/>
              </w:rPr>
              <w:t>$4.48</w:t>
            </w:r>
          </w:p>
        </w:tc>
        <w:tc>
          <w:tcPr>
            <w:tcW w:w="1320" w:type="dxa"/>
            <w:vAlign w:val="bottom"/>
            <w:vMerge w:val="restart"/>
          </w:tcPr>
          <w:p>
            <w:pPr>
              <w:jc w:val="center"/>
              <w:spacing w:after="0"/>
              <w:rPr>
                <w:sz w:val="20"/>
                <w:szCs w:val="20"/>
                <w:color w:val="auto"/>
              </w:rPr>
            </w:pPr>
            <w:r>
              <w:rPr>
                <w:rFonts w:ascii="Arial" w:cs="Arial" w:eastAsia="Arial" w:hAnsi="Arial"/>
                <w:sz w:val="14"/>
                <w:szCs w:val="14"/>
                <w:color w:val="auto"/>
                <w:w w:val="96"/>
              </w:rPr>
              <w:t>$4.93</w:t>
            </w:r>
          </w:p>
        </w:tc>
        <w:tc>
          <w:tcPr>
            <w:tcW w:w="2320" w:type="dxa"/>
            <w:vAlign w:val="bottom"/>
          </w:tcPr>
          <w:p>
            <w:pPr>
              <w:jc w:val="center"/>
              <w:ind w:left="329"/>
              <w:spacing w:after="0"/>
              <w:rPr>
                <w:sz w:val="20"/>
                <w:szCs w:val="20"/>
                <w:color w:val="auto"/>
              </w:rPr>
            </w:pPr>
            <w:r>
              <w:rPr>
                <w:rFonts w:ascii="Arial" w:cs="Arial" w:eastAsia="Arial" w:hAnsi="Arial"/>
                <w:sz w:val="14"/>
                <w:szCs w:val="14"/>
                <w:color w:val="auto"/>
              </w:rPr>
              <w:t>$4.17</w:t>
            </w:r>
          </w:p>
        </w:tc>
        <w:tc>
          <w:tcPr>
            <w:tcW w:w="0" w:type="dxa"/>
            <w:vAlign w:val="bottom"/>
          </w:tcPr>
          <w:p>
            <w:pPr>
              <w:spacing w:after="0"/>
              <w:rPr>
                <w:sz w:val="1"/>
                <w:szCs w:val="1"/>
                <w:color w:val="auto"/>
              </w:rPr>
            </w:pPr>
          </w:p>
        </w:tc>
      </w:tr>
      <w:tr>
        <w:trPr>
          <w:trHeight w:val="95"/>
        </w:trPr>
        <w:tc>
          <w:tcPr>
            <w:tcW w:w="920" w:type="dxa"/>
            <w:vAlign w:val="bottom"/>
            <w:vMerge w:val="continue"/>
          </w:tcPr>
          <w:p>
            <w:pPr>
              <w:spacing w:after="0"/>
              <w:rPr>
                <w:sz w:val="8"/>
                <w:szCs w:val="8"/>
                <w:color w:val="auto"/>
              </w:rPr>
            </w:pPr>
          </w:p>
        </w:tc>
        <w:tc>
          <w:tcPr>
            <w:tcW w:w="1320" w:type="dxa"/>
            <w:vAlign w:val="bottom"/>
            <w:vMerge w:val="continue"/>
          </w:tcPr>
          <w:p>
            <w:pPr>
              <w:spacing w:after="0"/>
              <w:rPr>
                <w:sz w:val="8"/>
                <w:szCs w:val="8"/>
                <w:color w:val="auto"/>
              </w:rPr>
            </w:pPr>
          </w:p>
        </w:tc>
        <w:tc>
          <w:tcPr>
            <w:tcW w:w="1320" w:type="dxa"/>
            <w:vAlign w:val="bottom"/>
            <w:vMerge w:val="continue"/>
          </w:tcPr>
          <w:p>
            <w:pPr>
              <w:spacing w:after="0"/>
              <w:rPr>
                <w:sz w:val="8"/>
                <w:szCs w:val="8"/>
                <w:color w:val="auto"/>
              </w:rPr>
            </w:pPr>
          </w:p>
        </w:tc>
        <w:tc>
          <w:tcPr>
            <w:tcW w:w="2320" w:type="dxa"/>
            <w:vAlign w:val="bottom"/>
            <w:vMerge w:val="restart"/>
          </w:tcPr>
          <w:p>
            <w:pPr>
              <w:jc w:val="center"/>
              <w:ind w:left="329"/>
              <w:spacing w:after="0"/>
              <w:rPr>
                <w:sz w:val="20"/>
                <w:szCs w:val="20"/>
                <w:color w:val="auto"/>
              </w:rPr>
            </w:pPr>
            <w:r>
              <w:rPr>
                <w:rFonts w:ascii="Arial" w:cs="Arial" w:eastAsia="Arial" w:hAnsi="Arial"/>
                <w:sz w:val="14"/>
                <w:szCs w:val="14"/>
                <w:color w:val="auto"/>
              </w:rPr>
              <w:t>(between threshold and target)</w:t>
            </w:r>
          </w:p>
        </w:tc>
        <w:tc>
          <w:tcPr>
            <w:tcW w:w="0" w:type="dxa"/>
            <w:vAlign w:val="bottom"/>
          </w:tcPr>
          <w:p>
            <w:pPr>
              <w:spacing w:after="0"/>
              <w:rPr>
                <w:sz w:val="1"/>
                <w:szCs w:val="1"/>
                <w:color w:val="auto"/>
              </w:rPr>
            </w:pPr>
          </w:p>
        </w:tc>
      </w:tr>
      <w:tr>
        <w:trPr>
          <w:trHeight w:val="93"/>
        </w:trPr>
        <w:tc>
          <w:tcPr>
            <w:tcW w:w="920" w:type="dxa"/>
            <w:vAlign w:val="bottom"/>
          </w:tcPr>
          <w:p>
            <w:pPr>
              <w:spacing w:after="0"/>
              <w:rPr>
                <w:sz w:val="8"/>
                <w:szCs w:val="8"/>
                <w:color w:val="auto"/>
              </w:rPr>
            </w:pPr>
          </w:p>
        </w:tc>
        <w:tc>
          <w:tcPr>
            <w:tcW w:w="1320" w:type="dxa"/>
            <w:vAlign w:val="bottom"/>
          </w:tcPr>
          <w:p>
            <w:pPr>
              <w:spacing w:after="0"/>
              <w:rPr>
                <w:sz w:val="8"/>
                <w:szCs w:val="8"/>
                <w:color w:val="auto"/>
              </w:rPr>
            </w:pPr>
          </w:p>
        </w:tc>
        <w:tc>
          <w:tcPr>
            <w:tcW w:w="1320" w:type="dxa"/>
            <w:vAlign w:val="bottom"/>
          </w:tcPr>
          <w:p>
            <w:pPr>
              <w:spacing w:after="0"/>
              <w:rPr>
                <w:sz w:val="8"/>
                <w:szCs w:val="8"/>
                <w:color w:val="auto"/>
              </w:rPr>
            </w:pPr>
          </w:p>
        </w:tc>
        <w:tc>
          <w:tcPr>
            <w:tcW w:w="23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920" w:type="dxa"/>
            <w:vAlign w:val="bottom"/>
            <w:vMerge w:val="restart"/>
          </w:tcPr>
          <w:p>
            <w:pPr>
              <w:jc w:val="center"/>
              <w:ind w:right="369"/>
              <w:spacing w:after="0"/>
              <w:rPr>
                <w:sz w:val="20"/>
                <w:szCs w:val="20"/>
                <w:color w:val="auto"/>
              </w:rPr>
            </w:pPr>
            <w:r>
              <w:rPr>
                <w:rFonts w:ascii="Arial" w:cs="Arial" w:eastAsia="Arial" w:hAnsi="Arial"/>
                <w:sz w:val="14"/>
                <w:szCs w:val="14"/>
                <w:color w:val="auto"/>
              </w:rPr>
              <w:t>2.1%</w:t>
            </w:r>
          </w:p>
        </w:tc>
        <w:tc>
          <w:tcPr>
            <w:tcW w:w="1320" w:type="dxa"/>
            <w:vAlign w:val="bottom"/>
            <w:vMerge w:val="restart"/>
          </w:tcPr>
          <w:p>
            <w:pPr>
              <w:jc w:val="center"/>
              <w:spacing w:after="0"/>
              <w:rPr>
                <w:sz w:val="20"/>
                <w:szCs w:val="20"/>
                <w:color w:val="auto"/>
              </w:rPr>
            </w:pPr>
            <w:r>
              <w:rPr>
                <w:rFonts w:ascii="Arial" w:cs="Arial" w:eastAsia="Arial" w:hAnsi="Arial"/>
                <w:sz w:val="14"/>
                <w:szCs w:val="14"/>
                <w:color w:val="auto"/>
              </w:rPr>
              <w:t>5.1%</w:t>
            </w:r>
          </w:p>
        </w:tc>
        <w:tc>
          <w:tcPr>
            <w:tcW w:w="1320" w:type="dxa"/>
            <w:vAlign w:val="bottom"/>
            <w:vMerge w:val="restart"/>
          </w:tcPr>
          <w:p>
            <w:pPr>
              <w:jc w:val="center"/>
              <w:spacing w:after="0"/>
              <w:rPr>
                <w:sz w:val="20"/>
                <w:szCs w:val="20"/>
                <w:color w:val="auto"/>
              </w:rPr>
            </w:pPr>
            <w:r>
              <w:rPr>
                <w:rFonts w:ascii="Arial" w:cs="Arial" w:eastAsia="Arial" w:hAnsi="Arial"/>
                <w:sz w:val="14"/>
                <w:szCs w:val="14"/>
                <w:color w:val="auto"/>
              </w:rPr>
              <w:t>8.1%</w:t>
            </w:r>
          </w:p>
        </w:tc>
        <w:tc>
          <w:tcPr>
            <w:tcW w:w="2320" w:type="dxa"/>
            <w:vAlign w:val="bottom"/>
          </w:tcPr>
          <w:p>
            <w:pPr>
              <w:jc w:val="center"/>
              <w:ind w:left="329"/>
              <w:spacing w:after="0"/>
              <w:rPr>
                <w:sz w:val="20"/>
                <w:szCs w:val="20"/>
                <w:color w:val="auto"/>
              </w:rPr>
            </w:pPr>
            <w:r>
              <w:rPr>
                <w:rFonts w:ascii="Arial" w:cs="Arial" w:eastAsia="Arial" w:hAnsi="Arial"/>
                <w:sz w:val="14"/>
                <w:szCs w:val="14"/>
                <w:color w:val="auto"/>
              </w:rPr>
              <w:t>0.7%</w:t>
            </w:r>
          </w:p>
        </w:tc>
        <w:tc>
          <w:tcPr>
            <w:tcW w:w="0" w:type="dxa"/>
            <w:vAlign w:val="bottom"/>
          </w:tcPr>
          <w:p>
            <w:pPr>
              <w:spacing w:after="0"/>
              <w:rPr>
                <w:sz w:val="1"/>
                <w:szCs w:val="1"/>
                <w:color w:val="auto"/>
              </w:rPr>
            </w:pPr>
          </w:p>
        </w:tc>
      </w:tr>
      <w:tr>
        <w:trPr>
          <w:trHeight w:val="95"/>
        </w:trPr>
        <w:tc>
          <w:tcPr>
            <w:tcW w:w="920" w:type="dxa"/>
            <w:vAlign w:val="bottom"/>
            <w:vMerge w:val="continue"/>
          </w:tcPr>
          <w:p>
            <w:pPr>
              <w:spacing w:after="0"/>
              <w:rPr>
                <w:sz w:val="8"/>
                <w:szCs w:val="8"/>
                <w:color w:val="auto"/>
              </w:rPr>
            </w:pPr>
          </w:p>
        </w:tc>
        <w:tc>
          <w:tcPr>
            <w:tcW w:w="1320" w:type="dxa"/>
            <w:vAlign w:val="bottom"/>
            <w:vMerge w:val="continue"/>
          </w:tcPr>
          <w:p>
            <w:pPr>
              <w:spacing w:after="0"/>
              <w:rPr>
                <w:sz w:val="8"/>
                <w:szCs w:val="8"/>
                <w:color w:val="auto"/>
              </w:rPr>
            </w:pPr>
          </w:p>
        </w:tc>
        <w:tc>
          <w:tcPr>
            <w:tcW w:w="1320" w:type="dxa"/>
            <w:vAlign w:val="bottom"/>
            <w:vMerge w:val="continue"/>
          </w:tcPr>
          <w:p>
            <w:pPr>
              <w:spacing w:after="0"/>
              <w:rPr>
                <w:sz w:val="8"/>
                <w:szCs w:val="8"/>
                <w:color w:val="auto"/>
              </w:rPr>
            </w:pPr>
          </w:p>
        </w:tc>
        <w:tc>
          <w:tcPr>
            <w:tcW w:w="2320" w:type="dxa"/>
            <w:vAlign w:val="bottom"/>
            <w:vMerge w:val="restart"/>
          </w:tcPr>
          <w:p>
            <w:pPr>
              <w:jc w:val="center"/>
              <w:ind w:left="329"/>
              <w:spacing w:after="0"/>
              <w:rPr>
                <w:sz w:val="20"/>
                <w:szCs w:val="20"/>
                <w:color w:val="auto"/>
              </w:rPr>
            </w:pPr>
            <w:r>
              <w:rPr>
                <w:rFonts w:ascii="Arial" w:cs="Arial" w:eastAsia="Arial" w:hAnsi="Arial"/>
                <w:sz w:val="14"/>
                <w:szCs w:val="14"/>
                <w:color w:val="auto"/>
              </w:rPr>
              <w:t>(below threshold)</w:t>
            </w:r>
          </w:p>
        </w:tc>
        <w:tc>
          <w:tcPr>
            <w:tcW w:w="0" w:type="dxa"/>
            <w:vAlign w:val="bottom"/>
          </w:tcPr>
          <w:p>
            <w:pPr>
              <w:spacing w:after="0"/>
              <w:rPr>
                <w:sz w:val="1"/>
                <w:szCs w:val="1"/>
                <w:color w:val="auto"/>
              </w:rPr>
            </w:pPr>
          </w:p>
        </w:tc>
      </w:tr>
      <w:tr>
        <w:trPr>
          <w:trHeight w:val="93"/>
        </w:trPr>
        <w:tc>
          <w:tcPr>
            <w:tcW w:w="920" w:type="dxa"/>
            <w:vAlign w:val="bottom"/>
          </w:tcPr>
          <w:p>
            <w:pPr>
              <w:spacing w:after="0"/>
              <w:rPr>
                <w:sz w:val="8"/>
                <w:szCs w:val="8"/>
                <w:color w:val="auto"/>
              </w:rPr>
            </w:pPr>
          </w:p>
        </w:tc>
        <w:tc>
          <w:tcPr>
            <w:tcW w:w="1320" w:type="dxa"/>
            <w:vAlign w:val="bottom"/>
          </w:tcPr>
          <w:p>
            <w:pPr>
              <w:spacing w:after="0"/>
              <w:rPr>
                <w:sz w:val="8"/>
                <w:szCs w:val="8"/>
                <w:color w:val="auto"/>
              </w:rPr>
            </w:pPr>
          </w:p>
        </w:tc>
        <w:tc>
          <w:tcPr>
            <w:tcW w:w="1320" w:type="dxa"/>
            <w:vAlign w:val="bottom"/>
          </w:tcPr>
          <w:p>
            <w:pPr>
              <w:spacing w:after="0"/>
              <w:rPr>
                <w:sz w:val="8"/>
                <w:szCs w:val="8"/>
                <w:color w:val="auto"/>
              </w:rPr>
            </w:pPr>
          </w:p>
        </w:tc>
        <w:tc>
          <w:tcPr>
            <w:tcW w:w="23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920" w:type="dxa"/>
            <w:vAlign w:val="bottom"/>
            <w:vMerge w:val="restart"/>
          </w:tcPr>
          <w:p>
            <w:pPr>
              <w:jc w:val="center"/>
              <w:ind w:right="369"/>
              <w:spacing w:after="0"/>
              <w:rPr>
                <w:sz w:val="20"/>
                <w:szCs w:val="20"/>
                <w:color w:val="auto"/>
              </w:rPr>
            </w:pPr>
            <w:r>
              <w:rPr>
                <w:rFonts w:ascii="Arial" w:cs="Arial" w:eastAsia="Arial" w:hAnsi="Arial"/>
                <w:sz w:val="14"/>
                <w:szCs w:val="14"/>
                <w:color w:val="auto"/>
              </w:rPr>
              <w:t>24.75%</w:t>
            </w:r>
          </w:p>
        </w:tc>
        <w:tc>
          <w:tcPr>
            <w:tcW w:w="1320" w:type="dxa"/>
            <w:vAlign w:val="bottom"/>
            <w:vMerge w:val="restart"/>
          </w:tcPr>
          <w:p>
            <w:pPr>
              <w:jc w:val="center"/>
              <w:spacing w:after="0"/>
              <w:rPr>
                <w:sz w:val="20"/>
                <w:szCs w:val="20"/>
                <w:color w:val="auto"/>
              </w:rPr>
            </w:pPr>
            <w:r>
              <w:rPr>
                <w:rFonts w:ascii="Arial" w:cs="Arial" w:eastAsia="Arial" w:hAnsi="Arial"/>
                <w:sz w:val="14"/>
                <w:szCs w:val="14"/>
                <w:color w:val="auto"/>
              </w:rPr>
              <w:t>22.50%</w:t>
            </w:r>
          </w:p>
        </w:tc>
        <w:tc>
          <w:tcPr>
            <w:tcW w:w="1320" w:type="dxa"/>
            <w:vAlign w:val="bottom"/>
            <w:vMerge w:val="restart"/>
          </w:tcPr>
          <w:p>
            <w:pPr>
              <w:jc w:val="center"/>
              <w:spacing w:after="0"/>
              <w:rPr>
                <w:sz w:val="20"/>
                <w:szCs w:val="20"/>
                <w:color w:val="auto"/>
              </w:rPr>
            </w:pPr>
            <w:r>
              <w:rPr>
                <w:rFonts w:ascii="Arial" w:cs="Arial" w:eastAsia="Arial" w:hAnsi="Arial"/>
                <w:sz w:val="14"/>
                <w:szCs w:val="14"/>
                <w:color w:val="auto"/>
              </w:rPr>
              <w:t>20.25%</w:t>
            </w:r>
          </w:p>
        </w:tc>
        <w:tc>
          <w:tcPr>
            <w:tcW w:w="2320" w:type="dxa"/>
            <w:vAlign w:val="bottom"/>
          </w:tcPr>
          <w:p>
            <w:pPr>
              <w:jc w:val="center"/>
              <w:ind w:left="329"/>
              <w:spacing w:after="0"/>
              <w:rPr>
                <w:sz w:val="20"/>
                <w:szCs w:val="20"/>
                <w:color w:val="auto"/>
              </w:rPr>
            </w:pPr>
            <w:r>
              <w:rPr>
                <w:rFonts w:ascii="Arial" w:cs="Arial" w:eastAsia="Arial" w:hAnsi="Arial"/>
                <w:sz w:val="14"/>
                <w:szCs w:val="14"/>
                <w:color w:val="auto"/>
              </w:rPr>
              <w:t>25.90%</w:t>
            </w:r>
          </w:p>
        </w:tc>
        <w:tc>
          <w:tcPr>
            <w:tcW w:w="0" w:type="dxa"/>
            <w:vAlign w:val="bottom"/>
          </w:tcPr>
          <w:p>
            <w:pPr>
              <w:spacing w:after="0"/>
              <w:rPr>
                <w:sz w:val="1"/>
                <w:szCs w:val="1"/>
                <w:color w:val="auto"/>
              </w:rPr>
            </w:pPr>
          </w:p>
        </w:tc>
      </w:tr>
      <w:tr>
        <w:trPr>
          <w:trHeight w:val="95"/>
        </w:trPr>
        <w:tc>
          <w:tcPr>
            <w:tcW w:w="920" w:type="dxa"/>
            <w:vAlign w:val="bottom"/>
            <w:vMerge w:val="continue"/>
          </w:tcPr>
          <w:p>
            <w:pPr>
              <w:spacing w:after="0"/>
              <w:rPr>
                <w:sz w:val="8"/>
                <w:szCs w:val="8"/>
                <w:color w:val="auto"/>
              </w:rPr>
            </w:pPr>
          </w:p>
        </w:tc>
        <w:tc>
          <w:tcPr>
            <w:tcW w:w="1320" w:type="dxa"/>
            <w:vAlign w:val="bottom"/>
            <w:vMerge w:val="continue"/>
          </w:tcPr>
          <w:p>
            <w:pPr>
              <w:spacing w:after="0"/>
              <w:rPr>
                <w:sz w:val="8"/>
                <w:szCs w:val="8"/>
                <w:color w:val="auto"/>
              </w:rPr>
            </w:pPr>
          </w:p>
        </w:tc>
        <w:tc>
          <w:tcPr>
            <w:tcW w:w="1320" w:type="dxa"/>
            <w:vAlign w:val="bottom"/>
            <w:vMerge w:val="continue"/>
          </w:tcPr>
          <w:p>
            <w:pPr>
              <w:spacing w:after="0"/>
              <w:rPr>
                <w:sz w:val="8"/>
                <w:szCs w:val="8"/>
                <w:color w:val="auto"/>
              </w:rPr>
            </w:pPr>
          </w:p>
        </w:tc>
        <w:tc>
          <w:tcPr>
            <w:tcW w:w="2320" w:type="dxa"/>
            <w:vAlign w:val="bottom"/>
            <w:vMerge w:val="restart"/>
          </w:tcPr>
          <w:p>
            <w:pPr>
              <w:jc w:val="center"/>
              <w:ind w:left="329"/>
              <w:spacing w:after="0"/>
              <w:rPr>
                <w:sz w:val="20"/>
                <w:szCs w:val="20"/>
                <w:color w:val="auto"/>
              </w:rPr>
            </w:pPr>
            <w:r>
              <w:rPr>
                <w:rFonts w:ascii="Arial" w:cs="Arial" w:eastAsia="Arial" w:hAnsi="Arial"/>
                <w:sz w:val="14"/>
                <w:szCs w:val="14"/>
                <w:color w:val="auto"/>
              </w:rPr>
              <w:t>(below threshold)</w:t>
            </w:r>
          </w:p>
        </w:tc>
        <w:tc>
          <w:tcPr>
            <w:tcW w:w="0" w:type="dxa"/>
            <w:vAlign w:val="bottom"/>
          </w:tcPr>
          <w:p>
            <w:pPr>
              <w:spacing w:after="0"/>
              <w:rPr>
                <w:sz w:val="1"/>
                <w:szCs w:val="1"/>
                <w:color w:val="auto"/>
              </w:rPr>
            </w:pPr>
          </w:p>
        </w:tc>
      </w:tr>
      <w:tr>
        <w:trPr>
          <w:trHeight w:val="93"/>
        </w:trPr>
        <w:tc>
          <w:tcPr>
            <w:tcW w:w="920" w:type="dxa"/>
            <w:vAlign w:val="bottom"/>
          </w:tcPr>
          <w:p>
            <w:pPr>
              <w:spacing w:after="0"/>
              <w:rPr>
                <w:sz w:val="8"/>
                <w:szCs w:val="8"/>
                <w:color w:val="auto"/>
              </w:rPr>
            </w:pPr>
          </w:p>
        </w:tc>
        <w:tc>
          <w:tcPr>
            <w:tcW w:w="1320" w:type="dxa"/>
            <w:vAlign w:val="bottom"/>
          </w:tcPr>
          <w:p>
            <w:pPr>
              <w:spacing w:after="0"/>
              <w:rPr>
                <w:sz w:val="8"/>
                <w:szCs w:val="8"/>
                <w:color w:val="auto"/>
              </w:rPr>
            </w:pPr>
          </w:p>
        </w:tc>
        <w:tc>
          <w:tcPr>
            <w:tcW w:w="1320" w:type="dxa"/>
            <w:vAlign w:val="bottom"/>
          </w:tcPr>
          <w:p>
            <w:pPr>
              <w:spacing w:after="0"/>
              <w:rPr>
                <w:sz w:val="8"/>
                <w:szCs w:val="8"/>
                <w:color w:val="auto"/>
              </w:rPr>
            </w:pPr>
          </w:p>
        </w:tc>
        <w:tc>
          <w:tcPr>
            <w:tcW w:w="23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-2263775</wp:posOffset>
            </wp:positionH>
            <wp:positionV relativeFrom="paragraph">
              <wp:posOffset>-511810</wp:posOffset>
            </wp:positionV>
            <wp:extent cx="6244590" cy="2628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6244590" cy="262890"/>
                    </a:xfrm>
                    <a:prstGeom prst="rect">
                      <a:avLst/>
                    </a:prstGeom>
                    <a:noFill/>
                  </pic:spPr>
                </pic:pic>
              </a:graphicData>
            </a:graphic>
          </wp:anchor>
        </w:drawing>
        <w:drawing>
          <wp:anchor simplePos="0" relativeHeight="251657728" behindDoc="1" locked="0" layoutInCell="0" allowOverlap="1">
            <wp:simplePos x="0" y="0"/>
            <wp:positionH relativeFrom="column">
              <wp:posOffset>-2263775</wp:posOffset>
            </wp:positionH>
            <wp:positionV relativeFrom="paragraph">
              <wp:posOffset>13335</wp:posOffset>
            </wp:positionV>
            <wp:extent cx="6244590" cy="135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6244590" cy="135255"/>
                    </a:xfrm>
                    <a:prstGeom prst="rect">
                      <a:avLst/>
                    </a:prstGeom>
                    <a:noFill/>
                  </pic:spPr>
                </pic:pic>
              </a:graphicData>
            </a:graphic>
          </wp:anchor>
        </w:drawing>
      </w:r>
    </w:p>
    <w:p>
      <w:pPr>
        <w:spacing w:after="0" w:line="18" w:lineRule="exact"/>
        <w:rPr>
          <w:sz w:val="20"/>
          <w:szCs w:val="20"/>
          <w:color w:val="auto"/>
        </w:rPr>
      </w:pPr>
    </w:p>
    <w:p>
      <w:pPr>
        <w:ind w:left="4420"/>
        <w:spacing w:after="0"/>
        <w:rPr>
          <w:sz w:val="20"/>
          <w:szCs w:val="20"/>
          <w:color w:val="auto"/>
        </w:rPr>
      </w:pPr>
      <w:r>
        <w:rPr>
          <w:rFonts w:ascii="Arial" w:cs="Arial" w:eastAsia="Arial" w:hAnsi="Arial"/>
          <w:sz w:val="14"/>
          <w:szCs w:val="14"/>
          <w:b w:val="1"/>
          <w:bCs w:val="1"/>
          <w:color w:val="auto"/>
        </w:rPr>
        <w:t>39.6% of target</w:t>
      </w:r>
    </w:p>
    <w:p>
      <w:pPr>
        <w:spacing w:after="0" w:line="98" w:lineRule="exact"/>
        <w:rPr>
          <w:sz w:val="20"/>
          <w:szCs w:val="20"/>
          <w:color w:val="auto"/>
        </w:rPr>
      </w:pPr>
    </w:p>
    <w:p>
      <w:pPr>
        <w:sectPr>
          <w:pgSz w:w="11900" w:h="16838" w:orient="portrait"/>
          <w:cols w:equalWidth="0" w:num="2">
            <w:col w:w="3600" w:space="680"/>
            <w:col w:w="6960"/>
          </w:cols>
          <w:pgMar w:left="320" w:top="1097" w:right="339" w:bottom="1440" w:gutter="0" w:footer="0" w:header="0"/>
          <w:type w:val="continuous"/>
        </w:sectPr>
      </w:pPr>
    </w:p>
    <w:p>
      <w:pPr>
        <w:ind w:right="360" w:firstLine="320"/>
        <w:spacing w:after="0" w:line="277" w:lineRule="auto"/>
        <w:rPr>
          <w:sz w:val="20"/>
          <w:szCs w:val="20"/>
          <w:color w:val="auto"/>
        </w:rPr>
      </w:pPr>
      <w:r>
        <w:rPr>
          <w:rFonts w:ascii="Arial" w:cs="Arial" w:eastAsia="Arial" w:hAnsi="Arial"/>
          <w:sz w:val="18"/>
          <w:szCs w:val="18"/>
          <w:color w:val="auto"/>
        </w:rPr>
        <w:t>The international division performance measures, weightings, goals and actual performance applicable to Ms. Dahl are reflected in the table below.</w:t>
      </w:r>
    </w:p>
    <w:p>
      <w:pPr>
        <w:spacing w:after="0" w:line="86" w:lineRule="exact"/>
        <w:rPr>
          <w:sz w:val="20"/>
          <w:szCs w:val="20"/>
          <w:color w:val="auto"/>
        </w:rPr>
      </w:pPr>
    </w:p>
    <w:tbl>
      <w:tblPr>
        <w:tblLayout w:type="fixed"/>
        <w:tblInd w:w="560" w:type="dxa"/>
        <w:tblCellMar>
          <w:top w:w="0" w:type="dxa"/>
          <w:left w:w="0" w:type="dxa"/>
          <w:bottom w:w="0" w:type="dxa"/>
          <w:right w:w="0" w:type="dxa"/>
        </w:tblCellMar>
      </w:tblPr>
      <w:tr>
        <w:trPr>
          <w:trHeight w:val="204"/>
        </w:trPr>
        <w:tc>
          <w:tcPr>
            <w:tcW w:w="3020" w:type="dxa"/>
            <w:vAlign w:val="bottom"/>
            <w:shd w:val="clear" w:color="auto" w:fill="BF2115"/>
          </w:tcPr>
          <w:p>
            <w:pPr>
              <w:ind w:left="20"/>
              <w:spacing w:after="0"/>
              <w:rPr>
                <w:sz w:val="20"/>
                <w:szCs w:val="20"/>
                <w:color w:val="auto"/>
              </w:rPr>
            </w:pPr>
            <w:r>
              <w:rPr>
                <w:rFonts w:ascii="Arial" w:cs="Arial" w:eastAsia="Arial" w:hAnsi="Arial"/>
                <w:sz w:val="14"/>
                <w:szCs w:val="14"/>
                <w:b w:val="1"/>
                <w:bCs w:val="1"/>
                <w:color w:val="FFFFFF"/>
              </w:rPr>
              <w:t>International Division:</w:t>
            </w:r>
          </w:p>
        </w:tc>
        <w:tc>
          <w:tcPr>
            <w:tcW w:w="1240" w:type="dxa"/>
            <w:vAlign w:val="bottom"/>
            <w:shd w:val="clear" w:color="auto" w:fill="BF2115"/>
          </w:tcPr>
          <w:p>
            <w:pPr>
              <w:jc w:val="center"/>
              <w:spacing w:after="0"/>
              <w:rPr>
                <w:sz w:val="20"/>
                <w:szCs w:val="20"/>
                <w:color w:val="auto"/>
              </w:rPr>
            </w:pPr>
            <w:r>
              <w:rPr>
                <w:rFonts w:ascii="Arial" w:cs="Arial" w:eastAsia="Arial" w:hAnsi="Arial"/>
                <w:sz w:val="14"/>
                <w:szCs w:val="14"/>
                <w:b w:val="1"/>
                <w:bCs w:val="1"/>
                <w:color w:val="FFFFFF"/>
              </w:rPr>
              <w:t>Threshold</w:t>
            </w:r>
          </w:p>
        </w:tc>
        <w:tc>
          <w:tcPr>
            <w:tcW w:w="1360" w:type="dxa"/>
            <w:vAlign w:val="bottom"/>
            <w:shd w:val="clear" w:color="auto" w:fill="BF2115"/>
          </w:tcPr>
          <w:p>
            <w:pPr>
              <w:jc w:val="center"/>
              <w:spacing w:after="0"/>
              <w:rPr>
                <w:sz w:val="20"/>
                <w:szCs w:val="20"/>
                <w:color w:val="auto"/>
              </w:rPr>
            </w:pPr>
            <w:r>
              <w:rPr>
                <w:rFonts w:ascii="Arial" w:cs="Arial" w:eastAsia="Arial" w:hAnsi="Arial"/>
                <w:sz w:val="14"/>
                <w:szCs w:val="14"/>
                <w:b w:val="1"/>
                <w:bCs w:val="1"/>
                <w:color w:val="FFFFFF"/>
                <w:w w:val="98"/>
              </w:rPr>
              <w:t>Target</w:t>
            </w:r>
          </w:p>
        </w:tc>
        <w:tc>
          <w:tcPr>
            <w:tcW w:w="1360" w:type="dxa"/>
            <w:vAlign w:val="bottom"/>
            <w:shd w:val="clear" w:color="auto" w:fill="BF2115"/>
          </w:tcPr>
          <w:p>
            <w:pPr>
              <w:jc w:val="center"/>
              <w:spacing w:after="0"/>
              <w:rPr>
                <w:sz w:val="20"/>
                <w:szCs w:val="20"/>
                <w:color w:val="auto"/>
              </w:rPr>
            </w:pPr>
            <w:r>
              <w:rPr>
                <w:rFonts w:ascii="Arial" w:cs="Arial" w:eastAsia="Arial" w:hAnsi="Arial"/>
                <w:sz w:val="14"/>
                <w:szCs w:val="14"/>
                <w:b w:val="1"/>
                <w:bCs w:val="1"/>
                <w:color w:val="FFFFFF"/>
              </w:rPr>
              <w:t>Maximum</w:t>
            </w:r>
          </w:p>
        </w:tc>
        <w:tc>
          <w:tcPr>
            <w:tcW w:w="2420" w:type="dxa"/>
            <w:vAlign w:val="bottom"/>
            <w:shd w:val="clear" w:color="auto" w:fill="BF2115"/>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3020" w:type="dxa"/>
            <w:vAlign w:val="bottom"/>
            <w:shd w:val="clear" w:color="auto" w:fill="BF2115"/>
          </w:tcPr>
          <w:p>
            <w:pPr>
              <w:ind w:left="20"/>
              <w:spacing w:after="0"/>
              <w:rPr>
                <w:sz w:val="20"/>
                <w:szCs w:val="20"/>
                <w:color w:val="auto"/>
              </w:rPr>
            </w:pPr>
            <w:r>
              <w:rPr>
                <w:rFonts w:ascii="Arial" w:cs="Arial" w:eastAsia="Arial" w:hAnsi="Arial"/>
                <w:sz w:val="14"/>
                <w:szCs w:val="14"/>
                <w:b w:val="1"/>
                <w:bCs w:val="1"/>
                <w:color w:val="FFFFFF"/>
              </w:rPr>
              <w:t>Fiscal 2024 Performance Measures</w:t>
            </w:r>
          </w:p>
        </w:tc>
        <w:tc>
          <w:tcPr>
            <w:tcW w:w="1240" w:type="dxa"/>
            <w:vAlign w:val="bottom"/>
            <w:shd w:val="clear" w:color="auto" w:fill="BF2115"/>
          </w:tcPr>
          <w:p>
            <w:pPr>
              <w:jc w:val="center"/>
              <w:spacing w:after="0"/>
              <w:rPr>
                <w:sz w:val="20"/>
                <w:szCs w:val="20"/>
                <w:color w:val="auto"/>
              </w:rPr>
            </w:pPr>
            <w:r>
              <w:rPr>
                <w:rFonts w:ascii="Arial" w:cs="Arial" w:eastAsia="Arial" w:hAnsi="Arial"/>
                <w:sz w:val="14"/>
                <w:szCs w:val="14"/>
                <w:b w:val="1"/>
                <w:bCs w:val="1"/>
                <w:color w:val="FFFFFF"/>
              </w:rPr>
              <w:t>(40% payout)</w:t>
            </w:r>
          </w:p>
        </w:tc>
        <w:tc>
          <w:tcPr>
            <w:tcW w:w="1360" w:type="dxa"/>
            <w:vAlign w:val="bottom"/>
            <w:shd w:val="clear" w:color="auto" w:fill="BF2115"/>
          </w:tcPr>
          <w:p>
            <w:pPr>
              <w:jc w:val="center"/>
              <w:spacing w:after="0"/>
              <w:rPr>
                <w:sz w:val="20"/>
                <w:szCs w:val="20"/>
                <w:color w:val="auto"/>
              </w:rPr>
            </w:pPr>
            <w:r>
              <w:rPr>
                <w:rFonts w:ascii="Arial" w:cs="Arial" w:eastAsia="Arial" w:hAnsi="Arial"/>
                <w:sz w:val="14"/>
                <w:szCs w:val="14"/>
                <w:b w:val="1"/>
                <w:bCs w:val="1"/>
                <w:color w:val="FFFFFF"/>
              </w:rPr>
              <w:t>(100% payout)</w:t>
            </w:r>
          </w:p>
        </w:tc>
        <w:tc>
          <w:tcPr>
            <w:tcW w:w="1360" w:type="dxa"/>
            <w:vAlign w:val="bottom"/>
            <w:shd w:val="clear" w:color="auto" w:fill="BF2115"/>
          </w:tcPr>
          <w:p>
            <w:pPr>
              <w:jc w:val="center"/>
              <w:spacing w:after="0"/>
              <w:rPr>
                <w:sz w:val="20"/>
                <w:szCs w:val="20"/>
                <w:color w:val="auto"/>
              </w:rPr>
            </w:pPr>
            <w:r>
              <w:rPr>
                <w:rFonts w:ascii="Arial" w:cs="Arial" w:eastAsia="Arial" w:hAnsi="Arial"/>
                <w:sz w:val="14"/>
                <w:szCs w:val="14"/>
                <w:b w:val="1"/>
                <w:bCs w:val="1"/>
                <w:color w:val="FFFFFF"/>
              </w:rPr>
              <w:t>(200% payout)</w:t>
            </w:r>
          </w:p>
        </w:tc>
        <w:tc>
          <w:tcPr>
            <w:tcW w:w="2420" w:type="dxa"/>
            <w:vAlign w:val="bottom"/>
            <w:shd w:val="clear" w:color="auto" w:fill="BF2115"/>
          </w:tcPr>
          <w:p>
            <w:pPr>
              <w:jc w:val="center"/>
              <w:spacing w:after="0"/>
              <w:rPr>
                <w:sz w:val="20"/>
                <w:szCs w:val="20"/>
                <w:color w:val="auto"/>
              </w:rPr>
            </w:pPr>
            <w:r>
              <w:rPr>
                <w:rFonts w:ascii="Arial" w:cs="Arial" w:eastAsia="Arial" w:hAnsi="Arial"/>
                <w:sz w:val="14"/>
                <w:szCs w:val="14"/>
                <w:b w:val="1"/>
                <w:bCs w:val="1"/>
                <w:color w:val="FFFFFF"/>
              </w:rPr>
              <w:t>Actual</w:t>
            </w:r>
          </w:p>
        </w:tc>
        <w:tc>
          <w:tcPr>
            <w:tcW w:w="0" w:type="dxa"/>
            <w:vAlign w:val="bottom"/>
          </w:tcPr>
          <w:p>
            <w:pPr>
              <w:spacing w:after="0"/>
              <w:rPr>
                <w:sz w:val="1"/>
                <w:szCs w:val="1"/>
                <w:color w:val="auto"/>
              </w:rPr>
            </w:pPr>
          </w:p>
        </w:tc>
      </w:tr>
      <w:tr>
        <w:trPr>
          <w:trHeight w:val="178"/>
        </w:trPr>
        <w:tc>
          <w:tcPr>
            <w:tcW w:w="3020" w:type="dxa"/>
            <w:vAlign w:val="bottom"/>
            <w:vMerge w:val="restart"/>
          </w:tcPr>
          <w:p>
            <w:pPr>
              <w:ind w:left="20"/>
              <w:spacing w:after="0"/>
              <w:rPr>
                <w:sz w:val="20"/>
                <w:szCs w:val="20"/>
                <w:color w:val="auto"/>
              </w:rPr>
            </w:pPr>
            <w:r>
              <w:rPr>
                <w:rFonts w:ascii="Arial" w:cs="Arial" w:eastAsia="Arial" w:hAnsi="Arial"/>
                <w:sz w:val="14"/>
                <w:szCs w:val="14"/>
                <w:color w:val="auto"/>
              </w:rPr>
              <w:t>50% controllable profit contribution</w:t>
            </w:r>
          </w:p>
        </w:tc>
        <w:tc>
          <w:tcPr>
            <w:tcW w:w="1240" w:type="dxa"/>
            <w:vAlign w:val="bottom"/>
            <w:vMerge w:val="restart"/>
          </w:tcPr>
          <w:p>
            <w:pPr>
              <w:jc w:val="center"/>
              <w:spacing w:after="0"/>
              <w:rPr>
                <w:sz w:val="20"/>
                <w:szCs w:val="20"/>
                <w:color w:val="auto"/>
              </w:rPr>
            </w:pPr>
            <w:r>
              <w:rPr>
                <w:rFonts w:ascii="Arial" w:cs="Arial" w:eastAsia="Arial" w:hAnsi="Arial"/>
                <w:sz w:val="14"/>
                <w:szCs w:val="14"/>
                <w:color w:val="auto"/>
              </w:rPr>
              <w:t>$96,853</w:t>
            </w:r>
          </w:p>
        </w:tc>
        <w:tc>
          <w:tcPr>
            <w:tcW w:w="1360" w:type="dxa"/>
            <w:vAlign w:val="bottom"/>
            <w:vMerge w:val="restart"/>
          </w:tcPr>
          <w:p>
            <w:pPr>
              <w:jc w:val="center"/>
              <w:spacing w:after="0"/>
              <w:rPr>
                <w:sz w:val="20"/>
                <w:szCs w:val="20"/>
                <w:color w:val="auto"/>
              </w:rPr>
            </w:pPr>
            <w:r>
              <w:rPr>
                <w:rFonts w:ascii="Arial" w:cs="Arial" w:eastAsia="Arial" w:hAnsi="Arial"/>
                <w:sz w:val="14"/>
                <w:szCs w:val="14"/>
                <w:color w:val="auto"/>
                <w:w w:val="99"/>
              </w:rPr>
              <w:t>$121,066</w:t>
            </w:r>
          </w:p>
        </w:tc>
        <w:tc>
          <w:tcPr>
            <w:tcW w:w="1360" w:type="dxa"/>
            <w:vAlign w:val="bottom"/>
            <w:vMerge w:val="restart"/>
          </w:tcPr>
          <w:p>
            <w:pPr>
              <w:jc w:val="center"/>
              <w:spacing w:after="0"/>
              <w:rPr>
                <w:sz w:val="20"/>
                <w:szCs w:val="20"/>
                <w:color w:val="auto"/>
              </w:rPr>
            </w:pPr>
            <w:r>
              <w:rPr>
                <w:rFonts w:ascii="Arial" w:cs="Arial" w:eastAsia="Arial" w:hAnsi="Arial"/>
                <w:sz w:val="14"/>
                <w:szCs w:val="14"/>
                <w:color w:val="auto"/>
                <w:w w:val="99"/>
              </w:rPr>
              <w:t>$133,173</w:t>
            </w:r>
          </w:p>
        </w:tc>
        <w:tc>
          <w:tcPr>
            <w:tcW w:w="2420" w:type="dxa"/>
            <w:vAlign w:val="bottom"/>
          </w:tcPr>
          <w:p>
            <w:pPr>
              <w:jc w:val="center"/>
              <w:spacing w:after="0"/>
              <w:rPr>
                <w:sz w:val="20"/>
                <w:szCs w:val="20"/>
                <w:color w:val="auto"/>
              </w:rPr>
            </w:pPr>
            <w:r>
              <w:rPr>
                <w:rFonts w:ascii="Arial" w:cs="Arial" w:eastAsia="Arial" w:hAnsi="Arial"/>
                <w:sz w:val="14"/>
                <w:szCs w:val="14"/>
                <w:color w:val="auto"/>
              </w:rPr>
              <w:t>$129,280</w:t>
            </w:r>
          </w:p>
        </w:tc>
        <w:tc>
          <w:tcPr>
            <w:tcW w:w="0" w:type="dxa"/>
            <w:vAlign w:val="bottom"/>
          </w:tcPr>
          <w:p>
            <w:pPr>
              <w:spacing w:after="0"/>
              <w:rPr>
                <w:sz w:val="1"/>
                <w:szCs w:val="1"/>
                <w:color w:val="auto"/>
              </w:rPr>
            </w:pPr>
          </w:p>
        </w:tc>
      </w:tr>
      <w:tr>
        <w:trPr>
          <w:trHeight w:val="109"/>
        </w:trPr>
        <w:tc>
          <w:tcPr>
            <w:tcW w:w="3020" w:type="dxa"/>
            <w:vAlign w:val="bottom"/>
            <w:vMerge w:val="continue"/>
          </w:tcPr>
          <w:p>
            <w:pPr>
              <w:spacing w:after="0"/>
              <w:rPr>
                <w:sz w:val="9"/>
                <w:szCs w:val="9"/>
                <w:color w:val="auto"/>
              </w:rPr>
            </w:pPr>
          </w:p>
        </w:tc>
        <w:tc>
          <w:tcPr>
            <w:tcW w:w="1240" w:type="dxa"/>
            <w:vAlign w:val="bottom"/>
            <w:vMerge w:val="continue"/>
          </w:tcPr>
          <w:p>
            <w:pPr>
              <w:spacing w:after="0"/>
              <w:rPr>
                <w:sz w:val="9"/>
                <w:szCs w:val="9"/>
                <w:color w:val="auto"/>
              </w:rPr>
            </w:pPr>
          </w:p>
        </w:tc>
        <w:tc>
          <w:tcPr>
            <w:tcW w:w="1360" w:type="dxa"/>
            <w:vAlign w:val="bottom"/>
            <w:vMerge w:val="continue"/>
          </w:tcPr>
          <w:p>
            <w:pPr>
              <w:spacing w:after="0"/>
              <w:rPr>
                <w:sz w:val="9"/>
                <w:szCs w:val="9"/>
                <w:color w:val="auto"/>
              </w:rPr>
            </w:pPr>
          </w:p>
        </w:tc>
        <w:tc>
          <w:tcPr>
            <w:tcW w:w="1360" w:type="dxa"/>
            <w:vAlign w:val="bottom"/>
            <w:vMerge w:val="continue"/>
          </w:tcPr>
          <w:p>
            <w:pPr>
              <w:spacing w:after="0"/>
              <w:rPr>
                <w:sz w:val="9"/>
                <w:szCs w:val="9"/>
                <w:color w:val="auto"/>
              </w:rPr>
            </w:pPr>
          </w:p>
        </w:tc>
        <w:tc>
          <w:tcPr>
            <w:tcW w:w="2420" w:type="dxa"/>
            <w:vAlign w:val="bottom"/>
            <w:vMerge w:val="restart"/>
          </w:tcPr>
          <w:p>
            <w:pPr>
              <w:jc w:val="center"/>
              <w:spacing w:after="0"/>
              <w:rPr>
                <w:sz w:val="20"/>
                <w:szCs w:val="20"/>
                <w:color w:val="auto"/>
              </w:rPr>
            </w:pPr>
            <w:r>
              <w:rPr>
                <w:rFonts w:ascii="Arial" w:cs="Arial" w:eastAsia="Arial" w:hAnsi="Arial"/>
                <w:sz w:val="14"/>
                <w:szCs w:val="14"/>
                <w:color w:val="auto"/>
              </w:rPr>
              <w:t>(between target and maximum)</w:t>
            </w:r>
          </w:p>
        </w:tc>
        <w:tc>
          <w:tcPr>
            <w:tcW w:w="0" w:type="dxa"/>
            <w:vAlign w:val="bottom"/>
          </w:tcPr>
          <w:p>
            <w:pPr>
              <w:spacing w:after="0"/>
              <w:rPr>
                <w:sz w:val="1"/>
                <w:szCs w:val="1"/>
                <w:color w:val="auto"/>
              </w:rPr>
            </w:pPr>
          </w:p>
        </w:tc>
      </w:tr>
      <w:tr>
        <w:trPr>
          <w:trHeight w:val="80"/>
        </w:trPr>
        <w:tc>
          <w:tcPr>
            <w:tcW w:w="3020" w:type="dxa"/>
            <w:vAlign w:val="bottom"/>
          </w:tcPr>
          <w:p>
            <w:pPr>
              <w:spacing w:after="0"/>
              <w:rPr>
                <w:sz w:val="6"/>
                <w:szCs w:val="6"/>
                <w:color w:val="auto"/>
              </w:rPr>
            </w:pPr>
          </w:p>
        </w:tc>
        <w:tc>
          <w:tcPr>
            <w:tcW w:w="1240" w:type="dxa"/>
            <w:vAlign w:val="bottom"/>
          </w:tcPr>
          <w:p>
            <w:pPr>
              <w:spacing w:after="0"/>
              <w:rPr>
                <w:sz w:val="6"/>
                <w:szCs w:val="6"/>
                <w:color w:val="auto"/>
              </w:rPr>
            </w:pPr>
          </w:p>
        </w:tc>
        <w:tc>
          <w:tcPr>
            <w:tcW w:w="1360" w:type="dxa"/>
            <w:vAlign w:val="bottom"/>
          </w:tcPr>
          <w:p>
            <w:pPr>
              <w:spacing w:after="0"/>
              <w:rPr>
                <w:sz w:val="6"/>
                <w:szCs w:val="6"/>
                <w:color w:val="auto"/>
              </w:rPr>
            </w:pPr>
          </w:p>
        </w:tc>
        <w:tc>
          <w:tcPr>
            <w:tcW w:w="1360" w:type="dxa"/>
            <w:vAlign w:val="bottom"/>
          </w:tcPr>
          <w:p>
            <w:pPr>
              <w:spacing w:after="0"/>
              <w:rPr>
                <w:sz w:val="6"/>
                <w:szCs w:val="6"/>
                <w:color w:val="auto"/>
              </w:rPr>
            </w:pPr>
          </w:p>
        </w:tc>
        <w:tc>
          <w:tcPr>
            <w:tcW w:w="24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1"/>
        </w:trPr>
        <w:tc>
          <w:tcPr>
            <w:tcW w:w="30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3020" w:type="dxa"/>
            <w:vAlign w:val="bottom"/>
            <w:vMerge w:val="restart"/>
            <w:shd w:val="clear" w:color="auto" w:fill="DBDBDB"/>
          </w:tcPr>
          <w:p>
            <w:pPr>
              <w:ind w:left="20"/>
              <w:spacing w:after="0"/>
              <w:rPr>
                <w:sz w:val="20"/>
                <w:szCs w:val="20"/>
                <w:color w:val="auto"/>
              </w:rPr>
            </w:pPr>
            <w:r>
              <w:rPr>
                <w:rFonts w:ascii="Arial" w:cs="Arial" w:eastAsia="Arial" w:hAnsi="Arial"/>
                <w:sz w:val="14"/>
                <w:szCs w:val="14"/>
                <w:color w:val="auto"/>
              </w:rPr>
              <w:t>25% revenue growth</w:t>
            </w:r>
          </w:p>
        </w:tc>
        <w:tc>
          <w:tcPr>
            <w:tcW w:w="1240" w:type="dxa"/>
            <w:vAlign w:val="bottom"/>
            <w:vMerge w:val="restart"/>
            <w:shd w:val="clear" w:color="auto" w:fill="DBDBDB"/>
          </w:tcPr>
          <w:p>
            <w:pPr>
              <w:jc w:val="center"/>
              <w:spacing w:after="0"/>
              <w:rPr>
                <w:sz w:val="20"/>
                <w:szCs w:val="20"/>
                <w:color w:val="auto"/>
              </w:rPr>
            </w:pPr>
            <w:r>
              <w:rPr>
                <w:rFonts w:ascii="Arial" w:cs="Arial" w:eastAsia="Arial" w:hAnsi="Arial"/>
                <w:sz w:val="14"/>
                <w:szCs w:val="14"/>
                <w:color w:val="auto"/>
              </w:rPr>
              <w:t>1.0%</w:t>
            </w:r>
          </w:p>
        </w:tc>
        <w:tc>
          <w:tcPr>
            <w:tcW w:w="1360" w:type="dxa"/>
            <w:vAlign w:val="bottom"/>
            <w:vMerge w:val="restart"/>
            <w:shd w:val="clear" w:color="auto" w:fill="DBDBDB"/>
          </w:tcPr>
          <w:p>
            <w:pPr>
              <w:jc w:val="center"/>
              <w:spacing w:after="0"/>
              <w:rPr>
                <w:sz w:val="20"/>
                <w:szCs w:val="20"/>
                <w:color w:val="auto"/>
              </w:rPr>
            </w:pPr>
            <w:r>
              <w:rPr>
                <w:rFonts w:ascii="Arial" w:cs="Arial" w:eastAsia="Arial" w:hAnsi="Arial"/>
                <w:sz w:val="14"/>
                <w:szCs w:val="14"/>
                <w:color w:val="auto"/>
              </w:rPr>
              <w:t>6.0%</w:t>
            </w:r>
          </w:p>
        </w:tc>
        <w:tc>
          <w:tcPr>
            <w:tcW w:w="1360" w:type="dxa"/>
            <w:vAlign w:val="bottom"/>
            <w:vMerge w:val="restart"/>
            <w:shd w:val="clear" w:color="auto" w:fill="DBDBDB"/>
          </w:tcPr>
          <w:p>
            <w:pPr>
              <w:jc w:val="center"/>
              <w:spacing w:after="0"/>
              <w:rPr>
                <w:sz w:val="20"/>
                <w:szCs w:val="20"/>
                <w:color w:val="auto"/>
              </w:rPr>
            </w:pPr>
            <w:r>
              <w:rPr>
                <w:rFonts w:ascii="Arial" w:cs="Arial" w:eastAsia="Arial" w:hAnsi="Arial"/>
                <w:sz w:val="14"/>
                <w:szCs w:val="14"/>
                <w:color w:val="auto"/>
                <w:w w:val="95"/>
              </w:rPr>
              <w:t>11.0%</w:t>
            </w:r>
          </w:p>
        </w:tc>
        <w:tc>
          <w:tcPr>
            <w:tcW w:w="2420" w:type="dxa"/>
            <w:vAlign w:val="bottom"/>
            <w:shd w:val="clear" w:color="auto" w:fill="DBDBDB"/>
          </w:tcPr>
          <w:p>
            <w:pPr>
              <w:jc w:val="center"/>
              <w:spacing w:after="0"/>
              <w:rPr>
                <w:sz w:val="20"/>
                <w:szCs w:val="20"/>
                <w:color w:val="auto"/>
              </w:rPr>
            </w:pPr>
            <w:r>
              <w:rPr>
                <w:rFonts w:ascii="Arial" w:cs="Arial" w:eastAsia="Arial" w:hAnsi="Arial"/>
                <w:sz w:val="14"/>
                <w:szCs w:val="14"/>
                <w:color w:val="auto"/>
              </w:rPr>
              <w:t>5.9%</w:t>
            </w:r>
          </w:p>
        </w:tc>
        <w:tc>
          <w:tcPr>
            <w:tcW w:w="0" w:type="dxa"/>
            <w:vAlign w:val="bottom"/>
          </w:tcPr>
          <w:p>
            <w:pPr>
              <w:spacing w:after="0"/>
              <w:rPr>
                <w:sz w:val="1"/>
                <w:szCs w:val="1"/>
                <w:color w:val="auto"/>
              </w:rPr>
            </w:pPr>
          </w:p>
        </w:tc>
      </w:tr>
      <w:tr>
        <w:trPr>
          <w:trHeight w:val="109"/>
        </w:trPr>
        <w:tc>
          <w:tcPr>
            <w:tcW w:w="3020" w:type="dxa"/>
            <w:vAlign w:val="bottom"/>
            <w:vMerge w:val="continue"/>
            <w:shd w:val="clear" w:color="auto" w:fill="DBDBDB"/>
          </w:tcPr>
          <w:p>
            <w:pPr>
              <w:spacing w:after="0"/>
              <w:rPr>
                <w:sz w:val="9"/>
                <w:szCs w:val="9"/>
                <w:color w:val="auto"/>
              </w:rPr>
            </w:pPr>
          </w:p>
        </w:tc>
        <w:tc>
          <w:tcPr>
            <w:tcW w:w="1240" w:type="dxa"/>
            <w:vAlign w:val="bottom"/>
            <w:vMerge w:val="continue"/>
            <w:shd w:val="clear" w:color="auto" w:fill="DBDBDB"/>
          </w:tcPr>
          <w:p>
            <w:pPr>
              <w:spacing w:after="0"/>
              <w:rPr>
                <w:sz w:val="9"/>
                <w:szCs w:val="9"/>
                <w:color w:val="auto"/>
              </w:rPr>
            </w:pPr>
          </w:p>
        </w:tc>
        <w:tc>
          <w:tcPr>
            <w:tcW w:w="1360" w:type="dxa"/>
            <w:vAlign w:val="bottom"/>
            <w:vMerge w:val="continue"/>
            <w:shd w:val="clear" w:color="auto" w:fill="DBDBDB"/>
          </w:tcPr>
          <w:p>
            <w:pPr>
              <w:spacing w:after="0"/>
              <w:rPr>
                <w:sz w:val="9"/>
                <w:szCs w:val="9"/>
                <w:color w:val="auto"/>
              </w:rPr>
            </w:pPr>
          </w:p>
        </w:tc>
        <w:tc>
          <w:tcPr>
            <w:tcW w:w="1360" w:type="dxa"/>
            <w:vAlign w:val="bottom"/>
            <w:vMerge w:val="continue"/>
            <w:shd w:val="clear" w:color="auto" w:fill="DBDBDB"/>
          </w:tcPr>
          <w:p>
            <w:pPr>
              <w:spacing w:after="0"/>
              <w:rPr>
                <w:sz w:val="9"/>
                <w:szCs w:val="9"/>
                <w:color w:val="auto"/>
              </w:rPr>
            </w:pPr>
          </w:p>
        </w:tc>
        <w:tc>
          <w:tcPr>
            <w:tcW w:w="2420" w:type="dxa"/>
            <w:vAlign w:val="bottom"/>
            <w:vMerge w:val="restart"/>
            <w:shd w:val="clear" w:color="auto" w:fill="DBDBDB"/>
          </w:tcPr>
          <w:p>
            <w:pPr>
              <w:jc w:val="center"/>
              <w:spacing w:after="0"/>
              <w:rPr>
                <w:sz w:val="20"/>
                <w:szCs w:val="20"/>
                <w:color w:val="auto"/>
              </w:rPr>
            </w:pPr>
            <w:r>
              <w:rPr>
                <w:rFonts w:ascii="Arial" w:cs="Arial" w:eastAsia="Arial" w:hAnsi="Arial"/>
                <w:sz w:val="14"/>
                <w:szCs w:val="14"/>
                <w:color w:val="auto"/>
              </w:rPr>
              <w:t>(between threshold and target)</w:t>
            </w:r>
          </w:p>
        </w:tc>
        <w:tc>
          <w:tcPr>
            <w:tcW w:w="0" w:type="dxa"/>
            <w:vAlign w:val="bottom"/>
          </w:tcPr>
          <w:p>
            <w:pPr>
              <w:spacing w:after="0"/>
              <w:rPr>
                <w:sz w:val="1"/>
                <w:szCs w:val="1"/>
                <w:color w:val="auto"/>
              </w:rPr>
            </w:pPr>
          </w:p>
        </w:tc>
      </w:tr>
      <w:tr>
        <w:trPr>
          <w:trHeight w:val="81"/>
        </w:trPr>
        <w:tc>
          <w:tcPr>
            <w:tcW w:w="3020" w:type="dxa"/>
            <w:vAlign w:val="bottom"/>
            <w:tcBorders>
              <w:bottom w:val="single" w:sz="8" w:color="DBDBDB"/>
            </w:tcBorders>
            <w:shd w:val="clear" w:color="auto" w:fill="DBDBDB"/>
          </w:tcPr>
          <w:p>
            <w:pPr>
              <w:spacing w:after="0"/>
              <w:rPr>
                <w:sz w:val="7"/>
                <w:szCs w:val="7"/>
                <w:color w:val="auto"/>
              </w:rPr>
            </w:pPr>
          </w:p>
        </w:tc>
        <w:tc>
          <w:tcPr>
            <w:tcW w:w="1240" w:type="dxa"/>
            <w:vAlign w:val="bottom"/>
            <w:tcBorders>
              <w:bottom w:val="single" w:sz="8" w:color="DBDBDB"/>
            </w:tcBorders>
            <w:shd w:val="clear" w:color="auto" w:fill="DBDBDB"/>
          </w:tcPr>
          <w:p>
            <w:pPr>
              <w:spacing w:after="0"/>
              <w:rPr>
                <w:sz w:val="7"/>
                <w:szCs w:val="7"/>
                <w:color w:val="auto"/>
              </w:rPr>
            </w:pPr>
          </w:p>
        </w:tc>
        <w:tc>
          <w:tcPr>
            <w:tcW w:w="1360" w:type="dxa"/>
            <w:vAlign w:val="bottom"/>
            <w:tcBorders>
              <w:bottom w:val="single" w:sz="8" w:color="DBDBDB"/>
            </w:tcBorders>
            <w:shd w:val="clear" w:color="auto" w:fill="DBDBDB"/>
          </w:tcPr>
          <w:p>
            <w:pPr>
              <w:spacing w:after="0"/>
              <w:rPr>
                <w:sz w:val="7"/>
                <w:szCs w:val="7"/>
                <w:color w:val="auto"/>
              </w:rPr>
            </w:pPr>
          </w:p>
        </w:tc>
        <w:tc>
          <w:tcPr>
            <w:tcW w:w="1360" w:type="dxa"/>
            <w:vAlign w:val="bottom"/>
            <w:tcBorders>
              <w:bottom w:val="single" w:sz="8" w:color="DBDBDB"/>
            </w:tcBorders>
            <w:shd w:val="clear" w:color="auto" w:fill="DBDBDB"/>
          </w:tcPr>
          <w:p>
            <w:pPr>
              <w:spacing w:after="0"/>
              <w:rPr>
                <w:sz w:val="7"/>
                <w:szCs w:val="7"/>
                <w:color w:val="auto"/>
              </w:rPr>
            </w:pPr>
          </w:p>
        </w:tc>
        <w:tc>
          <w:tcPr>
            <w:tcW w:w="2420" w:type="dxa"/>
            <w:vAlign w:val="bottom"/>
            <w:tcBorders>
              <w:bottom w:val="single" w:sz="8" w:color="DBDBDB"/>
            </w:tcBorders>
            <w:vMerge w:val="continue"/>
            <w:shd w:val="clear" w:color="auto" w:fill="DBDBDB"/>
          </w:tcPr>
          <w:p>
            <w:pPr>
              <w:spacing w:after="0"/>
              <w:rPr>
                <w:sz w:val="7"/>
                <w:szCs w:val="7"/>
                <w:color w:val="auto"/>
              </w:rPr>
            </w:pPr>
          </w:p>
        </w:tc>
        <w:tc>
          <w:tcPr>
            <w:tcW w:w="0" w:type="dxa"/>
            <w:vAlign w:val="bottom"/>
          </w:tcPr>
          <w:p>
            <w:pPr>
              <w:spacing w:after="0"/>
              <w:rPr>
                <w:sz w:val="1"/>
                <w:szCs w:val="1"/>
                <w:color w:val="auto"/>
              </w:rPr>
            </w:pPr>
          </w:p>
        </w:tc>
      </w:tr>
      <w:tr>
        <w:trPr>
          <w:trHeight w:val="178"/>
        </w:trPr>
        <w:tc>
          <w:tcPr>
            <w:tcW w:w="3020" w:type="dxa"/>
            <w:vAlign w:val="bottom"/>
            <w:vMerge w:val="restart"/>
          </w:tcPr>
          <w:p>
            <w:pPr>
              <w:ind w:left="20"/>
              <w:spacing w:after="0"/>
              <w:rPr>
                <w:sz w:val="20"/>
                <w:szCs w:val="20"/>
                <w:color w:val="auto"/>
              </w:rPr>
            </w:pPr>
            <w:r>
              <w:rPr>
                <w:rFonts w:ascii="Arial" w:cs="Arial" w:eastAsia="Arial" w:hAnsi="Arial"/>
                <w:sz w:val="14"/>
                <w:szCs w:val="14"/>
                <w:color w:val="auto"/>
              </w:rPr>
              <w:t>25% days inventory outstanding</w:t>
            </w:r>
          </w:p>
        </w:tc>
        <w:tc>
          <w:tcPr>
            <w:tcW w:w="1240" w:type="dxa"/>
            <w:vAlign w:val="bottom"/>
            <w:vMerge w:val="restart"/>
          </w:tcPr>
          <w:p>
            <w:pPr>
              <w:jc w:val="center"/>
              <w:spacing w:after="0"/>
              <w:rPr>
                <w:sz w:val="20"/>
                <w:szCs w:val="20"/>
                <w:color w:val="auto"/>
              </w:rPr>
            </w:pPr>
            <w:r>
              <w:rPr>
                <w:rFonts w:ascii="Arial" w:cs="Arial" w:eastAsia="Arial" w:hAnsi="Arial"/>
                <w:sz w:val="14"/>
                <w:szCs w:val="14"/>
                <w:color w:val="auto"/>
              </w:rPr>
              <w:t>166.33</w:t>
            </w:r>
          </w:p>
        </w:tc>
        <w:tc>
          <w:tcPr>
            <w:tcW w:w="1360" w:type="dxa"/>
            <w:vAlign w:val="bottom"/>
            <w:vMerge w:val="restart"/>
          </w:tcPr>
          <w:p>
            <w:pPr>
              <w:jc w:val="center"/>
              <w:spacing w:after="0"/>
              <w:rPr>
                <w:sz w:val="20"/>
                <w:szCs w:val="20"/>
                <w:color w:val="auto"/>
              </w:rPr>
            </w:pPr>
            <w:r>
              <w:rPr>
                <w:rFonts w:ascii="Arial" w:cs="Arial" w:eastAsia="Arial" w:hAnsi="Arial"/>
                <w:sz w:val="14"/>
                <w:szCs w:val="14"/>
                <w:color w:val="auto"/>
                <w:w w:val="97"/>
              </w:rPr>
              <w:t>151.21</w:t>
            </w:r>
          </w:p>
        </w:tc>
        <w:tc>
          <w:tcPr>
            <w:tcW w:w="1360" w:type="dxa"/>
            <w:vAlign w:val="bottom"/>
            <w:vMerge w:val="restart"/>
          </w:tcPr>
          <w:p>
            <w:pPr>
              <w:jc w:val="center"/>
              <w:spacing w:after="0"/>
              <w:rPr>
                <w:sz w:val="20"/>
                <w:szCs w:val="20"/>
                <w:color w:val="auto"/>
              </w:rPr>
            </w:pPr>
            <w:r>
              <w:rPr>
                <w:rFonts w:ascii="Arial" w:cs="Arial" w:eastAsia="Arial" w:hAnsi="Arial"/>
                <w:sz w:val="14"/>
                <w:szCs w:val="14"/>
                <w:color w:val="auto"/>
                <w:w w:val="97"/>
              </w:rPr>
              <w:t>136.09</w:t>
            </w:r>
          </w:p>
        </w:tc>
        <w:tc>
          <w:tcPr>
            <w:tcW w:w="2420" w:type="dxa"/>
            <w:vAlign w:val="bottom"/>
          </w:tcPr>
          <w:p>
            <w:pPr>
              <w:jc w:val="center"/>
              <w:spacing w:after="0"/>
              <w:rPr>
                <w:sz w:val="20"/>
                <w:szCs w:val="20"/>
                <w:color w:val="auto"/>
              </w:rPr>
            </w:pPr>
            <w:r>
              <w:rPr>
                <w:rFonts w:ascii="Arial" w:cs="Arial" w:eastAsia="Arial" w:hAnsi="Arial"/>
                <w:sz w:val="14"/>
                <w:szCs w:val="14"/>
                <w:color w:val="auto"/>
              </w:rPr>
              <w:t>153.70</w:t>
            </w:r>
          </w:p>
        </w:tc>
        <w:tc>
          <w:tcPr>
            <w:tcW w:w="0" w:type="dxa"/>
            <w:vAlign w:val="bottom"/>
          </w:tcPr>
          <w:p>
            <w:pPr>
              <w:spacing w:after="0"/>
              <w:rPr>
                <w:sz w:val="1"/>
                <w:szCs w:val="1"/>
                <w:color w:val="auto"/>
              </w:rPr>
            </w:pPr>
          </w:p>
        </w:tc>
      </w:tr>
      <w:tr>
        <w:trPr>
          <w:trHeight w:val="109"/>
        </w:trPr>
        <w:tc>
          <w:tcPr>
            <w:tcW w:w="3020" w:type="dxa"/>
            <w:vAlign w:val="bottom"/>
            <w:vMerge w:val="continue"/>
          </w:tcPr>
          <w:p>
            <w:pPr>
              <w:spacing w:after="0"/>
              <w:rPr>
                <w:sz w:val="9"/>
                <w:szCs w:val="9"/>
                <w:color w:val="auto"/>
              </w:rPr>
            </w:pPr>
          </w:p>
        </w:tc>
        <w:tc>
          <w:tcPr>
            <w:tcW w:w="1240" w:type="dxa"/>
            <w:vAlign w:val="bottom"/>
            <w:vMerge w:val="continue"/>
          </w:tcPr>
          <w:p>
            <w:pPr>
              <w:spacing w:after="0"/>
              <w:rPr>
                <w:sz w:val="9"/>
                <w:szCs w:val="9"/>
                <w:color w:val="auto"/>
              </w:rPr>
            </w:pPr>
          </w:p>
        </w:tc>
        <w:tc>
          <w:tcPr>
            <w:tcW w:w="1360" w:type="dxa"/>
            <w:vAlign w:val="bottom"/>
            <w:vMerge w:val="continue"/>
          </w:tcPr>
          <w:p>
            <w:pPr>
              <w:spacing w:after="0"/>
              <w:rPr>
                <w:sz w:val="9"/>
                <w:szCs w:val="9"/>
                <w:color w:val="auto"/>
              </w:rPr>
            </w:pPr>
          </w:p>
        </w:tc>
        <w:tc>
          <w:tcPr>
            <w:tcW w:w="1360" w:type="dxa"/>
            <w:vAlign w:val="bottom"/>
            <w:vMerge w:val="continue"/>
          </w:tcPr>
          <w:p>
            <w:pPr>
              <w:spacing w:after="0"/>
              <w:rPr>
                <w:sz w:val="9"/>
                <w:szCs w:val="9"/>
                <w:color w:val="auto"/>
              </w:rPr>
            </w:pPr>
          </w:p>
        </w:tc>
        <w:tc>
          <w:tcPr>
            <w:tcW w:w="2420" w:type="dxa"/>
            <w:vAlign w:val="bottom"/>
            <w:vMerge w:val="restart"/>
          </w:tcPr>
          <w:p>
            <w:pPr>
              <w:jc w:val="center"/>
              <w:spacing w:after="0"/>
              <w:rPr>
                <w:sz w:val="20"/>
                <w:szCs w:val="20"/>
                <w:color w:val="auto"/>
              </w:rPr>
            </w:pPr>
            <w:r>
              <w:rPr>
                <w:rFonts w:ascii="Arial" w:cs="Arial" w:eastAsia="Arial" w:hAnsi="Arial"/>
                <w:sz w:val="14"/>
                <w:szCs w:val="14"/>
                <w:color w:val="auto"/>
              </w:rPr>
              <w:t>(between threshold and target)</w:t>
            </w:r>
          </w:p>
        </w:tc>
        <w:tc>
          <w:tcPr>
            <w:tcW w:w="0" w:type="dxa"/>
            <w:vAlign w:val="bottom"/>
          </w:tcPr>
          <w:p>
            <w:pPr>
              <w:spacing w:after="0"/>
              <w:rPr>
                <w:sz w:val="1"/>
                <w:szCs w:val="1"/>
                <w:color w:val="auto"/>
              </w:rPr>
            </w:pPr>
          </w:p>
        </w:tc>
      </w:tr>
      <w:tr>
        <w:trPr>
          <w:trHeight w:val="80"/>
        </w:trPr>
        <w:tc>
          <w:tcPr>
            <w:tcW w:w="3020" w:type="dxa"/>
            <w:vAlign w:val="bottom"/>
          </w:tcPr>
          <w:p>
            <w:pPr>
              <w:spacing w:after="0"/>
              <w:rPr>
                <w:sz w:val="6"/>
                <w:szCs w:val="6"/>
                <w:color w:val="auto"/>
              </w:rPr>
            </w:pPr>
          </w:p>
        </w:tc>
        <w:tc>
          <w:tcPr>
            <w:tcW w:w="1240" w:type="dxa"/>
            <w:vAlign w:val="bottom"/>
          </w:tcPr>
          <w:p>
            <w:pPr>
              <w:spacing w:after="0"/>
              <w:rPr>
                <w:sz w:val="6"/>
                <w:szCs w:val="6"/>
                <w:color w:val="auto"/>
              </w:rPr>
            </w:pPr>
          </w:p>
        </w:tc>
        <w:tc>
          <w:tcPr>
            <w:tcW w:w="1360" w:type="dxa"/>
            <w:vAlign w:val="bottom"/>
          </w:tcPr>
          <w:p>
            <w:pPr>
              <w:spacing w:after="0"/>
              <w:rPr>
                <w:sz w:val="6"/>
                <w:szCs w:val="6"/>
                <w:color w:val="auto"/>
              </w:rPr>
            </w:pPr>
          </w:p>
        </w:tc>
        <w:tc>
          <w:tcPr>
            <w:tcW w:w="1360" w:type="dxa"/>
            <w:vAlign w:val="bottom"/>
          </w:tcPr>
          <w:p>
            <w:pPr>
              <w:spacing w:after="0"/>
              <w:rPr>
                <w:sz w:val="6"/>
                <w:szCs w:val="6"/>
                <w:color w:val="auto"/>
              </w:rPr>
            </w:pPr>
          </w:p>
        </w:tc>
        <w:tc>
          <w:tcPr>
            <w:tcW w:w="24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1"/>
        </w:trPr>
        <w:tc>
          <w:tcPr>
            <w:tcW w:w="30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3"/>
        </w:trPr>
        <w:tc>
          <w:tcPr>
            <w:tcW w:w="3020" w:type="dxa"/>
            <w:vAlign w:val="bottom"/>
            <w:shd w:val="clear" w:color="auto" w:fill="DBDBDB"/>
          </w:tcPr>
          <w:p>
            <w:pPr>
              <w:ind w:left="20"/>
              <w:spacing w:after="0"/>
              <w:rPr>
                <w:sz w:val="20"/>
                <w:szCs w:val="20"/>
                <w:color w:val="auto"/>
              </w:rPr>
            </w:pPr>
            <w:r>
              <w:rPr>
                <w:rFonts w:ascii="Arial" w:cs="Arial" w:eastAsia="Arial" w:hAnsi="Arial"/>
                <w:sz w:val="14"/>
                <w:szCs w:val="14"/>
                <w:b w:val="1"/>
                <w:bCs w:val="1"/>
                <w:color w:val="auto"/>
              </w:rPr>
              <w:t>International division performance payout</w:t>
            </w:r>
          </w:p>
        </w:tc>
        <w:tc>
          <w:tcPr>
            <w:tcW w:w="1240" w:type="dxa"/>
            <w:vAlign w:val="bottom"/>
            <w:shd w:val="clear" w:color="auto" w:fill="DBDBDB"/>
          </w:tcPr>
          <w:p>
            <w:pPr>
              <w:spacing w:after="0"/>
              <w:rPr>
                <w:sz w:val="18"/>
                <w:szCs w:val="18"/>
                <w:color w:val="auto"/>
              </w:rPr>
            </w:pPr>
          </w:p>
        </w:tc>
        <w:tc>
          <w:tcPr>
            <w:tcW w:w="1360" w:type="dxa"/>
            <w:vAlign w:val="bottom"/>
            <w:shd w:val="clear" w:color="auto" w:fill="DBDBDB"/>
          </w:tcPr>
          <w:p>
            <w:pPr>
              <w:spacing w:after="0"/>
              <w:rPr>
                <w:sz w:val="18"/>
                <w:szCs w:val="18"/>
                <w:color w:val="auto"/>
              </w:rPr>
            </w:pPr>
          </w:p>
        </w:tc>
        <w:tc>
          <w:tcPr>
            <w:tcW w:w="1360" w:type="dxa"/>
            <w:vAlign w:val="bottom"/>
            <w:shd w:val="clear" w:color="auto" w:fill="DBDBDB"/>
          </w:tcPr>
          <w:p>
            <w:pPr>
              <w:spacing w:after="0"/>
              <w:rPr>
                <w:sz w:val="18"/>
                <w:szCs w:val="18"/>
                <w:color w:val="auto"/>
              </w:rPr>
            </w:pPr>
          </w:p>
        </w:tc>
        <w:tc>
          <w:tcPr>
            <w:tcW w:w="2420" w:type="dxa"/>
            <w:vAlign w:val="bottom"/>
            <w:shd w:val="clear" w:color="auto" w:fill="DBDBDB"/>
          </w:tcPr>
          <w:p>
            <w:pPr>
              <w:jc w:val="center"/>
              <w:spacing w:after="0"/>
              <w:rPr>
                <w:sz w:val="20"/>
                <w:szCs w:val="20"/>
                <w:color w:val="auto"/>
              </w:rPr>
            </w:pPr>
            <w:r>
              <w:rPr>
                <w:rFonts w:ascii="Arial" w:cs="Arial" w:eastAsia="Arial" w:hAnsi="Arial"/>
                <w:sz w:val="14"/>
                <w:szCs w:val="14"/>
                <w:b w:val="1"/>
                <w:bCs w:val="1"/>
                <w:color w:val="auto"/>
              </w:rPr>
              <w:t>131.3% of target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23"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Discussion and Analysis</w:t>
      </w:r>
      <w:r>
        <w:rPr>
          <w:rFonts w:ascii="Arial" w:cs="Arial" w:eastAsia="Arial" w:hAnsi="Arial"/>
          <w:sz w:val="18"/>
          <w:szCs w:val="18"/>
          <w:color w:val="auto"/>
        </w:rPr>
        <w:t>. For NEOs with their annual cash incentive awards tied to solely corporate performance, their annual cash</w:t>
      </w:r>
    </w:p>
    <w:p>
      <w:pPr>
        <w:spacing w:after="0" w:line="9" w:lineRule="exact"/>
        <w:rPr>
          <w:sz w:val="20"/>
          <w:szCs w:val="20"/>
          <w:color w:val="auto"/>
        </w:rPr>
      </w:pPr>
    </w:p>
    <w:p>
      <w:pPr>
        <w:ind w:right="20"/>
        <w:spacing w:after="0" w:line="224" w:lineRule="auto"/>
        <w:rPr>
          <w:sz w:val="20"/>
          <w:szCs w:val="20"/>
          <w:color w:val="auto"/>
        </w:rPr>
      </w:pPr>
      <w:r>
        <w:rPr>
          <w:rFonts w:ascii="Arial" w:cs="Arial" w:eastAsia="Arial" w:hAnsi="Arial"/>
          <w:sz w:val="18"/>
          <w:szCs w:val="18"/>
          <w:color w:val="auto"/>
        </w:rPr>
        <w:t>incentive award payouts were at 39.6% of target, resulting in actual total cash compensation falling below target. Applying this payout to their individual target awards, this translated to payouts of fiscal year base salaries of approximately 52% for Mr. Olson and approximately 25% to</w:t>
      </w:r>
    </w:p>
    <w:p>
      <w:pPr>
        <w:spacing w:after="0" w:line="232" w:lineRule="auto"/>
        <w:rPr>
          <w:sz w:val="20"/>
          <w:szCs w:val="20"/>
          <w:color w:val="auto"/>
        </w:rPr>
      </w:pPr>
      <w:r>
        <w:rPr>
          <w:rFonts w:ascii="Arial" w:cs="Arial" w:eastAsia="Arial" w:hAnsi="Arial"/>
          <w:sz w:val="18"/>
          <w:szCs w:val="18"/>
          <w:color w:val="auto"/>
        </w:rPr>
        <w:t>28% for the other NEOs. For Ms. Dahl, whose annual cash incentive award was tied 50% to corporate performance (39.6% payout) and 50%</w:t>
      </w:r>
    </w:p>
    <w:p>
      <w:pPr>
        <w:spacing w:after="0" w:line="1" w:lineRule="exact"/>
        <w:rPr>
          <w:sz w:val="20"/>
          <w:szCs w:val="20"/>
          <w:color w:val="auto"/>
        </w:rPr>
      </w:pPr>
    </w:p>
    <w:p>
      <w:pPr>
        <w:spacing w:after="0" w:line="234" w:lineRule="auto"/>
        <w:rPr>
          <w:sz w:val="20"/>
          <w:szCs w:val="20"/>
          <w:color w:val="auto"/>
        </w:rPr>
      </w:pPr>
      <w:r>
        <w:rPr>
          <w:rFonts w:ascii="Arial" w:cs="Arial" w:eastAsia="Arial" w:hAnsi="Arial"/>
          <w:sz w:val="18"/>
          <w:szCs w:val="18"/>
          <w:color w:val="auto"/>
        </w:rPr>
        <w:t>to international division performance (131.3% payout), her payout was at 85.4% of target, representing a payout of 56% of her fiscal year base salary.</w:t>
      </w:r>
    </w:p>
    <w:p>
      <w:pPr>
        <w:spacing w:after="0" w:line="74" w:lineRule="exact"/>
        <w:rPr>
          <w:sz w:val="20"/>
          <w:szCs w:val="20"/>
          <w:color w:val="auto"/>
        </w:rPr>
      </w:pPr>
    </w:p>
    <w:p>
      <w:pPr>
        <w:ind w:firstLine="320"/>
        <w:spacing w:after="0" w:line="262" w:lineRule="auto"/>
        <w:rPr>
          <w:sz w:val="20"/>
          <w:szCs w:val="20"/>
          <w:color w:val="auto"/>
        </w:rPr>
      </w:pPr>
      <w:r>
        <w:rPr>
          <w:rFonts w:ascii="Arial" w:cs="Arial" w:eastAsia="Arial" w:hAnsi="Arial"/>
          <w:sz w:val="18"/>
          <w:szCs w:val="18"/>
          <w:i w:val="1"/>
          <w:iCs w:val="1"/>
          <w:color w:val="auto"/>
        </w:rPr>
        <w:t xml:space="preserve">Actual Cash Compensation Discussion and Analysis. </w:t>
      </w:r>
      <w:r>
        <w:rPr>
          <w:rFonts w:ascii="Arial" w:cs="Arial" w:eastAsia="Arial" w:hAnsi="Arial"/>
          <w:sz w:val="18"/>
          <w:szCs w:val="18"/>
          <w:color w:val="auto"/>
        </w:rPr>
        <w:t>Fiscal 2024 actual total cash compensation (which represents the sum of actual</w:t>
      </w:r>
      <w:r>
        <w:rPr>
          <w:rFonts w:ascii="Arial" w:cs="Arial" w:eastAsia="Arial" w:hAnsi="Arial"/>
          <w:sz w:val="18"/>
          <w:szCs w:val="18"/>
          <w:i w:val="1"/>
          <w:iCs w:val="1"/>
          <w:color w:val="auto"/>
        </w:rPr>
        <w:t xml:space="preserve"> </w:t>
      </w:r>
      <w:r>
        <w:rPr>
          <w:rFonts w:ascii="Arial" w:cs="Arial" w:eastAsia="Arial" w:hAnsi="Arial"/>
          <w:sz w:val="18"/>
          <w:szCs w:val="18"/>
          <w:color w:val="auto"/>
        </w:rPr>
        <w:t>fiscal 2024 base salary earnings and actual fiscal 2024 total annual cash incentive award payout) is reflected in the table below.</w:t>
      </w:r>
    </w:p>
    <w:p>
      <w:pPr>
        <w:spacing w:after="0" w:line="99" w:lineRule="exact"/>
        <w:rPr>
          <w:sz w:val="20"/>
          <w:szCs w:val="20"/>
          <w:color w:val="auto"/>
        </w:rPr>
      </w:pPr>
    </w:p>
    <w:tbl>
      <w:tblPr>
        <w:tblLayout w:type="fixed"/>
        <w:tblInd w:w="160" w:type="dxa"/>
        <w:tblCellMar>
          <w:top w:w="0" w:type="dxa"/>
          <w:left w:w="0" w:type="dxa"/>
          <w:bottom w:w="0" w:type="dxa"/>
          <w:right w:w="0" w:type="dxa"/>
        </w:tblCellMar>
      </w:tblPr>
      <w:tr>
        <w:trPr>
          <w:trHeight w:val="244"/>
        </w:trPr>
        <w:tc>
          <w:tcPr>
            <w:tcW w:w="1860" w:type="dxa"/>
            <w:vAlign w:val="bottom"/>
            <w:shd w:val="clear" w:color="auto" w:fill="BF2115"/>
          </w:tcPr>
          <w:p>
            <w:pPr>
              <w:spacing w:after="0"/>
              <w:rPr>
                <w:sz w:val="21"/>
                <w:szCs w:val="21"/>
                <w:color w:val="auto"/>
              </w:rPr>
            </w:pPr>
          </w:p>
        </w:tc>
        <w:tc>
          <w:tcPr>
            <w:tcW w:w="3260" w:type="dxa"/>
            <w:vAlign w:val="bottom"/>
            <w:shd w:val="clear" w:color="auto" w:fill="BF2115"/>
          </w:tcPr>
          <w:p>
            <w:pPr>
              <w:spacing w:after="0"/>
              <w:rPr>
                <w:sz w:val="21"/>
                <w:szCs w:val="21"/>
                <w:color w:val="auto"/>
              </w:rPr>
            </w:pPr>
          </w:p>
        </w:tc>
        <w:tc>
          <w:tcPr>
            <w:tcW w:w="3400" w:type="dxa"/>
            <w:vAlign w:val="bottom"/>
            <w:vMerge w:val="restart"/>
            <w:shd w:val="clear" w:color="auto" w:fill="BF2115"/>
          </w:tcPr>
          <w:p>
            <w:pPr>
              <w:jc w:val="center"/>
              <w:ind w:right="764"/>
              <w:spacing w:after="0"/>
              <w:rPr>
                <w:sz w:val="20"/>
                <w:szCs w:val="20"/>
                <w:color w:val="auto"/>
              </w:rPr>
            </w:pPr>
            <w:r>
              <w:rPr>
                <w:rFonts w:ascii="Arial" w:cs="Arial" w:eastAsia="Arial" w:hAnsi="Arial"/>
                <w:sz w:val="14"/>
                <w:szCs w:val="14"/>
                <w:b w:val="1"/>
                <w:bCs w:val="1"/>
                <w:color w:val="FFFFFF"/>
              </w:rPr>
              <w:t>Fiscal 2024</w:t>
            </w:r>
          </w:p>
        </w:tc>
        <w:tc>
          <w:tcPr>
            <w:tcW w:w="2420" w:type="dxa"/>
            <w:vAlign w:val="bottom"/>
            <w:shd w:val="clear" w:color="auto" w:fill="BF2115"/>
          </w:tcPr>
          <w:p>
            <w:pPr>
              <w:jc w:val="center"/>
              <w:ind w:right="304"/>
              <w:spacing w:after="0"/>
              <w:rPr>
                <w:sz w:val="20"/>
                <w:szCs w:val="20"/>
                <w:color w:val="auto"/>
              </w:rPr>
            </w:pPr>
            <w:r>
              <w:rPr>
                <w:rFonts w:ascii="Arial" w:cs="Arial" w:eastAsia="Arial" w:hAnsi="Arial"/>
                <w:sz w:val="14"/>
                <w:szCs w:val="14"/>
                <w:b w:val="1"/>
                <w:bCs w:val="1"/>
                <w:color w:val="FFFFFF"/>
              </w:rPr>
              <w:t>Fiscal 2024</w:t>
            </w:r>
          </w:p>
        </w:tc>
        <w:tc>
          <w:tcPr>
            <w:tcW w:w="0" w:type="dxa"/>
            <w:vAlign w:val="bottom"/>
          </w:tcPr>
          <w:p>
            <w:pPr>
              <w:spacing w:after="0"/>
              <w:rPr>
                <w:sz w:val="1"/>
                <w:szCs w:val="1"/>
                <w:color w:val="auto"/>
              </w:rPr>
            </w:pPr>
          </w:p>
        </w:tc>
      </w:tr>
      <w:tr>
        <w:trPr>
          <w:trHeight w:val="80"/>
        </w:trPr>
        <w:tc>
          <w:tcPr>
            <w:tcW w:w="1860" w:type="dxa"/>
            <w:vAlign w:val="bottom"/>
            <w:shd w:val="clear" w:color="auto" w:fill="BF2115"/>
          </w:tcPr>
          <w:p>
            <w:pPr>
              <w:spacing w:after="0"/>
              <w:rPr>
                <w:sz w:val="6"/>
                <w:szCs w:val="6"/>
                <w:color w:val="auto"/>
              </w:rPr>
            </w:pPr>
          </w:p>
        </w:tc>
        <w:tc>
          <w:tcPr>
            <w:tcW w:w="3260" w:type="dxa"/>
            <w:vAlign w:val="bottom"/>
            <w:vMerge w:val="restart"/>
            <w:shd w:val="clear" w:color="auto" w:fill="BF2115"/>
          </w:tcPr>
          <w:p>
            <w:pPr>
              <w:jc w:val="center"/>
              <w:spacing w:after="0"/>
              <w:rPr>
                <w:sz w:val="20"/>
                <w:szCs w:val="20"/>
                <w:color w:val="auto"/>
              </w:rPr>
            </w:pPr>
            <w:r>
              <w:rPr>
                <w:rFonts w:ascii="Arial" w:cs="Arial" w:eastAsia="Arial" w:hAnsi="Arial"/>
                <w:sz w:val="14"/>
                <w:szCs w:val="14"/>
                <w:b w:val="1"/>
                <w:bCs w:val="1"/>
                <w:color w:val="FFFFFF"/>
              </w:rPr>
              <w:t>Fiscal 2024</w:t>
            </w:r>
          </w:p>
        </w:tc>
        <w:tc>
          <w:tcPr>
            <w:tcW w:w="3400" w:type="dxa"/>
            <w:vAlign w:val="bottom"/>
            <w:vMerge w:val="continue"/>
            <w:shd w:val="clear" w:color="auto" w:fill="BF2115"/>
          </w:tcPr>
          <w:p>
            <w:pPr>
              <w:spacing w:after="0"/>
              <w:rPr>
                <w:sz w:val="6"/>
                <w:szCs w:val="6"/>
                <w:color w:val="auto"/>
              </w:rPr>
            </w:pPr>
          </w:p>
        </w:tc>
        <w:tc>
          <w:tcPr>
            <w:tcW w:w="2420" w:type="dxa"/>
            <w:vAlign w:val="bottom"/>
            <w:vMerge w:val="restart"/>
            <w:shd w:val="clear" w:color="auto" w:fill="BF2115"/>
          </w:tcPr>
          <w:p>
            <w:pPr>
              <w:jc w:val="center"/>
              <w:ind w:right="304"/>
              <w:spacing w:after="0"/>
              <w:rPr>
                <w:sz w:val="20"/>
                <w:szCs w:val="20"/>
                <w:color w:val="auto"/>
              </w:rPr>
            </w:pPr>
            <w:r>
              <w:rPr>
                <w:rFonts w:ascii="Arial" w:cs="Arial" w:eastAsia="Arial" w:hAnsi="Arial"/>
                <w:sz w:val="14"/>
                <w:szCs w:val="14"/>
                <w:b w:val="1"/>
                <w:bCs w:val="1"/>
                <w:color w:val="FFFFFF"/>
              </w:rPr>
              <w:t>Total Cash</w:t>
            </w:r>
          </w:p>
        </w:tc>
        <w:tc>
          <w:tcPr>
            <w:tcW w:w="0" w:type="dxa"/>
            <w:vAlign w:val="bottom"/>
          </w:tcPr>
          <w:p>
            <w:pPr>
              <w:spacing w:after="0"/>
              <w:rPr>
                <w:sz w:val="1"/>
                <w:szCs w:val="1"/>
                <w:color w:val="auto"/>
              </w:rPr>
            </w:pPr>
          </w:p>
        </w:tc>
      </w:tr>
      <w:tr>
        <w:trPr>
          <w:trHeight w:val="120"/>
        </w:trPr>
        <w:tc>
          <w:tcPr>
            <w:tcW w:w="1860" w:type="dxa"/>
            <w:vAlign w:val="bottom"/>
            <w:shd w:val="clear" w:color="auto" w:fill="BF2115"/>
          </w:tcPr>
          <w:p>
            <w:pPr>
              <w:spacing w:after="0"/>
              <w:rPr>
                <w:sz w:val="10"/>
                <w:szCs w:val="10"/>
                <w:color w:val="auto"/>
              </w:rPr>
            </w:pPr>
          </w:p>
        </w:tc>
        <w:tc>
          <w:tcPr>
            <w:tcW w:w="3260" w:type="dxa"/>
            <w:vAlign w:val="bottom"/>
            <w:vMerge w:val="continue"/>
            <w:shd w:val="clear" w:color="auto" w:fill="BF2115"/>
          </w:tcPr>
          <w:p>
            <w:pPr>
              <w:spacing w:after="0"/>
              <w:rPr>
                <w:sz w:val="10"/>
                <w:szCs w:val="10"/>
                <w:color w:val="auto"/>
              </w:rPr>
            </w:pPr>
          </w:p>
        </w:tc>
        <w:tc>
          <w:tcPr>
            <w:tcW w:w="3400" w:type="dxa"/>
            <w:vAlign w:val="bottom"/>
            <w:vMerge w:val="restart"/>
            <w:shd w:val="clear" w:color="auto" w:fill="BF2115"/>
          </w:tcPr>
          <w:p>
            <w:pPr>
              <w:jc w:val="center"/>
              <w:ind w:right="764"/>
              <w:spacing w:after="0"/>
              <w:rPr>
                <w:sz w:val="20"/>
                <w:szCs w:val="20"/>
                <w:color w:val="auto"/>
              </w:rPr>
            </w:pPr>
            <w:r>
              <w:rPr>
                <w:rFonts w:ascii="Arial" w:cs="Arial" w:eastAsia="Arial" w:hAnsi="Arial"/>
                <w:sz w:val="14"/>
                <w:szCs w:val="14"/>
                <w:b w:val="1"/>
                <w:bCs w:val="1"/>
                <w:color w:val="FFFFFF"/>
              </w:rPr>
              <w:t>Total Annual Cash</w:t>
            </w:r>
          </w:p>
        </w:tc>
        <w:tc>
          <w:tcPr>
            <w:tcW w:w="2420" w:type="dxa"/>
            <w:vAlign w:val="bottom"/>
            <w:vMerge w:val="continue"/>
            <w:shd w:val="clear" w:color="auto" w:fill="BF2115"/>
          </w:tcPr>
          <w:p>
            <w:pPr>
              <w:spacing w:after="0"/>
              <w:rPr>
                <w:sz w:val="10"/>
                <w:szCs w:val="10"/>
                <w:color w:val="auto"/>
              </w:rPr>
            </w:pPr>
          </w:p>
        </w:tc>
        <w:tc>
          <w:tcPr>
            <w:tcW w:w="0" w:type="dxa"/>
            <w:vAlign w:val="bottom"/>
          </w:tcPr>
          <w:p>
            <w:pPr>
              <w:spacing w:after="0"/>
              <w:rPr>
                <w:sz w:val="1"/>
                <w:szCs w:val="1"/>
                <w:color w:val="auto"/>
              </w:rPr>
            </w:pPr>
          </w:p>
        </w:tc>
      </w:tr>
      <w:tr>
        <w:trPr>
          <w:trHeight w:val="53"/>
        </w:trPr>
        <w:tc>
          <w:tcPr>
            <w:tcW w:w="1860" w:type="dxa"/>
            <w:vAlign w:val="bottom"/>
            <w:shd w:val="clear" w:color="auto" w:fill="BF2115"/>
          </w:tcPr>
          <w:p>
            <w:pPr>
              <w:spacing w:after="0"/>
              <w:rPr>
                <w:sz w:val="4"/>
                <w:szCs w:val="4"/>
                <w:color w:val="auto"/>
              </w:rPr>
            </w:pPr>
          </w:p>
        </w:tc>
        <w:tc>
          <w:tcPr>
            <w:tcW w:w="3260" w:type="dxa"/>
            <w:vAlign w:val="bottom"/>
            <w:vMerge w:val="restart"/>
            <w:shd w:val="clear" w:color="auto" w:fill="BF2115"/>
          </w:tcPr>
          <w:p>
            <w:pPr>
              <w:jc w:val="center"/>
              <w:spacing w:after="0"/>
              <w:rPr>
                <w:sz w:val="20"/>
                <w:szCs w:val="20"/>
                <w:color w:val="auto"/>
              </w:rPr>
            </w:pPr>
            <w:r>
              <w:rPr>
                <w:rFonts w:ascii="Arial" w:cs="Arial" w:eastAsia="Arial" w:hAnsi="Arial"/>
                <w:sz w:val="14"/>
                <w:szCs w:val="14"/>
                <w:b w:val="1"/>
                <w:bCs w:val="1"/>
                <w:color w:val="FFFFFF"/>
              </w:rPr>
              <w:t>Base Salary Earnings</w:t>
            </w:r>
          </w:p>
        </w:tc>
        <w:tc>
          <w:tcPr>
            <w:tcW w:w="3400" w:type="dxa"/>
            <w:vAlign w:val="bottom"/>
            <w:vMerge w:val="continue"/>
            <w:shd w:val="clear" w:color="auto" w:fill="BF2115"/>
          </w:tcPr>
          <w:p>
            <w:pPr>
              <w:spacing w:after="0"/>
              <w:rPr>
                <w:sz w:val="4"/>
                <w:szCs w:val="4"/>
                <w:color w:val="auto"/>
              </w:rPr>
            </w:pPr>
          </w:p>
        </w:tc>
        <w:tc>
          <w:tcPr>
            <w:tcW w:w="2420" w:type="dxa"/>
            <w:vAlign w:val="bottom"/>
            <w:vMerge w:val="restart"/>
            <w:shd w:val="clear" w:color="auto" w:fill="BF2115"/>
          </w:tcPr>
          <w:p>
            <w:pPr>
              <w:jc w:val="center"/>
              <w:ind w:right="324"/>
              <w:spacing w:after="0"/>
              <w:rPr>
                <w:sz w:val="20"/>
                <w:szCs w:val="20"/>
                <w:color w:val="auto"/>
              </w:rPr>
            </w:pPr>
            <w:r>
              <w:rPr>
                <w:rFonts w:ascii="Arial" w:cs="Arial" w:eastAsia="Arial" w:hAnsi="Arial"/>
                <w:sz w:val="14"/>
                <w:szCs w:val="14"/>
                <w:b w:val="1"/>
                <w:bCs w:val="1"/>
                <w:color w:val="FFFFFF"/>
              </w:rPr>
              <w:t>Compensation</w:t>
            </w:r>
          </w:p>
        </w:tc>
        <w:tc>
          <w:tcPr>
            <w:tcW w:w="0" w:type="dxa"/>
            <w:vAlign w:val="bottom"/>
          </w:tcPr>
          <w:p>
            <w:pPr>
              <w:spacing w:after="0"/>
              <w:rPr>
                <w:sz w:val="1"/>
                <w:szCs w:val="1"/>
                <w:color w:val="auto"/>
              </w:rPr>
            </w:pPr>
          </w:p>
        </w:tc>
      </w:tr>
      <w:tr>
        <w:trPr>
          <w:trHeight w:val="151"/>
        </w:trPr>
        <w:tc>
          <w:tcPr>
            <w:tcW w:w="1860" w:type="dxa"/>
            <w:vAlign w:val="bottom"/>
            <w:shd w:val="clear" w:color="auto" w:fill="BF2115"/>
          </w:tcPr>
          <w:p>
            <w:pPr>
              <w:spacing w:after="0"/>
              <w:rPr>
                <w:sz w:val="13"/>
                <w:szCs w:val="13"/>
                <w:color w:val="auto"/>
              </w:rPr>
            </w:pPr>
          </w:p>
        </w:tc>
        <w:tc>
          <w:tcPr>
            <w:tcW w:w="3260" w:type="dxa"/>
            <w:vAlign w:val="bottom"/>
            <w:vMerge w:val="continue"/>
            <w:shd w:val="clear" w:color="auto" w:fill="BF2115"/>
          </w:tcPr>
          <w:p>
            <w:pPr>
              <w:spacing w:after="0"/>
              <w:rPr>
                <w:sz w:val="13"/>
                <w:szCs w:val="13"/>
                <w:color w:val="auto"/>
              </w:rPr>
            </w:pPr>
          </w:p>
        </w:tc>
        <w:tc>
          <w:tcPr>
            <w:tcW w:w="3400" w:type="dxa"/>
            <w:vAlign w:val="bottom"/>
            <w:shd w:val="clear" w:color="auto" w:fill="BF2115"/>
          </w:tcPr>
          <w:p>
            <w:pPr>
              <w:jc w:val="center"/>
              <w:ind w:right="764"/>
              <w:spacing w:after="0" w:line="151" w:lineRule="exact"/>
              <w:rPr>
                <w:sz w:val="20"/>
                <w:szCs w:val="20"/>
                <w:color w:val="auto"/>
              </w:rPr>
            </w:pPr>
            <w:r>
              <w:rPr>
                <w:rFonts w:ascii="Arial" w:cs="Arial" w:eastAsia="Arial" w:hAnsi="Arial"/>
                <w:sz w:val="14"/>
                <w:szCs w:val="14"/>
                <w:b w:val="1"/>
                <w:bCs w:val="1"/>
                <w:color w:val="FFFFFF"/>
              </w:rPr>
              <w:t>Incentive Award Payout</w:t>
            </w:r>
          </w:p>
        </w:tc>
        <w:tc>
          <w:tcPr>
            <w:tcW w:w="2420" w:type="dxa"/>
            <w:vAlign w:val="bottom"/>
            <w:vMerge w:val="continue"/>
            <w:shd w:val="clear" w:color="auto" w:fill="BF2115"/>
          </w:tcPr>
          <w:p>
            <w:pPr>
              <w:spacing w:after="0"/>
              <w:rPr>
                <w:sz w:val="13"/>
                <w:szCs w:val="13"/>
                <w:color w:val="auto"/>
              </w:rPr>
            </w:pPr>
          </w:p>
        </w:tc>
        <w:tc>
          <w:tcPr>
            <w:tcW w:w="0" w:type="dxa"/>
            <w:vAlign w:val="bottom"/>
          </w:tcPr>
          <w:p>
            <w:pPr>
              <w:spacing w:after="0"/>
              <w:rPr>
                <w:sz w:val="1"/>
                <w:szCs w:val="1"/>
                <w:color w:val="auto"/>
              </w:rPr>
            </w:pPr>
          </w:p>
        </w:tc>
      </w:tr>
      <w:tr>
        <w:trPr>
          <w:trHeight w:val="205"/>
        </w:trPr>
        <w:tc>
          <w:tcPr>
            <w:tcW w:w="1860" w:type="dxa"/>
            <w:vAlign w:val="bottom"/>
            <w:shd w:val="clear" w:color="auto" w:fill="BF2115"/>
          </w:tcPr>
          <w:p>
            <w:pPr>
              <w:spacing w:after="0"/>
              <w:rPr>
                <w:sz w:val="20"/>
                <w:szCs w:val="20"/>
                <w:color w:val="auto"/>
              </w:rPr>
            </w:pPr>
            <w:r>
              <w:rPr>
                <w:rFonts w:ascii="Arial" w:cs="Arial" w:eastAsia="Arial" w:hAnsi="Arial"/>
                <w:sz w:val="14"/>
                <w:szCs w:val="14"/>
                <w:b w:val="1"/>
                <w:bCs w:val="1"/>
                <w:color w:val="FFFFFF"/>
              </w:rPr>
              <w:t>Name</w:t>
            </w:r>
          </w:p>
        </w:tc>
        <w:tc>
          <w:tcPr>
            <w:tcW w:w="3260" w:type="dxa"/>
            <w:vAlign w:val="bottom"/>
            <w:shd w:val="clear" w:color="auto" w:fill="BF2115"/>
          </w:tcPr>
          <w:p>
            <w:pPr>
              <w:jc w:val="center"/>
              <w:spacing w:after="0"/>
              <w:rPr>
                <w:sz w:val="20"/>
                <w:szCs w:val="20"/>
                <w:color w:val="auto"/>
              </w:rPr>
            </w:pPr>
            <w:r>
              <w:rPr>
                <w:rFonts w:ascii="Arial" w:cs="Arial" w:eastAsia="Arial" w:hAnsi="Arial"/>
                <w:sz w:val="14"/>
                <w:szCs w:val="14"/>
                <w:b w:val="1"/>
                <w:bCs w:val="1"/>
                <w:color w:val="FFFFFF"/>
                <w:w w:val="93"/>
              </w:rPr>
              <w:t>($)</w:t>
            </w:r>
          </w:p>
        </w:tc>
        <w:tc>
          <w:tcPr>
            <w:tcW w:w="3400" w:type="dxa"/>
            <w:vAlign w:val="bottom"/>
            <w:shd w:val="clear" w:color="auto" w:fill="BF2115"/>
          </w:tcPr>
          <w:p>
            <w:pPr>
              <w:jc w:val="center"/>
              <w:ind w:right="764"/>
              <w:spacing w:after="0"/>
              <w:rPr>
                <w:sz w:val="20"/>
                <w:szCs w:val="20"/>
                <w:color w:val="auto"/>
              </w:rPr>
            </w:pPr>
            <w:r>
              <w:rPr>
                <w:rFonts w:ascii="Arial" w:cs="Arial" w:eastAsia="Arial" w:hAnsi="Arial"/>
                <w:sz w:val="14"/>
                <w:szCs w:val="14"/>
                <w:b w:val="1"/>
                <w:bCs w:val="1"/>
                <w:color w:val="FFFFFF"/>
                <w:w w:val="93"/>
              </w:rPr>
              <w:t>($)</w:t>
            </w:r>
          </w:p>
        </w:tc>
        <w:tc>
          <w:tcPr>
            <w:tcW w:w="2420" w:type="dxa"/>
            <w:vAlign w:val="bottom"/>
            <w:shd w:val="clear" w:color="auto" w:fill="BF2115"/>
          </w:tcPr>
          <w:p>
            <w:pPr>
              <w:jc w:val="center"/>
              <w:ind w:right="324"/>
              <w:spacing w:after="0"/>
              <w:rPr>
                <w:sz w:val="20"/>
                <w:szCs w:val="20"/>
                <w:color w:val="auto"/>
              </w:rPr>
            </w:pPr>
            <w:r>
              <w:rPr>
                <w:rFonts w:ascii="Arial" w:cs="Arial" w:eastAsia="Arial" w:hAnsi="Arial"/>
                <w:sz w:val="14"/>
                <w:szCs w:val="14"/>
                <w:b w:val="1"/>
                <w:bCs w:val="1"/>
                <w:color w:val="FFFFFF"/>
              </w:rPr>
              <w:t>($)</w:t>
            </w:r>
          </w:p>
        </w:tc>
        <w:tc>
          <w:tcPr>
            <w:tcW w:w="0" w:type="dxa"/>
            <w:vAlign w:val="bottom"/>
          </w:tcPr>
          <w:p>
            <w:pPr>
              <w:spacing w:after="0"/>
              <w:rPr>
                <w:sz w:val="1"/>
                <w:szCs w:val="1"/>
                <w:color w:val="auto"/>
              </w:rPr>
            </w:pPr>
          </w:p>
        </w:tc>
      </w:tr>
      <w:tr>
        <w:trPr>
          <w:trHeight w:val="211"/>
        </w:trPr>
        <w:tc>
          <w:tcPr>
            <w:tcW w:w="1860" w:type="dxa"/>
            <w:vAlign w:val="bottom"/>
          </w:tcPr>
          <w:p>
            <w:pPr>
              <w:spacing w:after="0"/>
              <w:rPr>
                <w:sz w:val="20"/>
                <w:szCs w:val="20"/>
                <w:color w:val="auto"/>
              </w:rPr>
            </w:pPr>
            <w:r>
              <w:rPr>
                <w:rFonts w:ascii="Arial" w:cs="Arial" w:eastAsia="Arial" w:hAnsi="Arial"/>
                <w:sz w:val="16"/>
                <w:szCs w:val="16"/>
                <w:color w:val="auto"/>
              </w:rPr>
              <w:t>Mr. Olson</w:t>
            </w:r>
          </w:p>
        </w:tc>
        <w:tc>
          <w:tcPr>
            <w:tcW w:w="3260" w:type="dxa"/>
            <w:vAlign w:val="bottom"/>
          </w:tcPr>
          <w:p>
            <w:pPr>
              <w:jc w:val="right"/>
              <w:ind w:right="383"/>
              <w:spacing w:after="0"/>
              <w:rPr>
                <w:sz w:val="20"/>
                <w:szCs w:val="20"/>
                <w:color w:val="auto"/>
              </w:rPr>
            </w:pPr>
            <w:r>
              <w:rPr>
                <w:rFonts w:ascii="Arial" w:cs="Arial" w:eastAsia="Arial" w:hAnsi="Arial"/>
                <w:sz w:val="16"/>
                <w:szCs w:val="16"/>
                <w:color w:val="auto"/>
              </w:rPr>
              <w:t>1,174,609</w:t>
            </w:r>
          </w:p>
        </w:tc>
        <w:tc>
          <w:tcPr>
            <w:tcW w:w="3400" w:type="dxa"/>
            <w:vAlign w:val="bottom"/>
          </w:tcPr>
          <w:p>
            <w:pPr>
              <w:jc w:val="right"/>
              <w:ind w:right="444"/>
              <w:spacing w:after="0"/>
              <w:rPr>
                <w:sz w:val="20"/>
                <w:szCs w:val="20"/>
                <w:color w:val="auto"/>
              </w:rPr>
            </w:pPr>
            <w:r>
              <w:rPr>
                <w:rFonts w:ascii="Arial" w:cs="Arial" w:eastAsia="Arial" w:hAnsi="Arial"/>
                <w:sz w:val="16"/>
                <w:szCs w:val="16"/>
                <w:color w:val="auto"/>
              </w:rPr>
              <w:t>604,994</w:t>
            </w:r>
          </w:p>
        </w:tc>
        <w:tc>
          <w:tcPr>
            <w:tcW w:w="2420" w:type="dxa"/>
            <w:vAlign w:val="bottom"/>
          </w:tcPr>
          <w:p>
            <w:pPr>
              <w:jc w:val="right"/>
              <w:spacing w:after="0"/>
              <w:rPr>
                <w:sz w:val="20"/>
                <w:szCs w:val="20"/>
                <w:color w:val="auto"/>
              </w:rPr>
            </w:pPr>
            <w:r>
              <w:rPr>
                <w:rFonts w:ascii="Arial" w:cs="Arial" w:eastAsia="Arial" w:hAnsi="Arial"/>
                <w:sz w:val="16"/>
                <w:szCs w:val="16"/>
                <w:color w:val="auto"/>
              </w:rPr>
              <w:t>1,779,603</w:t>
            </w:r>
          </w:p>
        </w:tc>
        <w:tc>
          <w:tcPr>
            <w:tcW w:w="0" w:type="dxa"/>
            <w:vAlign w:val="bottom"/>
          </w:tcPr>
          <w:p>
            <w:pPr>
              <w:spacing w:after="0"/>
              <w:rPr>
                <w:sz w:val="1"/>
                <w:szCs w:val="1"/>
                <w:color w:val="auto"/>
              </w:rPr>
            </w:pPr>
          </w:p>
        </w:tc>
      </w:tr>
      <w:tr>
        <w:trPr>
          <w:trHeight w:val="29"/>
        </w:trPr>
        <w:tc>
          <w:tcPr>
            <w:tcW w:w="1860" w:type="dxa"/>
            <w:vAlign w:val="bottom"/>
          </w:tcPr>
          <w:p>
            <w:pPr>
              <w:spacing w:after="0"/>
              <w:rPr>
                <w:sz w:val="2"/>
                <w:szCs w:val="2"/>
                <w:color w:val="auto"/>
              </w:rPr>
            </w:pPr>
          </w:p>
        </w:tc>
        <w:tc>
          <w:tcPr>
            <w:tcW w:w="3260" w:type="dxa"/>
            <w:vAlign w:val="bottom"/>
          </w:tcPr>
          <w:p>
            <w:pPr>
              <w:spacing w:after="0"/>
              <w:rPr>
                <w:sz w:val="2"/>
                <w:szCs w:val="2"/>
                <w:color w:val="auto"/>
              </w:rPr>
            </w:pPr>
          </w:p>
        </w:tc>
        <w:tc>
          <w:tcPr>
            <w:tcW w:w="3400" w:type="dxa"/>
            <w:vAlign w:val="bottom"/>
          </w:tcPr>
          <w:p>
            <w:pPr>
              <w:spacing w:after="0"/>
              <w:rPr>
                <w:sz w:val="2"/>
                <w:szCs w:val="2"/>
                <w:color w:val="auto"/>
              </w:rPr>
            </w:pPr>
          </w:p>
        </w:tc>
        <w:tc>
          <w:tcPr>
            <w:tcW w:w="2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1860" w:type="dxa"/>
            <w:vAlign w:val="bottom"/>
            <w:tcBorders>
              <w:bottom w:val="single" w:sz="8" w:color="DBDBDB"/>
            </w:tcBorders>
            <w:shd w:val="clear" w:color="auto" w:fill="DBDBDB"/>
          </w:tcPr>
          <w:p>
            <w:pPr>
              <w:spacing w:after="0"/>
              <w:rPr>
                <w:sz w:val="20"/>
                <w:szCs w:val="20"/>
                <w:color w:val="auto"/>
              </w:rPr>
            </w:pPr>
            <w:r>
              <w:rPr>
                <w:rFonts w:ascii="Arial" w:cs="Arial" w:eastAsia="Arial" w:hAnsi="Arial"/>
                <w:sz w:val="16"/>
                <w:szCs w:val="16"/>
                <w:color w:val="auto"/>
              </w:rPr>
              <w:t>Ms. Drake</w:t>
            </w:r>
          </w:p>
        </w:tc>
        <w:tc>
          <w:tcPr>
            <w:tcW w:w="3260" w:type="dxa"/>
            <w:vAlign w:val="bottom"/>
            <w:tcBorders>
              <w:bottom w:val="single" w:sz="8" w:color="DBDBDB"/>
            </w:tcBorders>
            <w:shd w:val="clear" w:color="auto" w:fill="DBDBDB"/>
          </w:tcPr>
          <w:p>
            <w:pPr>
              <w:jc w:val="right"/>
              <w:ind w:right="383"/>
              <w:spacing w:after="0"/>
              <w:rPr>
                <w:sz w:val="20"/>
                <w:szCs w:val="20"/>
                <w:color w:val="auto"/>
              </w:rPr>
            </w:pPr>
            <w:r>
              <w:rPr>
                <w:rFonts w:ascii="Arial" w:cs="Arial" w:eastAsia="Arial" w:hAnsi="Arial"/>
                <w:sz w:val="16"/>
                <w:szCs w:val="16"/>
                <w:color w:val="auto"/>
              </w:rPr>
              <w:t>579,813</w:t>
            </w:r>
          </w:p>
        </w:tc>
        <w:tc>
          <w:tcPr>
            <w:tcW w:w="3400" w:type="dxa"/>
            <w:vAlign w:val="bottom"/>
            <w:tcBorders>
              <w:bottom w:val="single" w:sz="8" w:color="DBDBDB"/>
            </w:tcBorders>
            <w:shd w:val="clear" w:color="auto" w:fill="DBDBDB"/>
          </w:tcPr>
          <w:p>
            <w:pPr>
              <w:jc w:val="right"/>
              <w:ind w:right="444"/>
              <w:spacing w:after="0"/>
              <w:rPr>
                <w:sz w:val="20"/>
                <w:szCs w:val="20"/>
                <w:color w:val="auto"/>
              </w:rPr>
            </w:pPr>
            <w:r>
              <w:rPr>
                <w:rFonts w:ascii="Arial" w:cs="Arial" w:eastAsia="Arial" w:hAnsi="Arial"/>
                <w:sz w:val="16"/>
                <w:szCs w:val="16"/>
                <w:color w:val="auto"/>
              </w:rPr>
              <w:t>160,805</w:t>
            </w:r>
          </w:p>
        </w:tc>
        <w:tc>
          <w:tcPr>
            <w:tcW w:w="242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6"/>
                <w:szCs w:val="16"/>
                <w:color w:val="auto"/>
              </w:rPr>
              <w:t>740,618</w:t>
            </w:r>
          </w:p>
        </w:tc>
        <w:tc>
          <w:tcPr>
            <w:tcW w:w="0" w:type="dxa"/>
            <w:vAlign w:val="bottom"/>
          </w:tcPr>
          <w:p>
            <w:pPr>
              <w:spacing w:after="0"/>
              <w:rPr>
                <w:sz w:val="1"/>
                <w:szCs w:val="1"/>
                <w:color w:val="auto"/>
              </w:rPr>
            </w:pPr>
          </w:p>
        </w:tc>
      </w:tr>
      <w:tr>
        <w:trPr>
          <w:trHeight w:val="211"/>
        </w:trPr>
        <w:tc>
          <w:tcPr>
            <w:tcW w:w="1860" w:type="dxa"/>
            <w:vAlign w:val="bottom"/>
          </w:tcPr>
          <w:p>
            <w:pPr>
              <w:spacing w:after="0"/>
              <w:rPr>
                <w:sz w:val="20"/>
                <w:szCs w:val="20"/>
                <w:color w:val="auto"/>
              </w:rPr>
            </w:pPr>
            <w:r>
              <w:rPr>
                <w:rFonts w:ascii="Arial" w:cs="Arial" w:eastAsia="Arial" w:hAnsi="Arial"/>
                <w:sz w:val="16"/>
                <w:szCs w:val="16"/>
                <w:color w:val="auto"/>
              </w:rPr>
              <w:t>Mr. Carpenter</w:t>
            </w:r>
          </w:p>
        </w:tc>
        <w:tc>
          <w:tcPr>
            <w:tcW w:w="3260" w:type="dxa"/>
            <w:vAlign w:val="bottom"/>
          </w:tcPr>
          <w:p>
            <w:pPr>
              <w:jc w:val="right"/>
              <w:ind w:right="383"/>
              <w:spacing w:after="0"/>
              <w:rPr>
                <w:sz w:val="20"/>
                <w:szCs w:val="20"/>
                <w:color w:val="auto"/>
              </w:rPr>
            </w:pPr>
            <w:r>
              <w:rPr>
                <w:rFonts w:ascii="Arial" w:cs="Arial" w:eastAsia="Arial" w:hAnsi="Arial"/>
                <w:sz w:val="16"/>
                <w:szCs w:val="16"/>
                <w:color w:val="auto"/>
              </w:rPr>
              <w:t>503,025</w:t>
            </w:r>
          </w:p>
        </w:tc>
        <w:tc>
          <w:tcPr>
            <w:tcW w:w="3400" w:type="dxa"/>
            <w:vAlign w:val="bottom"/>
          </w:tcPr>
          <w:p>
            <w:pPr>
              <w:jc w:val="right"/>
              <w:ind w:right="444"/>
              <w:spacing w:after="0"/>
              <w:rPr>
                <w:sz w:val="20"/>
                <w:szCs w:val="20"/>
                <w:color w:val="auto"/>
              </w:rPr>
            </w:pPr>
            <w:r>
              <w:rPr>
                <w:rFonts w:ascii="Arial" w:cs="Arial" w:eastAsia="Arial" w:hAnsi="Arial"/>
                <w:sz w:val="16"/>
                <w:szCs w:val="16"/>
                <w:color w:val="auto"/>
              </w:rPr>
              <w:t>129,544</w:t>
            </w:r>
          </w:p>
        </w:tc>
        <w:tc>
          <w:tcPr>
            <w:tcW w:w="2420" w:type="dxa"/>
            <w:vAlign w:val="bottom"/>
          </w:tcPr>
          <w:p>
            <w:pPr>
              <w:jc w:val="right"/>
              <w:spacing w:after="0"/>
              <w:rPr>
                <w:sz w:val="20"/>
                <w:szCs w:val="20"/>
                <w:color w:val="auto"/>
              </w:rPr>
            </w:pPr>
            <w:r>
              <w:rPr>
                <w:rFonts w:ascii="Arial" w:cs="Arial" w:eastAsia="Arial" w:hAnsi="Arial"/>
                <w:sz w:val="16"/>
                <w:szCs w:val="16"/>
                <w:color w:val="auto"/>
              </w:rPr>
              <w:t>632,569</w:t>
            </w:r>
          </w:p>
        </w:tc>
        <w:tc>
          <w:tcPr>
            <w:tcW w:w="0" w:type="dxa"/>
            <w:vAlign w:val="bottom"/>
          </w:tcPr>
          <w:p>
            <w:pPr>
              <w:spacing w:after="0"/>
              <w:rPr>
                <w:sz w:val="1"/>
                <w:szCs w:val="1"/>
                <w:color w:val="auto"/>
              </w:rPr>
            </w:pPr>
          </w:p>
        </w:tc>
      </w:tr>
      <w:tr>
        <w:trPr>
          <w:trHeight w:val="29"/>
        </w:trPr>
        <w:tc>
          <w:tcPr>
            <w:tcW w:w="1860" w:type="dxa"/>
            <w:vAlign w:val="bottom"/>
          </w:tcPr>
          <w:p>
            <w:pPr>
              <w:spacing w:after="0"/>
              <w:rPr>
                <w:sz w:val="2"/>
                <w:szCs w:val="2"/>
                <w:color w:val="auto"/>
              </w:rPr>
            </w:pPr>
          </w:p>
        </w:tc>
        <w:tc>
          <w:tcPr>
            <w:tcW w:w="3260" w:type="dxa"/>
            <w:vAlign w:val="bottom"/>
          </w:tcPr>
          <w:p>
            <w:pPr>
              <w:spacing w:after="0"/>
              <w:rPr>
                <w:sz w:val="2"/>
                <w:szCs w:val="2"/>
                <w:color w:val="auto"/>
              </w:rPr>
            </w:pPr>
          </w:p>
        </w:tc>
        <w:tc>
          <w:tcPr>
            <w:tcW w:w="3400" w:type="dxa"/>
            <w:vAlign w:val="bottom"/>
          </w:tcPr>
          <w:p>
            <w:pPr>
              <w:spacing w:after="0"/>
              <w:rPr>
                <w:sz w:val="2"/>
                <w:szCs w:val="2"/>
                <w:color w:val="auto"/>
              </w:rPr>
            </w:pPr>
          </w:p>
        </w:tc>
        <w:tc>
          <w:tcPr>
            <w:tcW w:w="2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1860" w:type="dxa"/>
            <w:vAlign w:val="bottom"/>
            <w:tcBorders>
              <w:bottom w:val="single" w:sz="8" w:color="DBDBDB"/>
            </w:tcBorders>
            <w:shd w:val="clear" w:color="auto" w:fill="DBDBDB"/>
          </w:tcPr>
          <w:p>
            <w:pPr>
              <w:spacing w:after="0"/>
              <w:rPr>
                <w:sz w:val="20"/>
                <w:szCs w:val="20"/>
                <w:color w:val="auto"/>
              </w:rPr>
            </w:pPr>
            <w:r>
              <w:rPr>
                <w:rFonts w:ascii="Arial" w:cs="Arial" w:eastAsia="Arial" w:hAnsi="Arial"/>
                <w:sz w:val="16"/>
                <w:szCs w:val="16"/>
                <w:color w:val="auto"/>
              </w:rPr>
              <w:t>Ms. Dahl</w:t>
            </w:r>
          </w:p>
        </w:tc>
        <w:tc>
          <w:tcPr>
            <w:tcW w:w="3260" w:type="dxa"/>
            <w:vAlign w:val="bottom"/>
            <w:tcBorders>
              <w:bottom w:val="single" w:sz="8" w:color="DBDBDB"/>
            </w:tcBorders>
            <w:shd w:val="clear" w:color="auto" w:fill="DBDBDB"/>
          </w:tcPr>
          <w:p>
            <w:pPr>
              <w:jc w:val="right"/>
              <w:ind w:right="383"/>
              <w:spacing w:after="0"/>
              <w:rPr>
                <w:sz w:val="20"/>
                <w:szCs w:val="20"/>
                <w:color w:val="auto"/>
              </w:rPr>
            </w:pPr>
            <w:r>
              <w:rPr>
                <w:rFonts w:ascii="Arial" w:cs="Arial" w:eastAsia="Arial" w:hAnsi="Arial"/>
                <w:sz w:val="16"/>
                <w:szCs w:val="16"/>
                <w:color w:val="auto"/>
              </w:rPr>
              <w:t>545,477</w:t>
            </w:r>
          </w:p>
        </w:tc>
        <w:tc>
          <w:tcPr>
            <w:tcW w:w="3400" w:type="dxa"/>
            <w:vAlign w:val="bottom"/>
            <w:tcBorders>
              <w:bottom w:val="single" w:sz="8" w:color="DBDBDB"/>
            </w:tcBorders>
            <w:shd w:val="clear" w:color="auto" w:fill="DBDBDB"/>
          </w:tcPr>
          <w:p>
            <w:pPr>
              <w:jc w:val="right"/>
              <w:ind w:right="444"/>
              <w:spacing w:after="0"/>
              <w:rPr>
                <w:sz w:val="20"/>
                <w:szCs w:val="20"/>
                <w:color w:val="auto"/>
              </w:rPr>
            </w:pPr>
            <w:r>
              <w:rPr>
                <w:rFonts w:ascii="Arial" w:cs="Arial" w:eastAsia="Arial" w:hAnsi="Arial"/>
                <w:sz w:val="16"/>
                <w:szCs w:val="16"/>
                <w:color w:val="auto"/>
              </w:rPr>
              <w:t>302,954</w:t>
            </w:r>
          </w:p>
        </w:tc>
        <w:tc>
          <w:tcPr>
            <w:tcW w:w="242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6"/>
                <w:szCs w:val="16"/>
                <w:color w:val="auto"/>
              </w:rPr>
              <w:t>848,431</w:t>
            </w:r>
          </w:p>
        </w:tc>
        <w:tc>
          <w:tcPr>
            <w:tcW w:w="0" w:type="dxa"/>
            <w:vAlign w:val="bottom"/>
          </w:tcPr>
          <w:p>
            <w:pPr>
              <w:spacing w:after="0"/>
              <w:rPr>
                <w:sz w:val="1"/>
                <w:szCs w:val="1"/>
                <w:color w:val="auto"/>
              </w:rPr>
            </w:pPr>
          </w:p>
        </w:tc>
      </w:tr>
      <w:tr>
        <w:trPr>
          <w:trHeight w:val="211"/>
        </w:trPr>
        <w:tc>
          <w:tcPr>
            <w:tcW w:w="1860" w:type="dxa"/>
            <w:vAlign w:val="bottom"/>
          </w:tcPr>
          <w:p>
            <w:pPr>
              <w:spacing w:after="0"/>
              <w:rPr>
                <w:sz w:val="20"/>
                <w:szCs w:val="20"/>
                <w:color w:val="auto"/>
              </w:rPr>
            </w:pPr>
            <w:r>
              <w:rPr>
                <w:rFonts w:ascii="Arial" w:cs="Arial" w:eastAsia="Arial" w:hAnsi="Arial"/>
                <w:sz w:val="16"/>
                <w:szCs w:val="16"/>
                <w:color w:val="auto"/>
              </w:rPr>
              <w:t>Ms. Totsky</w:t>
            </w:r>
          </w:p>
        </w:tc>
        <w:tc>
          <w:tcPr>
            <w:tcW w:w="3260" w:type="dxa"/>
            <w:vAlign w:val="bottom"/>
          </w:tcPr>
          <w:p>
            <w:pPr>
              <w:jc w:val="right"/>
              <w:ind w:right="383"/>
              <w:spacing w:after="0"/>
              <w:rPr>
                <w:sz w:val="20"/>
                <w:szCs w:val="20"/>
                <w:color w:val="auto"/>
              </w:rPr>
            </w:pPr>
            <w:r>
              <w:rPr>
                <w:rFonts w:ascii="Arial" w:cs="Arial" w:eastAsia="Arial" w:hAnsi="Arial"/>
                <w:sz w:val="16"/>
                <w:szCs w:val="16"/>
                <w:color w:val="auto"/>
              </w:rPr>
              <w:t>564,474</w:t>
            </w:r>
          </w:p>
        </w:tc>
        <w:tc>
          <w:tcPr>
            <w:tcW w:w="3400" w:type="dxa"/>
            <w:vAlign w:val="bottom"/>
          </w:tcPr>
          <w:p>
            <w:pPr>
              <w:jc w:val="right"/>
              <w:ind w:right="444"/>
              <w:spacing w:after="0"/>
              <w:rPr>
                <w:sz w:val="20"/>
                <w:szCs w:val="20"/>
                <w:color w:val="auto"/>
              </w:rPr>
            </w:pPr>
            <w:r>
              <w:rPr>
                <w:rFonts w:ascii="Arial" w:cs="Arial" w:eastAsia="Arial" w:hAnsi="Arial"/>
                <w:sz w:val="16"/>
                <w:szCs w:val="16"/>
                <w:color w:val="auto"/>
              </w:rPr>
              <w:t>145,369</w:t>
            </w:r>
          </w:p>
        </w:tc>
        <w:tc>
          <w:tcPr>
            <w:tcW w:w="2420" w:type="dxa"/>
            <w:vAlign w:val="bottom"/>
          </w:tcPr>
          <w:p>
            <w:pPr>
              <w:jc w:val="right"/>
              <w:spacing w:after="0"/>
              <w:rPr>
                <w:sz w:val="20"/>
                <w:szCs w:val="20"/>
                <w:color w:val="auto"/>
              </w:rPr>
            </w:pPr>
            <w:r>
              <w:rPr>
                <w:rFonts w:ascii="Arial" w:cs="Arial" w:eastAsia="Arial" w:hAnsi="Arial"/>
                <w:sz w:val="16"/>
                <w:szCs w:val="16"/>
                <w:color w:val="auto"/>
              </w:rPr>
              <w:t>709,843</w:t>
            </w:r>
          </w:p>
        </w:tc>
        <w:tc>
          <w:tcPr>
            <w:tcW w:w="0" w:type="dxa"/>
            <w:vAlign w:val="bottom"/>
          </w:tcPr>
          <w:p>
            <w:pPr>
              <w:spacing w:after="0"/>
              <w:rPr>
                <w:sz w:val="1"/>
                <w:szCs w:val="1"/>
                <w:color w:val="auto"/>
              </w:rPr>
            </w:pPr>
          </w:p>
        </w:tc>
      </w:tr>
    </w:tbl>
    <w:p>
      <w:pPr>
        <w:spacing w:after="0" w:line="197"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Long-Term Incentives</w:t>
      </w:r>
    </w:p>
    <w:p>
      <w:pPr>
        <w:spacing w:after="0" w:line="102" w:lineRule="exact"/>
        <w:rPr>
          <w:sz w:val="20"/>
          <w:szCs w:val="20"/>
          <w:color w:val="auto"/>
        </w:rPr>
      </w:pPr>
    </w:p>
    <w:p>
      <w:pPr>
        <w:ind w:firstLine="320"/>
        <w:spacing w:after="0" w:line="247" w:lineRule="auto"/>
        <w:rPr>
          <w:sz w:val="20"/>
          <w:szCs w:val="20"/>
          <w:color w:val="auto"/>
        </w:rPr>
      </w:pPr>
      <w:r>
        <w:rPr>
          <w:rFonts w:ascii="Arial" w:cs="Arial" w:eastAsia="Arial" w:hAnsi="Arial"/>
          <w:sz w:val="17"/>
          <w:szCs w:val="17"/>
          <w:i w:val="1"/>
          <w:iCs w:val="1"/>
          <w:color w:val="auto"/>
        </w:rPr>
        <w:t xml:space="preserve">General. </w:t>
      </w:r>
      <w:r>
        <w:rPr>
          <w:rFonts w:ascii="Arial" w:cs="Arial" w:eastAsia="Arial" w:hAnsi="Arial"/>
          <w:sz w:val="17"/>
          <w:szCs w:val="17"/>
          <w:color w:val="auto"/>
        </w:rPr>
        <w:t>We believe our use of long-term incentives tied to our common stock, along with our stock ownership guidelines, align the</w:t>
      </w:r>
      <w:r>
        <w:rPr>
          <w:rFonts w:ascii="Arial" w:cs="Arial" w:eastAsia="Arial" w:hAnsi="Arial"/>
          <w:sz w:val="17"/>
          <w:szCs w:val="17"/>
          <w:i w:val="1"/>
          <w:iCs w:val="1"/>
          <w:color w:val="auto"/>
        </w:rPr>
        <w:t xml:space="preserve"> </w:t>
      </w:r>
      <w:r>
        <w:rPr>
          <w:rFonts w:ascii="Arial" w:cs="Arial" w:eastAsia="Arial" w:hAnsi="Arial"/>
          <w:sz w:val="17"/>
          <w:szCs w:val="17"/>
          <w:color w:val="auto"/>
        </w:rPr>
        <w:t>interests of our executive officers with the interest of our shareholders. Therefore, we provide the opportunity for our executive officers to earn</w:t>
      </w:r>
    </w:p>
    <w:p>
      <w:pPr>
        <w:spacing w:after="0" w:line="1" w:lineRule="exact"/>
        <w:rPr>
          <w:sz w:val="20"/>
          <w:szCs w:val="20"/>
          <w:color w:val="auto"/>
        </w:rPr>
      </w:pPr>
    </w:p>
    <w:p>
      <w:pPr>
        <w:jc w:val="both"/>
        <w:spacing w:after="0" w:line="224" w:lineRule="auto"/>
        <w:rPr>
          <w:sz w:val="20"/>
          <w:szCs w:val="20"/>
          <w:color w:val="auto"/>
        </w:rPr>
      </w:pPr>
      <w:r>
        <w:rPr>
          <w:rFonts w:ascii="Arial" w:cs="Arial" w:eastAsia="Arial" w:hAnsi="Arial"/>
          <w:sz w:val="18"/>
          <w:szCs w:val="18"/>
          <w:color w:val="auto"/>
        </w:rPr>
        <w:t>market competitive long-term incentives in the form of annual stock options and performance share awards. In determining the size of these long-term incentive awards for each executive officer, we consider market data, the scope and complexity of the executive's position,</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experience, tenure, internal pay comparisons, function, division, and individual performance and historical targeted grant levels.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79375</wp:posOffset>
            </wp:positionV>
            <wp:extent cx="7159625" cy="425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097" w:right="339" w:bottom="1440" w:gutter="0" w:footer="0" w:header="0"/>
          <w:type w:val="continuous"/>
        </w:sectPr>
      </w:pPr>
    </w:p>
    <w:bookmarkStart w:id="51" w:name="page52"/>
    <w:bookmarkEnd w:id="51"/>
    <w:p>
      <w:pPr>
        <w:ind w:left="320"/>
        <w:spacing w:after="0"/>
        <w:rPr>
          <w:sz w:val="20"/>
          <w:szCs w:val="20"/>
          <w:color w:val="auto"/>
        </w:rPr>
      </w:pPr>
      <w:r>
        <w:rPr>
          <w:rFonts w:ascii="Arial" w:cs="Arial" w:eastAsia="Arial" w:hAnsi="Arial"/>
          <w:sz w:val="18"/>
          <w:szCs w:val="18"/>
          <w:color w:val="auto"/>
        </w:rPr>
        <w:t>Generally, one-half of the long-term incentive value is delivered in the form of stock options and one-half is delivered in the form of</w:t>
      </w:r>
    </w:p>
    <w:p>
      <w:pPr>
        <w:spacing w:after="0" w:line="9" w:lineRule="exact"/>
        <w:rPr>
          <w:sz w:val="20"/>
          <w:szCs w:val="20"/>
          <w:color w:val="auto"/>
        </w:rPr>
      </w:pPr>
    </w:p>
    <w:p>
      <w:pPr>
        <w:jc w:val="both"/>
        <w:spacing w:after="0" w:line="224" w:lineRule="auto"/>
        <w:rPr>
          <w:sz w:val="20"/>
          <w:szCs w:val="20"/>
          <w:color w:val="auto"/>
        </w:rPr>
      </w:pPr>
      <w:r>
        <w:rPr>
          <w:rFonts w:ascii="Arial" w:cs="Arial" w:eastAsia="Arial" w:hAnsi="Arial"/>
          <w:sz w:val="18"/>
          <w:szCs w:val="18"/>
          <w:color w:val="auto"/>
        </w:rPr>
        <w:t>performance share awards, both of which are approved by the Compensation &amp; Human Resources Committee at its regular meeting held in December. We believe this equity mix strikes the appropriate balance between rewarding achievement of Company specific performance</w:t>
      </w:r>
    </w:p>
    <w:p>
      <w:pPr>
        <w:spacing w:after="0" w:line="232" w:lineRule="auto"/>
        <w:rPr>
          <w:sz w:val="20"/>
          <w:szCs w:val="20"/>
          <w:color w:val="auto"/>
        </w:rPr>
      </w:pPr>
      <w:r>
        <w:rPr>
          <w:rFonts w:ascii="Arial" w:cs="Arial" w:eastAsia="Arial" w:hAnsi="Arial"/>
          <w:sz w:val="18"/>
          <w:szCs w:val="18"/>
          <w:color w:val="auto"/>
        </w:rPr>
        <w:t>measures and delivering long-term incentive value based on stock price appreciation. Actual value realized from our long-term incentive</w:t>
      </w:r>
    </w:p>
    <w:p>
      <w:pPr>
        <w:spacing w:after="0" w:line="1" w:lineRule="exact"/>
        <w:rPr>
          <w:sz w:val="20"/>
          <w:szCs w:val="20"/>
          <w:color w:val="auto"/>
        </w:rPr>
      </w:pPr>
    </w:p>
    <w:p>
      <w:pPr>
        <w:jc w:val="both"/>
        <w:spacing w:after="0" w:line="212" w:lineRule="auto"/>
        <w:rPr>
          <w:sz w:val="20"/>
          <w:szCs w:val="20"/>
          <w:color w:val="auto"/>
        </w:rPr>
      </w:pPr>
      <w:r>
        <w:rPr>
          <w:rFonts w:ascii="Arial" w:cs="Arial" w:eastAsia="Arial" w:hAnsi="Arial"/>
          <w:sz w:val="18"/>
          <w:szCs w:val="18"/>
          <w:color w:val="auto"/>
        </w:rPr>
        <w:t>awards may vary from the market 50</w:t>
      </w:r>
      <w:r>
        <w:rPr>
          <w:rFonts w:ascii="Arial" w:cs="Arial" w:eastAsia="Arial" w:hAnsi="Arial"/>
          <w:sz w:val="20"/>
          <w:szCs w:val="20"/>
          <w:color w:val="auto"/>
          <w:vertAlign w:val="superscript"/>
        </w:rPr>
        <w:t>th</w:t>
      </w:r>
      <w:r>
        <w:rPr>
          <w:rFonts w:ascii="Arial" w:cs="Arial" w:eastAsia="Arial" w:hAnsi="Arial"/>
          <w:sz w:val="18"/>
          <w:szCs w:val="18"/>
          <w:color w:val="auto"/>
        </w:rPr>
        <w:t xml:space="preserve"> percentile based on the price of our common stock and performance against the three-year cumulative financial goals for the performance share awards. In addition to stock options and performance share awards, we occasionally use restricted</w:t>
      </w:r>
    </w:p>
    <w:p>
      <w:pPr>
        <w:spacing w:after="0" w:line="1" w:lineRule="exact"/>
        <w:rPr>
          <w:sz w:val="20"/>
          <w:szCs w:val="20"/>
          <w:color w:val="auto"/>
        </w:rPr>
      </w:pPr>
    </w:p>
    <w:p>
      <w:pPr>
        <w:jc w:val="both"/>
        <w:spacing w:after="0" w:line="243" w:lineRule="auto"/>
        <w:rPr>
          <w:sz w:val="20"/>
          <w:szCs w:val="20"/>
          <w:color w:val="auto"/>
        </w:rPr>
      </w:pPr>
      <w:r>
        <w:rPr>
          <w:rFonts w:ascii="Arial" w:cs="Arial" w:eastAsia="Arial" w:hAnsi="Arial"/>
          <w:sz w:val="18"/>
          <w:szCs w:val="18"/>
          <w:color w:val="auto"/>
        </w:rPr>
        <w:t>stock unit awards in connection with the hiring of new executive officers, mid-year promotions of existing executive officers, leadership transition or retention purposes.</w:t>
      </w:r>
    </w:p>
    <w:p>
      <w:pPr>
        <w:spacing w:after="0" w:line="59" w:lineRule="exact"/>
        <w:rPr>
          <w:sz w:val="20"/>
          <w:szCs w:val="20"/>
          <w:color w:val="auto"/>
        </w:rPr>
      </w:pPr>
    </w:p>
    <w:p>
      <w:pPr>
        <w:jc w:val="both"/>
        <w:ind w:firstLine="320"/>
        <w:spacing w:after="0" w:line="247" w:lineRule="auto"/>
        <w:rPr>
          <w:sz w:val="20"/>
          <w:szCs w:val="20"/>
          <w:color w:val="auto"/>
        </w:rPr>
      </w:pPr>
      <w:r>
        <w:rPr>
          <w:rFonts w:ascii="Arial" w:cs="Arial" w:eastAsia="Arial" w:hAnsi="Arial"/>
          <w:sz w:val="18"/>
          <w:szCs w:val="18"/>
          <w:i w:val="1"/>
          <w:iCs w:val="1"/>
          <w:color w:val="auto"/>
        </w:rPr>
        <w:t xml:space="preserve">Stock Options. </w:t>
      </w:r>
      <w:r>
        <w:rPr>
          <w:rFonts w:ascii="Arial" w:cs="Arial" w:eastAsia="Arial" w:hAnsi="Arial"/>
          <w:sz w:val="18"/>
          <w:szCs w:val="18"/>
          <w:color w:val="auto"/>
        </w:rPr>
        <w:t>As the Committee's meeting is generally held before the announcement of our financial results for the recently completed</w:t>
      </w:r>
      <w:r>
        <w:rPr>
          <w:rFonts w:ascii="Arial" w:cs="Arial" w:eastAsia="Arial" w:hAnsi="Arial"/>
          <w:sz w:val="18"/>
          <w:szCs w:val="18"/>
          <w:i w:val="1"/>
          <w:iCs w:val="1"/>
          <w:color w:val="auto"/>
        </w:rPr>
        <w:t xml:space="preserve"> </w:t>
      </w:r>
      <w:r>
        <w:rPr>
          <w:rFonts w:ascii="Arial" w:cs="Arial" w:eastAsia="Arial" w:hAnsi="Arial"/>
          <w:sz w:val="18"/>
          <w:szCs w:val="18"/>
          <w:color w:val="auto"/>
        </w:rPr>
        <w:t>fiscal year, annual stock options for fiscal 2024 were granted on the fourth trading day following the filing of our Annual Report on Form 10-K (with the first day being the filing date), and have a per share exercise price equal to the closing price of our common stock on the grant date.</w:t>
      </w:r>
    </w:p>
    <w:p>
      <w:pPr>
        <w:spacing w:after="0" w:line="55" w:lineRule="exact"/>
        <w:rPr>
          <w:sz w:val="20"/>
          <w:szCs w:val="20"/>
          <w:color w:val="auto"/>
        </w:rPr>
      </w:pPr>
    </w:p>
    <w:p>
      <w:pPr>
        <w:jc w:val="both"/>
        <w:ind w:firstLine="320"/>
        <w:spacing w:after="0" w:line="247" w:lineRule="auto"/>
        <w:rPr>
          <w:sz w:val="20"/>
          <w:szCs w:val="20"/>
          <w:color w:val="auto"/>
        </w:rPr>
      </w:pPr>
      <w:r>
        <w:rPr>
          <w:rFonts w:ascii="Arial" w:cs="Arial" w:eastAsia="Arial" w:hAnsi="Arial"/>
          <w:sz w:val="18"/>
          <w:szCs w:val="18"/>
          <w:color w:val="auto"/>
        </w:rPr>
        <w:t>We believe our stock options are performance based - if we deliver strong shareholder returns, our stock price presumably will increase, thereby increasing the value of the stock options and executive officer resulting total compensation. If shareholder value is not delivered and our stock price does not increase, the options will have no value.</w:t>
      </w:r>
    </w:p>
    <w:p>
      <w:pPr>
        <w:spacing w:after="0" w:line="55" w:lineRule="exact"/>
        <w:rPr>
          <w:sz w:val="20"/>
          <w:szCs w:val="20"/>
          <w:color w:val="auto"/>
        </w:rPr>
      </w:pPr>
    </w:p>
    <w:p>
      <w:pPr>
        <w:jc w:val="both"/>
        <w:ind w:firstLine="320"/>
        <w:spacing w:after="0" w:line="241" w:lineRule="auto"/>
        <w:rPr>
          <w:sz w:val="20"/>
          <w:szCs w:val="20"/>
          <w:color w:val="auto"/>
        </w:rPr>
      </w:pPr>
      <w:r>
        <w:rPr>
          <w:rFonts w:ascii="Arial" w:cs="Arial" w:eastAsia="Arial" w:hAnsi="Arial"/>
          <w:sz w:val="18"/>
          <w:szCs w:val="18"/>
          <w:color w:val="auto"/>
        </w:rPr>
        <w:t>To determine the number of annual stock options to award our executive officers, we start with a total target value of options and divide that value by the expected value of an option, using a Black-Scholes option pricing method. Our annual stock options vest in annual equal</w:t>
      </w:r>
    </w:p>
    <w:p>
      <w:pPr>
        <w:spacing w:after="0" w:line="1" w:lineRule="exact"/>
        <w:rPr>
          <w:sz w:val="20"/>
          <w:szCs w:val="20"/>
          <w:color w:val="auto"/>
        </w:rPr>
      </w:pPr>
    </w:p>
    <w:p>
      <w:pPr>
        <w:jc w:val="both"/>
        <w:spacing w:after="0" w:line="224" w:lineRule="auto"/>
        <w:rPr>
          <w:sz w:val="20"/>
          <w:szCs w:val="20"/>
          <w:color w:val="auto"/>
        </w:rPr>
      </w:pPr>
      <w:r>
        <w:rPr>
          <w:rFonts w:ascii="Arial" w:cs="Arial" w:eastAsia="Arial" w:hAnsi="Arial"/>
          <w:sz w:val="18"/>
          <w:szCs w:val="18"/>
          <w:color w:val="auto"/>
        </w:rPr>
        <w:t>installments over three years, which three-year schedule is consistent with the three-year performance period for our performance share awards. We believe the three-year period for our long-term incentive awards provides retention value and focuses our executive officers on</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attainment of long-term performance.</w:t>
      </w:r>
    </w:p>
    <w:p>
      <w:pPr>
        <w:spacing w:after="0" w:line="71" w:lineRule="exact"/>
        <w:rPr>
          <w:sz w:val="20"/>
          <w:szCs w:val="20"/>
          <w:color w:val="auto"/>
        </w:rPr>
      </w:pPr>
    </w:p>
    <w:p>
      <w:pPr>
        <w:jc w:val="both"/>
        <w:ind w:firstLine="320"/>
        <w:spacing w:after="0" w:line="262" w:lineRule="auto"/>
        <w:rPr>
          <w:sz w:val="20"/>
          <w:szCs w:val="20"/>
          <w:color w:val="auto"/>
        </w:rPr>
      </w:pPr>
      <w:r>
        <w:rPr>
          <w:rFonts w:ascii="Arial" w:cs="Arial" w:eastAsia="Arial" w:hAnsi="Arial"/>
          <w:sz w:val="18"/>
          <w:szCs w:val="18"/>
          <w:color w:val="auto"/>
        </w:rPr>
        <w:t>Occasionally the Committee will grant stock options for use in certain situations, including hiring of new executive officers, mid-year promotions of existing executive officers, leadership transition or retention purposes. Vesting for these options is generally time-based.</w:t>
      </w:r>
    </w:p>
    <w:p>
      <w:pPr>
        <w:spacing w:after="0" w:line="55" w:lineRule="exact"/>
        <w:rPr>
          <w:sz w:val="20"/>
          <w:szCs w:val="20"/>
          <w:color w:val="auto"/>
        </w:rPr>
      </w:pPr>
    </w:p>
    <w:p>
      <w:pPr>
        <w:jc w:val="both"/>
        <w:ind w:firstLine="320"/>
        <w:spacing w:after="0" w:line="247" w:lineRule="auto"/>
        <w:rPr>
          <w:sz w:val="20"/>
          <w:szCs w:val="20"/>
          <w:color w:val="auto"/>
        </w:rPr>
      </w:pPr>
      <w:r>
        <w:rPr>
          <w:rFonts w:ascii="Arial" w:cs="Arial" w:eastAsia="Arial" w:hAnsi="Arial"/>
          <w:sz w:val="17"/>
          <w:szCs w:val="17"/>
          <w:i w:val="1"/>
          <w:iCs w:val="1"/>
          <w:color w:val="auto"/>
        </w:rPr>
        <w:t xml:space="preserve">Performance Share Awards. </w:t>
      </w:r>
      <w:r>
        <w:rPr>
          <w:rFonts w:ascii="Arial" w:cs="Arial" w:eastAsia="Arial" w:hAnsi="Arial"/>
          <w:sz w:val="17"/>
          <w:szCs w:val="17"/>
          <w:color w:val="auto"/>
        </w:rPr>
        <w:t>Performance share awards are granted each year at the December Committee meeting and then paid out in</w:t>
      </w:r>
      <w:r>
        <w:rPr>
          <w:rFonts w:ascii="Arial" w:cs="Arial" w:eastAsia="Arial" w:hAnsi="Arial"/>
          <w:sz w:val="17"/>
          <w:szCs w:val="17"/>
          <w:i w:val="1"/>
          <w:iCs w:val="1"/>
          <w:color w:val="auto"/>
        </w:rPr>
        <w:t xml:space="preserve"> </w:t>
      </w:r>
      <w:r>
        <w:rPr>
          <w:rFonts w:ascii="Arial" w:cs="Arial" w:eastAsia="Arial" w:hAnsi="Arial"/>
          <w:sz w:val="17"/>
          <w:szCs w:val="17"/>
          <w:color w:val="auto"/>
        </w:rPr>
        <w:t>shares of our common stock following completion of a three-year performance period if certain performance goals are achieved as determined</w:t>
      </w:r>
    </w:p>
    <w:p>
      <w:pPr>
        <w:spacing w:after="0" w:line="232" w:lineRule="auto"/>
        <w:rPr>
          <w:sz w:val="20"/>
          <w:szCs w:val="20"/>
          <w:color w:val="auto"/>
        </w:rPr>
      </w:pPr>
      <w:r>
        <w:rPr>
          <w:rFonts w:ascii="Arial" w:cs="Arial" w:eastAsia="Arial" w:hAnsi="Arial"/>
          <w:sz w:val="18"/>
          <w:szCs w:val="18"/>
          <w:color w:val="auto"/>
        </w:rPr>
        <w:t>by the Committee. The Committee establishes performance measures, weightings, goals and performance adjustment events, if any, for the</w:t>
      </w:r>
    </w:p>
    <w:p>
      <w:pPr>
        <w:spacing w:after="0" w:line="1" w:lineRule="exact"/>
        <w:rPr>
          <w:sz w:val="20"/>
          <w:szCs w:val="20"/>
          <w:color w:val="auto"/>
        </w:rPr>
      </w:pPr>
    </w:p>
    <w:p>
      <w:pPr>
        <w:jc w:val="both"/>
        <w:spacing w:after="0" w:line="224" w:lineRule="auto"/>
        <w:rPr>
          <w:sz w:val="20"/>
          <w:szCs w:val="20"/>
          <w:color w:val="auto"/>
        </w:rPr>
      </w:pPr>
      <w:r>
        <w:rPr>
          <w:rFonts w:ascii="Arial" w:cs="Arial" w:eastAsia="Arial" w:hAnsi="Arial"/>
          <w:sz w:val="18"/>
          <w:szCs w:val="18"/>
          <w:color w:val="auto"/>
        </w:rPr>
        <w:t>entire three-year performance period, as well as thresholds and maximums. Factors the Committee considers when establishing the performance goals for the three-year period include our prior fiscal year actual financial business results, our longer-term strategic plan</w:t>
      </w:r>
    </w:p>
    <w:p>
      <w:pPr>
        <w:spacing w:after="0" w:line="232" w:lineRule="auto"/>
        <w:rPr>
          <w:sz w:val="20"/>
          <w:szCs w:val="20"/>
          <w:color w:val="auto"/>
        </w:rPr>
      </w:pPr>
      <w:r>
        <w:rPr>
          <w:rFonts w:ascii="Arial" w:cs="Arial" w:eastAsia="Arial" w:hAnsi="Arial"/>
          <w:sz w:val="18"/>
          <w:szCs w:val="18"/>
          <w:color w:val="auto"/>
        </w:rPr>
        <w:t>outlook, including our projections for performance for years two and three of the three-year award term, and of our competitive situation and</w:t>
      </w:r>
    </w:p>
    <w:p>
      <w:pPr>
        <w:spacing w:after="0" w:line="1" w:lineRule="exact"/>
        <w:rPr>
          <w:sz w:val="20"/>
          <w:szCs w:val="20"/>
          <w:color w:val="auto"/>
        </w:rPr>
      </w:pPr>
    </w:p>
    <w:p>
      <w:pPr>
        <w:jc w:val="both"/>
        <w:spacing w:after="0" w:line="224" w:lineRule="auto"/>
        <w:rPr>
          <w:sz w:val="20"/>
          <w:szCs w:val="20"/>
          <w:color w:val="auto"/>
        </w:rPr>
      </w:pPr>
      <w:r>
        <w:rPr>
          <w:rFonts w:ascii="Arial" w:cs="Arial" w:eastAsia="Arial" w:hAnsi="Arial"/>
          <w:sz w:val="18"/>
          <w:szCs w:val="18"/>
          <w:color w:val="auto"/>
        </w:rPr>
        <w:t>outlook. At the end of the three-year performance period, Management presents a summary of, and the Committee certifies, performance against the performance goals, including the applicability of any adjustment events, and a corresponding payout, which is expressed as a</w:t>
      </w:r>
    </w:p>
    <w:p>
      <w:pPr>
        <w:spacing w:after="0" w:line="1" w:lineRule="exact"/>
        <w:rPr>
          <w:sz w:val="20"/>
          <w:szCs w:val="20"/>
          <w:color w:val="auto"/>
        </w:rPr>
      </w:pPr>
    </w:p>
    <w:p>
      <w:pPr>
        <w:jc w:val="both"/>
        <w:spacing w:after="0" w:line="243" w:lineRule="auto"/>
        <w:rPr>
          <w:sz w:val="20"/>
          <w:szCs w:val="20"/>
          <w:color w:val="auto"/>
        </w:rPr>
      </w:pPr>
      <w:r>
        <w:rPr>
          <w:rFonts w:ascii="Arial" w:cs="Arial" w:eastAsia="Arial" w:hAnsi="Arial"/>
          <w:sz w:val="18"/>
          <w:szCs w:val="18"/>
          <w:color w:val="auto"/>
        </w:rPr>
        <w:t>percent of target. Actual payouts can range from 0% (if the threshold performance levels are not met) to 200% of the target award (if maximum performance levels are met).</w:t>
      </w:r>
    </w:p>
    <w:p>
      <w:pPr>
        <w:spacing w:after="0" w:line="59" w:lineRule="exact"/>
        <w:rPr>
          <w:sz w:val="20"/>
          <w:szCs w:val="20"/>
          <w:color w:val="auto"/>
        </w:rPr>
      </w:pPr>
    </w:p>
    <w:p>
      <w:pPr>
        <w:jc w:val="both"/>
        <w:ind w:firstLine="320"/>
        <w:spacing w:after="0" w:line="241" w:lineRule="auto"/>
        <w:rPr>
          <w:sz w:val="20"/>
          <w:szCs w:val="20"/>
          <w:color w:val="auto"/>
        </w:rPr>
      </w:pPr>
      <w:r>
        <w:rPr>
          <w:rFonts w:ascii="Arial" w:cs="Arial" w:eastAsia="Arial" w:hAnsi="Arial"/>
          <w:sz w:val="18"/>
          <w:szCs w:val="18"/>
          <w:color w:val="auto"/>
        </w:rPr>
        <w:t>To determine the number of target performance share awards to be granted to our executive officers, we start with a total target value of performance share awards to be delivered. That value is divided by an expected value per share to determine the number of performance</w:t>
      </w:r>
    </w:p>
    <w:p>
      <w:pPr>
        <w:spacing w:after="0" w:line="1" w:lineRule="exact"/>
        <w:rPr>
          <w:sz w:val="20"/>
          <w:szCs w:val="20"/>
          <w:color w:val="auto"/>
        </w:rPr>
      </w:pPr>
    </w:p>
    <w:p>
      <w:pPr>
        <w:jc w:val="both"/>
        <w:spacing w:after="0" w:line="234" w:lineRule="auto"/>
        <w:rPr>
          <w:sz w:val="20"/>
          <w:szCs w:val="20"/>
          <w:color w:val="auto"/>
        </w:rPr>
      </w:pPr>
      <w:r>
        <w:rPr>
          <w:rFonts w:ascii="Arial" w:cs="Arial" w:eastAsia="Arial" w:hAnsi="Arial"/>
          <w:sz w:val="18"/>
          <w:szCs w:val="18"/>
          <w:color w:val="auto"/>
        </w:rPr>
        <w:t>share awards to grant at target. The expected value per share is equal to the average closing price of our common stock over the last three months of the prior fiscal year to help smooth out any price volatility in our common stock.</w:t>
      </w:r>
    </w:p>
    <w:p>
      <w:pPr>
        <w:spacing w:after="0" w:line="74"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 xml:space="preserve">Restricted Stock Unit Awards. </w:t>
      </w:r>
      <w:r>
        <w:rPr>
          <w:rFonts w:ascii="Arial" w:cs="Arial" w:eastAsia="Arial" w:hAnsi="Arial"/>
          <w:sz w:val="18"/>
          <w:szCs w:val="18"/>
          <w:color w:val="auto"/>
        </w:rPr>
        <w:t>Occasionally, the Committee will grant restricted stock unit awards for use in certain situations, including</w:t>
      </w:r>
    </w:p>
    <w:p>
      <w:pPr>
        <w:spacing w:after="0" w:line="9" w:lineRule="exact"/>
        <w:rPr>
          <w:sz w:val="20"/>
          <w:szCs w:val="20"/>
          <w:color w:val="auto"/>
        </w:rPr>
      </w:pPr>
    </w:p>
    <w:p>
      <w:pPr>
        <w:jc w:val="both"/>
        <w:spacing w:after="0" w:line="234" w:lineRule="auto"/>
        <w:rPr>
          <w:sz w:val="20"/>
          <w:szCs w:val="20"/>
          <w:color w:val="auto"/>
        </w:rPr>
      </w:pPr>
      <w:r>
        <w:rPr>
          <w:rFonts w:ascii="Arial" w:cs="Arial" w:eastAsia="Arial" w:hAnsi="Arial"/>
          <w:sz w:val="18"/>
          <w:szCs w:val="18"/>
          <w:color w:val="auto"/>
        </w:rPr>
        <w:t>hiring of new executive officers, mid-year promotions of existing executive officers, leadership transition or retention purposes. Vesting may be either performance-based or time-based.</w:t>
      </w:r>
    </w:p>
    <w:p>
      <w:pPr>
        <w:spacing w:after="0" w:line="74" w:lineRule="exact"/>
        <w:rPr>
          <w:sz w:val="20"/>
          <w:szCs w:val="20"/>
          <w:color w:val="auto"/>
        </w:rPr>
      </w:pPr>
    </w:p>
    <w:p>
      <w:pPr>
        <w:jc w:val="both"/>
        <w:ind w:firstLine="320"/>
        <w:spacing w:after="0" w:line="262" w:lineRule="auto"/>
        <w:rPr>
          <w:sz w:val="20"/>
          <w:szCs w:val="20"/>
          <w:color w:val="auto"/>
        </w:rPr>
      </w:pPr>
      <w:r>
        <w:rPr>
          <w:rFonts w:ascii="Arial" w:cs="Arial" w:eastAsia="Arial" w:hAnsi="Arial"/>
          <w:sz w:val="18"/>
          <w:szCs w:val="18"/>
          <w:i w:val="1"/>
          <w:iCs w:val="1"/>
          <w:color w:val="auto"/>
        </w:rPr>
        <w:t>Fiscal 2024 Grants</w:t>
      </w:r>
      <w:r>
        <w:rPr>
          <w:rFonts w:ascii="Arial" w:cs="Arial" w:eastAsia="Arial" w:hAnsi="Arial"/>
          <w:sz w:val="18"/>
          <w:szCs w:val="18"/>
          <w:color w:val="auto"/>
        </w:rPr>
        <w:t>. The number of stock options and performance share awards granted to our NEOs for fiscal 2024 can be found in the</w:t>
      </w:r>
      <w:r>
        <w:rPr>
          <w:rFonts w:ascii="Arial" w:cs="Arial" w:eastAsia="Arial" w:hAnsi="Arial"/>
          <w:sz w:val="18"/>
          <w:szCs w:val="18"/>
          <w:i w:val="1"/>
          <w:iCs w:val="1"/>
          <w:color w:val="auto"/>
        </w:rPr>
        <w:t xml:space="preserve"> </w:t>
      </w:r>
      <w:r>
        <w:rPr>
          <w:rFonts w:ascii="Arial" w:cs="Arial" w:eastAsia="Arial" w:hAnsi="Arial"/>
          <w:sz w:val="18"/>
          <w:szCs w:val="18"/>
          <w:color w:val="auto"/>
        </w:rPr>
        <w:t>"Grants of Plan-Based Awards for Fiscal 2024" table.</w:t>
      </w:r>
    </w:p>
    <w:p>
      <w:pPr>
        <w:spacing w:after="0" w:line="42" w:lineRule="exact"/>
        <w:rPr>
          <w:sz w:val="20"/>
          <w:szCs w:val="20"/>
          <w:color w:val="auto"/>
        </w:rPr>
      </w:pPr>
    </w:p>
    <w:p>
      <w:pPr>
        <w:jc w:val="both"/>
        <w:ind w:firstLine="320"/>
        <w:spacing w:after="0" w:line="247" w:lineRule="auto"/>
        <w:rPr>
          <w:sz w:val="20"/>
          <w:szCs w:val="20"/>
          <w:color w:val="auto"/>
        </w:rPr>
      </w:pPr>
      <w:r>
        <w:rPr>
          <w:rFonts w:ascii="Arial" w:cs="Arial" w:eastAsia="Arial" w:hAnsi="Arial"/>
          <w:sz w:val="18"/>
          <w:szCs w:val="18"/>
          <w:color w:val="auto"/>
        </w:rPr>
        <w:t>Additionally, we granted a restricted stock unit award to Mr. Carpenter for retention purposes. Mr. Carpenter's restricted stock unit award will fully vest at the end of three years. Details regarding this grant can be found in the "Grants of Plan-Based Awards for Fiscal 2024" table and the grant date fair value of this award can also be found in the Summary Compensation Table.</w:t>
      </w:r>
    </w:p>
    <w:p>
      <w:pPr>
        <w:spacing w:after="0" w:line="55" w:lineRule="exact"/>
        <w:rPr>
          <w:sz w:val="20"/>
          <w:szCs w:val="20"/>
          <w:color w:val="auto"/>
        </w:rPr>
      </w:pPr>
    </w:p>
    <w:p>
      <w:pPr>
        <w:jc w:val="both"/>
        <w:ind w:firstLine="320"/>
        <w:spacing w:after="0" w:line="262" w:lineRule="auto"/>
        <w:rPr>
          <w:sz w:val="20"/>
          <w:szCs w:val="20"/>
          <w:color w:val="auto"/>
        </w:rPr>
      </w:pPr>
      <w:r>
        <w:rPr>
          <w:rFonts w:ascii="Arial" w:cs="Arial" w:eastAsia="Arial" w:hAnsi="Arial"/>
          <w:sz w:val="18"/>
          <w:szCs w:val="18"/>
          <w:i w:val="1"/>
          <w:iCs w:val="1"/>
          <w:color w:val="auto"/>
        </w:rPr>
        <w:t xml:space="preserve">Performance Measures for the Performance Period Beginning in Fiscal 2024. </w:t>
      </w:r>
      <w:r>
        <w:rPr>
          <w:rFonts w:ascii="Arial" w:cs="Arial" w:eastAsia="Arial" w:hAnsi="Arial"/>
          <w:sz w:val="18"/>
          <w:szCs w:val="18"/>
          <w:color w:val="auto"/>
        </w:rPr>
        <w:t>For the fiscal 2024 to fiscal 2026 performance share awards,</w:t>
      </w:r>
      <w:r>
        <w:rPr>
          <w:rFonts w:ascii="Arial" w:cs="Arial" w:eastAsia="Arial" w:hAnsi="Arial"/>
          <w:sz w:val="18"/>
          <w:szCs w:val="18"/>
          <w:i w:val="1"/>
          <w:iCs w:val="1"/>
          <w:color w:val="auto"/>
        </w:rPr>
        <w:t xml:space="preserve"> </w:t>
      </w:r>
      <w:r>
        <w:rPr>
          <w:rFonts w:ascii="Arial" w:cs="Arial" w:eastAsia="Arial" w:hAnsi="Arial"/>
          <w:sz w:val="18"/>
          <w:szCs w:val="18"/>
          <w:color w:val="auto"/>
        </w:rPr>
        <w:t>the following corporate performance measures and weightings were established for all of our executive officers: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79375</wp:posOffset>
            </wp:positionV>
            <wp:extent cx="7159625" cy="425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097" w:right="339" w:bottom="1440" w:gutter="0" w:footer="0" w:header="0"/>
        </w:sectPr>
      </w:pPr>
    </w:p>
    <w:bookmarkStart w:id="52" w:name="page53"/>
    <w:bookmarkEnd w:id="52"/>
    <w:tbl>
      <w:tblPr>
        <w:tblLayout w:type="fixed"/>
        <w:tblInd w:w="1500" w:type="dxa"/>
        <w:tblCellMar>
          <w:top w:w="0" w:type="dxa"/>
          <w:left w:w="0" w:type="dxa"/>
          <w:bottom w:w="0" w:type="dxa"/>
          <w:right w:w="0" w:type="dxa"/>
        </w:tblCellMar>
      </w:tblPr>
      <w:tr>
        <w:trPr>
          <w:trHeight w:val="213"/>
        </w:trPr>
        <w:tc>
          <w:tcPr>
            <w:tcW w:w="4260" w:type="dxa"/>
            <w:vAlign w:val="bottom"/>
            <w:shd w:val="clear" w:color="auto" w:fill="BF2115"/>
          </w:tcPr>
          <w:p>
            <w:pPr>
              <w:ind w:left="20"/>
              <w:spacing w:after="0"/>
              <w:rPr>
                <w:sz w:val="20"/>
                <w:szCs w:val="20"/>
                <w:color w:val="auto"/>
              </w:rPr>
            </w:pPr>
            <w:r>
              <w:rPr>
                <w:rFonts w:ascii="Arial" w:cs="Arial" w:eastAsia="Arial" w:hAnsi="Arial"/>
                <w:sz w:val="14"/>
                <w:szCs w:val="14"/>
                <w:b w:val="1"/>
                <w:bCs w:val="1"/>
                <w:color w:val="FFFFFF"/>
              </w:rPr>
              <w:t>Performance Measures</w:t>
            </w:r>
          </w:p>
        </w:tc>
        <w:tc>
          <w:tcPr>
            <w:tcW w:w="3980" w:type="dxa"/>
            <w:vAlign w:val="bottom"/>
            <w:shd w:val="clear" w:color="auto" w:fill="BF2115"/>
          </w:tcPr>
          <w:p>
            <w:pPr>
              <w:jc w:val="center"/>
              <w:ind w:left="1383"/>
              <w:spacing w:after="0"/>
              <w:rPr>
                <w:sz w:val="20"/>
                <w:szCs w:val="20"/>
                <w:color w:val="auto"/>
              </w:rPr>
            </w:pPr>
            <w:r>
              <w:rPr>
                <w:rFonts w:ascii="Arial" w:cs="Arial" w:eastAsia="Arial" w:hAnsi="Arial"/>
                <w:sz w:val="14"/>
                <w:szCs w:val="14"/>
                <w:b w:val="1"/>
                <w:bCs w:val="1"/>
                <w:color w:val="FFFFFF"/>
              </w:rPr>
              <w:t>Weighting</w:t>
            </w:r>
          </w:p>
        </w:tc>
      </w:tr>
      <w:tr>
        <w:trPr>
          <w:trHeight w:val="211"/>
        </w:trPr>
        <w:tc>
          <w:tcPr>
            <w:tcW w:w="4260" w:type="dxa"/>
            <w:vAlign w:val="bottom"/>
          </w:tcPr>
          <w:p>
            <w:pPr>
              <w:ind w:left="20"/>
              <w:spacing w:after="0"/>
              <w:rPr>
                <w:sz w:val="20"/>
                <w:szCs w:val="20"/>
                <w:color w:val="auto"/>
              </w:rPr>
            </w:pPr>
            <w:r>
              <w:rPr>
                <w:rFonts w:ascii="Arial" w:cs="Arial" w:eastAsia="Arial" w:hAnsi="Arial"/>
                <w:sz w:val="16"/>
                <w:szCs w:val="16"/>
                <w:color w:val="auto"/>
              </w:rPr>
              <w:t>Return on invested capital</w:t>
            </w:r>
          </w:p>
        </w:tc>
        <w:tc>
          <w:tcPr>
            <w:tcW w:w="3980" w:type="dxa"/>
            <w:vAlign w:val="bottom"/>
          </w:tcPr>
          <w:p>
            <w:pPr>
              <w:jc w:val="center"/>
              <w:ind w:left="1383"/>
              <w:spacing w:after="0"/>
              <w:rPr>
                <w:sz w:val="20"/>
                <w:szCs w:val="20"/>
                <w:color w:val="auto"/>
              </w:rPr>
            </w:pPr>
            <w:r>
              <w:rPr>
                <w:rFonts w:ascii="Arial" w:cs="Arial" w:eastAsia="Arial" w:hAnsi="Arial"/>
                <w:sz w:val="16"/>
                <w:szCs w:val="16"/>
                <w:color w:val="auto"/>
                <w:w w:val="99"/>
              </w:rPr>
              <w:t>60%</w:t>
            </w:r>
          </w:p>
        </w:tc>
      </w:tr>
      <w:tr>
        <w:trPr>
          <w:trHeight w:val="239"/>
        </w:trPr>
        <w:tc>
          <w:tcPr>
            <w:tcW w:w="4260" w:type="dxa"/>
            <w:vAlign w:val="bottom"/>
          </w:tcPr>
          <w:p>
            <w:pPr>
              <w:ind w:left="20"/>
              <w:spacing w:after="0"/>
              <w:rPr>
                <w:sz w:val="20"/>
                <w:szCs w:val="20"/>
                <w:color w:val="auto"/>
              </w:rPr>
            </w:pPr>
            <w:r>
              <w:rPr>
                <w:rFonts w:ascii="Arial" w:cs="Arial" w:eastAsia="Arial" w:hAnsi="Arial"/>
                <w:sz w:val="16"/>
                <w:szCs w:val="16"/>
                <w:color w:val="auto"/>
              </w:rPr>
              <w:t>Corporate revenue</w:t>
            </w:r>
          </w:p>
        </w:tc>
        <w:tc>
          <w:tcPr>
            <w:tcW w:w="3980" w:type="dxa"/>
            <w:vAlign w:val="bottom"/>
          </w:tcPr>
          <w:p>
            <w:pPr>
              <w:jc w:val="center"/>
              <w:ind w:left="1383"/>
              <w:spacing w:after="0"/>
              <w:rPr>
                <w:sz w:val="20"/>
                <w:szCs w:val="20"/>
                <w:color w:val="auto"/>
              </w:rPr>
            </w:pPr>
            <w:r>
              <w:rPr>
                <w:rFonts w:ascii="Arial" w:cs="Arial" w:eastAsia="Arial" w:hAnsi="Arial"/>
                <w:sz w:val="16"/>
                <w:szCs w:val="16"/>
                <w:color w:val="auto"/>
                <w:w w:val="99"/>
              </w:rPr>
              <w:t>40%</w:t>
            </w:r>
          </w:p>
        </w:tc>
      </w:tr>
    </w:tbl>
    <w:p>
      <w:pPr>
        <w:spacing w:after="0" w:line="200" w:lineRule="exact"/>
        <w:rPr>
          <w:sz w:val="20"/>
          <w:szCs w:val="20"/>
          <w:color w:val="auto"/>
        </w:rPr>
      </w:pPr>
    </w:p>
    <w:p>
      <w:pPr>
        <w:jc w:val="both"/>
        <w:ind w:firstLine="320"/>
        <w:spacing w:after="0" w:line="247" w:lineRule="auto"/>
        <w:rPr>
          <w:sz w:val="20"/>
          <w:szCs w:val="20"/>
          <w:color w:val="auto"/>
        </w:rPr>
      </w:pPr>
      <w:r>
        <w:rPr>
          <w:rFonts w:ascii="Arial" w:cs="Arial" w:eastAsia="Arial" w:hAnsi="Arial"/>
          <w:sz w:val="17"/>
          <w:szCs w:val="17"/>
          <w:color w:val="auto"/>
        </w:rPr>
        <w:t>The Committee decided to maintain the focus on profitability, revenue and asset efficiency through the use of a new performance measure for fiscal 2024 to fiscal 2026 in addition to revenue. Therefore, return on invested capital (which incorporates profitability and asset efficiency)</w:t>
      </w:r>
    </w:p>
    <w:p>
      <w:pPr>
        <w:spacing w:after="0" w:line="232" w:lineRule="auto"/>
        <w:rPr>
          <w:sz w:val="20"/>
          <w:szCs w:val="20"/>
          <w:color w:val="auto"/>
        </w:rPr>
      </w:pPr>
      <w:r>
        <w:rPr>
          <w:rFonts w:ascii="Arial" w:cs="Arial" w:eastAsia="Arial" w:hAnsi="Arial"/>
          <w:sz w:val="18"/>
          <w:szCs w:val="18"/>
          <w:color w:val="auto"/>
        </w:rPr>
        <w:t>replaced both net income plus after tax interest and working capital as performance measures in the performance share awards. The final</w:t>
      </w:r>
    </w:p>
    <w:p>
      <w:pPr>
        <w:spacing w:after="0" w:line="1" w:lineRule="exact"/>
        <w:rPr>
          <w:sz w:val="20"/>
          <w:szCs w:val="20"/>
          <w:color w:val="auto"/>
        </w:rPr>
      </w:pPr>
    </w:p>
    <w:p>
      <w:pPr>
        <w:spacing w:after="0" w:line="234" w:lineRule="auto"/>
        <w:rPr>
          <w:sz w:val="20"/>
          <w:szCs w:val="20"/>
          <w:color w:val="auto"/>
        </w:rPr>
      </w:pPr>
      <w:r>
        <w:rPr>
          <w:rFonts w:ascii="Arial" w:cs="Arial" w:eastAsia="Arial" w:hAnsi="Arial"/>
          <w:sz w:val="18"/>
          <w:szCs w:val="18"/>
          <w:color w:val="auto"/>
        </w:rPr>
        <w:t>performance measures and weightings were determined based on several discussions between Management and the Committee and based on a review of marketplace best practices provided by Willis Towers Watson.</w:t>
      </w:r>
    </w:p>
    <w:p>
      <w:pPr>
        <w:spacing w:after="0" w:line="74" w:lineRule="exact"/>
        <w:rPr>
          <w:sz w:val="20"/>
          <w:szCs w:val="20"/>
          <w:color w:val="auto"/>
        </w:rPr>
      </w:pPr>
    </w:p>
    <w:p>
      <w:pPr>
        <w:ind w:left="320"/>
        <w:spacing w:after="0"/>
        <w:rPr>
          <w:sz w:val="20"/>
          <w:szCs w:val="20"/>
          <w:color w:val="auto"/>
        </w:rPr>
      </w:pPr>
      <w:r>
        <w:rPr>
          <w:rFonts w:ascii="Arial" w:cs="Arial" w:eastAsia="Arial" w:hAnsi="Arial"/>
          <w:sz w:val="18"/>
          <w:szCs w:val="18"/>
          <w:color w:val="auto"/>
        </w:rPr>
        <w:t>At its meeting in December 2023, threshold, target and maximum goals were established for the fiscal 2024 to fiscal 2026 performance</w:t>
      </w:r>
    </w:p>
    <w:p>
      <w:pPr>
        <w:spacing w:after="0" w:line="9" w:lineRule="exact"/>
        <w:rPr>
          <w:sz w:val="20"/>
          <w:szCs w:val="20"/>
          <w:color w:val="auto"/>
        </w:rPr>
      </w:pPr>
    </w:p>
    <w:p>
      <w:pPr>
        <w:spacing w:after="0" w:line="237" w:lineRule="auto"/>
        <w:rPr>
          <w:sz w:val="20"/>
          <w:szCs w:val="20"/>
          <w:color w:val="auto"/>
        </w:rPr>
      </w:pPr>
      <w:r>
        <w:rPr>
          <w:rFonts w:ascii="Arial" w:cs="Arial" w:eastAsia="Arial" w:hAnsi="Arial"/>
          <w:sz w:val="17"/>
          <w:szCs w:val="17"/>
          <w:color w:val="auto"/>
        </w:rPr>
        <w:t>share awards. The specific performance goals for the three-year award period are maintained by us as proprietary and confidential. The Committee believes that disclosure of these specific performance goals would represent competitive harm to us as such cumulative corporate</w:t>
      </w:r>
    </w:p>
    <w:p>
      <w:pPr>
        <w:spacing w:after="0" w:line="233" w:lineRule="auto"/>
        <w:rPr>
          <w:sz w:val="20"/>
          <w:szCs w:val="20"/>
          <w:color w:val="auto"/>
        </w:rPr>
      </w:pPr>
      <w:r>
        <w:rPr>
          <w:rFonts w:ascii="Arial" w:cs="Arial" w:eastAsia="Arial" w:hAnsi="Arial"/>
          <w:sz w:val="18"/>
          <w:szCs w:val="18"/>
          <w:color w:val="auto"/>
        </w:rPr>
        <w:t>goals and results are not publicly disclosed and are competitively sensitive. For each performance measure, the target goal reflects the</w:t>
      </w:r>
    </w:p>
    <w:p>
      <w:pPr>
        <w:spacing w:after="0" w:line="224" w:lineRule="auto"/>
        <w:rPr>
          <w:sz w:val="20"/>
          <w:szCs w:val="20"/>
          <w:color w:val="auto"/>
        </w:rPr>
      </w:pPr>
      <w:r>
        <w:rPr>
          <w:rFonts w:ascii="Arial" w:cs="Arial" w:eastAsia="Arial" w:hAnsi="Arial"/>
          <w:sz w:val="18"/>
          <w:szCs w:val="18"/>
          <w:color w:val="auto"/>
        </w:rPr>
        <w:t>cumulative three-year financial plan set at the corporate level. Based on historical performance, the Committee believes the attainment of target performance levels, while uncertain, could be reasonably anticipated. Threshold goals represent the minimum level of performance</w:t>
      </w:r>
    </w:p>
    <w:p>
      <w:pPr>
        <w:spacing w:after="0" w:line="232" w:lineRule="auto"/>
        <w:rPr>
          <w:sz w:val="20"/>
          <w:szCs w:val="20"/>
          <w:color w:val="auto"/>
        </w:rPr>
      </w:pPr>
      <w:r>
        <w:rPr>
          <w:rFonts w:ascii="Arial" w:cs="Arial" w:eastAsia="Arial" w:hAnsi="Arial"/>
          <w:sz w:val="18"/>
          <w:szCs w:val="18"/>
          <w:color w:val="auto"/>
        </w:rPr>
        <w:t>necessary for there to be a payout for that performance measure and the Committee believes the threshold goals are likely to be achieved.</w:t>
      </w:r>
    </w:p>
    <w:p>
      <w:pPr>
        <w:spacing w:after="0" w:line="1" w:lineRule="exact"/>
        <w:rPr>
          <w:sz w:val="20"/>
          <w:szCs w:val="20"/>
          <w:color w:val="auto"/>
        </w:rPr>
      </w:pPr>
    </w:p>
    <w:p>
      <w:pPr>
        <w:spacing w:after="0" w:line="237" w:lineRule="auto"/>
        <w:rPr>
          <w:sz w:val="20"/>
          <w:szCs w:val="20"/>
          <w:color w:val="auto"/>
        </w:rPr>
      </w:pPr>
      <w:r>
        <w:rPr>
          <w:rFonts w:ascii="Arial" w:cs="Arial" w:eastAsia="Arial" w:hAnsi="Arial"/>
          <w:sz w:val="17"/>
          <w:szCs w:val="17"/>
          <w:color w:val="auto"/>
        </w:rPr>
        <w:t>Maximum goals represent the performances at which payouts are 200% of the target award. Even if actual results exceed the maximum goals, the payouts are capped at 200% of the target award. Maximum goals represent levels of performance at which the Committee determined a</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payout of 200% of target would be appropriate. The Committee believes that the maximum goals established are more aggressive goals.</w:t>
      </w:r>
    </w:p>
    <w:p>
      <w:pPr>
        <w:spacing w:after="0" w:line="84" w:lineRule="exact"/>
        <w:rPr>
          <w:sz w:val="20"/>
          <w:szCs w:val="20"/>
          <w:color w:val="auto"/>
        </w:rPr>
      </w:pPr>
    </w:p>
    <w:p>
      <w:pPr>
        <w:ind w:firstLine="320"/>
        <w:spacing w:after="0" w:line="246" w:lineRule="auto"/>
        <w:rPr>
          <w:sz w:val="20"/>
          <w:szCs w:val="20"/>
          <w:color w:val="auto"/>
        </w:rPr>
      </w:pPr>
      <w:r>
        <w:rPr>
          <w:rFonts w:ascii="Arial" w:cs="Arial" w:eastAsia="Arial" w:hAnsi="Arial"/>
          <w:sz w:val="18"/>
          <w:szCs w:val="18"/>
          <w:i w:val="1"/>
          <w:iCs w:val="1"/>
          <w:color w:val="auto"/>
        </w:rPr>
        <w:t>Adjustment Events</w:t>
      </w:r>
      <w:r>
        <w:rPr>
          <w:rFonts w:ascii="Arial" w:cs="Arial" w:eastAsia="Arial" w:hAnsi="Arial"/>
          <w:sz w:val="18"/>
          <w:szCs w:val="18"/>
          <w:color w:val="auto"/>
        </w:rPr>
        <w:t>. In addition to approving performance measures, goals and weightings, the Committee also established specific</w:t>
      </w:r>
      <w:r>
        <w:rPr>
          <w:rFonts w:ascii="Arial" w:cs="Arial" w:eastAsia="Arial" w:hAnsi="Arial"/>
          <w:sz w:val="18"/>
          <w:szCs w:val="18"/>
          <w:i w:val="1"/>
          <w:iCs w:val="1"/>
          <w:color w:val="auto"/>
        </w:rPr>
        <w:t xml:space="preserve"> </w:t>
      </w:r>
      <w:r>
        <w:rPr>
          <w:rFonts w:ascii="Arial" w:cs="Arial" w:eastAsia="Arial" w:hAnsi="Arial"/>
          <w:sz w:val="18"/>
          <w:szCs w:val="18"/>
          <w:color w:val="auto"/>
        </w:rPr>
        <w:t>corporate adjustment events for determining payouts under the fiscal 2024 to fiscal 2026 performance share awards, including the following:</w:t>
      </w:r>
    </w:p>
    <w:p>
      <w:pPr>
        <w:spacing w:after="0" w:line="126" w:lineRule="exact"/>
        <w:rPr>
          <w:sz w:val="20"/>
          <w:szCs w:val="20"/>
          <w:color w:val="auto"/>
        </w:rPr>
      </w:pPr>
    </w:p>
    <w:tbl>
      <w:tblPr>
        <w:tblLayout w:type="fixed"/>
        <w:tblInd w:w="120" w:type="dxa"/>
        <w:tblCellMar>
          <w:top w:w="0" w:type="dxa"/>
          <w:left w:w="0" w:type="dxa"/>
          <w:bottom w:w="0" w:type="dxa"/>
          <w:right w:w="0" w:type="dxa"/>
        </w:tblCellMar>
      </w:tblPr>
      <w:tr>
        <w:trPr>
          <w:trHeight w:val="213"/>
        </w:trPr>
        <w:tc>
          <w:tcPr>
            <w:tcW w:w="3540" w:type="dxa"/>
            <w:vAlign w:val="bottom"/>
            <w:shd w:val="clear" w:color="auto" w:fill="BF2115"/>
          </w:tcPr>
          <w:p>
            <w:pPr>
              <w:ind w:left="1220"/>
              <w:spacing w:after="0"/>
              <w:rPr>
                <w:sz w:val="20"/>
                <w:szCs w:val="20"/>
                <w:color w:val="auto"/>
              </w:rPr>
            </w:pPr>
            <w:r>
              <w:rPr>
                <w:rFonts w:ascii="Arial" w:cs="Arial" w:eastAsia="Arial" w:hAnsi="Arial"/>
                <w:sz w:val="14"/>
                <w:szCs w:val="14"/>
                <w:b w:val="1"/>
                <w:bCs w:val="1"/>
                <w:color w:val="FFFFFF"/>
              </w:rPr>
              <w:t>Adjustment Event</w:t>
            </w:r>
          </w:p>
        </w:tc>
        <w:tc>
          <w:tcPr>
            <w:tcW w:w="3720" w:type="dxa"/>
            <w:vAlign w:val="bottom"/>
            <w:shd w:val="clear" w:color="auto" w:fill="BF2115"/>
          </w:tcPr>
          <w:p>
            <w:pPr>
              <w:ind w:left="1800"/>
              <w:spacing w:after="0"/>
              <w:rPr>
                <w:sz w:val="20"/>
                <w:szCs w:val="20"/>
                <w:color w:val="auto"/>
              </w:rPr>
            </w:pPr>
            <w:r>
              <w:rPr>
                <w:rFonts w:ascii="Arial" w:cs="Arial" w:eastAsia="Arial" w:hAnsi="Arial"/>
                <w:sz w:val="14"/>
                <w:szCs w:val="14"/>
                <w:b w:val="1"/>
                <w:bCs w:val="1"/>
                <w:color w:val="FFFFFF"/>
              </w:rPr>
              <w:t>Size</w:t>
            </w:r>
          </w:p>
        </w:tc>
        <w:tc>
          <w:tcPr>
            <w:tcW w:w="3760" w:type="dxa"/>
            <w:vAlign w:val="bottom"/>
            <w:shd w:val="clear" w:color="auto" w:fill="BF2115"/>
          </w:tcPr>
          <w:p>
            <w:pPr>
              <w:ind w:left="1460"/>
              <w:spacing w:after="0"/>
              <w:rPr>
                <w:sz w:val="20"/>
                <w:szCs w:val="20"/>
                <w:color w:val="auto"/>
              </w:rPr>
            </w:pPr>
            <w:r>
              <w:rPr>
                <w:rFonts w:ascii="Arial" w:cs="Arial" w:eastAsia="Arial" w:hAnsi="Arial"/>
                <w:sz w:val="14"/>
                <w:szCs w:val="14"/>
                <w:b w:val="1"/>
                <w:bCs w:val="1"/>
                <w:color w:val="FFFFFF"/>
              </w:rPr>
              <w:t>Impact Effect</w:t>
            </w:r>
          </w:p>
        </w:tc>
      </w:tr>
      <w:tr>
        <w:trPr>
          <w:trHeight w:val="173"/>
        </w:trPr>
        <w:tc>
          <w:tcPr>
            <w:tcW w:w="3540" w:type="dxa"/>
            <w:vAlign w:val="bottom"/>
          </w:tcPr>
          <w:p>
            <w:pPr>
              <w:ind w:left="20"/>
              <w:spacing w:after="0" w:line="173" w:lineRule="exact"/>
              <w:rPr>
                <w:sz w:val="20"/>
                <w:szCs w:val="20"/>
                <w:color w:val="auto"/>
              </w:rPr>
            </w:pPr>
            <w:r>
              <w:rPr>
                <w:rFonts w:ascii="Arial" w:cs="Arial" w:eastAsia="Arial" w:hAnsi="Arial"/>
                <w:sz w:val="16"/>
                <w:szCs w:val="16"/>
                <w:color w:val="auto"/>
              </w:rPr>
              <w:t>Acquisitions (as determined by projected first 12</w:t>
            </w:r>
          </w:p>
        </w:tc>
        <w:tc>
          <w:tcPr>
            <w:tcW w:w="3720" w:type="dxa"/>
            <w:vAlign w:val="bottom"/>
          </w:tcPr>
          <w:p>
            <w:pPr>
              <w:ind w:left="120"/>
              <w:spacing w:after="0" w:line="173" w:lineRule="exact"/>
              <w:rPr>
                <w:sz w:val="20"/>
                <w:szCs w:val="20"/>
                <w:color w:val="auto"/>
              </w:rPr>
            </w:pPr>
            <w:r>
              <w:rPr>
                <w:rFonts w:ascii="Arial" w:cs="Arial" w:eastAsia="Arial" w:hAnsi="Arial"/>
                <w:sz w:val="16"/>
                <w:szCs w:val="16"/>
                <w:color w:val="auto"/>
              </w:rPr>
              <w:t>Acquisition is ≥ $50 million</w:t>
            </w:r>
          </w:p>
        </w:tc>
        <w:tc>
          <w:tcPr>
            <w:tcW w:w="3760" w:type="dxa"/>
            <w:vAlign w:val="bottom"/>
          </w:tcPr>
          <w:p>
            <w:pPr>
              <w:ind w:left="80"/>
              <w:spacing w:after="0" w:line="173" w:lineRule="exact"/>
              <w:rPr>
                <w:sz w:val="20"/>
                <w:szCs w:val="20"/>
                <w:color w:val="auto"/>
              </w:rPr>
            </w:pPr>
            <w:r>
              <w:rPr>
                <w:rFonts w:ascii="Arial" w:cs="Arial" w:eastAsia="Arial" w:hAnsi="Arial"/>
                <w:sz w:val="16"/>
                <w:szCs w:val="16"/>
                <w:color w:val="auto"/>
              </w:rPr>
              <w:t>Excluded</w:t>
            </w:r>
          </w:p>
        </w:tc>
      </w:tr>
      <w:tr>
        <w:trPr>
          <w:trHeight w:val="211"/>
        </w:trPr>
        <w:tc>
          <w:tcPr>
            <w:tcW w:w="3540" w:type="dxa"/>
            <w:vAlign w:val="bottom"/>
          </w:tcPr>
          <w:p>
            <w:pPr>
              <w:ind w:left="20"/>
              <w:spacing w:after="0"/>
              <w:rPr>
                <w:sz w:val="20"/>
                <w:szCs w:val="20"/>
                <w:color w:val="auto"/>
              </w:rPr>
            </w:pPr>
            <w:r>
              <w:rPr>
                <w:rFonts w:ascii="Arial" w:cs="Arial" w:eastAsia="Arial" w:hAnsi="Arial"/>
                <w:sz w:val="16"/>
                <w:szCs w:val="16"/>
                <w:color w:val="auto"/>
              </w:rPr>
              <w:t>months of revenue)</w:t>
            </w:r>
          </w:p>
        </w:tc>
        <w:tc>
          <w:tcPr>
            <w:tcW w:w="3720" w:type="dxa"/>
            <w:vAlign w:val="bottom"/>
          </w:tcPr>
          <w:p>
            <w:pPr>
              <w:spacing w:after="0"/>
              <w:rPr>
                <w:sz w:val="18"/>
                <w:szCs w:val="18"/>
                <w:color w:val="auto"/>
              </w:rPr>
            </w:pPr>
          </w:p>
        </w:tc>
        <w:tc>
          <w:tcPr>
            <w:tcW w:w="3760" w:type="dxa"/>
            <w:vAlign w:val="bottom"/>
          </w:tcPr>
          <w:p>
            <w:pPr>
              <w:spacing w:after="0"/>
              <w:rPr>
                <w:sz w:val="18"/>
                <w:szCs w:val="18"/>
                <w:color w:val="auto"/>
              </w:rPr>
            </w:pPr>
          </w:p>
        </w:tc>
      </w:tr>
      <w:tr>
        <w:trPr>
          <w:trHeight w:val="30"/>
        </w:trPr>
        <w:tc>
          <w:tcPr>
            <w:tcW w:w="3540" w:type="dxa"/>
            <w:vAlign w:val="bottom"/>
          </w:tcPr>
          <w:p>
            <w:pPr>
              <w:spacing w:after="0"/>
              <w:rPr>
                <w:sz w:val="2"/>
                <w:szCs w:val="2"/>
                <w:color w:val="auto"/>
              </w:rPr>
            </w:pPr>
          </w:p>
        </w:tc>
        <w:tc>
          <w:tcPr>
            <w:tcW w:w="3720" w:type="dxa"/>
            <w:vAlign w:val="bottom"/>
          </w:tcPr>
          <w:p>
            <w:pPr>
              <w:spacing w:after="0"/>
              <w:rPr>
                <w:sz w:val="2"/>
                <w:szCs w:val="2"/>
                <w:color w:val="auto"/>
              </w:rPr>
            </w:pPr>
          </w:p>
        </w:tc>
        <w:tc>
          <w:tcPr>
            <w:tcW w:w="3760" w:type="dxa"/>
            <w:vAlign w:val="bottom"/>
          </w:tcPr>
          <w:p>
            <w:pPr>
              <w:spacing w:after="0"/>
              <w:rPr>
                <w:sz w:val="2"/>
                <w:szCs w:val="2"/>
                <w:color w:val="auto"/>
              </w:rPr>
            </w:pPr>
          </w:p>
        </w:tc>
      </w:tr>
      <w:tr>
        <w:trPr>
          <w:trHeight w:val="220"/>
        </w:trPr>
        <w:tc>
          <w:tcPr>
            <w:tcW w:w="3540" w:type="dxa"/>
            <w:vAlign w:val="bottom"/>
            <w:tcBorders>
              <w:bottom w:val="single" w:sz="8" w:color="DBDBDB"/>
            </w:tcBorders>
            <w:shd w:val="clear" w:color="auto" w:fill="DBDBDB"/>
          </w:tcPr>
          <w:p>
            <w:pPr>
              <w:spacing w:after="0"/>
              <w:rPr>
                <w:sz w:val="19"/>
                <w:szCs w:val="19"/>
                <w:color w:val="auto"/>
              </w:rPr>
            </w:pPr>
          </w:p>
        </w:tc>
        <w:tc>
          <w:tcPr>
            <w:tcW w:w="3720" w:type="dxa"/>
            <w:vAlign w:val="bottom"/>
            <w:tcBorders>
              <w:bottom w:val="single" w:sz="8" w:color="DBDBDB"/>
            </w:tcBorders>
            <w:shd w:val="clear" w:color="auto" w:fill="DBDBDB"/>
          </w:tcPr>
          <w:p>
            <w:pPr>
              <w:ind w:left="120"/>
              <w:spacing w:after="0"/>
              <w:rPr>
                <w:sz w:val="20"/>
                <w:szCs w:val="20"/>
                <w:color w:val="auto"/>
              </w:rPr>
            </w:pPr>
            <w:r>
              <w:rPr>
                <w:rFonts w:ascii="Arial" w:cs="Arial" w:eastAsia="Arial" w:hAnsi="Arial"/>
                <w:sz w:val="16"/>
                <w:szCs w:val="16"/>
                <w:color w:val="auto"/>
              </w:rPr>
              <w:t>Acquisition is &lt; $10 million</w:t>
            </w:r>
          </w:p>
        </w:tc>
        <w:tc>
          <w:tcPr>
            <w:tcW w:w="3760" w:type="dxa"/>
            <w:vAlign w:val="bottom"/>
            <w:tcBorders>
              <w:bottom w:val="single" w:sz="8" w:color="DBDBDB"/>
            </w:tcBorders>
            <w:shd w:val="clear" w:color="auto" w:fill="DBDBDB"/>
          </w:tcPr>
          <w:p>
            <w:pPr>
              <w:ind w:left="80"/>
              <w:spacing w:after="0"/>
              <w:rPr>
                <w:sz w:val="20"/>
                <w:szCs w:val="20"/>
                <w:color w:val="auto"/>
              </w:rPr>
            </w:pPr>
            <w:r>
              <w:rPr>
                <w:rFonts w:ascii="Arial" w:cs="Arial" w:eastAsia="Arial" w:hAnsi="Arial"/>
                <w:sz w:val="16"/>
                <w:szCs w:val="16"/>
                <w:color w:val="auto"/>
              </w:rPr>
              <w:t>Included</w:t>
            </w:r>
          </w:p>
        </w:tc>
      </w:tr>
      <w:tr>
        <w:trPr>
          <w:trHeight w:val="199"/>
        </w:trPr>
        <w:tc>
          <w:tcPr>
            <w:tcW w:w="3540" w:type="dxa"/>
            <w:vAlign w:val="bottom"/>
          </w:tcPr>
          <w:p>
            <w:pPr>
              <w:spacing w:after="0"/>
              <w:rPr>
                <w:sz w:val="17"/>
                <w:szCs w:val="17"/>
                <w:color w:val="auto"/>
              </w:rPr>
            </w:pPr>
          </w:p>
        </w:tc>
        <w:tc>
          <w:tcPr>
            <w:tcW w:w="3720" w:type="dxa"/>
            <w:vAlign w:val="bottom"/>
          </w:tcPr>
          <w:p>
            <w:pPr>
              <w:ind w:left="120"/>
              <w:spacing w:after="0"/>
              <w:rPr>
                <w:sz w:val="20"/>
                <w:szCs w:val="20"/>
                <w:color w:val="auto"/>
              </w:rPr>
            </w:pPr>
            <w:r>
              <w:rPr>
                <w:rFonts w:ascii="Arial" w:cs="Arial" w:eastAsia="Arial" w:hAnsi="Arial"/>
                <w:sz w:val="16"/>
                <w:szCs w:val="16"/>
                <w:color w:val="auto"/>
              </w:rPr>
              <w:t>Acquisition is between $10 million and $50 million</w:t>
            </w:r>
          </w:p>
        </w:tc>
        <w:tc>
          <w:tcPr>
            <w:tcW w:w="3760" w:type="dxa"/>
            <w:vAlign w:val="bottom"/>
          </w:tcPr>
          <w:p>
            <w:pPr>
              <w:ind w:left="80"/>
              <w:spacing w:after="0"/>
              <w:rPr>
                <w:sz w:val="20"/>
                <w:szCs w:val="20"/>
                <w:color w:val="auto"/>
              </w:rPr>
            </w:pPr>
            <w:r>
              <w:rPr>
                <w:rFonts w:ascii="Arial" w:cs="Arial" w:eastAsia="Arial" w:hAnsi="Arial"/>
                <w:sz w:val="16"/>
                <w:szCs w:val="16"/>
                <w:color w:val="auto"/>
              </w:rPr>
              <w:t>Included, if transaction closes in first year of</w:t>
            </w:r>
          </w:p>
        </w:tc>
      </w:tr>
      <w:tr>
        <w:trPr>
          <w:trHeight w:val="200"/>
        </w:trPr>
        <w:tc>
          <w:tcPr>
            <w:tcW w:w="3540" w:type="dxa"/>
            <w:vAlign w:val="bottom"/>
          </w:tcPr>
          <w:p>
            <w:pPr>
              <w:spacing w:after="0"/>
              <w:rPr>
                <w:sz w:val="17"/>
                <w:szCs w:val="17"/>
                <w:color w:val="auto"/>
              </w:rPr>
            </w:pPr>
          </w:p>
        </w:tc>
        <w:tc>
          <w:tcPr>
            <w:tcW w:w="3720" w:type="dxa"/>
            <w:vAlign w:val="bottom"/>
          </w:tcPr>
          <w:p>
            <w:pPr>
              <w:spacing w:after="0"/>
              <w:rPr>
                <w:sz w:val="17"/>
                <w:szCs w:val="17"/>
                <w:color w:val="auto"/>
              </w:rPr>
            </w:pPr>
          </w:p>
        </w:tc>
        <w:tc>
          <w:tcPr>
            <w:tcW w:w="3760" w:type="dxa"/>
            <w:vAlign w:val="bottom"/>
          </w:tcPr>
          <w:p>
            <w:pPr>
              <w:ind w:left="80"/>
              <w:spacing w:after="0"/>
              <w:rPr>
                <w:sz w:val="20"/>
                <w:szCs w:val="20"/>
                <w:color w:val="auto"/>
              </w:rPr>
            </w:pPr>
            <w:r>
              <w:rPr>
                <w:rFonts w:ascii="Arial" w:cs="Arial" w:eastAsia="Arial" w:hAnsi="Arial"/>
                <w:sz w:val="16"/>
                <w:szCs w:val="16"/>
                <w:color w:val="auto"/>
              </w:rPr>
              <w:t>performance period</w:t>
            </w:r>
          </w:p>
        </w:tc>
      </w:tr>
      <w:tr>
        <w:trPr>
          <w:trHeight w:val="187"/>
        </w:trPr>
        <w:tc>
          <w:tcPr>
            <w:tcW w:w="3540" w:type="dxa"/>
            <w:vAlign w:val="bottom"/>
          </w:tcPr>
          <w:p>
            <w:pPr>
              <w:spacing w:after="0"/>
              <w:rPr>
                <w:sz w:val="16"/>
                <w:szCs w:val="16"/>
                <w:color w:val="auto"/>
              </w:rPr>
            </w:pPr>
          </w:p>
        </w:tc>
        <w:tc>
          <w:tcPr>
            <w:tcW w:w="3720" w:type="dxa"/>
            <w:vAlign w:val="bottom"/>
          </w:tcPr>
          <w:p>
            <w:pPr>
              <w:spacing w:after="0"/>
              <w:rPr>
                <w:sz w:val="16"/>
                <w:szCs w:val="16"/>
                <w:color w:val="auto"/>
              </w:rPr>
            </w:pPr>
          </w:p>
        </w:tc>
        <w:tc>
          <w:tcPr>
            <w:tcW w:w="3760" w:type="dxa"/>
            <w:vAlign w:val="bottom"/>
          </w:tcPr>
          <w:p>
            <w:pPr>
              <w:ind w:left="80"/>
              <w:spacing w:after="0"/>
              <w:rPr>
                <w:sz w:val="20"/>
                <w:szCs w:val="20"/>
                <w:color w:val="auto"/>
              </w:rPr>
            </w:pPr>
            <w:r>
              <w:rPr>
                <w:rFonts w:ascii="Arial" w:cs="Arial" w:eastAsia="Arial" w:hAnsi="Arial"/>
                <w:sz w:val="16"/>
                <w:szCs w:val="16"/>
                <w:color w:val="auto"/>
              </w:rPr>
              <w:t>Excluded, if transaction closes in second or third</w:t>
            </w:r>
          </w:p>
        </w:tc>
      </w:tr>
      <w:tr>
        <w:trPr>
          <w:trHeight w:val="211"/>
        </w:trPr>
        <w:tc>
          <w:tcPr>
            <w:tcW w:w="3540" w:type="dxa"/>
            <w:vAlign w:val="bottom"/>
          </w:tcPr>
          <w:p>
            <w:pPr>
              <w:spacing w:after="0"/>
              <w:rPr>
                <w:sz w:val="18"/>
                <w:szCs w:val="18"/>
                <w:color w:val="auto"/>
              </w:rPr>
            </w:pPr>
          </w:p>
        </w:tc>
        <w:tc>
          <w:tcPr>
            <w:tcW w:w="3720" w:type="dxa"/>
            <w:vAlign w:val="bottom"/>
          </w:tcPr>
          <w:p>
            <w:pPr>
              <w:spacing w:after="0"/>
              <w:rPr>
                <w:sz w:val="18"/>
                <w:szCs w:val="18"/>
                <w:color w:val="auto"/>
              </w:rPr>
            </w:pPr>
          </w:p>
        </w:tc>
        <w:tc>
          <w:tcPr>
            <w:tcW w:w="3760" w:type="dxa"/>
            <w:vAlign w:val="bottom"/>
          </w:tcPr>
          <w:p>
            <w:pPr>
              <w:ind w:left="80"/>
              <w:spacing w:after="0"/>
              <w:rPr>
                <w:sz w:val="20"/>
                <w:szCs w:val="20"/>
                <w:color w:val="auto"/>
              </w:rPr>
            </w:pPr>
            <w:r>
              <w:rPr>
                <w:rFonts w:ascii="Arial" w:cs="Arial" w:eastAsia="Arial" w:hAnsi="Arial"/>
                <w:sz w:val="16"/>
                <w:szCs w:val="16"/>
                <w:color w:val="auto"/>
              </w:rPr>
              <w:t>year of performance period</w:t>
            </w:r>
          </w:p>
        </w:tc>
      </w:tr>
      <w:tr>
        <w:trPr>
          <w:trHeight w:val="43"/>
        </w:trPr>
        <w:tc>
          <w:tcPr>
            <w:tcW w:w="3540" w:type="dxa"/>
            <w:vAlign w:val="bottom"/>
          </w:tcPr>
          <w:p>
            <w:pPr>
              <w:spacing w:after="0"/>
              <w:rPr>
                <w:sz w:val="3"/>
                <w:szCs w:val="3"/>
                <w:color w:val="auto"/>
              </w:rPr>
            </w:pPr>
          </w:p>
        </w:tc>
        <w:tc>
          <w:tcPr>
            <w:tcW w:w="3720" w:type="dxa"/>
            <w:vAlign w:val="bottom"/>
          </w:tcPr>
          <w:p>
            <w:pPr>
              <w:spacing w:after="0"/>
              <w:rPr>
                <w:sz w:val="3"/>
                <w:szCs w:val="3"/>
                <w:color w:val="auto"/>
              </w:rPr>
            </w:pPr>
          </w:p>
        </w:tc>
        <w:tc>
          <w:tcPr>
            <w:tcW w:w="3760" w:type="dxa"/>
            <w:vAlign w:val="bottom"/>
          </w:tcPr>
          <w:p>
            <w:pPr>
              <w:spacing w:after="0"/>
              <w:rPr>
                <w:sz w:val="3"/>
                <w:szCs w:val="3"/>
                <w:color w:val="auto"/>
              </w:rPr>
            </w:pPr>
          </w:p>
        </w:tc>
      </w:tr>
      <w:tr>
        <w:trPr>
          <w:trHeight w:val="173"/>
        </w:trPr>
        <w:tc>
          <w:tcPr>
            <w:tcW w:w="3540" w:type="dxa"/>
            <w:vAlign w:val="bottom"/>
            <w:shd w:val="clear" w:color="auto" w:fill="DBDBDB"/>
          </w:tcPr>
          <w:p>
            <w:pPr>
              <w:ind w:left="20"/>
              <w:spacing w:after="0" w:line="173" w:lineRule="exact"/>
              <w:rPr>
                <w:sz w:val="20"/>
                <w:szCs w:val="20"/>
                <w:color w:val="auto"/>
              </w:rPr>
            </w:pPr>
            <w:r>
              <w:rPr>
                <w:rFonts w:ascii="Arial" w:cs="Arial" w:eastAsia="Arial" w:hAnsi="Arial"/>
                <w:sz w:val="16"/>
                <w:szCs w:val="16"/>
                <w:color w:val="auto"/>
              </w:rPr>
              <w:t>Change in Accounting Principles or Standards</w:t>
            </w:r>
          </w:p>
        </w:tc>
        <w:tc>
          <w:tcPr>
            <w:tcW w:w="3720" w:type="dxa"/>
            <w:vAlign w:val="bottom"/>
            <w:shd w:val="clear" w:color="auto" w:fill="DBDBDB"/>
          </w:tcPr>
          <w:p>
            <w:pPr>
              <w:ind w:left="120"/>
              <w:spacing w:after="0" w:line="173" w:lineRule="exact"/>
              <w:rPr>
                <w:sz w:val="20"/>
                <w:szCs w:val="20"/>
                <w:color w:val="auto"/>
              </w:rPr>
            </w:pPr>
            <w:r>
              <w:rPr>
                <w:rFonts w:ascii="Arial" w:cs="Arial" w:eastAsia="Arial" w:hAnsi="Arial"/>
                <w:sz w:val="16"/>
                <w:szCs w:val="16"/>
                <w:color w:val="auto"/>
              </w:rPr>
              <w:t>Cumulative net impact on the payout of all</w:t>
            </w:r>
          </w:p>
        </w:tc>
        <w:tc>
          <w:tcPr>
            <w:tcW w:w="3760" w:type="dxa"/>
            <w:vAlign w:val="bottom"/>
            <w:shd w:val="clear" w:color="auto" w:fill="DBDBDB"/>
          </w:tcPr>
          <w:p>
            <w:pPr>
              <w:ind w:left="80"/>
              <w:spacing w:after="0" w:line="173" w:lineRule="exact"/>
              <w:rPr>
                <w:sz w:val="20"/>
                <w:szCs w:val="20"/>
                <w:color w:val="auto"/>
              </w:rPr>
            </w:pPr>
            <w:r>
              <w:rPr>
                <w:rFonts w:ascii="Arial" w:cs="Arial" w:eastAsia="Arial" w:hAnsi="Arial"/>
                <w:sz w:val="16"/>
                <w:szCs w:val="16"/>
                <w:color w:val="auto"/>
              </w:rPr>
              <w:t>Excluded</w:t>
            </w:r>
          </w:p>
        </w:tc>
      </w:tr>
      <w:tr>
        <w:trPr>
          <w:trHeight w:val="211"/>
        </w:trPr>
        <w:tc>
          <w:tcPr>
            <w:tcW w:w="3540" w:type="dxa"/>
            <w:vAlign w:val="bottom"/>
            <w:shd w:val="clear" w:color="auto" w:fill="DBDBDB"/>
          </w:tcPr>
          <w:p>
            <w:pPr>
              <w:spacing w:after="0"/>
              <w:rPr>
                <w:sz w:val="18"/>
                <w:szCs w:val="18"/>
                <w:color w:val="auto"/>
              </w:rPr>
            </w:pPr>
          </w:p>
        </w:tc>
        <w:tc>
          <w:tcPr>
            <w:tcW w:w="3720" w:type="dxa"/>
            <w:vAlign w:val="bottom"/>
            <w:shd w:val="clear" w:color="auto" w:fill="DBDBDB"/>
          </w:tcPr>
          <w:p>
            <w:pPr>
              <w:ind w:left="120"/>
              <w:spacing w:after="0"/>
              <w:rPr>
                <w:sz w:val="20"/>
                <w:szCs w:val="20"/>
                <w:color w:val="auto"/>
              </w:rPr>
            </w:pPr>
            <w:r>
              <w:rPr>
                <w:rFonts w:ascii="Arial" w:cs="Arial" w:eastAsia="Arial" w:hAnsi="Arial"/>
                <w:sz w:val="16"/>
                <w:szCs w:val="16"/>
                <w:color w:val="auto"/>
              </w:rPr>
              <w:t>accounting adjustments is &gt; 2%</w:t>
            </w:r>
          </w:p>
        </w:tc>
        <w:tc>
          <w:tcPr>
            <w:tcW w:w="3760" w:type="dxa"/>
            <w:vAlign w:val="bottom"/>
            <w:shd w:val="clear" w:color="auto" w:fill="DBDBDB"/>
          </w:tcPr>
          <w:p>
            <w:pPr>
              <w:spacing w:after="0"/>
              <w:rPr>
                <w:sz w:val="18"/>
                <w:szCs w:val="18"/>
                <w:color w:val="auto"/>
              </w:rPr>
            </w:pPr>
          </w:p>
        </w:tc>
      </w:tr>
      <w:tr>
        <w:trPr>
          <w:trHeight w:val="30"/>
        </w:trPr>
        <w:tc>
          <w:tcPr>
            <w:tcW w:w="3540" w:type="dxa"/>
            <w:vAlign w:val="bottom"/>
            <w:shd w:val="clear" w:color="auto" w:fill="DBDBDB"/>
          </w:tcPr>
          <w:p>
            <w:pPr>
              <w:spacing w:after="0"/>
              <w:rPr>
                <w:sz w:val="2"/>
                <w:szCs w:val="2"/>
                <w:color w:val="auto"/>
              </w:rPr>
            </w:pPr>
          </w:p>
        </w:tc>
        <w:tc>
          <w:tcPr>
            <w:tcW w:w="3720" w:type="dxa"/>
            <w:vAlign w:val="bottom"/>
            <w:shd w:val="clear" w:color="auto" w:fill="DBDBDB"/>
          </w:tcPr>
          <w:p>
            <w:pPr>
              <w:spacing w:after="0"/>
              <w:rPr>
                <w:sz w:val="2"/>
                <w:szCs w:val="2"/>
                <w:color w:val="auto"/>
              </w:rPr>
            </w:pPr>
          </w:p>
        </w:tc>
        <w:tc>
          <w:tcPr>
            <w:tcW w:w="3760" w:type="dxa"/>
            <w:vAlign w:val="bottom"/>
            <w:shd w:val="clear" w:color="auto" w:fill="DBDBDB"/>
          </w:tcPr>
          <w:p>
            <w:pPr>
              <w:spacing w:after="0"/>
              <w:rPr>
                <w:sz w:val="2"/>
                <w:szCs w:val="2"/>
                <w:color w:val="auto"/>
              </w:rPr>
            </w:pPr>
          </w:p>
        </w:tc>
      </w:tr>
    </w:tbl>
    <w:p>
      <w:pPr>
        <w:spacing w:after="0" w:line="157" w:lineRule="exact"/>
        <w:rPr>
          <w:sz w:val="20"/>
          <w:szCs w:val="20"/>
          <w:color w:val="auto"/>
        </w:rPr>
      </w:pPr>
    </w:p>
    <w:p>
      <w:pPr>
        <w:ind w:left="320"/>
        <w:spacing w:after="0"/>
        <w:rPr>
          <w:sz w:val="20"/>
          <w:szCs w:val="20"/>
          <w:color w:val="auto"/>
        </w:rPr>
      </w:pPr>
      <w:r>
        <w:rPr>
          <w:rFonts w:ascii="Arial" w:cs="Arial" w:eastAsia="Arial" w:hAnsi="Arial"/>
          <w:sz w:val="17"/>
          <w:szCs w:val="17"/>
          <w:i w:val="1"/>
          <w:iCs w:val="1"/>
          <w:color w:val="auto"/>
        </w:rPr>
        <w:t xml:space="preserve">Performance Measures for the Performance Period Ending in Fiscal 2024. </w:t>
      </w:r>
      <w:r>
        <w:rPr>
          <w:rFonts w:ascii="Arial" w:cs="Arial" w:eastAsia="Arial" w:hAnsi="Arial"/>
          <w:sz w:val="17"/>
          <w:szCs w:val="17"/>
          <w:color w:val="auto"/>
        </w:rPr>
        <w:t>The performance share awards that were granted in fiscal 2022</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for the fiscal 2022 to fiscal 2024 performance period were approved for payout upon the Committee's certification of performance against the</w:t>
      </w:r>
    </w:p>
    <w:p>
      <w:pPr>
        <w:spacing w:after="0" w:line="237" w:lineRule="auto"/>
        <w:rPr>
          <w:sz w:val="20"/>
          <w:szCs w:val="20"/>
          <w:color w:val="auto"/>
        </w:rPr>
      </w:pPr>
      <w:r>
        <w:rPr>
          <w:rFonts w:ascii="Arial" w:cs="Arial" w:eastAsia="Arial" w:hAnsi="Arial"/>
          <w:sz w:val="17"/>
          <w:szCs w:val="17"/>
          <w:color w:val="auto"/>
        </w:rPr>
        <w:t>goals and impact of any predefined adjustment events at its meeting on December 10, 2024. Pursuant to the predefined adjustment events, all financial impacts related to our acquisition of Intimidator Group in January 2022 were excluded from the payout calculation. The payout for our</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fiscal 2022 to fiscal 2024 performance share awards was 55.3% of target.</w:t>
      </w:r>
    </w:p>
    <w:p>
      <w:pPr>
        <w:spacing w:after="0" w:line="84" w:lineRule="exact"/>
        <w:rPr>
          <w:sz w:val="20"/>
          <w:szCs w:val="20"/>
          <w:color w:val="auto"/>
        </w:rPr>
      </w:pPr>
    </w:p>
    <w:p>
      <w:pPr>
        <w:ind w:firstLine="320"/>
        <w:spacing w:after="0" w:line="247" w:lineRule="auto"/>
        <w:rPr>
          <w:sz w:val="20"/>
          <w:szCs w:val="20"/>
          <w:color w:val="auto"/>
        </w:rPr>
      </w:pPr>
      <w:r>
        <w:rPr>
          <w:rFonts w:ascii="Arial" w:cs="Arial" w:eastAsia="Arial" w:hAnsi="Arial"/>
          <w:sz w:val="17"/>
          <w:szCs w:val="17"/>
          <w:color w:val="auto"/>
        </w:rPr>
        <w:t>The table below outlines the corporate performance measures and weightings, as well as threshold, target and maximum goals that were established by the Committee at the beginning of fiscal 2022, along with actual levels of performance when factoring in adjustment events, for</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the fiscal 2022 to fiscal 2024 performance share awards.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79375</wp:posOffset>
            </wp:positionV>
            <wp:extent cx="7159625" cy="425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154" w:right="339" w:bottom="1440" w:gutter="0" w:footer="0" w:header="0"/>
        </w:sectPr>
      </w:pPr>
    </w:p>
    <w:bookmarkStart w:id="53" w:name="page54"/>
    <w:bookmarkEnd w:id="53"/>
    <w:tbl>
      <w:tblPr>
        <w:tblLayout w:type="fixed"/>
        <w:tblInd w:w="200" w:type="dxa"/>
        <w:tblCellMar>
          <w:top w:w="0" w:type="dxa"/>
          <w:left w:w="0" w:type="dxa"/>
          <w:bottom w:w="0" w:type="dxa"/>
          <w:right w:w="0" w:type="dxa"/>
        </w:tblCellMar>
      </w:tblPr>
      <w:tr>
        <w:trPr>
          <w:trHeight w:val="239"/>
        </w:trPr>
        <w:tc>
          <w:tcPr>
            <w:tcW w:w="2860" w:type="dxa"/>
            <w:vAlign w:val="bottom"/>
            <w:shd w:val="clear" w:color="auto" w:fill="BF2115"/>
          </w:tcPr>
          <w:p>
            <w:pPr>
              <w:ind w:left="20"/>
              <w:spacing w:after="0"/>
              <w:rPr>
                <w:sz w:val="20"/>
                <w:szCs w:val="20"/>
                <w:color w:val="auto"/>
              </w:rPr>
            </w:pPr>
            <w:r>
              <w:rPr>
                <w:rFonts w:ascii="Arial" w:cs="Arial" w:eastAsia="Arial" w:hAnsi="Arial"/>
                <w:sz w:val="14"/>
                <w:szCs w:val="14"/>
                <w:b w:val="1"/>
                <w:bCs w:val="1"/>
                <w:color w:val="FFFFFF"/>
              </w:rPr>
              <w:t>Fiscal 2022 to Fiscal 2024</w:t>
            </w:r>
          </w:p>
        </w:tc>
        <w:tc>
          <w:tcPr>
            <w:tcW w:w="2320" w:type="dxa"/>
            <w:vAlign w:val="bottom"/>
            <w:shd w:val="clear" w:color="auto" w:fill="BF2115"/>
          </w:tcPr>
          <w:p>
            <w:pPr>
              <w:jc w:val="center"/>
              <w:ind w:left="749"/>
              <w:spacing w:after="0"/>
              <w:rPr>
                <w:sz w:val="20"/>
                <w:szCs w:val="20"/>
                <w:color w:val="auto"/>
              </w:rPr>
            </w:pPr>
            <w:r>
              <w:rPr>
                <w:rFonts w:ascii="Arial" w:cs="Arial" w:eastAsia="Arial" w:hAnsi="Arial"/>
                <w:sz w:val="14"/>
                <w:szCs w:val="14"/>
                <w:b w:val="1"/>
                <w:bCs w:val="1"/>
                <w:color w:val="FFFFFF"/>
              </w:rPr>
              <w:t>Threshold</w:t>
            </w:r>
          </w:p>
        </w:tc>
        <w:tc>
          <w:tcPr>
            <w:tcW w:w="1580" w:type="dxa"/>
            <w:vAlign w:val="bottom"/>
            <w:shd w:val="clear" w:color="auto" w:fill="BF2115"/>
          </w:tcPr>
          <w:p>
            <w:pPr>
              <w:jc w:val="center"/>
              <w:spacing w:after="0"/>
              <w:rPr>
                <w:sz w:val="20"/>
                <w:szCs w:val="20"/>
                <w:color w:val="auto"/>
              </w:rPr>
            </w:pPr>
            <w:r>
              <w:rPr>
                <w:rFonts w:ascii="Arial" w:cs="Arial" w:eastAsia="Arial" w:hAnsi="Arial"/>
                <w:sz w:val="14"/>
                <w:szCs w:val="14"/>
                <w:b w:val="1"/>
                <w:bCs w:val="1"/>
                <w:color w:val="FFFFFF"/>
                <w:w w:val="98"/>
              </w:rPr>
              <w:t>Target</w:t>
            </w:r>
          </w:p>
        </w:tc>
        <w:tc>
          <w:tcPr>
            <w:tcW w:w="1940" w:type="dxa"/>
            <w:vAlign w:val="bottom"/>
            <w:shd w:val="clear" w:color="auto" w:fill="BF2115"/>
          </w:tcPr>
          <w:p>
            <w:pPr>
              <w:jc w:val="center"/>
              <w:ind w:right="329"/>
              <w:spacing w:after="0"/>
              <w:rPr>
                <w:sz w:val="20"/>
                <w:szCs w:val="20"/>
                <w:color w:val="auto"/>
              </w:rPr>
            </w:pPr>
            <w:r>
              <w:rPr>
                <w:rFonts w:ascii="Arial" w:cs="Arial" w:eastAsia="Arial" w:hAnsi="Arial"/>
                <w:sz w:val="14"/>
                <w:szCs w:val="14"/>
                <w:b w:val="1"/>
                <w:bCs w:val="1"/>
                <w:color w:val="FFFFFF"/>
              </w:rPr>
              <w:t>Maximum</w:t>
            </w:r>
          </w:p>
        </w:tc>
        <w:tc>
          <w:tcPr>
            <w:tcW w:w="2160" w:type="dxa"/>
            <w:vAlign w:val="bottom"/>
            <w:shd w:val="clear" w:color="auto" w:fill="BF2115"/>
          </w:tcPr>
          <w:p>
            <w:pPr>
              <w:spacing w:after="0"/>
              <w:rPr>
                <w:sz w:val="20"/>
                <w:szCs w:val="20"/>
                <w:color w:val="auto"/>
              </w:rPr>
            </w:pPr>
          </w:p>
        </w:tc>
      </w:tr>
      <w:tr>
        <w:trPr>
          <w:trHeight w:val="228"/>
        </w:trPr>
        <w:tc>
          <w:tcPr>
            <w:tcW w:w="2860" w:type="dxa"/>
            <w:vAlign w:val="bottom"/>
            <w:shd w:val="clear" w:color="auto" w:fill="BF2115"/>
          </w:tcPr>
          <w:p>
            <w:pPr>
              <w:ind w:left="20"/>
              <w:spacing w:after="0"/>
              <w:rPr>
                <w:sz w:val="20"/>
                <w:szCs w:val="20"/>
                <w:color w:val="auto"/>
              </w:rPr>
            </w:pPr>
            <w:r>
              <w:rPr>
                <w:rFonts w:ascii="Arial" w:cs="Arial" w:eastAsia="Arial" w:hAnsi="Arial"/>
                <w:sz w:val="14"/>
                <w:szCs w:val="14"/>
                <w:b w:val="1"/>
                <w:bCs w:val="1"/>
                <w:color w:val="FFFFFF"/>
              </w:rPr>
              <w:t>Performance Measures</w:t>
            </w:r>
          </w:p>
        </w:tc>
        <w:tc>
          <w:tcPr>
            <w:tcW w:w="2320" w:type="dxa"/>
            <w:vAlign w:val="bottom"/>
            <w:shd w:val="clear" w:color="auto" w:fill="BF2115"/>
          </w:tcPr>
          <w:p>
            <w:pPr>
              <w:jc w:val="center"/>
              <w:ind w:left="749"/>
              <w:spacing w:after="0"/>
              <w:rPr>
                <w:sz w:val="20"/>
                <w:szCs w:val="20"/>
                <w:color w:val="auto"/>
              </w:rPr>
            </w:pPr>
            <w:r>
              <w:rPr>
                <w:rFonts w:ascii="Arial" w:cs="Arial" w:eastAsia="Arial" w:hAnsi="Arial"/>
                <w:sz w:val="14"/>
                <w:szCs w:val="14"/>
                <w:b w:val="1"/>
                <w:bCs w:val="1"/>
                <w:color w:val="FFFFFF"/>
              </w:rPr>
              <w:t>(40% payout)</w:t>
            </w:r>
          </w:p>
        </w:tc>
        <w:tc>
          <w:tcPr>
            <w:tcW w:w="1580" w:type="dxa"/>
            <w:vAlign w:val="bottom"/>
            <w:shd w:val="clear" w:color="auto" w:fill="BF2115"/>
          </w:tcPr>
          <w:p>
            <w:pPr>
              <w:jc w:val="center"/>
              <w:spacing w:after="0"/>
              <w:rPr>
                <w:sz w:val="20"/>
                <w:szCs w:val="20"/>
                <w:color w:val="auto"/>
              </w:rPr>
            </w:pPr>
            <w:r>
              <w:rPr>
                <w:rFonts w:ascii="Arial" w:cs="Arial" w:eastAsia="Arial" w:hAnsi="Arial"/>
                <w:sz w:val="14"/>
                <w:szCs w:val="14"/>
                <w:b w:val="1"/>
                <w:bCs w:val="1"/>
                <w:color w:val="FFFFFF"/>
              </w:rPr>
              <w:t>(100% payout)</w:t>
            </w:r>
          </w:p>
        </w:tc>
        <w:tc>
          <w:tcPr>
            <w:tcW w:w="1940" w:type="dxa"/>
            <w:vAlign w:val="bottom"/>
            <w:shd w:val="clear" w:color="auto" w:fill="BF2115"/>
          </w:tcPr>
          <w:p>
            <w:pPr>
              <w:jc w:val="center"/>
              <w:ind w:right="309"/>
              <w:spacing w:after="0"/>
              <w:rPr>
                <w:sz w:val="20"/>
                <w:szCs w:val="20"/>
                <w:color w:val="auto"/>
              </w:rPr>
            </w:pPr>
            <w:r>
              <w:rPr>
                <w:rFonts w:ascii="Arial" w:cs="Arial" w:eastAsia="Arial" w:hAnsi="Arial"/>
                <w:sz w:val="14"/>
                <w:szCs w:val="14"/>
                <w:b w:val="1"/>
                <w:bCs w:val="1"/>
                <w:color w:val="FFFFFF"/>
              </w:rPr>
              <w:t>(200% payout)</w:t>
            </w:r>
          </w:p>
        </w:tc>
        <w:tc>
          <w:tcPr>
            <w:tcW w:w="2160" w:type="dxa"/>
            <w:vAlign w:val="bottom"/>
            <w:shd w:val="clear" w:color="auto" w:fill="BF2115"/>
          </w:tcPr>
          <w:p>
            <w:pPr>
              <w:ind w:left="680"/>
              <w:spacing w:after="0"/>
              <w:rPr>
                <w:sz w:val="20"/>
                <w:szCs w:val="20"/>
                <w:color w:val="auto"/>
              </w:rPr>
            </w:pPr>
            <w:r>
              <w:rPr>
                <w:rFonts w:ascii="Arial" w:cs="Arial" w:eastAsia="Arial" w:hAnsi="Arial"/>
                <w:sz w:val="14"/>
                <w:szCs w:val="14"/>
                <w:b w:val="1"/>
                <w:bCs w:val="1"/>
                <w:color w:val="FFFFFF"/>
              </w:rPr>
              <w:t>Actual</w:t>
            </w:r>
          </w:p>
        </w:tc>
      </w:tr>
    </w:tbl>
    <w:p>
      <w:pPr>
        <w:spacing w:after="0" w:line="44" w:lineRule="exact"/>
        <w:rPr>
          <w:sz w:val="20"/>
          <w:szCs w:val="20"/>
          <w:color w:val="auto"/>
        </w:rPr>
      </w:pPr>
    </w:p>
    <w:p>
      <w:pPr>
        <w:sectPr>
          <w:pgSz w:w="11900" w:h="16838" w:orient="portrait"/>
          <w:cols w:equalWidth="0" w:num="1">
            <w:col w:w="11240"/>
          </w:cols>
          <w:pgMar w:left="320" w:top="1154" w:right="339" w:bottom="1440" w:gutter="0" w:footer="0" w:header="0"/>
        </w:sectPr>
      </w:pPr>
    </w:p>
    <w:p>
      <w:pPr>
        <w:ind w:left="260" w:right="920" w:hanging="38"/>
        <w:spacing w:after="0" w:line="318" w:lineRule="auto"/>
        <w:rPr>
          <w:sz w:val="20"/>
          <w:szCs w:val="20"/>
          <w:color w:val="auto"/>
        </w:rPr>
      </w:pPr>
      <w:r>
        <w:rPr>
          <w:rFonts w:ascii="Arial" w:cs="Arial" w:eastAsia="Arial" w:hAnsi="Arial"/>
          <w:sz w:val="14"/>
          <w:szCs w:val="14"/>
          <w:color w:val="auto"/>
        </w:rPr>
        <w:t>50% cumulative corporate net income plus after-tax interest (in thousands)</w:t>
      </w:r>
    </w:p>
    <w:p>
      <w:pPr>
        <w:ind w:left="220"/>
        <w:spacing w:after="0"/>
        <w:rPr>
          <w:sz w:val="20"/>
          <w:szCs w:val="20"/>
          <w:color w:val="auto"/>
        </w:rPr>
      </w:pPr>
      <w:r>
        <w:rPr>
          <w:rFonts w:ascii="Arial" w:cs="Arial" w:eastAsia="Arial" w:hAnsi="Arial"/>
          <w:sz w:val="14"/>
          <w:szCs w:val="14"/>
          <w:color w:val="auto"/>
        </w:rPr>
        <w:t>30% cumulative corporate revenue</w:t>
      </w:r>
    </w:p>
    <w:p>
      <w:pPr>
        <w:spacing w:after="0" w:line="28" w:lineRule="exact"/>
        <w:rPr>
          <w:sz w:val="20"/>
          <w:szCs w:val="20"/>
          <w:color w:val="auto"/>
        </w:rPr>
      </w:pPr>
    </w:p>
    <w:p>
      <w:pPr>
        <w:ind w:left="260"/>
        <w:spacing w:after="0"/>
        <w:rPr>
          <w:sz w:val="20"/>
          <w:szCs w:val="20"/>
          <w:color w:val="auto"/>
        </w:rPr>
      </w:pPr>
      <w:r>
        <w:rPr>
          <w:rFonts w:ascii="Arial" w:cs="Arial" w:eastAsia="Arial" w:hAnsi="Arial"/>
          <w:sz w:val="14"/>
          <w:szCs w:val="14"/>
          <w:color w:val="auto"/>
        </w:rPr>
        <w:t>(in thousands)</w:t>
      </w:r>
    </w:p>
    <w:p>
      <w:pPr>
        <w:spacing w:after="0" w:line="157" w:lineRule="exact"/>
        <w:rPr>
          <w:sz w:val="20"/>
          <w:szCs w:val="20"/>
          <w:color w:val="auto"/>
        </w:rPr>
      </w:pPr>
    </w:p>
    <w:p>
      <w:pPr>
        <w:ind w:left="220"/>
        <w:spacing w:after="0"/>
        <w:rPr>
          <w:sz w:val="20"/>
          <w:szCs w:val="20"/>
          <w:color w:val="auto"/>
        </w:rPr>
      </w:pPr>
      <w:r>
        <w:rPr>
          <w:rFonts w:ascii="Arial" w:cs="Arial" w:eastAsia="Arial" w:hAnsi="Arial"/>
          <w:sz w:val="14"/>
          <w:szCs w:val="14"/>
          <w:color w:val="auto"/>
        </w:rPr>
        <w:t>20% corporate working capital as a % of sales</w:t>
      </w:r>
    </w:p>
    <w:p>
      <w:pPr>
        <w:spacing w:after="0" w:line="159" w:lineRule="exact"/>
        <w:rPr>
          <w:sz w:val="20"/>
          <w:szCs w:val="20"/>
          <w:color w:val="auto"/>
        </w:rPr>
      </w:pPr>
    </w:p>
    <w:p>
      <w:pPr>
        <w:ind w:left="220" w:right="140"/>
        <w:spacing w:after="0" w:line="288" w:lineRule="auto"/>
        <w:rPr>
          <w:sz w:val="20"/>
          <w:szCs w:val="20"/>
          <w:color w:val="auto"/>
        </w:rPr>
      </w:pPr>
      <w:r>
        <w:rPr>
          <w:rFonts w:ascii="Arial" w:cs="Arial" w:eastAsia="Arial" w:hAnsi="Arial"/>
          <w:sz w:val="14"/>
          <w:szCs w:val="14"/>
          <w:b w:val="1"/>
          <w:bCs w:val="1"/>
          <w:color w:val="auto"/>
        </w:rPr>
        <w:t>Fiscal 2022 to fiscal 2024 performance share award payout</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7"/>
        </w:trPr>
        <w:tc>
          <w:tcPr>
            <w:tcW w:w="1180" w:type="dxa"/>
            <w:vAlign w:val="bottom"/>
            <w:vMerge w:val="restart"/>
          </w:tcPr>
          <w:p>
            <w:pPr>
              <w:jc w:val="right"/>
              <w:ind w:right="309"/>
              <w:spacing w:after="0"/>
              <w:rPr>
                <w:sz w:val="20"/>
                <w:szCs w:val="20"/>
                <w:color w:val="auto"/>
              </w:rPr>
            </w:pPr>
            <w:r>
              <w:rPr>
                <w:rFonts w:ascii="Arial" w:cs="Arial" w:eastAsia="Arial" w:hAnsi="Arial"/>
                <w:sz w:val="14"/>
                <w:szCs w:val="14"/>
                <w:color w:val="auto"/>
              </w:rPr>
              <w:t>$1,266,348</w:t>
            </w:r>
          </w:p>
        </w:tc>
        <w:tc>
          <w:tcPr>
            <w:tcW w:w="1540" w:type="dxa"/>
            <w:vAlign w:val="bottom"/>
            <w:vMerge w:val="restart"/>
          </w:tcPr>
          <w:p>
            <w:pPr>
              <w:jc w:val="right"/>
              <w:ind w:right="309"/>
              <w:spacing w:after="0"/>
              <w:rPr>
                <w:sz w:val="20"/>
                <w:szCs w:val="20"/>
                <w:color w:val="auto"/>
              </w:rPr>
            </w:pPr>
            <w:r>
              <w:rPr>
                <w:rFonts w:ascii="Arial" w:cs="Arial" w:eastAsia="Arial" w:hAnsi="Arial"/>
                <w:sz w:val="14"/>
                <w:szCs w:val="14"/>
                <w:color w:val="auto"/>
              </w:rPr>
              <w:t>$1,582,935</w:t>
            </w:r>
          </w:p>
        </w:tc>
        <w:tc>
          <w:tcPr>
            <w:tcW w:w="1380" w:type="dxa"/>
            <w:vAlign w:val="bottom"/>
            <w:vMerge w:val="restart"/>
          </w:tcPr>
          <w:p>
            <w:pPr>
              <w:jc w:val="right"/>
              <w:ind w:right="129"/>
              <w:spacing w:after="0"/>
              <w:rPr>
                <w:sz w:val="20"/>
                <w:szCs w:val="20"/>
                <w:color w:val="auto"/>
              </w:rPr>
            </w:pPr>
            <w:r>
              <w:rPr>
                <w:rFonts w:ascii="Arial" w:cs="Arial" w:eastAsia="Arial" w:hAnsi="Arial"/>
                <w:sz w:val="14"/>
                <w:szCs w:val="14"/>
                <w:color w:val="auto"/>
              </w:rPr>
              <w:t>$1,899,522</w:t>
            </w:r>
          </w:p>
        </w:tc>
        <w:tc>
          <w:tcPr>
            <w:tcW w:w="2140" w:type="dxa"/>
            <w:vAlign w:val="bottom"/>
          </w:tcPr>
          <w:p>
            <w:pPr>
              <w:jc w:val="center"/>
              <w:ind w:left="129"/>
              <w:spacing w:after="0"/>
              <w:rPr>
                <w:sz w:val="20"/>
                <w:szCs w:val="20"/>
                <w:color w:val="auto"/>
              </w:rPr>
            </w:pPr>
            <w:r>
              <w:rPr>
                <w:rFonts w:ascii="Arial" w:cs="Arial" w:eastAsia="Arial" w:hAnsi="Arial"/>
                <w:sz w:val="14"/>
                <w:szCs w:val="14"/>
                <w:color w:val="auto"/>
                <w:w w:val="99"/>
              </w:rPr>
              <w:t>$1,497,214</w:t>
            </w:r>
          </w:p>
        </w:tc>
        <w:tc>
          <w:tcPr>
            <w:tcW w:w="0" w:type="dxa"/>
            <w:vAlign w:val="bottom"/>
          </w:tcPr>
          <w:p>
            <w:pPr>
              <w:spacing w:after="0"/>
              <w:rPr>
                <w:sz w:val="1"/>
                <w:szCs w:val="1"/>
                <w:color w:val="auto"/>
              </w:rPr>
            </w:pPr>
          </w:p>
        </w:tc>
      </w:tr>
      <w:tr>
        <w:trPr>
          <w:trHeight w:val="82"/>
        </w:trPr>
        <w:tc>
          <w:tcPr>
            <w:tcW w:w="1180" w:type="dxa"/>
            <w:vAlign w:val="bottom"/>
            <w:vMerge w:val="continue"/>
          </w:tcPr>
          <w:p>
            <w:pPr>
              <w:spacing w:after="0"/>
              <w:rPr>
                <w:sz w:val="7"/>
                <w:szCs w:val="7"/>
                <w:color w:val="auto"/>
              </w:rPr>
            </w:pPr>
          </w:p>
        </w:tc>
        <w:tc>
          <w:tcPr>
            <w:tcW w:w="1540" w:type="dxa"/>
            <w:vAlign w:val="bottom"/>
            <w:vMerge w:val="continue"/>
          </w:tcPr>
          <w:p>
            <w:pPr>
              <w:spacing w:after="0"/>
              <w:rPr>
                <w:sz w:val="7"/>
                <w:szCs w:val="7"/>
                <w:color w:val="auto"/>
              </w:rPr>
            </w:pPr>
          </w:p>
        </w:tc>
        <w:tc>
          <w:tcPr>
            <w:tcW w:w="1380" w:type="dxa"/>
            <w:vAlign w:val="bottom"/>
            <w:vMerge w:val="continue"/>
          </w:tcPr>
          <w:p>
            <w:pPr>
              <w:spacing w:after="0"/>
              <w:rPr>
                <w:sz w:val="7"/>
                <w:szCs w:val="7"/>
                <w:color w:val="auto"/>
              </w:rPr>
            </w:pPr>
          </w:p>
        </w:tc>
        <w:tc>
          <w:tcPr>
            <w:tcW w:w="2140" w:type="dxa"/>
            <w:vAlign w:val="bottom"/>
            <w:vMerge w:val="restart"/>
          </w:tcPr>
          <w:p>
            <w:pPr>
              <w:jc w:val="center"/>
              <w:ind w:left="129"/>
              <w:spacing w:after="0"/>
              <w:rPr>
                <w:sz w:val="20"/>
                <w:szCs w:val="20"/>
                <w:color w:val="auto"/>
              </w:rPr>
            </w:pPr>
            <w:r>
              <w:rPr>
                <w:rFonts w:ascii="Arial" w:cs="Arial" w:eastAsia="Arial" w:hAnsi="Arial"/>
                <w:sz w:val="14"/>
                <w:szCs w:val="14"/>
                <w:color w:val="auto"/>
              </w:rPr>
              <w:t>(between threshold and target)</w:t>
            </w:r>
          </w:p>
        </w:tc>
        <w:tc>
          <w:tcPr>
            <w:tcW w:w="0" w:type="dxa"/>
            <w:vAlign w:val="bottom"/>
          </w:tcPr>
          <w:p>
            <w:pPr>
              <w:spacing w:after="0"/>
              <w:rPr>
                <w:sz w:val="1"/>
                <w:szCs w:val="1"/>
                <w:color w:val="auto"/>
              </w:rPr>
            </w:pPr>
          </w:p>
        </w:tc>
      </w:tr>
      <w:tr>
        <w:trPr>
          <w:trHeight w:val="107"/>
        </w:trPr>
        <w:tc>
          <w:tcPr>
            <w:tcW w:w="1180" w:type="dxa"/>
            <w:vAlign w:val="bottom"/>
          </w:tcPr>
          <w:p>
            <w:pPr>
              <w:spacing w:after="0"/>
              <w:rPr>
                <w:sz w:val="9"/>
                <w:szCs w:val="9"/>
                <w:color w:val="auto"/>
              </w:rPr>
            </w:pPr>
          </w:p>
        </w:tc>
        <w:tc>
          <w:tcPr>
            <w:tcW w:w="1540" w:type="dxa"/>
            <w:vAlign w:val="bottom"/>
          </w:tcPr>
          <w:p>
            <w:pPr>
              <w:spacing w:after="0"/>
              <w:rPr>
                <w:sz w:val="9"/>
                <w:szCs w:val="9"/>
                <w:color w:val="auto"/>
              </w:rPr>
            </w:pPr>
          </w:p>
        </w:tc>
        <w:tc>
          <w:tcPr>
            <w:tcW w:w="1380" w:type="dxa"/>
            <w:vAlign w:val="bottom"/>
          </w:tcPr>
          <w:p>
            <w:pPr>
              <w:spacing w:after="0"/>
              <w:rPr>
                <w:sz w:val="9"/>
                <w:szCs w:val="9"/>
                <w:color w:val="auto"/>
              </w:rPr>
            </w:pPr>
          </w:p>
        </w:tc>
        <w:tc>
          <w:tcPr>
            <w:tcW w:w="21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38"/>
        </w:trPr>
        <w:tc>
          <w:tcPr>
            <w:tcW w:w="1180" w:type="dxa"/>
            <w:vAlign w:val="bottom"/>
            <w:vMerge w:val="restart"/>
          </w:tcPr>
          <w:p>
            <w:pPr>
              <w:jc w:val="right"/>
              <w:ind w:right="309"/>
              <w:spacing w:after="0"/>
              <w:rPr>
                <w:sz w:val="20"/>
                <w:szCs w:val="20"/>
                <w:color w:val="auto"/>
              </w:rPr>
            </w:pPr>
            <w:r>
              <w:rPr>
                <w:rFonts w:ascii="Arial" w:cs="Arial" w:eastAsia="Arial" w:hAnsi="Arial"/>
                <w:sz w:val="14"/>
                <w:szCs w:val="14"/>
                <w:color w:val="auto"/>
              </w:rPr>
              <w:t>$13,192,703</w:t>
            </w:r>
          </w:p>
        </w:tc>
        <w:tc>
          <w:tcPr>
            <w:tcW w:w="1540" w:type="dxa"/>
            <w:vAlign w:val="bottom"/>
            <w:vMerge w:val="restart"/>
          </w:tcPr>
          <w:p>
            <w:pPr>
              <w:jc w:val="right"/>
              <w:ind w:right="309"/>
              <w:spacing w:after="0"/>
              <w:rPr>
                <w:sz w:val="20"/>
                <w:szCs w:val="20"/>
                <w:color w:val="auto"/>
              </w:rPr>
            </w:pPr>
            <w:r>
              <w:rPr>
                <w:rFonts w:ascii="Arial" w:cs="Arial" w:eastAsia="Arial" w:hAnsi="Arial"/>
                <w:sz w:val="14"/>
                <w:szCs w:val="14"/>
                <w:color w:val="auto"/>
              </w:rPr>
              <w:t>$14,224,049</w:t>
            </w:r>
          </w:p>
        </w:tc>
        <w:tc>
          <w:tcPr>
            <w:tcW w:w="1380" w:type="dxa"/>
            <w:vAlign w:val="bottom"/>
            <w:vMerge w:val="restart"/>
          </w:tcPr>
          <w:p>
            <w:pPr>
              <w:jc w:val="right"/>
              <w:ind w:right="129"/>
              <w:spacing w:after="0"/>
              <w:rPr>
                <w:sz w:val="20"/>
                <w:szCs w:val="20"/>
                <w:color w:val="auto"/>
              </w:rPr>
            </w:pPr>
            <w:r>
              <w:rPr>
                <w:rFonts w:ascii="Arial" w:cs="Arial" w:eastAsia="Arial" w:hAnsi="Arial"/>
                <w:sz w:val="14"/>
                <w:szCs w:val="14"/>
                <w:color w:val="auto"/>
              </w:rPr>
              <w:t>$14,781,800</w:t>
            </w:r>
          </w:p>
        </w:tc>
        <w:tc>
          <w:tcPr>
            <w:tcW w:w="2140" w:type="dxa"/>
            <w:vAlign w:val="bottom"/>
          </w:tcPr>
          <w:p>
            <w:pPr>
              <w:jc w:val="center"/>
              <w:ind w:left="129"/>
              <w:spacing w:after="0"/>
              <w:rPr>
                <w:sz w:val="20"/>
                <w:szCs w:val="20"/>
                <w:color w:val="auto"/>
              </w:rPr>
            </w:pPr>
            <w:r>
              <w:rPr>
                <w:rFonts w:ascii="Arial" w:cs="Arial" w:eastAsia="Arial" w:hAnsi="Arial"/>
                <w:sz w:val="14"/>
                <w:szCs w:val="14"/>
                <w:color w:val="auto"/>
              </w:rPr>
              <w:t>$13,275,564</w:t>
            </w:r>
          </w:p>
        </w:tc>
        <w:tc>
          <w:tcPr>
            <w:tcW w:w="0" w:type="dxa"/>
            <w:vAlign w:val="bottom"/>
          </w:tcPr>
          <w:p>
            <w:pPr>
              <w:spacing w:after="0"/>
              <w:rPr>
                <w:sz w:val="1"/>
                <w:szCs w:val="1"/>
                <w:color w:val="auto"/>
              </w:rPr>
            </w:pPr>
          </w:p>
        </w:tc>
      </w:tr>
      <w:tr>
        <w:trPr>
          <w:trHeight w:val="82"/>
        </w:trPr>
        <w:tc>
          <w:tcPr>
            <w:tcW w:w="1180" w:type="dxa"/>
            <w:vAlign w:val="bottom"/>
            <w:vMerge w:val="continue"/>
          </w:tcPr>
          <w:p>
            <w:pPr>
              <w:spacing w:after="0"/>
              <w:rPr>
                <w:sz w:val="7"/>
                <w:szCs w:val="7"/>
                <w:color w:val="auto"/>
              </w:rPr>
            </w:pPr>
          </w:p>
        </w:tc>
        <w:tc>
          <w:tcPr>
            <w:tcW w:w="1540" w:type="dxa"/>
            <w:vAlign w:val="bottom"/>
            <w:vMerge w:val="continue"/>
          </w:tcPr>
          <w:p>
            <w:pPr>
              <w:spacing w:after="0"/>
              <w:rPr>
                <w:sz w:val="7"/>
                <w:szCs w:val="7"/>
                <w:color w:val="auto"/>
              </w:rPr>
            </w:pPr>
          </w:p>
        </w:tc>
        <w:tc>
          <w:tcPr>
            <w:tcW w:w="1380" w:type="dxa"/>
            <w:vAlign w:val="bottom"/>
            <w:vMerge w:val="continue"/>
          </w:tcPr>
          <w:p>
            <w:pPr>
              <w:spacing w:after="0"/>
              <w:rPr>
                <w:sz w:val="7"/>
                <w:szCs w:val="7"/>
                <w:color w:val="auto"/>
              </w:rPr>
            </w:pPr>
          </w:p>
        </w:tc>
        <w:tc>
          <w:tcPr>
            <w:tcW w:w="2140" w:type="dxa"/>
            <w:vAlign w:val="bottom"/>
            <w:vMerge w:val="restart"/>
          </w:tcPr>
          <w:p>
            <w:pPr>
              <w:jc w:val="center"/>
              <w:ind w:left="129"/>
              <w:spacing w:after="0"/>
              <w:rPr>
                <w:sz w:val="20"/>
                <w:szCs w:val="20"/>
                <w:color w:val="auto"/>
              </w:rPr>
            </w:pPr>
            <w:r>
              <w:rPr>
                <w:rFonts w:ascii="Arial" w:cs="Arial" w:eastAsia="Arial" w:hAnsi="Arial"/>
                <w:sz w:val="14"/>
                <w:szCs w:val="14"/>
                <w:color w:val="auto"/>
              </w:rPr>
              <w:t>(between threshold and target)</w:t>
            </w:r>
          </w:p>
        </w:tc>
        <w:tc>
          <w:tcPr>
            <w:tcW w:w="0" w:type="dxa"/>
            <w:vAlign w:val="bottom"/>
          </w:tcPr>
          <w:p>
            <w:pPr>
              <w:spacing w:after="0"/>
              <w:rPr>
                <w:sz w:val="1"/>
                <w:szCs w:val="1"/>
                <w:color w:val="auto"/>
              </w:rPr>
            </w:pPr>
          </w:p>
        </w:tc>
      </w:tr>
      <w:tr>
        <w:trPr>
          <w:trHeight w:val="107"/>
        </w:trPr>
        <w:tc>
          <w:tcPr>
            <w:tcW w:w="1180" w:type="dxa"/>
            <w:vAlign w:val="bottom"/>
          </w:tcPr>
          <w:p>
            <w:pPr>
              <w:spacing w:after="0"/>
              <w:rPr>
                <w:sz w:val="9"/>
                <w:szCs w:val="9"/>
                <w:color w:val="auto"/>
              </w:rPr>
            </w:pPr>
          </w:p>
        </w:tc>
        <w:tc>
          <w:tcPr>
            <w:tcW w:w="1540" w:type="dxa"/>
            <w:vAlign w:val="bottom"/>
          </w:tcPr>
          <w:p>
            <w:pPr>
              <w:spacing w:after="0"/>
              <w:rPr>
                <w:sz w:val="9"/>
                <w:szCs w:val="9"/>
                <w:color w:val="auto"/>
              </w:rPr>
            </w:pPr>
          </w:p>
        </w:tc>
        <w:tc>
          <w:tcPr>
            <w:tcW w:w="1380" w:type="dxa"/>
            <w:vAlign w:val="bottom"/>
          </w:tcPr>
          <w:p>
            <w:pPr>
              <w:spacing w:after="0"/>
              <w:rPr>
                <w:sz w:val="9"/>
                <w:szCs w:val="9"/>
                <w:color w:val="auto"/>
              </w:rPr>
            </w:pPr>
          </w:p>
        </w:tc>
        <w:tc>
          <w:tcPr>
            <w:tcW w:w="21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38"/>
        </w:trPr>
        <w:tc>
          <w:tcPr>
            <w:tcW w:w="1180" w:type="dxa"/>
            <w:vAlign w:val="bottom"/>
            <w:vMerge w:val="restart"/>
          </w:tcPr>
          <w:p>
            <w:pPr>
              <w:jc w:val="right"/>
              <w:ind w:right="309"/>
              <w:spacing w:after="0"/>
              <w:rPr>
                <w:sz w:val="20"/>
                <w:szCs w:val="20"/>
                <w:color w:val="auto"/>
              </w:rPr>
            </w:pPr>
            <w:r>
              <w:rPr>
                <w:rFonts w:ascii="Arial" w:cs="Arial" w:eastAsia="Arial" w:hAnsi="Arial"/>
                <w:sz w:val="14"/>
                <w:szCs w:val="14"/>
                <w:color w:val="auto"/>
              </w:rPr>
              <w:t>14.11 %</w:t>
            </w:r>
          </w:p>
        </w:tc>
        <w:tc>
          <w:tcPr>
            <w:tcW w:w="1540" w:type="dxa"/>
            <w:vAlign w:val="bottom"/>
            <w:vMerge w:val="restart"/>
          </w:tcPr>
          <w:p>
            <w:pPr>
              <w:jc w:val="right"/>
              <w:ind w:right="309"/>
              <w:spacing w:after="0"/>
              <w:rPr>
                <w:sz w:val="20"/>
                <w:szCs w:val="20"/>
                <w:color w:val="auto"/>
              </w:rPr>
            </w:pPr>
            <w:r>
              <w:rPr>
                <w:rFonts w:ascii="Arial" w:cs="Arial" w:eastAsia="Arial" w:hAnsi="Arial"/>
                <w:sz w:val="14"/>
                <w:szCs w:val="14"/>
                <w:color w:val="auto"/>
              </w:rPr>
              <w:t>12.82 %</w:t>
            </w:r>
          </w:p>
        </w:tc>
        <w:tc>
          <w:tcPr>
            <w:tcW w:w="1380" w:type="dxa"/>
            <w:vAlign w:val="bottom"/>
            <w:vMerge w:val="restart"/>
          </w:tcPr>
          <w:p>
            <w:pPr>
              <w:jc w:val="right"/>
              <w:ind w:right="129"/>
              <w:spacing w:after="0"/>
              <w:rPr>
                <w:sz w:val="20"/>
                <w:szCs w:val="20"/>
                <w:color w:val="auto"/>
              </w:rPr>
            </w:pPr>
            <w:r>
              <w:rPr>
                <w:rFonts w:ascii="Arial" w:cs="Arial" w:eastAsia="Arial" w:hAnsi="Arial"/>
                <w:sz w:val="14"/>
                <w:szCs w:val="14"/>
                <w:color w:val="auto"/>
              </w:rPr>
              <w:t>11.54 %</w:t>
            </w:r>
          </w:p>
        </w:tc>
        <w:tc>
          <w:tcPr>
            <w:tcW w:w="2140" w:type="dxa"/>
            <w:vAlign w:val="bottom"/>
          </w:tcPr>
          <w:p>
            <w:pPr>
              <w:jc w:val="center"/>
              <w:ind w:left="109"/>
              <w:spacing w:after="0"/>
              <w:rPr>
                <w:sz w:val="20"/>
                <w:szCs w:val="20"/>
                <w:color w:val="auto"/>
              </w:rPr>
            </w:pPr>
            <w:r>
              <w:rPr>
                <w:rFonts w:ascii="Arial" w:cs="Arial" w:eastAsia="Arial" w:hAnsi="Arial"/>
                <w:sz w:val="14"/>
                <w:szCs w:val="14"/>
                <w:color w:val="auto"/>
              </w:rPr>
              <w:t>25.90%</w:t>
            </w:r>
          </w:p>
        </w:tc>
        <w:tc>
          <w:tcPr>
            <w:tcW w:w="0" w:type="dxa"/>
            <w:vAlign w:val="bottom"/>
          </w:tcPr>
          <w:p>
            <w:pPr>
              <w:spacing w:after="0"/>
              <w:rPr>
                <w:sz w:val="1"/>
                <w:szCs w:val="1"/>
                <w:color w:val="auto"/>
              </w:rPr>
            </w:pPr>
          </w:p>
        </w:tc>
      </w:tr>
      <w:tr>
        <w:trPr>
          <w:trHeight w:val="82"/>
        </w:trPr>
        <w:tc>
          <w:tcPr>
            <w:tcW w:w="1180" w:type="dxa"/>
            <w:vAlign w:val="bottom"/>
            <w:vMerge w:val="continue"/>
          </w:tcPr>
          <w:p>
            <w:pPr>
              <w:spacing w:after="0"/>
              <w:rPr>
                <w:sz w:val="7"/>
                <w:szCs w:val="7"/>
                <w:color w:val="auto"/>
              </w:rPr>
            </w:pPr>
          </w:p>
        </w:tc>
        <w:tc>
          <w:tcPr>
            <w:tcW w:w="1540" w:type="dxa"/>
            <w:vAlign w:val="bottom"/>
            <w:vMerge w:val="continue"/>
          </w:tcPr>
          <w:p>
            <w:pPr>
              <w:spacing w:after="0"/>
              <w:rPr>
                <w:sz w:val="7"/>
                <w:szCs w:val="7"/>
                <w:color w:val="auto"/>
              </w:rPr>
            </w:pPr>
          </w:p>
        </w:tc>
        <w:tc>
          <w:tcPr>
            <w:tcW w:w="1380" w:type="dxa"/>
            <w:vAlign w:val="bottom"/>
            <w:vMerge w:val="continue"/>
          </w:tcPr>
          <w:p>
            <w:pPr>
              <w:spacing w:after="0"/>
              <w:rPr>
                <w:sz w:val="7"/>
                <w:szCs w:val="7"/>
                <w:color w:val="auto"/>
              </w:rPr>
            </w:pPr>
          </w:p>
        </w:tc>
        <w:tc>
          <w:tcPr>
            <w:tcW w:w="2140" w:type="dxa"/>
            <w:vAlign w:val="bottom"/>
            <w:vMerge w:val="restart"/>
          </w:tcPr>
          <w:p>
            <w:pPr>
              <w:jc w:val="center"/>
              <w:ind w:left="129"/>
              <w:spacing w:after="0"/>
              <w:rPr>
                <w:sz w:val="20"/>
                <w:szCs w:val="20"/>
                <w:color w:val="auto"/>
              </w:rPr>
            </w:pPr>
            <w:r>
              <w:rPr>
                <w:rFonts w:ascii="Arial" w:cs="Arial" w:eastAsia="Arial" w:hAnsi="Arial"/>
                <w:sz w:val="14"/>
                <w:szCs w:val="14"/>
                <w:color w:val="auto"/>
              </w:rPr>
              <w:t>(below threshold)</w:t>
            </w:r>
          </w:p>
        </w:tc>
        <w:tc>
          <w:tcPr>
            <w:tcW w:w="0" w:type="dxa"/>
            <w:vAlign w:val="bottom"/>
          </w:tcPr>
          <w:p>
            <w:pPr>
              <w:spacing w:after="0"/>
              <w:rPr>
                <w:sz w:val="1"/>
                <w:szCs w:val="1"/>
                <w:color w:val="auto"/>
              </w:rPr>
            </w:pPr>
          </w:p>
        </w:tc>
      </w:tr>
      <w:tr>
        <w:trPr>
          <w:trHeight w:val="107"/>
        </w:trPr>
        <w:tc>
          <w:tcPr>
            <w:tcW w:w="1180" w:type="dxa"/>
            <w:vAlign w:val="bottom"/>
          </w:tcPr>
          <w:p>
            <w:pPr>
              <w:spacing w:after="0"/>
              <w:rPr>
                <w:sz w:val="9"/>
                <w:szCs w:val="9"/>
                <w:color w:val="auto"/>
              </w:rPr>
            </w:pPr>
          </w:p>
        </w:tc>
        <w:tc>
          <w:tcPr>
            <w:tcW w:w="1540" w:type="dxa"/>
            <w:vAlign w:val="bottom"/>
          </w:tcPr>
          <w:p>
            <w:pPr>
              <w:spacing w:after="0"/>
              <w:rPr>
                <w:sz w:val="9"/>
                <w:szCs w:val="9"/>
                <w:color w:val="auto"/>
              </w:rPr>
            </w:pPr>
          </w:p>
        </w:tc>
        <w:tc>
          <w:tcPr>
            <w:tcW w:w="1380" w:type="dxa"/>
            <w:vAlign w:val="bottom"/>
          </w:tcPr>
          <w:p>
            <w:pPr>
              <w:spacing w:after="0"/>
              <w:rPr>
                <w:sz w:val="9"/>
                <w:szCs w:val="9"/>
                <w:color w:val="auto"/>
              </w:rPr>
            </w:pPr>
          </w:p>
        </w:tc>
        <w:tc>
          <w:tcPr>
            <w:tcW w:w="21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-2750820</wp:posOffset>
            </wp:positionH>
            <wp:positionV relativeFrom="paragraph">
              <wp:posOffset>-537210</wp:posOffset>
            </wp:positionV>
            <wp:extent cx="6888480" cy="2711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6888480" cy="271145"/>
                    </a:xfrm>
                    <a:prstGeom prst="rect">
                      <a:avLst/>
                    </a:prstGeom>
                    <a:noFill/>
                  </pic:spPr>
                </pic:pic>
              </a:graphicData>
            </a:graphic>
          </wp:anchor>
        </w:drawing>
        <w:drawing>
          <wp:anchor simplePos="0" relativeHeight="251657728" behindDoc="1" locked="0" layoutInCell="0" allowOverlap="1">
            <wp:simplePos x="0" y="0"/>
            <wp:positionH relativeFrom="column">
              <wp:posOffset>-2750820</wp:posOffset>
            </wp:positionH>
            <wp:positionV relativeFrom="paragraph">
              <wp:posOffset>4445</wp:posOffset>
            </wp:positionV>
            <wp:extent cx="6888480" cy="2374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6888480" cy="237490"/>
                    </a:xfrm>
                    <a:prstGeom prst="rect">
                      <a:avLst/>
                    </a:prstGeom>
                    <a:noFill/>
                  </pic:spPr>
                </pic:pic>
              </a:graphicData>
            </a:graphic>
          </wp:anchor>
        </w:drawing>
      </w:r>
    </w:p>
    <w:p>
      <w:pPr>
        <w:spacing w:after="0" w:line="165" w:lineRule="exact"/>
        <w:rPr>
          <w:sz w:val="20"/>
          <w:szCs w:val="20"/>
          <w:color w:val="auto"/>
        </w:rPr>
      </w:pPr>
    </w:p>
    <w:p>
      <w:pPr>
        <w:ind w:left="4760"/>
        <w:spacing w:after="0"/>
        <w:rPr>
          <w:sz w:val="20"/>
          <w:szCs w:val="20"/>
          <w:color w:val="auto"/>
        </w:rPr>
      </w:pPr>
      <w:r>
        <w:rPr>
          <w:rFonts w:ascii="Arial" w:cs="Arial" w:eastAsia="Arial" w:hAnsi="Arial"/>
          <w:sz w:val="14"/>
          <w:szCs w:val="14"/>
          <w:b w:val="1"/>
          <w:bCs w:val="1"/>
          <w:color w:val="auto"/>
        </w:rPr>
        <w:t>55.3% of target</w:t>
      </w:r>
    </w:p>
    <w:p>
      <w:pPr>
        <w:spacing w:after="0" w:line="205" w:lineRule="exact"/>
        <w:rPr>
          <w:sz w:val="20"/>
          <w:szCs w:val="20"/>
          <w:color w:val="auto"/>
        </w:rPr>
      </w:pPr>
    </w:p>
    <w:p>
      <w:pPr>
        <w:sectPr>
          <w:pgSz w:w="11900" w:h="16838" w:orient="portrait"/>
          <w:cols w:equalWidth="0" w:num="2">
            <w:col w:w="3820" w:space="720"/>
            <w:col w:w="6700"/>
          </w:cols>
          <w:pgMar w:left="320" w:top="1154" w:right="339" w:bottom="1440" w:gutter="0" w:footer="0" w:header="0"/>
          <w:type w:val="continuous"/>
        </w:sectPr>
      </w:pPr>
    </w:p>
    <w:p>
      <w:pPr>
        <w:jc w:val="both"/>
        <w:ind w:firstLine="320"/>
        <w:spacing w:after="0" w:line="246" w:lineRule="auto"/>
        <w:rPr>
          <w:sz w:val="20"/>
          <w:szCs w:val="20"/>
          <w:color w:val="auto"/>
        </w:rPr>
      </w:pPr>
      <w:r>
        <w:rPr>
          <w:rFonts w:ascii="Arial" w:cs="Arial" w:eastAsia="Arial" w:hAnsi="Arial"/>
          <w:sz w:val="18"/>
          <w:szCs w:val="18"/>
          <w:i w:val="1"/>
          <w:iCs w:val="1"/>
          <w:color w:val="auto"/>
        </w:rPr>
        <w:t xml:space="preserve">Discussion and Analysis. </w:t>
      </w:r>
      <w:r>
        <w:rPr>
          <w:rFonts w:ascii="Arial" w:cs="Arial" w:eastAsia="Arial" w:hAnsi="Arial"/>
          <w:sz w:val="18"/>
          <w:szCs w:val="18"/>
          <w:color w:val="auto"/>
        </w:rPr>
        <w:t>In applying the actual performance when factoring in the defined adjustment events against the weightings of the</w:t>
      </w:r>
      <w:r>
        <w:rPr>
          <w:rFonts w:ascii="Arial" w:cs="Arial" w:eastAsia="Arial" w:hAnsi="Arial"/>
          <w:sz w:val="18"/>
          <w:szCs w:val="18"/>
          <w:i w:val="1"/>
          <w:iCs w:val="1"/>
          <w:color w:val="auto"/>
        </w:rPr>
        <w:t xml:space="preserve"> </w:t>
      </w:r>
      <w:r>
        <w:rPr>
          <w:rFonts w:ascii="Arial" w:cs="Arial" w:eastAsia="Arial" w:hAnsi="Arial"/>
          <w:sz w:val="18"/>
          <w:szCs w:val="18"/>
          <w:color w:val="auto"/>
        </w:rPr>
        <w:t>performance measures, the fiscal 2022 to fiscal 2024 payout was 55.3% of target.</w:t>
      </w:r>
    </w:p>
    <w:p>
      <w:pPr>
        <w:spacing w:after="0" w:line="69" w:lineRule="exact"/>
        <w:rPr>
          <w:sz w:val="20"/>
          <w:szCs w:val="20"/>
          <w:color w:val="auto"/>
        </w:rPr>
      </w:pPr>
    </w:p>
    <w:p>
      <w:pPr>
        <w:ind w:left="320"/>
        <w:spacing w:after="0"/>
        <w:rPr>
          <w:sz w:val="20"/>
          <w:szCs w:val="20"/>
          <w:color w:val="auto"/>
        </w:rPr>
      </w:pPr>
      <w:r>
        <w:rPr>
          <w:rFonts w:ascii="Arial" w:cs="Arial" w:eastAsia="Arial" w:hAnsi="Arial"/>
          <w:sz w:val="17"/>
          <w:szCs w:val="17"/>
          <w:i w:val="1"/>
          <w:iCs w:val="1"/>
          <w:color w:val="auto"/>
        </w:rPr>
        <w:t xml:space="preserve">Target Total Direct Compensation. </w:t>
      </w:r>
      <w:r>
        <w:rPr>
          <w:rFonts w:ascii="Arial" w:cs="Arial" w:eastAsia="Arial" w:hAnsi="Arial"/>
          <w:sz w:val="17"/>
          <w:szCs w:val="17"/>
          <w:color w:val="auto"/>
        </w:rPr>
        <w:t>When analyzing compensation, we look at base salary, target total cash compensation and target total</w:t>
      </w:r>
    </w:p>
    <w:p>
      <w:pPr>
        <w:spacing w:after="0" w:line="21" w:lineRule="exact"/>
        <w:rPr>
          <w:sz w:val="20"/>
          <w:szCs w:val="20"/>
          <w:color w:val="auto"/>
        </w:rPr>
      </w:pPr>
    </w:p>
    <w:p>
      <w:pPr>
        <w:jc w:val="both"/>
        <w:spacing w:after="0" w:line="224" w:lineRule="auto"/>
        <w:rPr>
          <w:sz w:val="20"/>
          <w:szCs w:val="20"/>
          <w:color w:val="auto"/>
        </w:rPr>
      </w:pPr>
      <w:r>
        <w:rPr>
          <w:rFonts w:ascii="Arial" w:cs="Arial" w:eastAsia="Arial" w:hAnsi="Arial"/>
          <w:sz w:val="17"/>
          <w:szCs w:val="17"/>
          <w:color w:val="auto"/>
        </w:rPr>
        <w:t>direct compensation in comparison to the market 50</w:t>
      </w:r>
      <w:r>
        <w:rPr>
          <w:rFonts w:ascii="Arial" w:cs="Arial" w:eastAsia="Arial" w:hAnsi="Arial"/>
          <w:sz w:val="19"/>
          <w:szCs w:val="19"/>
          <w:color w:val="auto"/>
          <w:vertAlign w:val="superscript"/>
        </w:rPr>
        <w:t>th</w:t>
      </w:r>
      <w:r>
        <w:rPr>
          <w:rFonts w:ascii="Arial" w:cs="Arial" w:eastAsia="Arial" w:hAnsi="Arial"/>
          <w:sz w:val="17"/>
          <w:szCs w:val="17"/>
          <w:color w:val="auto"/>
        </w:rPr>
        <w:t xml:space="preserve"> percentile when establishing base salary levels, target annual cash incentive awards and long-term incentive awards. Actual value realized from long-term incentives is dependent on actual payout of performance share awards at the</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end of the three-year term, which is dependent on actual cumulative performance against established performance goals and the stock price at</w:t>
      </w:r>
    </w:p>
    <w:p>
      <w:pPr>
        <w:spacing w:after="0" w:line="5" w:lineRule="exact"/>
        <w:rPr>
          <w:sz w:val="20"/>
          <w:szCs w:val="20"/>
          <w:color w:val="auto"/>
        </w:rPr>
      </w:pPr>
    </w:p>
    <w:p>
      <w:pPr>
        <w:jc w:val="both"/>
        <w:spacing w:after="0" w:line="234" w:lineRule="auto"/>
        <w:rPr>
          <w:sz w:val="20"/>
          <w:szCs w:val="20"/>
          <w:color w:val="auto"/>
        </w:rPr>
      </w:pPr>
      <w:r>
        <w:rPr>
          <w:rFonts w:ascii="Arial" w:cs="Arial" w:eastAsia="Arial" w:hAnsi="Arial"/>
          <w:sz w:val="18"/>
          <w:szCs w:val="18"/>
          <w:color w:val="auto"/>
        </w:rPr>
        <w:t>the time of exercise for stock option grants. Therefore, it is difficult to assess actual total direct compensation on an annual basis in comparison to the market since the market data may have changed significantly when actual long-term incentive results are fully realized.</w:t>
      </w:r>
    </w:p>
    <w:p>
      <w:pPr>
        <w:spacing w:after="0" w:line="74" w:lineRule="exact"/>
        <w:rPr>
          <w:sz w:val="20"/>
          <w:szCs w:val="20"/>
          <w:color w:val="auto"/>
        </w:rPr>
      </w:pPr>
    </w:p>
    <w:p>
      <w:pPr>
        <w:ind w:left="320"/>
        <w:spacing w:after="0"/>
        <w:rPr>
          <w:sz w:val="20"/>
          <w:szCs w:val="20"/>
          <w:color w:val="auto"/>
        </w:rPr>
      </w:pPr>
      <w:r>
        <w:rPr>
          <w:rFonts w:ascii="Arial" w:cs="Arial" w:eastAsia="Arial" w:hAnsi="Arial"/>
          <w:sz w:val="18"/>
          <w:szCs w:val="18"/>
          <w:color w:val="auto"/>
        </w:rPr>
        <w:t>Additionally, grant date fair value of long-term incentive awards as reflected in the Summary Compensation Table can vary significantly</w:t>
      </w:r>
    </w:p>
    <w:p>
      <w:pPr>
        <w:spacing w:after="0" w:line="9" w:lineRule="exact"/>
        <w:rPr>
          <w:sz w:val="20"/>
          <w:szCs w:val="20"/>
          <w:color w:val="auto"/>
        </w:rPr>
      </w:pPr>
    </w:p>
    <w:p>
      <w:pPr>
        <w:jc w:val="both"/>
        <w:spacing w:after="0" w:line="224" w:lineRule="auto"/>
        <w:rPr>
          <w:sz w:val="20"/>
          <w:szCs w:val="20"/>
          <w:color w:val="auto"/>
        </w:rPr>
      </w:pPr>
      <w:r>
        <w:rPr>
          <w:rFonts w:ascii="Arial" w:cs="Arial" w:eastAsia="Arial" w:hAnsi="Arial"/>
          <w:sz w:val="18"/>
          <w:szCs w:val="18"/>
          <w:color w:val="auto"/>
        </w:rPr>
        <w:t>from the target long-term incentive value we use to calculate the number of performance share awards and stock options to grant. This is because the grant date fair value is determined based on the value of our common stock on the grant date of the awards; whereas, we use a</w:t>
      </w:r>
    </w:p>
    <w:p>
      <w:pPr>
        <w:spacing w:after="0" w:line="1" w:lineRule="exact"/>
        <w:rPr>
          <w:sz w:val="20"/>
          <w:szCs w:val="20"/>
          <w:color w:val="auto"/>
        </w:rPr>
      </w:pPr>
    </w:p>
    <w:p>
      <w:pPr>
        <w:jc w:val="both"/>
        <w:spacing w:after="0" w:line="243" w:lineRule="auto"/>
        <w:rPr>
          <w:sz w:val="20"/>
          <w:szCs w:val="20"/>
          <w:color w:val="auto"/>
        </w:rPr>
      </w:pPr>
      <w:r>
        <w:rPr>
          <w:rFonts w:ascii="Arial" w:cs="Arial" w:eastAsia="Arial" w:hAnsi="Arial"/>
          <w:sz w:val="18"/>
          <w:szCs w:val="18"/>
          <w:color w:val="auto"/>
        </w:rPr>
        <w:t>three-month average closing price of our common stock to convert the target long-term incentive values into the number of performance share awards and stock options to grant.</w:t>
      </w:r>
    </w:p>
    <w:p>
      <w:pPr>
        <w:spacing w:after="0" w:line="59" w:lineRule="exact"/>
        <w:rPr>
          <w:sz w:val="20"/>
          <w:szCs w:val="20"/>
          <w:color w:val="auto"/>
        </w:rPr>
      </w:pPr>
    </w:p>
    <w:p>
      <w:pPr>
        <w:jc w:val="both"/>
        <w:ind w:firstLine="320"/>
        <w:spacing w:after="0" w:line="247" w:lineRule="auto"/>
        <w:rPr>
          <w:sz w:val="20"/>
          <w:szCs w:val="20"/>
          <w:color w:val="auto"/>
        </w:rPr>
      </w:pPr>
      <w:r>
        <w:rPr>
          <w:rFonts w:ascii="Arial" w:cs="Arial" w:eastAsia="Arial" w:hAnsi="Arial"/>
          <w:sz w:val="18"/>
          <w:szCs w:val="18"/>
          <w:color w:val="auto"/>
        </w:rPr>
        <w:t>We believe it is important to continue to review target total direct compensation when establishing long-term incentive grants. The fiscal 2024 target total direct compensation (sum of actual base salary, target annual cash incentive and target value of equity awards), for our NEOs is in the table below.</w:t>
      </w:r>
    </w:p>
    <w:p>
      <w:pPr>
        <w:spacing w:after="0" w:line="112" w:lineRule="exact"/>
        <w:rPr>
          <w:sz w:val="20"/>
          <w:szCs w:val="20"/>
          <w:color w:val="auto"/>
        </w:rPr>
      </w:pPr>
    </w:p>
    <w:tbl>
      <w:tblPr>
        <w:tblLayout w:type="fixed"/>
        <w:tblInd w:w="3060" w:type="dxa"/>
        <w:tblCellMar>
          <w:top w:w="0" w:type="dxa"/>
          <w:left w:w="0" w:type="dxa"/>
          <w:bottom w:w="0" w:type="dxa"/>
          <w:right w:w="0" w:type="dxa"/>
        </w:tblCellMar>
      </w:tblPr>
      <w:tr>
        <w:trPr>
          <w:trHeight w:val="231"/>
        </w:trPr>
        <w:tc>
          <w:tcPr>
            <w:tcW w:w="1940" w:type="dxa"/>
            <w:vAlign w:val="bottom"/>
            <w:shd w:val="clear" w:color="auto" w:fill="BF2115"/>
          </w:tcPr>
          <w:p>
            <w:pPr>
              <w:spacing w:after="0"/>
              <w:rPr>
                <w:sz w:val="20"/>
                <w:szCs w:val="20"/>
                <w:color w:val="auto"/>
              </w:rPr>
            </w:pPr>
          </w:p>
        </w:tc>
        <w:tc>
          <w:tcPr>
            <w:tcW w:w="3200" w:type="dxa"/>
            <w:vAlign w:val="bottom"/>
            <w:shd w:val="clear" w:color="auto" w:fill="BF2115"/>
          </w:tcPr>
          <w:p>
            <w:pPr>
              <w:jc w:val="center"/>
              <w:ind w:left="203"/>
              <w:spacing w:after="0"/>
              <w:rPr>
                <w:sz w:val="20"/>
                <w:szCs w:val="20"/>
                <w:color w:val="auto"/>
              </w:rPr>
            </w:pPr>
            <w:r>
              <w:rPr>
                <w:rFonts w:ascii="Arial" w:cs="Arial" w:eastAsia="Arial" w:hAnsi="Arial"/>
                <w:sz w:val="14"/>
                <w:szCs w:val="14"/>
                <w:b w:val="1"/>
                <w:bCs w:val="1"/>
                <w:color w:val="FFFFFF"/>
              </w:rPr>
              <w:t>Fiscal 2024 Target Total</w:t>
            </w:r>
          </w:p>
        </w:tc>
      </w:tr>
      <w:tr>
        <w:trPr>
          <w:trHeight w:val="173"/>
        </w:trPr>
        <w:tc>
          <w:tcPr>
            <w:tcW w:w="1940" w:type="dxa"/>
            <w:vAlign w:val="bottom"/>
            <w:shd w:val="clear" w:color="auto" w:fill="BF2115"/>
          </w:tcPr>
          <w:p>
            <w:pPr>
              <w:spacing w:after="0"/>
              <w:rPr>
                <w:sz w:val="15"/>
                <w:szCs w:val="15"/>
                <w:color w:val="auto"/>
              </w:rPr>
            </w:pPr>
          </w:p>
        </w:tc>
        <w:tc>
          <w:tcPr>
            <w:tcW w:w="3200" w:type="dxa"/>
            <w:vAlign w:val="bottom"/>
            <w:shd w:val="clear" w:color="auto" w:fill="BF2115"/>
          </w:tcPr>
          <w:p>
            <w:pPr>
              <w:jc w:val="center"/>
              <w:ind w:left="203"/>
              <w:spacing w:after="0"/>
              <w:rPr>
                <w:sz w:val="20"/>
                <w:szCs w:val="20"/>
                <w:color w:val="auto"/>
              </w:rPr>
            </w:pPr>
            <w:r>
              <w:rPr>
                <w:rFonts w:ascii="Arial" w:cs="Arial" w:eastAsia="Arial" w:hAnsi="Arial"/>
                <w:sz w:val="14"/>
                <w:szCs w:val="14"/>
                <w:b w:val="1"/>
                <w:bCs w:val="1"/>
                <w:color w:val="FFFFFF"/>
              </w:rPr>
              <w:t>Direct Compensation</w:t>
            </w:r>
          </w:p>
        </w:tc>
      </w:tr>
      <w:tr>
        <w:trPr>
          <w:trHeight w:val="196"/>
        </w:trPr>
        <w:tc>
          <w:tcPr>
            <w:tcW w:w="1940" w:type="dxa"/>
            <w:vAlign w:val="bottom"/>
            <w:shd w:val="clear" w:color="auto" w:fill="BF2115"/>
          </w:tcPr>
          <w:p>
            <w:pPr>
              <w:ind w:left="20"/>
              <w:spacing w:after="0"/>
              <w:rPr>
                <w:sz w:val="20"/>
                <w:szCs w:val="20"/>
                <w:color w:val="auto"/>
              </w:rPr>
            </w:pPr>
            <w:r>
              <w:rPr>
                <w:rFonts w:ascii="Arial" w:cs="Arial" w:eastAsia="Arial" w:hAnsi="Arial"/>
                <w:sz w:val="14"/>
                <w:szCs w:val="14"/>
                <w:b w:val="1"/>
                <w:bCs w:val="1"/>
                <w:color w:val="FFFFFF"/>
              </w:rPr>
              <w:t>Name</w:t>
            </w:r>
          </w:p>
        </w:tc>
        <w:tc>
          <w:tcPr>
            <w:tcW w:w="3200" w:type="dxa"/>
            <w:vAlign w:val="bottom"/>
            <w:shd w:val="clear" w:color="auto" w:fill="BF2115"/>
          </w:tcPr>
          <w:p>
            <w:pPr>
              <w:jc w:val="center"/>
              <w:ind w:left="203"/>
              <w:spacing w:after="0"/>
              <w:rPr>
                <w:sz w:val="20"/>
                <w:szCs w:val="20"/>
                <w:color w:val="auto"/>
              </w:rPr>
            </w:pPr>
            <w:r>
              <w:rPr>
                <w:rFonts w:ascii="Arial" w:cs="Arial" w:eastAsia="Arial" w:hAnsi="Arial"/>
                <w:sz w:val="14"/>
                <w:szCs w:val="14"/>
                <w:b w:val="1"/>
                <w:bCs w:val="1"/>
                <w:color w:val="FFFFFF"/>
                <w:w w:val="93"/>
              </w:rPr>
              <w:t>($)</w:t>
            </w:r>
          </w:p>
        </w:tc>
      </w:tr>
      <w:tr>
        <w:trPr>
          <w:trHeight w:val="211"/>
        </w:trPr>
        <w:tc>
          <w:tcPr>
            <w:tcW w:w="1940" w:type="dxa"/>
            <w:vAlign w:val="bottom"/>
          </w:tcPr>
          <w:p>
            <w:pPr>
              <w:ind w:left="20"/>
              <w:spacing w:after="0"/>
              <w:rPr>
                <w:sz w:val="20"/>
                <w:szCs w:val="20"/>
                <w:color w:val="auto"/>
              </w:rPr>
            </w:pPr>
            <w:r>
              <w:rPr>
                <w:rFonts w:ascii="Arial" w:cs="Arial" w:eastAsia="Arial" w:hAnsi="Arial"/>
                <w:sz w:val="16"/>
                <w:szCs w:val="16"/>
                <w:color w:val="auto"/>
              </w:rPr>
              <w:t>Mr. Olson</w:t>
            </w:r>
          </w:p>
        </w:tc>
        <w:tc>
          <w:tcPr>
            <w:tcW w:w="3200" w:type="dxa"/>
            <w:vAlign w:val="bottom"/>
          </w:tcPr>
          <w:p>
            <w:pPr>
              <w:jc w:val="right"/>
              <w:spacing w:after="0"/>
              <w:rPr>
                <w:sz w:val="20"/>
                <w:szCs w:val="20"/>
                <w:color w:val="auto"/>
              </w:rPr>
            </w:pPr>
            <w:r>
              <w:rPr>
                <w:rFonts w:ascii="Arial" w:cs="Arial" w:eastAsia="Arial" w:hAnsi="Arial"/>
                <w:sz w:val="16"/>
                <w:szCs w:val="16"/>
                <w:color w:val="auto"/>
              </w:rPr>
              <w:t>8,537,000</w:t>
            </w:r>
          </w:p>
        </w:tc>
      </w:tr>
      <w:tr>
        <w:trPr>
          <w:trHeight w:val="239"/>
        </w:trPr>
        <w:tc>
          <w:tcPr>
            <w:tcW w:w="1940" w:type="dxa"/>
            <w:vAlign w:val="bottom"/>
          </w:tcPr>
          <w:p>
            <w:pPr>
              <w:ind w:left="20"/>
              <w:spacing w:after="0"/>
              <w:rPr>
                <w:sz w:val="20"/>
                <w:szCs w:val="20"/>
                <w:color w:val="auto"/>
              </w:rPr>
            </w:pPr>
            <w:r>
              <w:rPr>
                <w:rFonts w:ascii="Arial" w:cs="Arial" w:eastAsia="Arial" w:hAnsi="Arial"/>
                <w:sz w:val="16"/>
                <w:szCs w:val="16"/>
                <w:color w:val="auto"/>
              </w:rPr>
              <w:t>Ms. Drake</w:t>
            </w:r>
          </w:p>
        </w:tc>
        <w:tc>
          <w:tcPr>
            <w:tcW w:w="3200" w:type="dxa"/>
            <w:vAlign w:val="bottom"/>
          </w:tcPr>
          <w:p>
            <w:pPr>
              <w:jc w:val="right"/>
              <w:spacing w:after="0"/>
              <w:rPr>
                <w:sz w:val="20"/>
                <w:szCs w:val="20"/>
                <w:color w:val="auto"/>
              </w:rPr>
            </w:pPr>
            <w:r>
              <w:rPr>
                <w:rFonts w:ascii="Arial" w:cs="Arial" w:eastAsia="Arial" w:hAnsi="Arial"/>
                <w:sz w:val="16"/>
                <w:szCs w:val="16"/>
                <w:color w:val="auto"/>
              </w:rPr>
              <w:t>2,348,750</w:t>
            </w:r>
          </w:p>
        </w:tc>
      </w:tr>
      <w:tr>
        <w:trPr>
          <w:trHeight w:val="240"/>
        </w:trPr>
        <w:tc>
          <w:tcPr>
            <w:tcW w:w="1940" w:type="dxa"/>
            <w:vAlign w:val="bottom"/>
          </w:tcPr>
          <w:p>
            <w:pPr>
              <w:ind w:left="20"/>
              <w:spacing w:after="0"/>
              <w:rPr>
                <w:sz w:val="20"/>
                <w:szCs w:val="20"/>
                <w:color w:val="auto"/>
              </w:rPr>
            </w:pPr>
            <w:r>
              <w:rPr>
                <w:rFonts w:ascii="Arial" w:cs="Arial" w:eastAsia="Arial" w:hAnsi="Arial"/>
                <w:sz w:val="16"/>
                <w:szCs w:val="16"/>
                <w:color w:val="auto"/>
              </w:rPr>
              <w:t>Mr. Carpenter</w:t>
            </w:r>
          </w:p>
        </w:tc>
        <w:tc>
          <w:tcPr>
            <w:tcW w:w="3200" w:type="dxa"/>
            <w:vAlign w:val="bottom"/>
          </w:tcPr>
          <w:p>
            <w:pPr>
              <w:jc w:val="right"/>
              <w:spacing w:after="0"/>
              <w:rPr>
                <w:sz w:val="20"/>
                <w:szCs w:val="20"/>
                <w:color w:val="auto"/>
              </w:rPr>
            </w:pPr>
            <w:r>
              <w:rPr>
                <w:rFonts w:ascii="Arial" w:cs="Arial" w:eastAsia="Arial" w:hAnsi="Arial"/>
                <w:sz w:val="16"/>
                <w:szCs w:val="16"/>
                <w:color w:val="auto"/>
              </w:rPr>
              <w:t>1,499,750</w:t>
            </w:r>
          </w:p>
        </w:tc>
      </w:tr>
      <w:tr>
        <w:trPr>
          <w:trHeight w:val="240"/>
        </w:trPr>
        <w:tc>
          <w:tcPr>
            <w:tcW w:w="1940" w:type="dxa"/>
            <w:vAlign w:val="bottom"/>
          </w:tcPr>
          <w:p>
            <w:pPr>
              <w:ind w:left="20"/>
              <w:spacing w:after="0"/>
              <w:rPr>
                <w:sz w:val="20"/>
                <w:szCs w:val="20"/>
                <w:color w:val="auto"/>
              </w:rPr>
            </w:pPr>
            <w:r>
              <w:rPr>
                <w:rFonts w:ascii="Arial" w:cs="Arial" w:eastAsia="Arial" w:hAnsi="Arial"/>
                <w:sz w:val="16"/>
                <w:szCs w:val="16"/>
                <w:color w:val="auto"/>
              </w:rPr>
              <w:t>Ms. Dahl</w:t>
            </w:r>
          </w:p>
        </w:tc>
        <w:tc>
          <w:tcPr>
            <w:tcW w:w="3200" w:type="dxa"/>
            <w:vAlign w:val="bottom"/>
          </w:tcPr>
          <w:p>
            <w:pPr>
              <w:jc w:val="right"/>
              <w:spacing w:after="0"/>
              <w:rPr>
                <w:sz w:val="20"/>
                <w:szCs w:val="20"/>
                <w:color w:val="auto"/>
              </w:rPr>
            </w:pPr>
            <w:r>
              <w:rPr>
                <w:rFonts w:ascii="Arial" w:cs="Arial" w:eastAsia="Arial" w:hAnsi="Arial"/>
                <w:sz w:val="16"/>
                <w:szCs w:val="16"/>
                <w:color w:val="auto"/>
              </w:rPr>
              <w:t>1,732,450</w:t>
            </w:r>
          </w:p>
        </w:tc>
      </w:tr>
      <w:tr>
        <w:trPr>
          <w:trHeight w:val="240"/>
        </w:trPr>
        <w:tc>
          <w:tcPr>
            <w:tcW w:w="1940" w:type="dxa"/>
            <w:vAlign w:val="bottom"/>
          </w:tcPr>
          <w:p>
            <w:pPr>
              <w:ind w:left="20"/>
              <w:spacing w:after="0"/>
              <w:rPr>
                <w:sz w:val="20"/>
                <w:szCs w:val="20"/>
                <w:color w:val="auto"/>
              </w:rPr>
            </w:pPr>
            <w:r>
              <w:rPr>
                <w:rFonts w:ascii="Arial" w:cs="Arial" w:eastAsia="Arial" w:hAnsi="Arial"/>
                <w:sz w:val="16"/>
                <w:szCs w:val="16"/>
                <w:color w:val="auto"/>
              </w:rPr>
              <w:t>Ms. Totsky</w:t>
            </w:r>
          </w:p>
        </w:tc>
        <w:tc>
          <w:tcPr>
            <w:tcW w:w="3200" w:type="dxa"/>
            <w:vAlign w:val="bottom"/>
          </w:tcPr>
          <w:p>
            <w:pPr>
              <w:jc w:val="right"/>
              <w:spacing w:after="0"/>
              <w:rPr>
                <w:sz w:val="20"/>
                <w:szCs w:val="20"/>
                <w:color w:val="auto"/>
              </w:rPr>
            </w:pPr>
            <w:r>
              <w:rPr>
                <w:rFonts w:ascii="Arial" w:cs="Arial" w:eastAsia="Arial" w:hAnsi="Arial"/>
                <w:sz w:val="16"/>
                <w:szCs w:val="16"/>
                <w:color w:val="auto"/>
              </w:rPr>
              <w:t>1,743,800</w:t>
            </w:r>
          </w:p>
        </w:tc>
      </w:tr>
    </w:tbl>
    <w:p>
      <w:pPr>
        <w:spacing w:after="0" w:line="198"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Benefits and All Other Compensation</w:t>
      </w:r>
    </w:p>
    <w:p>
      <w:pPr>
        <w:spacing w:after="0" w:line="89" w:lineRule="exact"/>
        <w:rPr>
          <w:sz w:val="20"/>
          <w:szCs w:val="20"/>
          <w:color w:val="auto"/>
        </w:rPr>
      </w:pPr>
    </w:p>
    <w:p>
      <w:pPr>
        <w:ind w:firstLine="320"/>
        <w:spacing w:after="0" w:line="241" w:lineRule="auto"/>
        <w:rPr>
          <w:sz w:val="20"/>
          <w:szCs w:val="20"/>
          <w:color w:val="auto"/>
        </w:rPr>
      </w:pPr>
      <w:r>
        <w:rPr>
          <w:rFonts w:ascii="Arial" w:cs="Arial" w:eastAsia="Arial" w:hAnsi="Arial"/>
          <w:sz w:val="18"/>
          <w:szCs w:val="18"/>
          <w:i w:val="1"/>
          <w:iCs w:val="1"/>
          <w:color w:val="auto"/>
        </w:rPr>
        <w:t xml:space="preserve">Retirement Benefits. </w:t>
      </w:r>
      <w:r>
        <w:rPr>
          <w:rFonts w:ascii="Arial" w:cs="Arial" w:eastAsia="Arial" w:hAnsi="Arial"/>
          <w:sz w:val="18"/>
          <w:szCs w:val="18"/>
          <w:color w:val="auto"/>
        </w:rPr>
        <w:t>We believe that it is important to allow our employees, including our executive officers, the opportunity to save for</w:t>
      </w:r>
      <w:r>
        <w:rPr>
          <w:rFonts w:ascii="Arial" w:cs="Arial" w:eastAsia="Arial" w:hAnsi="Arial"/>
          <w:sz w:val="18"/>
          <w:szCs w:val="18"/>
          <w:i w:val="1"/>
          <w:iCs w:val="1"/>
          <w:color w:val="auto"/>
        </w:rPr>
        <w:t xml:space="preserve"> </w:t>
      </w:r>
      <w:r>
        <w:rPr>
          <w:rFonts w:ascii="Arial" w:cs="Arial" w:eastAsia="Arial" w:hAnsi="Arial"/>
          <w:sz w:val="18"/>
          <w:szCs w:val="18"/>
          <w:color w:val="auto"/>
        </w:rPr>
        <w:t>retirement through our Retirement Plan, which is our defined contribution plan. The majority of our U.S.-based employees participate in the</w:t>
      </w:r>
    </w:p>
    <w:p>
      <w:pPr>
        <w:spacing w:after="0" w:line="1" w:lineRule="exact"/>
        <w:rPr>
          <w:sz w:val="20"/>
          <w:szCs w:val="20"/>
          <w:color w:val="auto"/>
        </w:rPr>
      </w:pPr>
    </w:p>
    <w:p>
      <w:pPr>
        <w:spacing w:after="0" w:line="224" w:lineRule="auto"/>
        <w:rPr>
          <w:sz w:val="20"/>
          <w:szCs w:val="20"/>
          <w:color w:val="auto"/>
        </w:rPr>
      </w:pPr>
      <w:r>
        <w:rPr>
          <w:rFonts w:ascii="Arial" w:cs="Arial" w:eastAsia="Arial" w:hAnsi="Arial"/>
          <w:sz w:val="18"/>
          <w:szCs w:val="18"/>
          <w:color w:val="auto"/>
        </w:rPr>
        <w:t>Retirement Plan and certain of our subsidiaries participate in different retirement plans. For 2024, the Retirement Plan included a 401(k) plan with a Company match and an investment fund contribution that can be made at the discretion of the Company. Company contributions for</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fiscal 2024 to our Retirement Plan on behalf of our NEOs can be found under "All Other Compensation for Fiscal 2024."</w:t>
      </w:r>
    </w:p>
    <w:p>
      <w:pPr>
        <w:spacing w:after="0" w:line="84" w:lineRule="exact"/>
        <w:rPr>
          <w:sz w:val="20"/>
          <w:szCs w:val="20"/>
          <w:color w:val="auto"/>
        </w:rPr>
      </w:pPr>
    </w:p>
    <w:p>
      <w:pPr>
        <w:ind w:firstLine="320"/>
        <w:spacing w:after="0" w:line="233" w:lineRule="auto"/>
        <w:rPr>
          <w:sz w:val="20"/>
          <w:szCs w:val="20"/>
          <w:color w:val="auto"/>
        </w:rPr>
      </w:pPr>
      <w:r>
        <w:rPr>
          <w:rFonts w:ascii="Arial" w:cs="Arial" w:eastAsia="Arial" w:hAnsi="Arial"/>
          <w:sz w:val="18"/>
          <w:szCs w:val="18"/>
          <w:color w:val="auto"/>
        </w:rPr>
        <w:t>To help ensure our executive officers' ability to provide financial security and save for retirement, we maintain three nonqualified deferred compensation plans, which include: The Toro Company Deferred Compensation Plan, or Deferred Plan, The Toro Company Deferred</w:t>
      </w:r>
    </w:p>
    <w:p>
      <w:pPr>
        <w:spacing w:after="0" w:line="1" w:lineRule="exact"/>
        <w:rPr>
          <w:sz w:val="20"/>
          <w:szCs w:val="20"/>
          <w:color w:val="auto"/>
        </w:rPr>
      </w:pPr>
    </w:p>
    <w:p>
      <w:pPr>
        <w:spacing w:after="0" w:line="243" w:lineRule="auto"/>
        <w:rPr>
          <w:sz w:val="20"/>
          <w:szCs w:val="20"/>
          <w:color w:val="auto"/>
        </w:rPr>
      </w:pPr>
      <w:r>
        <w:rPr>
          <w:rFonts w:ascii="Arial" w:cs="Arial" w:eastAsia="Arial" w:hAnsi="Arial"/>
          <w:sz w:val="18"/>
          <w:szCs w:val="18"/>
          <w:color w:val="auto"/>
        </w:rPr>
        <w:t>Compensation Plan for Officers, or the Deferred Plan for Officers and The Toro Company Supplemental Benefit Plan, or Supplemental Benefit Plan. These plans, which are unsecured and unfunded, are described under "Nonqualified Deferred Compensation for Fiscal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154" w:right="339" w:bottom="1440" w:gutter="0" w:footer="0" w:header="0"/>
          <w:type w:val="continuous"/>
        </w:sectPr>
      </w:pPr>
    </w:p>
    <w:bookmarkStart w:id="54" w:name="page55"/>
    <w:bookmarkEnd w:id="54"/>
    <w:p>
      <w:pPr>
        <w:ind w:left="320"/>
        <w:spacing w:after="0"/>
        <w:rPr>
          <w:sz w:val="20"/>
          <w:szCs w:val="20"/>
          <w:color w:val="auto"/>
        </w:rPr>
      </w:pPr>
      <w:r>
        <w:rPr>
          <w:rFonts w:ascii="Arial" w:cs="Arial" w:eastAsia="Arial" w:hAnsi="Arial"/>
          <w:sz w:val="18"/>
          <w:szCs w:val="18"/>
          <w:i w:val="1"/>
          <w:iCs w:val="1"/>
          <w:color w:val="auto"/>
        </w:rPr>
        <w:t>Perquisites</w:t>
      </w:r>
      <w:r>
        <w:rPr>
          <w:rFonts w:ascii="Arial" w:cs="Arial" w:eastAsia="Arial" w:hAnsi="Arial"/>
          <w:sz w:val="18"/>
          <w:szCs w:val="18"/>
          <w:color w:val="auto"/>
        </w:rPr>
        <w:t>. The limited perquisites provided during fiscal 2024 to our executive officers are described in "All Other Compensation for</w:t>
      </w:r>
    </w:p>
    <w:p>
      <w:pPr>
        <w:spacing w:after="0" w:line="9" w:lineRule="exact"/>
        <w:rPr>
          <w:sz w:val="20"/>
          <w:szCs w:val="20"/>
          <w:color w:val="auto"/>
        </w:rPr>
      </w:pPr>
    </w:p>
    <w:p>
      <w:pPr>
        <w:spacing w:after="0" w:line="237" w:lineRule="auto"/>
        <w:rPr>
          <w:sz w:val="20"/>
          <w:szCs w:val="20"/>
          <w:color w:val="auto"/>
        </w:rPr>
      </w:pPr>
      <w:r>
        <w:rPr>
          <w:rFonts w:ascii="Arial" w:cs="Arial" w:eastAsia="Arial" w:hAnsi="Arial"/>
          <w:sz w:val="17"/>
          <w:szCs w:val="17"/>
          <w:color w:val="auto"/>
        </w:rPr>
        <w:t>Fiscal 2024." We believe these perquisites are an important part of our overall compensation package and help us attract, retain and reward top executive talent. Specifically, we believe that these perquisites assist in promoting the financial security and health of our executive officers</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and encourage the use and promotion of our products.</w:t>
      </w:r>
    </w:p>
    <w:p>
      <w:pPr>
        <w:spacing w:after="0" w:line="84" w:lineRule="exact"/>
        <w:rPr>
          <w:sz w:val="20"/>
          <w:szCs w:val="20"/>
          <w:color w:val="auto"/>
        </w:rPr>
      </w:pPr>
    </w:p>
    <w:p>
      <w:pPr>
        <w:ind w:firstLine="388"/>
        <w:spacing w:after="0" w:line="247" w:lineRule="auto"/>
        <w:rPr>
          <w:sz w:val="20"/>
          <w:szCs w:val="20"/>
          <w:color w:val="auto"/>
        </w:rPr>
      </w:pPr>
      <w:r>
        <w:rPr>
          <w:rFonts w:ascii="Arial" w:cs="Arial" w:eastAsia="Arial" w:hAnsi="Arial"/>
          <w:sz w:val="17"/>
          <w:szCs w:val="17"/>
          <w:i w:val="1"/>
          <w:iCs w:val="1"/>
          <w:color w:val="auto"/>
        </w:rPr>
        <w:t>Relocation Benefits</w:t>
      </w:r>
      <w:r>
        <w:rPr>
          <w:rFonts w:ascii="Arial" w:cs="Arial" w:eastAsia="Arial" w:hAnsi="Arial"/>
          <w:sz w:val="17"/>
          <w:szCs w:val="17"/>
          <w:color w:val="auto"/>
        </w:rPr>
        <w:t>. We maintain a standard, market competitive relocation policy, which provides for reimbursement of and payments for</w:t>
      </w:r>
      <w:r>
        <w:rPr>
          <w:rFonts w:ascii="Arial" w:cs="Arial" w:eastAsia="Arial" w:hAnsi="Arial"/>
          <w:sz w:val="17"/>
          <w:szCs w:val="17"/>
          <w:i w:val="1"/>
          <w:iCs w:val="1"/>
          <w:color w:val="auto"/>
        </w:rPr>
        <w:t xml:space="preserve"> </w:t>
      </w:r>
      <w:r>
        <w:rPr>
          <w:rFonts w:ascii="Arial" w:cs="Arial" w:eastAsia="Arial" w:hAnsi="Arial"/>
          <w:sz w:val="17"/>
          <w:szCs w:val="17"/>
          <w:color w:val="auto"/>
        </w:rPr>
        <w:t>certain relocation expenses. During fiscal 2024 and 2023, Ms. Totsky was reimbursed for certain relocation expenses, as included within the</w:t>
      </w:r>
    </w:p>
    <w:p>
      <w:pPr>
        <w:spacing w:after="0" w:line="232" w:lineRule="auto"/>
        <w:rPr>
          <w:sz w:val="20"/>
          <w:szCs w:val="20"/>
          <w:color w:val="auto"/>
        </w:rPr>
      </w:pPr>
      <w:r>
        <w:rPr>
          <w:rFonts w:ascii="Arial" w:cs="Arial" w:eastAsia="Arial" w:hAnsi="Arial"/>
          <w:sz w:val="18"/>
          <w:szCs w:val="18"/>
          <w:color w:val="auto"/>
        </w:rPr>
        <w:t>"All Other Compensation" column of the Summary Compensation Table and quantified in the related footnote to that column. Certain of these</w:t>
      </w:r>
    </w:p>
    <w:p>
      <w:pPr>
        <w:spacing w:after="0" w:line="1" w:lineRule="exact"/>
        <w:rPr>
          <w:sz w:val="20"/>
          <w:szCs w:val="20"/>
          <w:color w:val="auto"/>
        </w:rPr>
      </w:pPr>
    </w:p>
    <w:p>
      <w:pPr>
        <w:spacing w:after="0" w:line="234" w:lineRule="auto"/>
        <w:rPr>
          <w:sz w:val="20"/>
          <w:szCs w:val="20"/>
          <w:color w:val="auto"/>
        </w:rPr>
      </w:pPr>
      <w:r>
        <w:rPr>
          <w:rFonts w:ascii="Arial" w:cs="Arial" w:eastAsia="Arial" w:hAnsi="Arial"/>
          <w:sz w:val="18"/>
          <w:szCs w:val="18"/>
          <w:color w:val="auto"/>
        </w:rPr>
        <w:t>relocation expenses are deemed to be taxable income to the recipient; therefore, pursuant to our relocation policy, a supplemental tax "gross up" was provided to Ms. Totsky to help offset the incremental tax impact.</w:t>
      </w:r>
    </w:p>
    <w:p>
      <w:pPr>
        <w:spacing w:after="0" w:line="72" w:lineRule="exact"/>
        <w:rPr>
          <w:sz w:val="20"/>
          <w:szCs w:val="20"/>
          <w:color w:val="auto"/>
        </w:rPr>
      </w:pPr>
    </w:p>
    <w:p>
      <w:pPr>
        <w:ind w:left="400"/>
        <w:spacing w:after="0"/>
        <w:rPr>
          <w:sz w:val="20"/>
          <w:szCs w:val="20"/>
          <w:color w:val="auto"/>
        </w:rPr>
      </w:pPr>
      <w:r>
        <w:rPr>
          <w:rFonts w:ascii="Arial" w:cs="Arial" w:eastAsia="Arial" w:hAnsi="Arial"/>
          <w:sz w:val="18"/>
          <w:szCs w:val="18"/>
          <w:i w:val="1"/>
          <w:iCs w:val="1"/>
          <w:color w:val="auto"/>
        </w:rPr>
        <w:t>Charitable Giving</w:t>
      </w:r>
      <w:r>
        <w:rPr>
          <w:rFonts w:ascii="Arial" w:cs="Arial" w:eastAsia="Arial" w:hAnsi="Arial"/>
          <w:sz w:val="18"/>
          <w:szCs w:val="18"/>
          <w:b w:val="1"/>
          <w:bCs w:val="1"/>
          <w:color w:val="auto"/>
        </w:rPr>
        <w:t>.</w:t>
      </w:r>
      <w:r>
        <w:rPr>
          <w:rFonts w:ascii="Arial" w:cs="Arial" w:eastAsia="Arial" w:hAnsi="Arial"/>
          <w:sz w:val="18"/>
          <w:szCs w:val="18"/>
          <w:i w:val="1"/>
          <w:iCs w:val="1"/>
          <w:color w:val="auto"/>
        </w:rPr>
        <w:t xml:space="preserve"> </w:t>
      </w:r>
      <w:r>
        <w:rPr>
          <w:rFonts w:ascii="Arial" w:cs="Arial" w:eastAsia="Arial" w:hAnsi="Arial"/>
          <w:sz w:val="18"/>
          <w:szCs w:val="18"/>
          <w:color w:val="auto"/>
        </w:rPr>
        <w:t>We support charitable organizations for our employees through our matching gift program. The program for our</w:t>
      </w:r>
    </w:p>
    <w:p>
      <w:pPr>
        <w:spacing w:after="0" w:line="11" w:lineRule="exact"/>
        <w:rPr>
          <w:sz w:val="20"/>
          <w:szCs w:val="20"/>
          <w:color w:val="auto"/>
        </w:rPr>
      </w:pPr>
    </w:p>
    <w:p>
      <w:pPr>
        <w:spacing w:after="0" w:line="234" w:lineRule="auto"/>
        <w:rPr>
          <w:sz w:val="20"/>
          <w:szCs w:val="20"/>
          <w:color w:val="auto"/>
        </w:rPr>
      </w:pPr>
      <w:r>
        <w:rPr>
          <w:rFonts w:ascii="Arial" w:cs="Arial" w:eastAsia="Arial" w:hAnsi="Arial"/>
          <w:sz w:val="18"/>
          <w:szCs w:val="18"/>
          <w:color w:val="auto"/>
        </w:rPr>
        <w:t>executive officers provides that a gift or gifts by an executive officer and his/her spouse to one or more tax exempt 501(c)(3) charitable organizations located in the United States will be matched by us in an aggregate amount of up to $3,000 per year.</w:t>
      </w:r>
    </w:p>
    <w:p>
      <w:pPr>
        <w:spacing w:after="0" w:line="134" w:lineRule="exact"/>
        <w:rPr>
          <w:sz w:val="20"/>
          <w:szCs w:val="20"/>
          <w:color w:val="auto"/>
        </w:rPr>
      </w:pPr>
    </w:p>
    <w:p>
      <w:pPr>
        <w:spacing w:after="0"/>
        <w:rPr>
          <w:sz w:val="20"/>
          <w:szCs w:val="20"/>
          <w:color w:val="auto"/>
        </w:rPr>
      </w:pPr>
      <w:r>
        <w:rPr>
          <w:rFonts w:ascii="Arial" w:cs="Arial" w:eastAsia="Arial" w:hAnsi="Arial"/>
          <w:sz w:val="20"/>
          <w:szCs w:val="20"/>
          <w:b w:val="1"/>
          <w:bCs w:val="1"/>
          <w:color w:val="C00000"/>
        </w:rPr>
        <w:t>Employment, Severance and Change in Control Arrangements</w:t>
      </w:r>
    </w:p>
    <w:p>
      <w:pPr>
        <w:spacing w:after="0" w:line="84" w:lineRule="exact"/>
        <w:rPr>
          <w:sz w:val="20"/>
          <w:szCs w:val="20"/>
          <w:color w:val="auto"/>
        </w:rPr>
      </w:pPr>
    </w:p>
    <w:p>
      <w:pPr>
        <w:ind w:left="320"/>
        <w:spacing w:after="0"/>
        <w:rPr>
          <w:sz w:val="20"/>
          <w:szCs w:val="20"/>
          <w:color w:val="auto"/>
        </w:rPr>
      </w:pPr>
      <w:r>
        <w:rPr>
          <w:rFonts w:ascii="Arial" w:cs="Arial" w:eastAsia="Arial" w:hAnsi="Arial"/>
          <w:sz w:val="17"/>
          <w:szCs w:val="17"/>
          <w:color w:val="auto"/>
        </w:rPr>
        <w:t>None of our executive officers have any employment or severance agreements or arrangements other than as provided for in our Change-</w:t>
      </w:r>
    </w:p>
    <w:p>
      <w:pPr>
        <w:spacing w:after="0" w:line="21" w:lineRule="exact"/>
        <w:rPr>
          <w:sz w:val="20"/>
          <w:szCs w:val="20"/>
          <w:color w:val="auto"/>
        </w:rPr>
      </w:pPr>
    </w:p>
    <w:p>
      <w:pPr>
        <w:spacing w:after="0" w:line="237" w:lineRule="auto"/>
        <w:rPr>
          <w:sz w:val="20"/>
          <w:szCs w:val="20"/>
          <w:color w:val="auto"/>
        </w:rPr>
      </w:pPr>
      <w:r>
        <w:rPr>
          <w:rFonts w:ascii="Arial" w:cs="Arial" w:eastAsia="Arial" w:hAnsi="Arial"/>
          <w:sz w:val="17"/>
          <w:szCs w:val="17"/>
          <w:color w:val="auto"/>
        </w:rPr>
        <w:t>in-Control (CIC) policy and other than certain change in control provisions in our equity plans. Accordingly, our executive officers do not have the right to cash severance or additional benefits in connection with a termination of employment except in connection with a change in control</w:t>
      </w:r>
    </w:p>
    <w:p>
      <w:pPr>
        <w:spacing w:after="0" w:line="1" w:lineRule="exact"/>
        <w:rPr>
          <w:sz w:val="20"/>
          <w:szCs w:val="20"/>
          <w:color w:val="auto"/>
        </w:rPr>
      </w:pPr>
    </w:p>
    <w:p>
      <w:pPr>
        <w:spacing w:after="0" w:line="243" w:lineRule="auto"/>
        <w:rPr>
          <w:sz w:val="20"/>
          <w:szCs w:val="20"/>
          <w:color w:val="auto"/>
        </w:rPr>
      </w:pPr>
      <w:r>
        <w:rPr>
          <w:rFonts w:ascii="Arial" w:cs="Arial" w:eastAsia="Arial" w:hAnsi="Arial"/>
          <w:sz w:val="18"/>
          <w:szCs w:val="18"/>
          <w:color w:val="auto"/>
        </w:rPr>
        <w:t>of our Company as described under "Potential Payments Upon Termination or Change in Control." Each executive officer is a party to our standard confidentiality, invention and non-compete agreement.</w:t>
      </w:r>
    </w:p>
    <w:p>
      <w:pPr>
        <w:spacing w:after="0" w:line="59" w:lineRule="exact"/>
        <w:rPr>
          <w:sz w:val="20"/>
          <w:szCs w:val="20"/>
          <w:color w:val="auto"/>
        </w:rPr>
      </w:pPr>
    </w:p>
    <w:p>
      <w:pPr>
        <w:ind w:firstLine="320"/>
        <w:spacing w:after="0" w:line="255" w:lineRule="auto"/>
        <w:rPr>
          <w:sz w:val="20"/>
          <w:szCs w:val="20"/>
          <w:color w:val="auto"/>
        </w:rPr>
      </w:pPr>
      <w:r>
        <w:rPr>
          <w:rFonts w:ascii="Arial" w:cs="Arial" w:eastAsia="Arial" w:hAnsi="Arial"/>
          <w:sz w:val="17"/>
          <w:szCs w:val="17"/>
          <w:color w:val="auto"/>
        </w:rPr>
        <w:t>We believe our CIC policy and other change in control arrangements are important because they provide retention incentives and additional monetary motivation to complete a transaction that the Board believes is in the best interests of our Company and shareholders. We</w:t>
      </w:r>
    </w:p>
    <w:p>
      <w:pPr>
        <w:spacing w:after="0" w:line="1" w:lineRule="exact"/>
        <w:rPr>
          <w:sz w:val="20"/>
          <w:szCs w:val="20"/>
          <w:color w:val="auto"/>
        </w:rPr>
      </w:pPr>
    </w:p>
    <w:p>
      <w:pPr>
        <w:spacing w:after="0" w:line="224" w:lineRule="auto"/>
        <w:rPr>
          <w:sz w:val="20"/>
          <w:szCs w:val="20"/>
          <w:color w:val="auto"/>
        </w:rPr>
      </w:pPr>
      <w:r>
        <w:rPr>
          <w:rFonts w:ascii="Arial" w:cs="Arial" w:eastAsia="Arial" w:hAnsi="Arial"/>
          <w:sz w:val="18"/>
          <w:szCs w:val="18"/>
          <w:color w:val="auto"/>
        </w:rPr>
        <w:t>believe it is in the best interests of our Company and our shareholders to assure that we will have the continued dedication of our executives, notwithstanding the possibility, threat or occurrence of a change in control. We also believe it is imperative to diminish any distraction of our</w:t>
      </w:r>
    </w:p>
    <w:p>
      <w:pPr>
        <w:spacing w:after="0" w:line="1" w:lineRule="exact"/>
        <w:rPr>
          <w:sz w:val="20"/>
          <w:szCs w:val="20"/>
          <w:color w:val="auto"/>
        </w:rPr>
      </w:pPr>
    </w:p>
    <w:p>
      <w:pPr>
        <w:spacing w:after="0" w:line="243" w:lineRule="auto"/>
        <w:rPr>
          <w:sz w:val="20"/>
          <w:szCs w:val="20"/>
          <w:color w:val="auto"/>
        </w:rPr>
      </w:pPr>
      <w:r>
        <w:rPr>
          <w:rFonts w:ascii="Arial" w:cs="Arial" w:eastAsia="Arial" w:hAnsi="Arial"/>
          <w:sz w:val="18"/>
          <w:szCs w:val="18"/>
          <w:color w:val="auto"/>
        </w:rPr>
        <w:t>executives by virtue of the personal uncertainties and risks, including personal financial risks, created by a pending or threatened change in control of the Company.</w:t>
      </w:r>
    </w:p>
    <w:p>
      <w:pPr>
        <w:spacing w:after="0" w:line="59" w:lineRule="exact"/>
        <w:rPr>
          <w:sz w:val="20"/>
          <w:szCs w:val="20"/>
          <w:color w:val="auto"/>
        </w:rPr>
      </w:pPr>
    </w:p>
    <w:p>
      <w:pPr>
        <w:ind w:firstLine="320"/>
        <w:spacing w:after="0" w:line="255" w:lineRule="auto"/>
        <w:rPr>
          <w:sz w:val="20"/>
          <w:szCs w:val="20"/>
          <w:color w:val="auto"/>
        </w:rPr>
      </w:pPr>
      <w:r>
        <w:rPr>
          <w:rFonts w:ascii="Arial" w:cs="Arial" w:eastAsia="Arial" w:hAnsi="Arial"/>
          <w:sz w:val="17"/>
          <w:szCs w:val="17"/>
          <w:color w:val="auto"/>
        </w:rPr>
        <w:t>Our CIC policy incorporates a "double trigger" mechanism and provides for a severance payment for an executive officer if within three years after a change in control an executive officer's employment is terminated by us without just cause or the executive officer terminates his</w:t>
      </w:r>
    </w:p>
    <w:p>
      <w:pPr>
        <w:spacing w:after="0" w:line="1" w:lineRule="exact"/>
        <w:rPr>
          <w:sz w:val="20"/>
          <w:szCs w:val="20"/>
          <w:color w:val="auto"/>
        </w:rPr>
      </w:pPr>
    </w:p>
    <w:p>
      <w:pPr>
        <w:spacing w:after="0" w:line="224" w:lineRule="auto"/>
        <w:rPr>
          <w:sz w:val="20"/>
          <w:szCs w:val="20"/>
          <w:color w:val="auto"/>
        </w:rPr>
      </w:pPr>
      <w:r>
        <w:rPr>
          <w:rFonts w:ascii="Arial" w:cs="Arial" w:eastAsia="Arial" w:hAnsi="Arial"/>
          <w:sz w:val="18"/>
          <w:szCs w:val="18"/>
          <w:color w:val="auto"/>
        </w:rPr>
        <w:t>or her employment for good reason, or if such termination occurs at the request of a third party who had taken steps reasonably calculated to effect the change in control. Our CIC policy does not provide a "gross-up" for 280G excise taxes and, as a condition to the payment of any</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severance payment, the executive officer must execute a release of claims against us.</w:t>
      </w:r>
    </w:p>
    <w:p>
      <w:pPr>
        <w:spacing w:after="0" w:line="84" w:lineRule="exact"/>
        <w:rPr>
          <w:sz w:val="20"/>
          <w:szCs w:val="20"/>
          <w:color w:val="auto"/>
        </w:rPr>
      </w:pPr>
    </w:p>
    <w:p>
      <w:pPr>
        <w:jc w:val="both"/>
        <w:ind w:firstLine="320"/>
        <w:spacing w:after="0" w:line="247" w:lineRule="auto"/>
        <w:rPr>
          <w:sz w:val="20"/>
          <w:szCs w:val="20"/>
          <w:color w:val="auto"/>
        </w:rPr>
      </w:pPr>
      <w:r>
        <w:rPr>
          <w:rFonts w:ascii="Arial" w:cs="Arial" w:eastAsia="Arial" w:hAnsi="Arial"/>
          <w:sz w:val="17"/>
          <w:szCs w:val="17"/>
          <w:color w:val="auto"/>
        </w:rPr>
        <w:t>In addition to our CIC policy, we also have change in control provisions in our 2022 Plan and prior equity plans and individual award agreements that apply to our executives, as well as other employees, that provide for immediate vesting acceleration upon a change in control.</w:t>
      </w:r>
    </w:p>
    <w:p>
      <w:pPr>
        <w:spacing w:after="0" w:line="1" w:lineRule="exact"/>
        <w:rPr>
          <w:sz w:val="20"/>
          <w:szCs w:val="20"/>
          <w:color w:val="auto"/>
        </w:rPr>
      </w:pPr>
    </w:p>
    <w:p>
      <w:pPr>
        <w:spacing w:after="0" w:line="224" w:lineRule="auto"/>
        <w:rPr>
          <w:sz w:val="20"/>
          <w:szCs w:val="20"/>
          <w:color w:val="auto"/>
        </w:rPr>
      </w:pPr>
      <w:r>
        <w:rPr>
          <w:rFonts w:ascii="Arial" w:cs="Arial" w:eastAsia="Arial" w:hAnsi="Arial"/>
          <w:sz w:val="18"/>
          <w:szCs w:val="18"/>
          <w:color w:val="auto"/>
        </w:rPr>
        <w:t>More information regarding these provisions is also provided under "Potential Payments Upon Termination or Change in Control—Change in Control." Because the immediate vesting of stock options, restricted stock units and certain other awards is triggered by the change in control</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itself, and is not dependent upon a termination of employment within a certain protection period, these acceleration provisions are known as a</w:t>
      </w:r>
    </w:p>
    <w:p>
      <w:pPr>
        <w:spacing w:after="0" w:line="5" w:lineRule="exact"/>
        <w:rPr>
          <w:sz w:val="20"/>
          <w:szCs w:val="20"/>
          <w:color w:val="auto"/>
        </w:rPr>
      </w:pPr>
    </w:p>
    <w:p>
      <w:pPr>
        <w:spacing w:after="0" w:line="224" w:lineRule="auto"/>
        <w:rPr>
          <w:sz w:val="20"/>
          <w:szCs w:val="20"/>
          <w:color w:val="auto"/>
        </w:rPr>
      </w:pPr>
      <w:r>
        <w:rPr>
          <w:rFonts w:ascii="Arial" w:cs="Arial" w:eastAsia="Arial" w:hAnsi="Arial"/>
          <w:sz w:val="18"/>
          <w:szCs w:val="18"/>
          <w:color w:val="auto"/>
        </w:rPr>
        <w:t>"single trigger" change in control arrangements. We believe these "single trigger" change in control arrangements for equity awards granted provide important retention incentives during what can often be an uncertain time for employees and provide executives with additional</w:t>
      </w:r>
    </w:p>
    <w:p>
      <w:pPr>
        <w:spacing w:after="0" w:line="232" w:lineRule="auto"/>
        <w:rPr>
          <w:sz w:val="20"/>
          <w:szCs w:val="20"/>
          <w:color w:val="auto"/>
        </w:rPr>
      </w:pPr>
      <w:r>
        <w:rPr>
          <w:rFonts w:ascii="Arial" w:cs="Arial" w:eastAsia="Arial" w:hAnsi="Arial"/>
          <w:sz w:val="18"/>
          <w:szCs w:val="18"/>
          <w:color w:val="auto"/>
        </w:rPr>
        <w:t>monetary motivation to focus on and complete a transaction that our Board believes is in the best interests of our shareholders rather than</w:t>
      </w:r>
    </w:p>
    <w:p>
      <w:pPr>
        <w:spacing w:after="0" w:line="1" w:lineRule="exact"/>
        <w:rPr>
          <w:sz w:val="20"/>
          <w:szCs w:val="20"/>
          <w:color w:val="auto"/>
        </w:rPr>
      </w:pPr>
    </w:p>
    <w:p>
      <w:pPr>
        <w:spacing w:after="0" w:line="234" w:lineRule="auto"/>
        <w:rPr>
          <w:sz w:val="20"/>
          <w:szCs w:val="20"/>
          <w:color w:val="auto"/>
        </w:rPr>
      </w:pPr>
      <w:r>
        <w:rPr>
          <w:rFonts w:ascii="Arial" w:cs="Arial" w:eastAsia="Arial" w:hAnsi="Arial"/>
          <w:sz w:val="18"/>
          <w:szCs w:val="18"/>
          <w:color w:val="auto"/>
        </w:rPr>
        <w:t>seeking new employment opportunities. If an executive were to leave prior to the completion of the change in control, non-vested options or other awards held by the executive would terminate.</w:t>
      </w:r>
    </w:p>
    <w:p>
      <w:pPr>
        <w:spacing w:after="0" w:line="74"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Committee reviews our change of control arrangements periodically to ensure that they remain appropriate.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79375</wp:posOffset>
            </wp:positionV>
            <wp:extent cx="7159625" cy="425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097" w:right="339" w:bottom="1440" w:gutter="0" w:footer="0" w:header="0"/>
        </w:sectPr>
      </w:pPr>
    </w:p>
    <w:bookmarkStart w:id="55" w:name="page56"/>
    <w:bookmarkEnd w:id="55"/>
    <w:p>
      <w:pPr>
        <w:spacing w:after="0"/>
        <w:rPr>
          <w:sz w:val="20"/>
          <w:szCs w:val="20"/>
          <w:color w:val="auto"/>
        </w:rPr>
      </w:pPr>
      <w:r>
        <w:rPr>
          <w:rFonts w:ascii="Arial" w:cs="Arial" w:eastAsia="Arial" w:hAnsi="Arial"/>
          <w:sz w:val="20"/>
          <w:szCs w:val="20"/>
          <w:b w:val="1"/>
          <w:bCs w:val="1"/>
          <w:color w:val="BF2115"/>
        </w:rPr>
        <w:t>Named Executive Officers Stock Ownership Guidelines</w:t>
      </w:r>
    </w:p>
    <w:p>
      <w:pPr>
        <w:spacing w:after="0" w:line="97" w:lineRule="exact"/>
        <w:rPr>
          <w:sz w:val="20"/>
          <w:szCs w:val="20"/>
          <w:color w:val="auto"/>
        </w:rPr>
      </w:pPr>
    </w:p>
    <w:p>
      <w:pPr>
        <w:ind w:left="320"/>
        <w:spacing w:after="0"/>
        <w:rPr>
          <w:sz w:val="20"/>
          <w:szCs w:val="20"/>
          <w:color w:val="auto"/>
        </w:rPr>
      </w:pPr>
      <w:r>
        <w:rPr>
          <w:rFonts w:ascii="Arial" w:cs="Arial" w:eastAsia="Arial" w:hAnsi="Arial"/>
          <w:sz w:val="17"/>
          <w:szCs w:val="17"/>
          <w:color w:val="auto"/>
        </w:rPr>
        <w:t>We maintain stock ownership guidelines to align the interests of our NEOs with those of our shareholders. Effective January 16, 2024, our</w:t>
      </w:r>
    </w:p>
    <w:p>
      <w:pPr>
        <w:spacing w:after="0" w:line="21" w:lineRule="exact"/>
        <w:rPr>
          <w:sz w:val="20"/>
          <w:szCs w:val="20"/>
          <w:color w:val="auto"/>
        </w:rPr>
      </w:pPr>
    </w:p>
    <w:p>
      <w:pPr>
        <w:spacing w:after="0" w:line="224" w:lineRule="auto"/>
        <w:rPr>
          <w:sz w:val="20"/>
          <w:szCs w:val="20"/>
          <w:color w:val="auto"/>
        </w:rPr>
      </w:pPr>
      <w:r>
        <w:rPr>
          <w:rFonts w:ascii="Arial" w:cs="Arial" w:eastAsia="Arial" w:hAnsi="Arial"/>
          <w:sz w:val="18"/>
          <w:szCs w:val="18"/>
          <w:color w:val="auto"/>
        </w:rPr>
        <w:t>stock ownership guidelines were amended to require that executive officers hold a number of shares as shown in the table below until the guideline multiple is met. Our previous guidelines did not have a holding requirement, but required executive officers to reach the specified</w:t>
      </w:r>
    </w:p>
    <w:p>
      <w:pPr>
        <w:spacing w:after="0" w:line="1" w:lineRule="exact"/>
        <w:rPr>
          <w:sz w:val="20"/>
          <w:szCs w:val="20"/>
          <w:color w:val="auto"/>
        </w:rPr>
      </w:pPr>
    </w:p>
    <w:p>
      <w:pPr>
        <w:spacing w:after="0" w:line="234" w:lineRule="auto"/>
        <w:rPr>
          <w:sz w:val="20"/>
          <w:szCs w:val="20"/>
          <w:color w:val="auto"/>
        </w:rPr>
      </w:pPr>
      <w:r>
        <w:rPr>
          <w:rFonts w:ascii="Arial" w:cs="Arial" w:eastAsia="Arial" w:hAnsi="Arial"/>
          <w:sz w:val="18"/>
          <w:szCs w:val="18"/>
          <w:color w:val="auto"/>
        </w:rPr>
        <w:t>number of shares within five years of the date of hire or promotion. In addition, the multiple for the Chairman and CEO was increased from 5x to 6x.</w:t>
      </w:r>
    </w:p>
    <w:p>
      <w:pPr>
        <w:spacing w:after="0" w:line="130" w:lineRule="exact"/>
        <w:rPr>
          <w:sz w:val="20"/>
          <w:szCs w:val="20"/>
          <w:color w:val="auto"/>
        </w:rPr>
      </w:pPr>
    </w:p>
    <w:p>
      <w:pPr>
        <w:jc w:val="center"/>
        <w:ind w:right="-319"/>
        <w:spacing w:after="0"/>
        <w:rPr>
          <w:sz w:val="20"/>
          <w:szCs w:val="20"/>
          <w:color w:val="auto"/>
        </w:rPr>
      </w:pPr>
      <w:r>
        <w:rPr>
          <w:rFonts w:ascii="Arial" w:cs="Arial" w:eastAsia="Arial" w:hAnsi="Arial"/>
          <w:sz w:val="16"/>
          <w:szCs w:val="16"/>
          <w:b w:val="1"/>
          <w:bCs w:val="1"/>
          <w:color w:val="FFFFFF"/>
        </w:rPr>
        <w:t>Stock Ownership Guidelines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1758315</wp:posOffset>
            </wp:positionH>
            <wp:positionV relativeFrom="paragraph">
              <wp:posOffset>-115570</wp:posOffset>
            </wp:positionV>
            <wp:extent cx="3837940" cy="30480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3837940" cy="304800"/>
                    </a:xfrm>
                    <a:prstGeom prst="rect">
                      <a:avLst/>
                    </a:prstGeom>
                    <a:noFill/>
                  </pic:spPr>
                </pic:pic>
              </a:graphicData>
            </a:graphic>
          </wp:anchor>
        </w:drawing>
      </w:r>
    </w:p>
    <w:p>
      <w:pPr>
        <w:sectPr>
          <w:pgSz w:w="11900" w:h="16838" w:orient="portrait"/>
          <w:cols w:equalWidth="0" w:num="1">
            <w:col w:w="11240"/>
          </w:cols>
          <w:pgMar w:left="320" w:top="1157" w:right="339" w:bottom="1440" w:gutter="0" w:footer="0" w:header="0"/>
        </w:sectPr>
      </w:pPr>
    </w:p>
    <w:p>
      <w:pPr>
        <w:spacing w:after="0" w:line="56" w:lineRule="exact"/>
        <w:rPr>
          <w:sz w:val="20"/>
          <w:szCs w:val="20"/>
          <w:color w:val="auto"/>
        </w:rPr>
      </w:pPr>
    </w:p>
    <w:p>
      <w:pPr>
        <w:ind w:left="3420"/>
        <w:spacing w:after="0"/>
        <w:rPr>
          <w:sz w:val="20"/>
          <w:szCs w:val="20"/>
          <w:color w:val="auto"/>
        </w:rPr>
      </w:pPr>
      <w:r>
        <w:rPr>
          <w:rFonts w:ascii="Arial" w:cs="Arial" w:eastAsia="Arial" w:hAnsi="Arial"/>
          <w:sz w:val="16"/>
          <w:szCs w:val="16"/>
          <w:b w:val="1"/>
          <w:bCs w:val="1"/>
          <w:color w:val="FFFFFF"/>
        </w:rPr>
        <w:t>Chairman and CEO</w:t>
      </w:r>
    </w:p>
    <w:p>
      <w:pPr>
        <w:spacing w:after="0" w:line="20" w:lineRule="exact"/>
        <w:rPr>
          <w:sz w:val="20"/>
          <w:szCs w:val="20"/>
          <w:color w:val="auto"/>
        </w:rPr>
      </w:pPr>
      <w:r>
        <w:rPr>
          <w:sz w:val="20"/>
          <w:szCs w:val="20"/>
          <w:color w:val="auto"/>
        </w:rPr>
        <w:br w:type="column"/>
      </w:r>
    </w:p>
    <w:p>
      <w:pPr>
        <w:spacing w:after="0" w:line="36" w:lineRule="exact"/>
        <w:rPr>
          <w:sz w:val="20"/>
          <w:szCs w:val="20"/>
          <w:color w:val="auto"/>
        </w:rPr>
      </w:pPr>
    </w:p>
    <w:p>
      <w:pPr>
        <w:spacing w:after="0"/>
        <w:rPr>
          <w:sz w:val="20"/>
          <w:szCs w:val="20"/>
          <w:color w:val="auto"/>
        </w:rPr>
      </w:pPr>
      <w:r>
        <w:rPr>
          <w:rFonts w:ascii="Arial" w:cs="Arial" w:eastAsia="Arial" w:hAnsi="Arial"/>
          <w:sz w:val="15"/>
          <w:szCs w:val="15"/>
          <w:b w:val="1"/>
          <w:bCs w:val="1"/>
          <w:color w:val="FFFFFF"/>
        </w:rPr>
        <w:t>Other Executive Officers</w:t>
      </w:r>
    </w:p>
    <w:p>
      <w:pPr>
        <w:spacing w:after="0" w:line="67" w:lineRule="exact"/>
        <w:rPr>
          <w:sz w:val="20"/>
          <w:szCs w:val="20"/>
          <w:color w:val="auto"/>
        </w:rPr>
      </w:pPr>
    </w:p>
    <w:p>
      <w:pPr>
        <w:sectPr>
          <w:pgSz w:w="11900" w:h="16838" w:orient="portrait"/>
          <w:cols w:equalWidth="0" w:num="2">
            <w:col w:w="5520" w:space="720"/>
            <w:col w:w="5000"/>
          </w:cols>
          <w:pgMar w:left="320" w:top="1157" w:right="339" w:bottom="1440" w:gutter="0" w:footer="0" w:header="0"/>
          <w:type w:val="continuous"/>
        </w:sectPr>
      </w:pPr>
    </w:p>
    <w:p>
      <w:pPr>
        <w:ind w:left="3360"/>
        <w:spacing w:after="0"/>
        <w:rPr>
          <w:sz w:val="20"/>
          <w:szCs w:val="20"/>
          <w:color w:val="auto"/>
        </w:rPr>
      </w:pPr>
      <w:r>
        <w:rPr>
          <w:rFonts w:ascii="Arial" w:cs="Arial" w:eastAsia="Arial" w:hAnsi="Arial"/>
          <w:sz w:val="16"/>
          <w:szCs w:val="16"/>
          <w:color w:val="auto"/>
        </w:rPr>
        <w:t>6x annual base salary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3x annual base salary</w:t>
      </w:r>
    </w:p>
    <w:p>
      <w:pPr>
        <w:spacing w:after="0" w:line="200" w:lineRule="exact"/>
        <w:rPr>
          <w:sz w:val="20"/>
          <w:szCs w:val="20"/>
          <w:color w:val="auto"/>
        </w:rPr>
      </w:pPr>
    </w:p>
    <w:p>
      <w:pPr>
        <w:sectPr>
          <w:pgSz w:w="11900" w:h="16838" w:orient="portrait"/>
          <w:cols w:equalWidth="0" w:num="2">
            <w:col w:w="5660" w:space="720"/>
            <w:col w:w="4860"/>
          </w:cols>
          <w:pgMar w:left="320" w:top="1157" w:right="339" w:bottom="1440" w:gutter="0" w:footer="0" w:header="0"/>
          <w:type w:val="continuous"/>
        </w:sectPr>
      </w:pPr>
    </w:p>
    <w:p>
      <w:pPr>
        <w:spacing w:after="0" w:line="47" w:lineRule="exact"/>
        <w:rPr>
          <w:sz w:val="20"/>
          <w:szCs w:val="20"/>
          <w:color w:val="auto"/>
        </w:rPr>
      </w:pPr>
    </w:p>
    <w:p>
      <w:pPr>
        <w:spacing w:after="0"/>
        <w:rPr>
          <w:sz w:val="20"/>
          <w:szCs w:val="20"/>
          <w:color w:val="auto"/>
        </w:rPr>
      </w:pPr>
      <w:r>
        <w:rPr>
          <w:rFonts w:ascii="Arial" w:cs="Arial" w:eastAsia="Arial" w:hAnsi="Arial"/>
          <w:sz w:val="20"/>
          <w:szCs w:val="20"/>
          <w:b w:val="1"/>
          <w:bCs w:val="1"/>
          <w:color w:val="C00000"/>
        </w:rPr>
        <w:t>Anti-Hedging and Anti-Pledging</w:t>
      </w:r>
    </w:p>
    <w:p>
      <w:pPr>
        <w:spacing w:after="0" w:line="84" w:lineRule="exact"/>
        <w:rPr>
          <w:sz w:val="20"/>
          <w:szCs w:val="20"/>
          <w:color w:val="auto"/>
        </w:rPr>
      </w:pPr>
    </w:p>
    <w:p>
      <w:pPr>
        <w:jc w:val="both"/>
        <w:ind w:firstLine="320"/>
        <w:spacing w:after="0" w:line="262" w:lineRule="auto"/>
        <w:rPr>
          <w:sz w:val="20"/>
          <w:szCs w:val="20"/>
          <w:color w:val="auto"/>
        </w:rPr>
      </w:pPr>
      <w:r>
        <w:rPr>
          <w:rFonts w:ascii="Arial" w:cs="Arial" w:eastAsia="Arial" w:hAnsi="Arial"/>
          <w:sz w:val="18"/>
          <w:szCs w:val="18"/>
          <w:color w:val="auto"/>
        </w:rPr>
        <w:t>Our insider trading policy prohibits officers and directors from engaging in hedging or pledging of our securities, as described in more detail in "Executive Compensation—Anti-Hedging and Anti-Pledging Policies."</w:t>
      </w:r>
    </w:p>
    <w:p>
      <w:pPr>
        <w:spacing w:after="0" w:line="115" w:lineRule="exact"/>
        <w:rPr>
          <w:sz w:val="20"/>
          <w:szCs w:val="20"/>
          <w:color w:val="auto"/>
        </w:rPr>
      </w:pPr>
    </w:p>
    <w:p>
      <w:pPr>
        <w:spacing w:after="0"/>
        <w:rPr>
          <w:sz w:val="20"/>
          <w:szCs w:val="20"/>
          <w:color w:val="auto"/>
        </w:rPr>
      </w:pPr>
      <w:r>
        <w:rPr>
          <w:rFonts w:ascii="Arial" w:cs="Arial" w:eastAsia="Arial" w:hAnsi="Arial"/>
          <w:sz w:val="20"/>
          <w:szCs w:val="20"/>
          <w:b w:val="1"/>
          <w:bCs w:val="1"/>
          <w:color w:val="C00000"/>
        </w:rPr>
        <w:t>Tax Considerations</w:t>
      </w:r>
    </w:p>
    <w:p>
      <w:pPr>
        <w:spacing w:after="0" w:line="84" w:lineRule="exact"/>
        <w:rPr>
          <w:sz w:val="20"/>
          <w:szCs w:val="20"/>
          <w:color w:val="auto"/>
        </w:rPr>
      </w:pPr>
    </w:p>
    <w:p>
      <w:pPr>
        <w:jc w:val="both"/>
        <w:ind w:firstLine="320"/>
        <w:spacing w:after="0" w:line="233" w:lineRule="auto"/>
        <w:rPr>
          <w:sz w:val="20"/>
          <w:szCs w:val="20"/>
          <w:color w:val="auto"/>
        </w:rPr>
      </w:pPr>
      <w:r>
        <w:rPr>
          <w:rFonts w:ascii="Arial" w:cs="Arial" w:eastAsia="Arial" w:hAnsi="Arial"/>
          <w:sz w:val="18"/>
          <w:szCs w:val="18"/>
          <w:color w:val="auto"/>
        </w:rPr>
        <w:t>Code Section 162(m) imposes an annual deduction limit of $1 million on the amount of compensation paid to each "covered employee," which includes our NEOs and certain other former NEOs. Compensation paid to our NEOs over this limit is nondeductible. While the</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Compensation &amp; Human Resources Committee considers tax deductibility as one of many factors in determining executive compensation, we</w:t>
      </w:r>
    </w:p>
    <w:p>
      <w:pPr>
        <w:spacing w:after="0" w:line="5" w:lineRule="exact"/>
        <w:rPr>
          <w:sz w:val="20"/>
          <w:szCs w:val="20"/>
          <w:color w:val="auto"/>
        </w:rPr>
      </w:pPr>
    </w:p>
    <w:p>
      <w:pPr>
        <w:jc w:val="both"/>
        <w:spacing w:after="0" w:line="234" w:lineRule="auto"/>
        <w:rPr>
          <w:sz w:val="20"/>
          <w:szCs w:val="20"/>
          <w:color w:val="auto"/>
        </w:rPr>
      </w:pPr>
      <w:r>
        <w:rPr>
          <w:rFonts w:ascii="Arial" w:cs="Arial" w:eastAsia="Arial" w:hAnsi="Arial"/>
          <w:sz w:val="18"/>
          <w:szCs w:val="18"/>
          <w:color w:val="auto"/>
        </w:rPr>
        <w:t>will continue to structure our executive compensation program so that a significant portion of total executive compensation is linked to the performance of our Company even though amounts in excess of the Code Section 162(m) limit are not deductible.</w:t>
      </w:r>
    </w:p>
    <w:p>
      <w:pPr>
        <w:spacing w:after="0" w:line="134" w:lineRule="exact"/>
        <w:rPr>
          <w:sz w:val="20"/>
          <w:szCs w:val="20"/>
          <w:color w:val="auto"/>
        </w:rPr>
      </w:pPr>
    </w:p>
    <w:p>
      <w:pPr>
        <w:spacing w:after="0"/>
        <w:rPr>
          <w:sz w:val="20"/>
          <w:szCs w:val="20"/>
          <w:color w:val="auto"/>
        </w:rPr>
      </w:pPr>
      <w:r>
        <w:rPr>
          <w:rFonts w:ascii="Arial" w:cs="Arial" w:eastAsia="Arial" w:hAnsi="Arial"/>
          <w:sz w:val="20"/>
          <w:szCs w:val="20"/>
          <w:b w:val="1"/>
          <w:bCs w:val="1"/>
          <w:color w:val="C00000"/>
        </w:rPr>
        <w:t>Risk Assessment</w:t>
      </w:r>
    </w:p>
    <w:p>
      <w:pPr>
        <w:spacing w:after="0" w:line="84" w:lineRule="exact"/>
        <w:rPr>
          <w:sz w:val="20"/>
          <w:szCs w:val="20"/>
          <w:color w:val="auto"/>
        </w:rPr>
      </w:pPr>
    </w:p>
    <w:p>
      <w:pPr>
        <w:ind w:left="320"/>
        <w:spacing w:after="0"/>
        <w:rPr>
          <w:sz w:val="20"/>
          <w:szCs w:val="20"/>
          <w:color w:val="auto"/>
        </w:rPr>
      </w:pPr>
      <w:r>
        <w:rPr>
          <w:rFonts w:ascii="Arial" w:cs="Arial" w:eastAsia="Arial" w:hAnsi="Arial"/>
          <w:sz w:val="18"/>
          <w:szCs w:val="18"/>
          <w:color w:val="auto"/>
        </w:rPr>
        <w:t>We determined that our compensation policies, practices and programs and related compensation governance structure work together to</w:t>
      </w:r>
    </w:p>
    <w:p>
      <w:pPr>
        <w:spacing w:after="0" w:line="9" w:lineRule="exact"/>
        <w:rPr>
          <w:sz w:val="20"/>
          <w:szCs w:val="20"/>
          <w:color w:val="auto"/>
        </w:rPr>
      </w:pPr>
    </w:p>
    <w:p>
      <w:pPr>
        <w:jc w:val="both"/>
        <w:spacing w:after="0" w:line="237" w:lineRule="auto"/>
        <w:rPr>
          <w:sz w:val="20"/>
          <w:szCs w:val="20"/>
          <w:color w:val="auto"/>
        </w:rPr>
      </w:pPr>
      <w:r>
        <w:rPr>
          <w:rFonts w:ascii="Arial" w:cs="Arial" w:eastAsia="Arial" w:hAnsi="Arial"/>
          <w:sz w:val="17"/>
          <w:szCs w:val="17"/>
          <w:color w:val="auto"/>
        </w:rPr>
        <w:t>minimize exposure to excessive risk while appropriately pursuing growth, profitability and asset efficiency strategies and goals that emphasize shareholder value creation. In reaching such determination, we noted that: (i) base salaries for all office salaried employees are targeted within</w:t>
      </w:r>
    </w:p>
    <w:p>
      <w:pPr>
        <w:spacing w:after="0" w:line="233" w:lineRule="auto"/>
        <w:rPr>
          <w:sz w:val="20"/>
          <w:szCs w:val="20"/>
          <w:color w:val="auto"/>
        </w:rPr>
      </w:pPr>
      <w:r>
        <w:rPr>
          <w:rFonts w:ascii="Arial" w:cs="Arial" w:eastAsia="Arial" w:hAnsi="Arial"/>
          <w:sz w:val="18"/>
          <w:szCs w:val="18"/>
          <w:color w:val="auto"/>
        </w:rPr>
        <w:t>a competitive range of the market 50</w:t>
      </w:r>
      <w:r>
        <w:rPr>
          <w:rFonts w:ascii="Arial" w:cs="Arial" w:eastAsia="Arial" w:hAnsi="Arial"/>
          <w:sz w:val="10"/>
          <w:szCs w:val="10"/>
          <w:color w:val="auto"/>
        </w:rPr>
        <w:t>th</w:t>
      </w:r>
      <w:r>
        <w:rPr>
          <w:rFonts w:ascii="Arial" w:cs="Arial" w:eastAsia="Arial" w:hAnsi="Arial"/>
          <w:sz w:val="18"/>
          <w:szCs w:val="18"/>
          <w:color w:val="auto"/>
        </w:rPr>
        <w:t xml:space="preserve"> percentile, are not subject to performance risk and, for non-executive employees, constitute the largest</w:t>
      </w:r>
    </w:p>
    <w:p>
      <w:pPr>
        <w:jc w:val="both"/>
        <w:spacing w:after="0" w:line="224" w:lineRule="auto"/>
        <w:rPr>
          <w:sz w:val="20"/>
          <w:szCs w:val="20"/>
          <w:color w:val="auto"/>
        </w:rPr>
      </w:pPr>
      <w:r>
        <w:rPr>
          <w:rFonts w:ascii="Arial" w:cs="Arial" w:eastAsia="Arial" w:hAnsi="Arial"/>
          <w:sz w:val="18"/>
          <w:szCs w:val="18"/>
          <w:color w:val="auto"/>
        </w:rPr>
        <w:t>part of their total compensation; (ii) incentive or variable compensation awarded to our executive officers, which constitutes the largest part of their total compensation, is appropriately balanced between annual and long-term performance and cash and equity compensation, and</w:t>
      </w:r>
    </w:p>
    <w:p>
      <w:pPr>
        <w:spacing w:after="0" w:line="1" w:lineRule="exact"/>
        <w:rPr>
          <w:sz w:val="20"/>
          <w:szCs w:val="20"/>
          <w:color w:val="auto"/>
        </w:rPr>
      </w:pPr>
    </w:p>
    <w:p>
      <w:pPr>
        <w:jc w:val="both"/>
        <w:spacing w:after="0" w:line="243" w:lineRule="auto"/>
        <w:rPr>
          <w:sz w:val="20"/>
          <w:szCs w:val="20"/>
          <w:color w:val="auto"/>
        </w:rPr>
      </w:pPr>
      <w:r>
        <w:rPr>
          <w:rFonts w:ascii="Arial" w:cs="Arial" w:eastAsia="Arial" w:hAnsi="Arial"/>
          <w:sz w:val="18"/>
          <w:szCs w:val="18"/>
          <w:color w:val="auto"/>
        </w:rPr>
        <w:t>utilizes performance measures and goals that are drivers of long-term success for our Company and our shareholders; and (iii) caps on performance-based awards are used.</w:t>
      </w:r>
    </w:p>
    <w:p>
      <w:pPr>
        <w:spacing w:after="0" w:line="119" w:lineRule="exact"/>
        <w:rPr>
          <w:sz w:val="20"/>
          <w:szCs w:val="20"/>
          <w:color w:val="auto"/>
        </w:rPr>
      </w:pPr>
    </w:p>
    <w:p>
      <w:pPr>
        <w:spacing w:after="0"/>
        <w:rPr>
          <w:sz w:val="20"/>
          <w:szCs w:val="20"/>
          <w:color w:val="auto"/>
        </w:rPr>
      </w:pPr>
      <w:r>
        <w:rPr>
          <w:rFonts w:ascii="Arial" w:cs="Arial" w:eastAsia="Arial" w:hAnsi="Arial"/>
          <w:sz w:val="20"/>
          <w:szCs w:val="20"/>
          <w:b w:val="1"/>
          <w:bCs w:val="1"/>
          <w:color w:val="C00000"/>
        </w:rPr>
        <w:t>Clawback Policy and Provisions</w:t>
      </w:r>
    </w:p>
    <w:p>
      <w:pPr>
        <w:spacing w:after="0" w:line="84" w:lineRule="exact"/>
        <w:rPr>
          <w:sz w:val="20"/>
          <w:szCs w:val="20"/>
          <w:color w:val="auto"/>
        </w:rPr>
      </w:pPr>
    </w:p>
    <w:p>
      <w:pPr>
        <w:jc w:val="both"/>
        <w:ind w:firstLine="320"/>
        <w:spacing w:after="0" w:line="247" w:lineRule="auto"/>
        <w:rPr>
          <w:sz w:val="20"/>
          <w:szCs w:val="20"/>
          <w:color w:val="auto"/>
        </w:rPr>
      </w:pPr>
      <w:r>
        <w:rPr>
          <w:rFonts w:ascii="Arial" w:cs="Arial" w:eastAsia="Arial" w:hAnsi="Arial"/>
          <w:sz w:val="18"/>
          <w:szCs w:val="18"/>
          <w:color w:val="auto"/>
        </w:rPr>
        <w:t>We maintain a robust clawback policy that not only conforms with the NYSE clawback rules that require clawback of erroneously awarded compensation as mandated under the Dodd-Frank Wall Street Reform and Protection Act but also provides for the discretionary clawback of compensation if an executive engages in egregious conduct that is substantially detrimental to the Company.</w:t>
      </w:r>
    </w:p>
    <w:p>
      <w:pPr>
        <w:spacing w:after="0" w:line="55" w:lineRule="exact"/>
        <w:rPr>
          <w:sz w:val="20"/>
          <w:szCs w:val="20"/>
          <w:color w:val="auto"/>
        </w:rPr>
      </w:pPr>
    </w:p>
    <w:p>
      <w:pPr>
        <w:jc w:val="both"/>
        <w:ind w:firstLine="320"/>
        <w:spacing w:after="0" w:line="241" w:lineRule="auto"/>
        <w:rPr>
          <w:sz w:val="20"/>
          <w:szCs w:val="20"/>
          <w:color w:val="auto"/>
        </w:rPr>
      </w:pPr>
      <w:r>
        <w:rPr>
          <w:rFonts w:ascii="Arial" w:cs="Arial" w:eastAsia="Arial" w:hAnsi="Arial"/>
          <w:sz w:val="18"/>
          <w:szCs w:val="18"/>
          <w:color w:val="auto"/>
        </w:rPr>
        <w:t>Our 2022 Plan, prior equity plan and the related award agreements contain a clawback provision which provides that if, within one year after the termination of employment the participant is employed or retained by or renders services to a competitor, violates any confidentiality</w:t>
      </w:r>
    </w:p>
    <w:p>
      <w:pPr>
        <w:spacing w:after="0" w:line="1" w:lineRule="exact"/>
        <w:rPr>
          <w:sz w:val="20"/>
          <w:szCs w:val="20"/>
          <w:color w:val="auto"/>
        </w:rPr>
      </w:pPr>
    </w:p>
    <w:p>
      <w:pPr>
        <w:jc w:val="both"/>
        <w:spacing w:after="0" w:line="224" w:lineRule="auto"/>
        <w:rPr>
          <w:sz w:val="20"/>
          <w:szCs w:val="20"/>
          <w:color w:val="auto"/>
        </w:rPr>
      </w:pPr>
      <w:r>
        <w:rPr>
          <w:rFonts w:ascii="Arial" w:cs="Arial" w:eastAsia="Arial" w:hAnsi="Arial"/>
          <w:sz w:val="18"/>
          <w:szCs w:val="18"/>
          <w:color w:val="auto"/>
        </w:rPr>
        <w:t>agreement or agreement governing the ownership or assignment of intellectual property rights or engages in any other conduct or act determined to be injurious, detrimental or prejudicial to any interest of our Company, all rights of such participant under the plan and any</w:t>
      </w:r>
    </w:p>
    <w:p>
      <w:pPr>
        <w:spacing w:after="0" w:line="232" w:lineRule="auto"/>
        <w:rPr>
          <w:sz w:val="20"/>
          <w:szCs w:val="20"/>
          <w:color w:val="auto"/>
        </w:rPr>
      </w:pPr>
      <w:r>
        <w:rPr>
          <w:rFonts w:ascii="Arial" w:cs="Arial" w:eastAsia="Arial" w:hAnsi="Arial"/>
          <w:sz w:val="18"/>
          <w:szCs w:val="18"/>
          <w:color w:val="auto"/>
        </w:rPr>
        <w:t>agreements evidencing an award then held by the participant will terminate and be forfeited and the Committee may require the executive to</w:t>
      </w:r>
    </w:p>
    <w:p>
      <w:pPr>
        <w:spacing w:after="0" w:line="1" w:lineRule="exact"/>
        <w:rPr>
          <w:sz w:val="20"/>
          <w:szCs w:val="20"/>
          <w:color w:val="auto"/>
        </w:rPr>
      </w:pPr>
    </w:p>
    <w:p>
      <w:pPr>
        <w:jc w:val="both"/>
        <w:spacing w:after="0" w:line="237" w:lineRule="auto"/>
        <w:rPr>
          <w:sz w:val="20"/>
          <w:szCs w:val="20"/>
          <w:color w:val="auto"/>
        </w:rPr>
      </w:pPr>
      <w:r>
        <w:rPr>
          <w:rFonts w:ascii="Arial" w:cs="Arial" w:eastAsia="Arial" w:hAnsi="Arial"/>
          <w:sz w:val="17"/>
          <w:szCs w:val="17"/>
          <w:color w:val="auto"/>
        </w:rPr>
        <w:t>surrender and return to our Company any shares received, and/or to disgorge any profits or any other economic value made or realized by the participant during the period beginning one year prior to the participant's termination of employment or other service with our Company or any</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affiliate or subsidiary, in connection with any awards or any shares issued upon the exercise or vesting of any awards granted under such plan.</w:t>
      </w:r>
    </w:p>
    <w:p>
      <w:pPr>
        <w:spacing w:after="0" w:line="155" w:lineRule="exact"/>
        <w:rPr>
          <w:sz w:val="20"/>
          <w:szCs w:val="20"/>
          <w:color w:val="auto"/>
        </w:rPr>
      </w:pPr>
    </w:p>
    <w:p>
      <w:pPr>
        <w:spacing w:after="0"/>
        <w:rPr>
          <w:sz w:val="20"/>
          <w:szCs w:val="20"/>
          <w:color w:val="auto"/>
        </w:rPr>
      </w:pPr>
      <w:r>
        <w:rPr>
          <w:rFonts w:ascii="Arial" w:cs="Arial" w:eastAsia="Arial" w:hAnsi="Arial"/>
          <w:sz w:val="20"/>
          <w:szCs w:val="20"/>
          <w:b w:val="1"/>
          <w:bCs w:val="1"/>
          <w:color w:val="C00000"/>
        </w:rPr>
        <w:t>Competitive Considerations and Use of Market Data</w:t>
      </w:r>
    </w:p>
    <w:p>
      <w:pPr>
        <w:spacing w:after="0" w:line="84" w:lineRule="exact"/>
        <w:rPr>
          <w:sz w:val="20"/>
          <w:szCs w:val="20"/>
          <w:color w:val="auto"/>
        </w:rPr>
      </w:pPr>
    </w:p>
    <w:p>
      <w:pPr>
        <w:jc w:val="both"/>
        <w:ind w:firstLine="320"/>
        <w:spacing w:after="0" w:line="233" w:lineRule="auto"/>
        <w:rPr>
          <w:sz w:val="20"/>
          <w:szCs w:val="20"/>
          <w:color w:val="auto"/>
        </w:rPr>
      </w:pPr>
      <w:r>
        <w:rPr>
          <w:rFonts w:ascii="Arial" w:cs="Arial" w:eastAsia="Arial" w:hAnsi="Arial"/>
          <w:sz w:val="18"/>
          <w:szCs w:val="18"/>
          <w:color w:val="auto"/>
        </w:rPr>
        <w:t>Since one of the objectives of our executive compensation program is to provide market competitive compensation opportunities, the Committee uses market data provided by Willis Towers Watson to help evaluate and make compensation decisions. Market data, which is</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size-adjusted, is provided by Willis Towers Watson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79375</wp:posOffset>
            </wp:positionV>
            <wp:extent cx="7159625" cy="425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157" w:right="339" w:bottom="1440" w:gutter="0" w:footer="0" w:header="0"/>
          <w:type w:val="continuous"/>
        </w:sectPr>
      </w:pPr>
    </w:p>
    <w:bookmarkStart w:id="56" w:name="page57"/>
    <w:bookmarkEnd w:id="56"/>
    <w:p>
      <w:pPr>
        <w:spacing w:after="0"/>
        <w:rPr>
          <w:sz w:val="20"/>
          <w:szCs w:val="20"/>
          <w:color w:val="auto"/>
        </w:rPr>
      </w:pPr>
      <w:r>
        <w:rPr>
          <w:rFonts w:ascii="Arial" w:cs="Arial" w:eastAsia="Arial" w:hAnsi="Arial"/>
          <w:sz w:val="18"/>
          <w:szCs w:val="18"/>
          <w:color w:val="auto"/>
        </w:rPr>
        <w:t>through its executive compensation database, which includes roughly 500 participating companies. We believe that the market for our</w:t>
      </w:r>
    </w:p>
    <w:p>
      <w:pPr>
        <w:spacing w:after="0" w:line="9" w:lineRule="exact"/>
        <w:rPr>
          <w:sz w:val="20"/>
          <w:szCs w:val="20"/>
          <w:color w:val="auto"/>
        </w:rPr>
      </w:pPr>
    </w:p>
    <w:p>
      <w:pPr>
        <w:jc w:val="both"/>
        <w:spacing w:after="0" w:line="237" w:lineRule="auto"/>
        <w:rPr>
          <w:sz w:val="20"/>
          <w:szCs w:val="20"/>
          <w:color w:val="auto"/>
        </w:rPr>
      </w:pPr>
      <w:r>
        <w:rPr>
          <w:rFonts w:ascii="Arial" w:cs="Arial" w:eastAsia="Arial" w:hAnsi="Arial"/>
          <w:sz w:val="17"/>
          <w:szCs w:val="17"/>
          <w:color w:val="auto"/>
        </w:rPr>
        <w:t>executive officer talent is not limited to the manufacturing industry; therefore, we do not focus specifically on manufacturing companies within the database, nor do we identify a separate group of peer companies within the manufacturing industry for executive compensation purposes.</w:t>
      </w:r>
    </w:p>
    <w:p>
      <w:pPr>
        <w:spacing w:after="0" w:line="1" w:lineRule="exact"/>
        <w:rPr>
          <w:sz w:val="20"/>
          <w:szCs w:val="20"/>
          <w:color w:val="auto"/>
        </w:rPr>
      </w:pPr>
    </w:p>
    <w:p>
      <w:pPr>
        <w:spacing w:after="0" w:line="243" w:lineRule="auto"/>
        <w:rPr>
          <w:sz w:val="20"/>
          <w:szCs w:val="20"/>
          <w:color w:val="auto"/>
        </w:rPr>
      </w:pPr>
      <w:r>
        <w:rPr>
          <w:rFonts w:ascii="Arial" w:cs="Arial" w:eastAsia="Arial" w:hAnsi="Arial"/>
          <w:sz w:val="18"/>
          <w:szCs w:val="18"/>
          <w:color w:val="auto"/>
        </w:rPr>
        <w:t>The market data provided by Willis Towers Watson was in aggregate form and, therefore, individual data for participating companies in the survey was not considered when determining executive officer compensation in total or for any individual officer or element.</w:t>
      </w:r>
    </w:p>
    <w:p>
      <w:pPr>
        <w:spacing w:after="0" w:line="59" w:lineRule="exact"/>
        <w:rPr>
          <w:sz w:val="20"/>
          <w:szCs w:val="20"/>
          <w:color w:val="auto"/>
        </w:rPr>
      </w:pPr>
    </w:p>
    <w:p>
      <w:pPr>
        <w:ind w:firstLine="320"/>
        <w:spacing w:after="0" w:line="241" w:lineRule="auto"/>
        <w:rPr>
          <w:sz w:val="20"/>
          <w:szCs w:val="20"/>
          <w:color w:val="auto"/>
        </w:rPr>
      </w:pPr>
      <w:r>
        <w:rPr>
          <w:rFonts w:ascii="Arial" w:cs="Arial" w:eastAsia="Arial" w:hAnsi="Arial"/>
          <w:sz w:val="18"/>
          <w:szCs w:val="18"/>
          <w:color w:val="auto"/>
        </w:rPr>
        <w:t>We typically target pay opportunities within a competitive range of the market 50</w:t>
      </w:r>
      <w:r>
        <w:rPr>
          <w:rFonts w:ascii="Arial" w:cs="Arial" w:eastAsia="Arial" w:hAnsi="Arial"/>
          <w:sz w:val="10"/>
          <w:szCs w:val="10"/>
          <w:color w:val="auto"/>
        </w:rPr>
        <w:t>th</w:t>
      </w:r>
      <w:r>
        <w:rPr>
          <w:rFonts w:ascii="Arial" w:cs="Arial" w:eastAsia="Arial" w:hAnsi="Arial"/>
          <w:sz w:val="18"/>
          <w:szCs w:val="18"/>
          <w:color w:val="auto"/>
        </w:rPr>
        <w:t xml:space="preserve"> percentile for each element of compensation and in total; however, variance around the market 50</w:t>
      </w:r>
      <w:r>
        <w:rPr>
          <w:rFonts w:ascii="Arial" w:cs="Arial" w:eastAsia="Arial" w:hAnsi="Arial"/>
          <w:sz w:val="10"/>
          <w:szCs w:val="10"/>
          <w:color w:val="auto"/>
        </w:rPr>
        <w:t>th</w:t>
      </w:r>
      <w:r>
        <w:rPr>
          <w:rFonts w:ascii="Arial" w:cs="Arial" w:eastAsia="Arial" w:hAnsi="Arial"/>
          <w:sz w:val="18"/>
          <w:szCs w:val="18"/>
          <w:color w:val="auto"/>
        </w:rPr>
        <w:t xml:space="preserve"> percentile is dependent on a number of factors, including an executive's level of professional</w:t>
      </w:r>
    </w:p>
    <w:p>
      <w:pPr>
        <w:spacing w:after="0" w:line="1" w:lineRule="exact"/>
        <w:rPr>
          <w:sz w:val="20"/>
          <w:szCs w:val="20"/>
          <w:color w:val="auto"/>
        </w:rPr>
      </w:pPr>
    </w:p>
    <w:p>
      <w:pPr>
        <w:spacing w:after="0" w:line="234" w:lineRule="auto"/>
        <w:rPr>
          <w:sz w:val="20"/>
          <w:szCs w:val="20"/>
          <w:color w:val="auto"/>
        </w:rPr>
      </w:pPr>
      <w:r>
        <w:rPr>
          <w:rFonts w:ascii="Arial" w:cs="Arial" w:eastAsia="Arial" w:hAnsi="Arial"/>
          <w:sz w:val="18"/>
          <w:szCs w:val="18"/>
          <w:color w:val="auto"/>
        </w:rPr>
        <w:t>experience, the executive's duties and responsibilities, individual performance, future potential, tenure in the position, corporate and/or division performance, as applicable, internal pay comparisons, and outside market factors, including general economic and labor conditions.</w:t>
      </w:r>
    </w:p>
    <w:p>
      <w:pPr>
        <w:spacing w:after="0" w:line="134" w:lineRule="exact"/>
        <w:rPr>
          <w:sz w:val="20"/>
          <w:szCs w:val="20"/>
          <w:color w:val="auto"/>
        </w:rPr>
      </w:pPr>
    </w:p>
    <w:p>
      <w:pPr>
        <w:spacing w:after="0"/>
        <w:rPr>
          <w:sz w:val="20"/>
          <w:szCs w:val="20"/>
          <w:color w:val="auto"/>
        </w:rPr>
      </w:pPr>
      <w:r>
        <w:rPr>
          <w:rFonts w:ascii="Arial" w:cs="Arial" w:eastAsia="Arial" w:hAnsi="Arial"/>
          <w:sz w:val="20"/>
          <w:szCs w:val="20"/>
          <w:b w:val="1"/>
          <w:bCs w:val="1"/>
          <w:color w:val="C00000"/>
        </w:rPr>
        <w:t>How We Make Compensation Decisions</w:t>
      </w:r>
    </w:p>
    <w:p>
      <w:pPr>
        <w:spacing w:after="0" w:line="84"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There are several elements to our executive compensation decision-making, which we believe allow us to most effectively implement our</w:t>
      </w:r>
    </w:p>
    <w:p>
      <w:pPr>
        <w:spacing w:after="0" w:line="9" w:lineRule="exact"/>
        <w:rPr>
          <w:sz w:val="20"/>
          <w:szCs w:val="20"/>
          <w:color w:val="auto"/>
        </w:rPr>
      </w:pPr>
    </w:p>
    <w:p>
      <w:pPr>
        <w:ind w:right="20"/>
        <w:spacing w:after="0" w:line="234" w:lineRule="auto"/>
        <w:rPr>
          <w:sz w:val="20"/>
          <w:szCs w:val="20"/>
          <w:color w:val="auto"/>
        </w:rPr>
      </w:pPr>
      <w:r>
        <w:rPr>
          <w:rFonts w:ascii="Arial" w:cs="Arial" w:eastAsia="Arial" w:hAnsi="Arial"/>
          <w:sz w:val="18"/>
          <w:szCs w:val="18"/>
          <w:color w:val="auto"/>
        </w:rPr>
        <w:t>established compensation philosophy. The Committee, its independent external compensation consultant, and Management all have a role in decision-making for executive compensation. The following table summarizes their roles and responsibilities.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097" w:right="339" w:bottom="1440" w:gutter="0" w:footer="0" w:header="0"/>
        </w:sectPr>
      </w:pPr>
    </w:p>
    <w:bookmarkStart w:id="57" w:name="page58"/>
    <w:bookmarkEnd w:id="57"/>
    <w:tbl>
      <w:tblPr>
        <w:tblLayout w:type="fixed"/>
        <w:tblInd w:w="0" w:type="dxa"/>
        <w:tblCellMar>
          <w:top w:w="0" w:type="dxa"/>
          <w:left w:w="0" w:type="dxa"/>
          <w:bottom w:w="0" w:type="dxa"/>
          <w:right w:w="0" w:type="dxa"/>
        </w:tblCellMar>
      </w:tblPr>
      <w:tr>
        <w:trPr>
          <w:trHeight w:val="240"/>
        </w:trPr>
        <w:tc>
          <w:tcPr>
            <w:tcW w:w="2900" w:type="dxa"/>
            <w:vAlign w:val="bottom"/>
            <w:tcBorders>
              <w:bottom w:val="single" w:sz="8" w:color="BFBFBF"/>
            </w:tcBorders>
            <w:shd w:val="clear" w:color="auto" w:fill="BF2115"/>
          </w:tcPr>
          <w:p>
            <w:pPr>
              <w:ind w:left="20"/>
              <w:spacing w:after="0"/>
              <w:rPr>
                <w:sz w:val="20"/>
                <w:szCs w:val="20"/>
                <w:color w:val="auto"/>
              </w:rPr>
            </w:pPr>
            <w:r>
              <w:rPr>
                <w:rFonts w:ascii="Arial" w:cs="Arial" w:eastAsia="Arial" w:hAnsi="Arial"/>
                <w:sz w:val="16"/>
                <w:szCs w:val="16"/>
                <w:b w:val="1"/>
                <w:bCs w:val="1"/>
                <w:color w:val="FFFFFF"/>
              </w:rPr>
              <w:t>Responsible Party</w:t>
            </w:r>
          </w:p>
        </w:tc>
        <w:tc>
          <w:tcPr>
            <w:tcW w:w="8340" w:type="dxa"/>
            <w:vAlign w:val="bottom"/>
            <w:gridSpan w:val="2"/>
            <w:shd w:val="clear" w:color="auto" w:fill="BF2115"/>
          </w:tcPr>
          <w:p>
            <w:pPr>
              <w:ind w:left="20"/>
              <w:spacing w:after="0"/>
              <w:rPr>
                <w:sz w:val="20"/>
                <w:szCs w:val="20"/>
                <w:color w:val="auto"/>
              </w:rPr>
            </w:pPr>
            <w:r>
              <w:rPr>
                <w:rFonts w:ascii="Arial" w:cs="Arial" w:eastAsia="Arial" w:hAnsi="Arial"/>
                <w:sz w:val="16"/>
                <w:szCs w:val="16"/>
                <w:b w:val="1"/>
                <w:bCs w:val="1"/>
                <w:color w:val="FFFFFF"/>
              </w:rPr>
              <w:t>Roles and Responsibilities</w:t>
            </w:r>
          </w:p>
        </w:tc>
        <w:tc>
          <w:tcPr>
            <w:tcW w:w="0" w:type="dxa"/>
            <w:vAlign w:val="bottom"/>
          </w:tcPr>
          <w:p>
            <w:pPr>
              <w:spacing w:after="0"/>
              <w:rPr>
                <w:sz w:val="1"/>
                <w:szCs w:val="1"/>
                <w:color w:val="auto"/>
              </w:rPr>
            </w:pPr>
          </w:p>
        </w:tc>
      </w:tr>
      <w:tr>
        <w:trPr>
          <w:trHeight w:val="177"/>
        </w:trPr>
        <w:tc>
          <w:tcPr>
            <w:tcW w:w="2900" w:type="dxa"/>
            <w:vAlign w:val="bottom"/>
          </w:tcPr>
          <w:p>
            <w:pPr>
              <w:ind w:left="20"/>
              <w:spacing w:after="0" w:line="176" w:lineRule="exact"/>
              <w:rPr>
                <w:sz w:val="20"/>
                <w:szCs w:val="20"/>
                <w:color w:val="auto"/>
              </w:rPr>
            </w:pPr>
            <w:r>
              <w:rPr>
                <w:rFonts w:ascii="Arial" w:cs="Arial" w:eastAsia="Arial" w:hAnsi="Arial"/>
                <w:sz w:val="18"/>
                <w:szCs w:val="18"/>
                <w:color w:val="auto"/>
                <w:w w:val="99"/>
              </w:rPr>
              <w:t>Compensation &amp; Human Resources</w:t>
            </w:r>
          </w:p>
        </w:tc>
        <w:tc>
          <w:tcPr>
            <w:tcW w:w="120" w:type="dxa"/>
            <w:vAlign w:val="bottom"/>
          </w:tcPr>
          <w:p>
            <w:pPr>
              <w:ind w:left="20"/>
              <w:spacing w:after="0" w:line="177" w:lineRule="exact"/>
              <w:rPr>
                <w:sz w:val="20"/>
                <w:szCs w:val="20"/>
                <w:color w:val="auto"/>
              </w:rPr>
            </w:pPr>
            <w:r>
              <w:rPr>
                <w:rFonts w:ascii="Times New Roman" w:cs="Times New Roman" w:eastAsia="Times New Roman" w:hAnsi="Times New Roman"/>
                <w:sz w:val="16"/>
                <w:szCs w:val="16"/>
                <w:color w:val="auto"/>
              </w:rPr>
              <w:t>•</w:t>
            </w:r>
          </w:p>
        </w:tc>
        <w:tc>
          <w:tcPr>
            <w:tcW w:w="8220" w:type="dxa"/>
            <w:vAlign w:val="bottom"/>
          </w:tcPr>
          <w:p>
            <w:pPr>
              <w:ind w:left="40"/>
              <w:spacing w:after="0" w:line="176" w:lineRule="exact"/>
              <w:rPr>
                <w:sz w:val="20"/>
                <w:szCs w:val="20"/>
                <w:color w:val="auto"/>
              </w:rPr>
            </w:pPr>
            <w:r>
              <w:rPr>
                <w:rFonts w:ascii="Arial" w:cs="Arial" w:eastAsia="Arial" w:hAnsi="Arial"/>
                <w:sz w:val="18"/>
                <w:szCs w:val="18"/>
                <w:color w:val="auto"/>
              </w:rPr>
              <w:t>Oversees all aspects of our executive compensation program.</w:t>
            </w:r>
          </w:p>
        </w:tc>
        <w:tc>
          <w:tcPr>
            <w:tcW w:w="0" w:type="dxa"/>
            <w:vAlign w:val="bottom"/>
          </w:tcPr>
          <w:p>
            <w:pPr>
              <w:spacing w:after="0"/>
              <w:rPr>
                <w:sz w:val="1"/>
                <w:szCs w:val="1"/>
                <w:color w:val="auto"/>
              </w:rPr>
            </w:pPr>
          </w:p>
        </w:tc>
      </w:tr>
      <w:tr>
        <w:trPr>
          <w:trHeight w:val="190"/>
        </w:trPr>
        <w:tc>
          <w:tcPr>
            <w:tcW w:w="2900" w:type="dxa"/>
            <w:vAlign w:val="bottom"/>
          </w:tcPr>
          <w:p>
            <w:pPr>
              <w:ind w:left="20"/>
              <w:spacing w:after="0" w:line="190" w:lineRule="exact"/>
              <w:rPr>
                <w:sz w:val="20"/>
                <w:szCs w:val="20"/>
                <w:color w:val="auto"/>
              </w:rPr>
            </w:pPr>
            <w:r>
              <w:rPr>
                <w:rFonts w:ascii="Arial" w:cs="Arial" w:eastAsia="Arial" w:hAnsi="Arial"/>
                <w:sz w:val="18"/>
                <w:szCs w:val="18"/>
                <w:color w:val="auto"/>
              </w:rPr>
              <w:t>Committee</w:t>
            </w:r>
          </w:p>
        </w:tc>
        <w:tc>
          <w:tcPr>
            <w:tcW w:w="1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220" w:type="dxa"/>
            <w:vAlign w:val="bottom"/>
          </w:tcPr>
          <w:p>
            <w:pPr>
              <w:ind w:left="40"/>
              <w:spacing w:after="0" w:line="190" w:lineRule="exact"/>
              <w:rPr>
                <w:sz w:val="20"/>
                <w:szCs w:val="20"/>
                <w:color w:val="auto"/>
              </w:rPr>
            </w:pPr>
            <w:r>
              <w:rPr>
                <w:rFonts w:ascii="Arial" w:cs="Arial" w:eastAsia="Arial" w:hAnsi="Arial"/>
                <w:sz w:val="18"/>
                <w:szCs w:val="18"/>
                <w:color w:val="auto"/>
              </w:rPr>
              <w:t>Annually reviews and approves our corporate goals and objectives relevant to Chairman and CEO</w:t>
            </w:r>
          </w:p>
        </w:tc>
        <w:tc>
          <w:tcPr>
            <w:tcW w:w="0" w:type="dxa"/>
            <w:vAlign w:val="bottom"/>
          </w:tcPr>
          <w:p>
            <w:pPr>
              <w:spacing w:after="0"/>
              <w:rPr>
                <w:sz w:val="1"/>
                <w:szCs w:val="1"/>
                <w:color w:val="auto"/>
              </w:rPr>
            </w:pPr>
          </w:p>
        </w:tc>
      </w:tr>
      <w:tr>
        <w:trPr>
          <w:trHeight w:val="197"/>
        </w:trPr>
        <w:tc>
          <w:tcPr>
            <w:tcW w:w="2900" w:type="dxa"/>
            <w:vAlign w:val="bottom"/>
            <w:vMerge w:val="restart"/>
          </w:tcPr>
          <w:p>
            <w:pPr>
              <w:ind w:left="20"/>
              <w:spacing w:after="0"/>
              <w:rPr>
                <w:sz w:val="20"/>
                <w:szCs w:val="20"/>
                <w:color w:val="auto"/>
              </w:rPr>
            </w:pPr>
            <w:r>
              <w:rPr>
                <w:rFonts w:ascii="Arial" w:cs="Arial" w:eastAsia="Arial" w:hAnsi="Arial"/>
                <w:sz w:val="18"/>
                <w:szCs w:val="18"/>
                <w:i w:val="1"/>
                <w:iCs w:val="1"/>
                <w:color w:val="auto"/>
              </w:rPr>
              <w:t>(Comprised solely of independent</w:t>
            </w:r>
          </w:p>
        </w:tc>
        <w:tc>
          <w:tcPr>
            <w:tcW w:w="120" w:type="dxa"/>
            <w:vAlign w:val="bottom"/>
          </w:tcPr>
          <w:p>
            <w:pPr>
              <w:spacing w:after="0"/>
              <w:rPr>
                <w:sz w:val="17"/>
                <w:szCs w:val="17"/>
                <w:color w:val="auto"/>
              </w:rPr>
            </w:pPr>
          </w:p>
        </w:tc>
        <w:tc>
          <w:tcPr>
            <w:tcW w:w="8220" w:type="dxa"/>
            <w:vAlign w:val="bottom"/>
          </w:tcPr>
          <w:p>
            <w:pPr>
              <w:ind w:left="60"/>
              <w:spacing w:after="0" w:line="196" w:lineRule="exact"/>
              <w:rPr>
                <w:sz w:val="20"/>
                <w:szCs w:val="20"/>
                <w:color w:val="auto"/>
              </w:rPr>
            </w:pPr>
            <w:r>
              <w:rPr>
                <w:rFonts w:ascii="Arial" w:cs="Arial" w:eastAsia="Arial" w:hAnsi="Arial"/>
                <w:sz w:val="18"/>
                <w:szCs w:val="18"/>
                <w:color w:val="auto"/>
              </w:rPr>
              <w:t>compensation.</w:t>
            </w:r>
          </w:p>
        </w:tc>
        <w:tc>
          <w:tcPr>
            <w:tcW w:w="0" w:type="dxa"/>
            <w:vAlign w:val="bottom"/>
          </w:tcPr>
          <w:p>
            <w:pPr>
              <w:spacing w:after="0"/>
              <w:rPr>
                <w:sz w:val="1"/>
                <w:szCs w:val="1"/>
                <w:color w:val="auto"/>
              </w:rPr>
            </w:pPr>
          </w:p>
        </w:tc>
      </w:tr>
      <w:tr>
        <w:trPr>
          <w:trHeight w:val="120"/>
        </w:trPr>
        <w:tc>
          <w:tcPr>
            <w:tcW w:w="2900" w:type="dxa"/>
            <w:vAlign w:val="bottom"/>
            <w:vMerge w:val="continue"/>
          </w:tcPr>
          <w:p>
            <w:pPr>
              <w:spacing w:after="0"/>
              <w:rPr>
                <w:sz w:val="10"/>
                <w:szCs w:val="10"/>
                <w:color w:val="auto"/>
              </w:rPr>
            </w:pPr>
          </w:p>
        </w:tc>
        <w:tc>
          <w:tcPr>
            <w:tcW w:w="120" w:type="dxa"/>
            <w:vAlign w:val="bottom"/>
            <w:vMerge w:val="restart"/>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220" w:type="dxa"/>
            <w:vAlign w:val="bottom"/>
            <w:vMerge w:val="restart"/>
          </w:tcPr>
          <w:p>
            <w:pPr>
              <w:ind w:left="40"/>
              <w:spacing w:after="0"/>
              <w:rPr>
                <w:sz w:val="20"/>
                <w:szCs w:val="20"/>
                <w:color w:val="auto"/>
              </w:rPr>
            </w:pPr>
            <w:r>
              <w:rPr>
                <w:rFonts w:ascii="Arial" w:cs="Arial" w:eastAsia="Arial" w:hAnsi="Arial"/>
                <w:sz w:val="18"/>
                <w:szCs w:val="18"/>
                <w:color w:val="auto"/>
                <w:w w:val="99"/>
              </w:rPr>
              <w:t>Evaluates Chairman and CEO's performance in light of such goals and objectives, and determines and</w:t>
            </w:r>
          </w:p>
        </w:tc>
        <w:tc>
          <w:tcPr>
            <w:tcW w:w="0" w:type="dxa"/>
            <w:vAlign w:val="bottom"/>
          </w:tcPr>
          <w:p>
            <w:pPr>
              <w:spacing w:after="0"/>
              <w:rPr>
                <w:sz w:val="1"/>
                <w:szCs w:val="1"/>
                <w:color w:val="auto"/>
              </w:rPr>
            </w:pPr>
          </w:p>
        </w:tc>
      </w:tr>
      <w:tr>
        <w:trPr>
          <w:trHeight w:val="177"/>
        </w:trPr>
        <w:tc>
          <w:tcPr>
            <w:tcW w:w="2900" w:type="dxa"/>
            <w:vAlign w:val="bottom"/>
          </w:tcPr>
          <w:p>
            <w:pPr>
              <w:ind w:left="20"/>
              <w:spacing w:after="0" w:line="177" w:lineRule="exact"/>
              <w:rPr>
                <w:sz w:val="20"/>
                <w:szCs w:val="20"/>
                <w:color w:val="auto"/>
              </w:rPr>
            </w:pPr>
            <w:r>
              <w:rPr>
                <w:rFonts w:ascii="Arial" w:cs="Arial" w:eastAsia="Arial" w:hAnsi="Arial"/>
                <w:sz w:val="18"/>
                <w:szCs w:val="18"/>
                <w:i w:val="1"/>
                <w:iCs w:val="1"/>
                <w:color w:val="auto"/>
                <w:w w:val="99"/>
              </w:rPr>
              <w:t>directors and reports to the Board of</w:t>
            </w:r>
          </w:p>
        </w:tc>
        <w:tc>
          <w:tcPr>
            <w:tcW w:w="120" w:type="dxa"/>
            <w:vAlign w:val="bottom"/>
            <w:vMerge w:val="continue"/>
          </w:tcPr>
          <w:p>
            <w:pPr>
              <w:spacing w:after="0"/>
              <w:rPr>
                <w:sz w:val="15"/>
                <w:szCs w:val="15"/>
                <w:color w:val="auto"/>
              </w:rPr>
            </w:pPr>
          </w:p>
        </w:tc>
        <w:tc>
          <w:tcPr>
            <w:tcW w:w="82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90"/>
        </w:trPr>
        <w:tc>
          <w:tcPr>
            <w:tcW w:w="2900" w:type="dxa"/>
            <w:vAlign w:val="bottom"/>
            <w:vMerge w:val="restart"/>
          </w:tcPr>
          <w:p>
            <w:pPr>
              <w:ind w:left="20"/>
              <w:spacing w:after="0"/>
              <w:rPr>
                <w:sz w:val="20"/>
                <w:szCs w:val="20"/>
                <w:color w:val="auto"/>
              </w:rPr>
            </w:pPr>
            <w:r>
              <w:rPr>
                <w:rFonts w:ascii="Arial" w:cs="Arial" w:eastAsia="Arial" w:hAnsi="Arial"/>
                <w:sz w:val="18"/>
                <w:szCs w:val="18"/>
                <w:i w:val="1"/>
                <w:iCs w:val="1"/>
                <w:color w:val="auto"/>
              </w:rPr>
              <w:t>Directors)</w:t>
            </w:r>
          </w:p>
        </w:tc>
        <w:tc>
          <w:tcPr>
            <w:tcW w:w="120" w:type="dxa"/>
            <w:vAlign w:val="bottom"/>
          </w:tcPr>
          <w:p>
            <w:pPr>
              <w:spacing w:after="0"/>
              <w:rPr>
                <w:sz w:val="7"/>
                <w:szCs w:val="7"/>
                <w:color w:val="auto"/>
              </w:rPr>
            </w:pPr>
          </w:p>
        </w:tc>
        <w:tc>
          <w:tcPr>
            <w:tcW w:w="8220" w:type="dxa"/>
            <w:vAlign w:val="bottom"/>
          </w:tcPr>
          <w:p>
            <w:pPr>
              <w:ind w:left="60"/>
              <w:spacing w:after="0" w:line="90" w:lineRule="exact"/>
              <w:rPr>
                <w:sz w:val="20"/>
                <w:szCs w:val="20"/>
                <w:color w:val="auto"/>
              </w:rPr>
            </w:pPr>
            <w:r>
              <w:rPr>
                <w:rFonts w:ascii="Arial" w:cs="Arial" w:eastAsia="Arial" w:hAnsi="Arial"/>
                <w:sz w:val="10"/>
                <w:szCs w:val="10"/>
                <w:color w:val="auto"/>
              </w:rPr>
              <w:t>approves his compensation based on this evaluation, subject to ratification by the Board of Directors.</w:t>
            </w:r>
          </w:p>
        </w:tc>
        <w:tc>
          <w:tcPr>
            <w:tcW w:w="0" w:type="dxa"/>
            <w:vAlign w:val="bottom"/>
          </w:tcPr>
          <w:p>
            <w:pPr>
              <w:spacing w:after="0"/>
              <w:rPr>
                <w:sz w:val="1"/>
                <w:szCs w:val="1"/>
                <w:color w:val="auto"/>
              </w:rPr>
            </w:pPr>
          </w:p>
        </w:tc>
      </w:tr>
      <w:tr>
        <w:trPr>
          <w:trHeight w:val="166"/>
        </w:trPr>
        <w:tc>
          <w:tcPr>
            <w:tcW w:w="2900" w:type="dxa"/>
            <w:vAlign w:val="bottom"/>
            <w:vMerge w:val="continue"/>
          </w:tcPr>
          <w:p>
            <w:pPr>
              <w:spacing w:after="0"/>
              <w:rPr>
                <w:sz w:val="14"/>
                <w:szCs w:val="14"/>
                <w:color w:val="auto"/>
              </w:rPr>
            </w:pPr>
          </w:p>
        </w:tc>
        <w:tc>
          <w:tcPr>
            <w:tcW w:w="120" w:type="dxa"/>
            <w:vAlign w:val="bottom"/>
            <w:vMerge w:val="restart"/>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220" w:type="dxa"/>
            <w:vAlign w:val="bottom"/>
            <w:vMerge w:val="restart"/>
          </w:tcPr>
          <w:p>
            <w:pPr>
              <w:ind w:left="40"/>
              <w:spacing w:after="0" w:line="201" w:lineRule="exact"/>
              <w:rPr>
                <w:sz w:val="20"/>
                <w:szCs w:val="20"/>
                <w:color w:val="auto"/>
              </w:rPr>
            </w:pPr>
            <w:r>
              <w:rPr>
                <w:rFonts w:ascii="Arial" w:cs="Arial" w:eastAsia="Arial" w:hAnsi="Arial"/>
                <w:sz w:val="18"/>
                <w:szCs w:val="18"/>
                <w:color w:val="auto"/>
                <w:w w:val="99"/>
              </w:rPr>
              <w:t>Reviews and approves all executive officer compensation, including base salary, annual cash incentive</w:t>
            </w:r>
          </w:p>
        </w:tc>
        <w:tc>
          <w:tcPr>
            <w:tcW w:w="0" w:type="dxa"/>
            <w:vAlign w:val="bottom"/>
          </w:tcPr>
          <w:p>
            <w:pPr>
              <w:spacing w:after="0"/>
              <w:rPr>
                <w:sz w:val="1"/>
                <w:szCs w:val="1"/>
                <w:color w:val="auto"/>
              </w:rPr>
            </w:pPr>
          </w:p>
        </w:tc>
      </w:tr>
      <w:tr>
        <w:trPr>
          <w:trHeight w:val="34"/>
        </w:trPr>
        <w:tc>
          <w:tcPr>
            <w:tcW w:w="2900" w:type="dxa"/>
            <w:vAlign w:val="bottom"/>
          </w:tcPr>
          <w:p>
            <w:pPr>
              <w:spacing w:after="0"/>
              <w:rPr>
                <w:sz w:val="2"/>
                <w:szCs w:val="2"/>
                <w:color w:val="auto"/>
              </w:rPr>
            </w:pPr>
          </w:p>
        </w:tc>
        <w:tc>
          <w:tcPr>
            <w:tcW w:w="120" w:type="dxa"/>
            <w:vAlign w:val="bottom"/>
            <w:vMerge w:val="continue"/>
          </w:tcPr>
          <w:p>
            <w:pPr>
              <w:spacing w:after="0"/>
              <w:rPr>
                <w:sz w:val="2"/>
                <w:szCs w:val="2"/>
                <w:color w:val="auto"/>
              </w:rPr>
            </w:pPr>
          </w:p>
        </w:tc>
        <w:tc>
          <w:tcPr>
            <w:tcW w:w="822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0"/>
        </w:trPr>
        <w:tc>
          <w:tcPr>
            <w:tcW w:w="2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20" w:type="dxa"/>
            <w:vAlign w:val="bottom"/>
          </w:tcPr>
          <w:p>
            <w:pPr>
              <w:ind w:left="60"/>
              <w:spacing w:after="0" w:line="201" w:lineRule="exact"/>
              <w:rPr>
                <w:sz w:val="20"/>
                <w:szCs w:val="20"/>
                <w:color w:val="auto"/>
              </w:rPr>
            </w:pPr>
            <w:r>
              <w:rPr>
                <w:rFonts w:ascii="Arial" w:cs="Arial" w:eastAsia="Arial" w:hAnsi="Arial"/>
                <w:sz w:val="18"/>
                <w:szCs w:val="18"/>
                <w:color w:val="auto"/>
              </w:rPr>
              <w:t>awards, long-term incentive awards and their payouts.</w:t>
            </w:r>
          </w:p>
        </w:tc>
        <w:tc>
          <w:tcPr>
            <w:tcW w:w="0" w:type="dxa"/>
            <w:vAlign w:val="bottom"/>
          </w:tcPr>
          <w:p>
            <w:pPr>
              <w:spacing w:after="0"/>
              <w:rPr>
                <w:sz w:val="1"/>
                <w:szCs w:val="1"/>
                <w:color w:val="auto"/>
              </w:rPr>
            </w:pPr>
          </w:p>
        </w:tc>
      </w:tr>
      <w:tr>
        <w:trPr>
          <w:trHeight w:val="187"/>
        </w:trPr>
        <w:tc>
          <w:tcPr>
            <w:tcW w:w="2900" w:type="dxa"/>
            <w:vAlign w:val="bottom"/>
          </w:tcPr>
          <w:p>
            <w:pPr>
              <w:spacing w:after="0"/>
              <w:rPr>
                <w:sz w:val="16"/>
                <w:szCs w:val="16"/>
                <w:color w:val="auto"/>
              </w:rPr>
            </w:pPr>
          </w:p>
        </w:tc>
        <w:tc>
          <w:tcPr>
            <w:tcW w:w="1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220" w:type="dxa"/>
            <w:vAlign w:val="bottom"/>
          </w:tcPr>
          <w:p>
            <w:pPr>
              <w:ind w:left="40"/>
              <w:spacing w:after="0" w:line="187" w:lineRule="exact"/>
              <w:rPr>
                <w:sz w:val="20"/>
                <w:szCs w:val="20"/>
                <w:color w:val="auto"/>
              </w:rPr>
            </w:pPr>
            <w:r>
              <w:rPr>
                <w:rFonts w:ascii="Arial" w:cs="Arial" w:eastAsia="Arial" w:hAnsi="Arial"/>
                <w:sz w:val="18"/>
                <w:szCs w:val="18"/>
                <w:color w:val="auto"/>
              </w:rPr>
              <w:t>Oversees our equity and incentive compensation plans and reviews and approves equity awards and</w:t>
            </w:r>
          </w:p>
        </w:tc>
        <w:tc>
          <w:tcPr>
            <w:tcW w:w="0" w:type="dxa"/>
            <w:vAlign w:val="bottom"/>
          </w:tcPr>
          <w:p>
            <w:pPr>
              <w:spacing w:after="0"/>
              <w:rPr>
                <w:sz w:val="1"/>
                <w:szCs w:val="1"/>
                <w:color w:val="auto"/>
              </w:rPr>
            </w:pPr>
          </w:p>
        </w:tc>
      </w:tr>
      <w:tr>
        <w:trPr>
          <w:trHeight w:val="200"/>
        </w:trPr>
        <w:tc>
          <w:tcPr>
            <w:tcW w:w="2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20" w:type="dxa"/>
            <w:vAlign w:val="bottom"/>
          </w:tcPr>
          <w:p>
            <w:pPr>
              <w:ind w:left="60"/>
              <w:spacing w:after="0" w:line="201" w:lineRule="exact"/>
              <w:rPr>
                <w:sz w:val="20"/>
                <w:szCs w:val="20"/>
                <w:color w:val="auto"/>
              </w:rPr>
            </w:pPr>
            <w:r>
              <w:rPr>
                <w:rFonts w:ascii="Arial" w:cs="Arial" w:eastAsia="Arial" w:hAnsi="Arial"/>
                <w:sz w:val="18"/>
                <w:szCs w:val="18"/>
                <w:color w:val="auto"/>
              </w:rPr>
              <w:t>executive incentive payouts.</w:t>
            </w:r>
          </w:p>
        </w:tc>
        <w:tc>
          <w:tcPr>
            <w:tcW w:w="0" w:type="dxa"/>
            <w:vAlign w:val="bottom"/>
          </w:tcPr>
          <w:p>
            <w:pPr>
              <w:spacing w:after="0"/>
              <w:rPr>
                <w:sz w:val="1"/>
                <w:szCs w:val="1"/>
                <w:color w:val="auto"/>
              </w:rPr>
            </w:pPr>
          </w:p>
        </w:tc>
      </w:tr>
      <w:tr>
        <w:trPr>
          <w:trHeight w:val="200"/>
        </w:trPr>
        <w:tc>
          <w:tcPr>
            <w:tcW w:w="2900" w:type="dxa"/>
            <w:vAlign w:val="bottom"/>
          </w:tcPr>
          <w:p>
            <w:pPr>
              <w:spacing w:after="0"/>
              <w:rPr>
                <w:sz w:val="17"/>
                <w:szCs w:val="17"/>
                <w:color w:val="auto"/>
              </w:rPr>
            </w:pPr>
          </w:p>
        </w:tc>
        <w:tc>
          <w:tcPr>
            <w:tcW w:w="1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220" w:type="dxa"/>
            <w:vAlign w:val="bottom"/>
          </w:tcPr>
          <w:p>
            <w:pPr>
              <w:ind w:left="40"/>
              <w:spacing w:after="0" w:line="201" w:lineRule="exact"/>
              <w:rPr>
                <w:sz w:val="20"/>
                <w:szCs w:val="20"/>
                <w:color w:val="auto"/>
              </w:rPr>
            </w:pPr>
            <w:r>
              <w:rPr>
                <w:rFonts w:ascii="Arial" w:cs="Arial" w:eastAsia="Arial" w:hAnsi="Arial"/>
                <w:sz w:val="18"/>
                <w:szCs w:val="18"/>
                <w:color w:val="auto"/>
              </w:rPr>
              <w:t>Ensures our incentive compensation arrangements are reviewed to confirm they do not encourage</w:t>
            </w:r>
          </w:p>
        </w:tc>
        <w:tc>
          <w:tcPr>
            <w:tcW w:w="0" w:type="dxa"/>
            <w:vAlign w:val="bottom"/>
          </w:tcPr>
          <w:p>
            <w:pPr>
              <w:spacing w:after="0"/>
              <w:rPr>
                <w:sz w:val="1"/>
                <w:szCs w:val="1"/>
                <w:color w:val="auto"/>
              </w:rPr>
            </w:pPr>
          </w:p>
        </w:tc>
      </w:tr>
      <w:tr>
        <w:trPr>
          <w:trHeight w:val="187"/>
        </w:trPr>
        <w:tc>
          <w:tcPr>
            <w:tcW w:w="2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20" w:type="dxa"/>
            <w:vAlign w:val="bottom"/>
          </w:tcPr>
          <w:p>
            <w:pPr>
              <w:ind w:left="60"/>
              <w:spacing w:after="0" w:line="187" w:lineRule="exact"/>
              <w:rPr>
                <w:sz w:val="20"/>
                <w:szCs w:val="20"/>
                <w:color w:val="auto"/>
              </w:rPr>
            </w:pPr>
            <w:r>
              <w:rPr>
                <w:rFonts w:ascii="Arial" w:cs="Arial" w:eastAsia="Arial" w:hAnsi="Arial"/>
                <w:sz w:val="18"/>
                <w:szCs w:val="18"/>
                <w:color w:val="auto"/>
              </w:rPr>
              <w:t>unnecessary risk-taking.</w:t>
            </w:r>
          </w:p>
        </w:tc>
        <w:tc>
          <w:tcPr>
            <w:tcW w:w="0" w:type="dxa"/>
            <w:vAlign w:val="bottom"/>
          </w:tcPr>
          <w:p>
            <w:pPr>
              <w:spacing w:after="0"/>
              <w:rPr>
                <w:sz w:val="1"/>
                <w:szCs w:val="1"/>
                <w:color w:val="auto"/>
              </w:rPr>
            </w:pPr>
          </w:p>
        </w:tc>
      </w:tr>
      <w:tr>
        <w:trPr>
          <w:trHeight w:val="200"/>
        </w:trPr>
        <w:tc>
          <w:tcPr>
            <w:tcW w:w="2900" w:type="dxa"/>
            <w:vAlign w:val="bottom"/>
          </w:tcPr>
          <w:p>
            <w:pPr>
              <w:spacing w:after="0"/>
              <w:rPr>
                <w:sz w:val="17"/>
                <w:szCs w:val="17"/>
                <w:color w:val="auto"/>
              </w:rPr>
            </w:pPr>
          </w:p>
        </w:tc>
        <w:tc>
          <w:tcPr>
            <w:tcW w:w="1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220" w:type="dxa"/>
            <w:vAlign w:val="bottom"/>
          </w:tcPr>
          <w:p>
            <w:pPr>
              <w:ind w:left="40"/>
              <w:spacing w:after="0" w:line="201" w:lineRule="exact"/>
              <w:rPr>
                <w:sz w:val="20"/>
                <w:szCs w:val="20"/>
                <w:color w:val="auto"/>
              </w:rPr>
            </w:pPr>
            <w:r>
              <w:rPr>
                <w:rFonts w:ascii="Arial" w:cs="Arial" w:eastAsia="Arial" w:hAnsi="Arial"/>
                <w:sz w:val="18"/>
                <w:szCs w:val="18"/>
                <w:color w:val="auto"/>
              </w:rPr>
              <w:t>Evaluates market competitiveness reviews of each executive officer's compensation (in total and by</w:t>
            </w:r>
          </w:p>
        </w:tc>
        <w:tc>
          <w:tcPr>
            <w:tcW w:w="0" w:type="dxa"/>
            <w:vAlign w:val="bottom"/>
          </w:tcPr>
          <w:p>
            <w:pPr>
              <w:spacing w:after="0"/>
              <w:rPr>
                <w:sz w:val="1"/>
                <w:szCs w:val="1"/>
                <w:color w:val="auto"/>
              </w:rPr>
            </w:pPr>
          </w:p>
        </w:tc>
      </w:tr>
      <w:tr>
        <w:trPr>
          <w:trHeight w:val="200"/>
        </w:trPr>
        <w:tc>
          <w:tcPr>
            <w:tcW w:w="2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20" w:type="dxa"/>
            <w:vAlign w:val="bottom"/>
          </w:tcPr>
          <w:p>
            <w:pPr>
              <w:ind w:left="60"/>
              <w:spacing w:after="0" w:line="201" w:lineRule="exact"/>
              <w:rPr>
                <w:sz w:val="20"/>
                <w:szCs w:val="20"/>
                <w:color w:val="auto"/>
              </w:rPr>
            </w:pPr>
            <w:r>
              <w:rPr>
                <w:rFonts w:ascii="Arial" w:cs="Arial" w:eastAsia="Arial" w:hAnsi="Arial"/>
                <w:sz w:val="18"/>
                <w:szCs w:val="18"/>
                <w:color w:val="auto"/>
              </w:rPr>
              <w:t>each individual element).</w:t>
            </w:r>
          </w:p>
        </w:tc>
        <w:tc>
          <w:tcPr>
            <w:tcW w:w="0" w:type="dxa"/>
            <w:vAlign w:val="bottom"/>
          </w:tcPr>
          <w:p>
            <w:pPr>
              <w:spacing w:after="0"/>
              <w:rPr>
                <w:sz w:val="1"/>
                <w:szCs w:val="1"/>
                <w:color w:val="auto"/>
              </w:rPr>
            </w:pPr>
          </w:p>
        </w:tc>
      </w:tr>
      <w:tr>
        <w:trPr>
          <w:trHeight w:val="187"/>
        </w:trPr>
        <w:tc>
          <w:tcPr>
            <w:tcW w:w="2900" w:type="dxa"/>
            <w:vAlign w:val="bottom"/>
          </w:tcPr>
          <w:p>
            <w:pPr>
              <w:spacing w:after="0"/>
              <w:rPr>
                <w:sz w:val="16"/>
                <w:szCs w:val="16"/>
                <w:color w:val="auto"/>
              </w:rPr>
            </w:pPr>
          </w:p>
        </w:tc>
        <w:tc>
          <w:tcPr>
            <w:tcW w:w="1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220" w:type="dxa"/>
            <w:vAlign w:val="bottom"/>
          </w:tcPr>
          <w:p>
            <w:pPr>
              <w:ind w:left="40"/>
              <w:spacing w:after="0" w:line="187" w:lineRule="exact"/>
              <w:rPr>
                <w:sz w:val="20"/>
                <w:szCs w:val="20"/>
                <w:color w:val="auto"/>
              </w:rPr>
            </w:pPr>
            <w:r>
              <w:rPr>
                <w:rFonts w:ascii="Arial" w:cs="Arial" w:eastAsia="Arial" w:hAnsi="Arial"/>
                <w:sz w:val="18"/>
                <w:szCs w:val="18"/>
                <w:color w:val="auto"/>
              </w:rPr>
              <w:t>Evaluates proposed changes to our executive compensation program.</w:t>
            </w:r>
          </w:p>
        </w:tc>
        <w:tc>
          <w:tcPr>
            <w:tcW w:w="0" w:type="dxa"/>
            <w:vAlign w:val="bottom"/>
          </w:tcPr>
          <w:p>
            <w:pPr>
              <w:spacing w:after="0"/>
              <w:rPr>
                <w:sz w:val="1"/>
                <w:szCs w:val="1"/>
                <w:color w:val="auto"/>
              </w:rPr>
            </w:pPr>
          </w:p>
        </w:tc>
      </w:tr>
      <w:tr>
        <w:trPr>
          <w:trHeight w:val="200"/>
        </w:trPr>
        <w:tc>
          <w:tcPr>
            <w:tcW w:w="2900" w:type="dxa"/>
            <w:vAlign w:val="bottom"/>
          </w:tcPr>
          <w:p>
            <w:pPr>
              <w:spacing w:after="0"/>
              <w:rPr>
                <w:sz w:val="17"/>
                <w:szCs w:val="17"/>
                <w:color w:val="auto"/>
              </w:rPr>
            </w:pPr>
          </w:p>
        </w:tc>
        <w:tc>
          <w:tcPr>
            <w:tcW w:w="1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220" w:type="dxa"/>
            <w:vAlign w:val="bottom"/>
          </w:tcPr>
          <w:p>
            <w:pPr>
              <w:ind w:left="40"/>
              <w:spacing w:after="0" w:line="201" w:lineRule="exact"/>
              <w:rPr>
                <w:sz w:val="20"/>
                <w:szCs w:val="20"/>
                <w:color w:val="auto"/>
              </w:rPr>
            </w:pPr>
            <w:r>
              <w:rPr>
                <w:rFonts w:ascii="Arial" w:cs="Arial" w:eastAsia="Arial" w:hAnsi="Arial"/>
                <w:sz w:val="18"/>
                <w:szCs w:val="18"/>
                <w:color w:val="auto"/>
              </w:rPr>
              <w:t>Has sole authority to hire consultants, approve their fees and determine the nature and scope of their</w:t>
            </w:r>
          </w:p>
        </w:tc>
        <w:tc>
          <w:tcPr>
            <w:tcW w:w="0" w:type="dxa"/>
            <w:vAlign w:val="bottom"/>
          </w:tcPr>
          <w:p>
            <w:pPr>
              <w:spacing w:after="0"/>
              <w:rPr>
                <w:sz w:val="1"/>
                <w:szCs w:val="1"/>
                <w:color w:val="auto"/>
              </w:rPr>
            </w:pPr>
          </w:p>
        </w:tc>
      </w:tr>
      <w:tr>
        <w:trPr>
          <w:trHeight w:val="233"/>
        </w:trPr>
        <w:tc>
          <w:tcPr>
            <w:tcW w:w="2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20" w:type="dxa"/>
            <w:vAlign w:val="bottom"/>
          </w:tcPr>
          <w:p>
            <w:pPr>
              <w:ind w:left="60"/>
              <w:spacing w:after="0"/>
              <w:rPr>
                <w:sz w:val="20"/>
                <w:szCs w:val="20"/>
                <w:color w:val="auto"/>
              </w:rPr>
            </w:pPr>
            <w:r>
              <w:rPr>
                <w:rFonts w:ascii="Arial" w:cs="Arial" w:eastAsia="Arial" w:hAnsi="Arial"/>
                <w:sz w:val="18"/>
                <w:szCs w:val="18"/>
                <w:color w:val="auto"/>
              </w:rPr>
              <w:t>work.</w:t>
            </w:r>
          </w:p>
        </w:tc>
        <w:tc>
          <w:tcPr>
            <w:tcW w:w="0" w:type="dxa"/>
            <w:vAlign w:val="bottom"/>
          </w:tcPr>
          <w:p>
            <w:pPr>
              <w:spacing w:after="0"/>
              <w:rPr>
                <w:sz w:val="1"/>
                <w:szCs w:val="1"/>
                <w:color w:val="auto"/>
              </w:rPr>
            </w:pPr>
          </w:p>
        </w:tc>
      </w:tr>
      <w:tr>
        <w:trPr>
          <w:trHeight w:val="24"/>
        </w:trPr>
        <w:tc>
          <w:tcPr>
            <w:tcW w:w="2900" w:type="dxa"/>
            <w:vAlign w:val="bottom"/>
            <w:tcBorders>
              <w:bottom w:val="single" w:sz="8" w:color="BFBFBF"/>
            </w:tcBorders>
          </w:tcPr>
          <w:p>
            <w:pPr>
              <w:spacing w:after="0"/>
              <w:rPr>
                <w:sz w:val="2"/>
                <w:szCs w:val="2"/>
                <w:color w:val="auto"/>
              </w:rPr>
            </w:pPr>
          </w:p>
        </w:tc>
        <w:tc>
          <w:tcPr>
            <w:tcW w:w="120" w:type="dxa"/>
            <w:vAlign w:val="bottom"/>
            <w:tcBorders>
              <w:bottom w:val="single" w:sz="8" w:color="BFBFBF"/>
            </w:tcBorders>
          </w:tcPr>
          <w:p>
            <w:pPr>
              <w:spacing w:after="0"/>
              <w:rPr>
                <w:sz w:val="2"/>
                <w:szCs w:val="2"/>
                <w:color w:val="auto"/>
              </w:rPr>
            </w:pPr>
          </w:p>
        </w:tc>
        <w:tc>
          <w:tcPr>
            <w:tcW w:w="8220" w:type="dxa"/>
            <w:vAlign w:val="bottom"/>
            <w:tcBorders>
              <w:bottom w:val="single" w:sz="8" w:color="BFBFBF"/>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900" w:type="dxa"/>
            <w:vAlign w:val="bottom"/>
          </w:tcPr>
          <w:p>
            <w:pPr>
              <w:ind w:left="20"/>
              <w:spacing w:after="0" w:line="190" w:lineRule="exact"/>
              <w:rPr>
                <w:sz w:val="20"/>
                <w:szCs w:val="20"/>
                <w:color w:val="auto"/>
              </w:rPr>
            </w:pPr>
            <w:r>
              <w:rPr>
                <w:rFonts w:ascii="Arial" w:cs="Arial" w:eastAsia="Arial" w:hAnsi="Arial"/>
                <w:sz w:val="18"/>
                <w:szCs w:val="18"/>
                <w:color w:val="auto"/>
              </w:rPr>
              <w:t>Independent External</w:t>
            </w:r>
          </w:p>
        </w:tc>
        <w:tc>
          <w:tcPr>
            <w:tcW w:w="1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220" w:type="dxa"/>
            <w:vAlign w:val="bottom"/>
          </w:tcPr>
          <w:p>
            <w:pPr>
              <w:ind w:left="40"/>
              <w:spacing w:after="0" w:line="190" w:lineRule="exact"/>
              <w:rPr>
                <w:sz w:val="20"/>
                <w:szCs w:val="20"/>
                <w:color w:val="auto"/>
              </w:rPr>
            </w:pPr>
            <w:r>
              <w:rPr>
                <w:rFonts w:ascii="Arial" w:cs="Arial" w:eastAsia="Arial" w:hAnsi="Arial"/>
                <w:sz w:val="18"/>
                <w:szCs w:val="18"/>
                <w:color w:val="auto"/>
              </w:rPr>
              <w:t>Provides advice and guidance on the appropriateness and competitiveness of our executive</w:t>
            </w:r>
          </w:p>
        </w:tc>
        <w:tc>
          <w:tcPr>
            <w:tcW w:w="0" w:type="dxa"/>
            <w:vAlign w:val="bottom"/>
          </w:tcPr>
          <w:p>
            <w:pPr>
              <w:spacing w:after="0"/>
              <w:rPr>
                <w:sz w:val="1"/>
                <w:szCs w:val="1"/>
                <w:color w:val="auto"/>
              </w:rPr>
            </w:pPr>
          </w:p>
        </w:tc>
      </w:tr>
      <w:tr>
        <w:trPr>
          <w:trHeight w:val="187"/>
        </w:trPr>
        <w:tc>
          <w:tcPr>
            <w:tcW w:w="2900" w:type="dxa"/>
            <w:vAlign w:val="bottom"/>
          </w:tcPr>
          <w:p>
            <w:pPr>
              <w:ind w:left="20"/>
              <w:spacing w:after="0" w:line="187" w:lineRule="exact"/>
              <w:rPr>
                <w:sz w:val="20"/>
                <w:szCs w:val="20"/>
                <w:color w:val="auto"/>
              </w:rPr>
            </w:pPr>
            <w:r>
              <w:rPr>
                <w:rFonts w:ascii="Arial" w:cs="Arial" w:eastAsia="Arial" w:hAnsi="Arial"/>
                <w:sz w:val="18"/>
                <w:szCs w:val="18"/>
                <w:color w:val="auto"/>
              </w:rPr>
              <w:t>Compensation Consultant</w:t>
            </w:r>
          </w:p>
        </w:tc>
        <w:tc>
          <w:tcPr>
            <w:tcW w:w="120" w:type="dxa"/>
            <w:vAlign w:val="bottom"/>
          </w:tcPr>
          <w:p>
            <w:pPr>
              <w:spacing w:after="0"/>
              <w:rPr>
                <w:sz w:val="16"/>
                <w:szCs w:val="16"/>
                <w:color w:val="auto"/>
              </w:rPr>
            </w:pPr>
          </w:p>
        </w:tc>
        <w:tc>
          <w:tcPr>
            <w:tcW w:w="8220" w:type="dxa"/>
            <w:vAlign w:val="bottom"/>
          </w:tcPr>
          <w:p>
            <w:pPr>
              <w:ind w:left="60"/>
              <w:spacing w:after="0" w:line="187" w:lineRule="exact"/>
              <w:rPr>
                <w:sz w:val="20"/>
                <w:szCs w:val="20"/>
                <w:color w:val="auto"/>
              </w:rPr>
            </w:pPr>
            <w:r>
              <w:rPr>
                <w:rFonts w:ascii="Arial" w:cs="Arial" w:eastAsia="Arial" w:hAnsi="Arial"/>
                <w:sz w:val="18"/>
                <w:szCs w:val="18"/>
                <w:color w:val="auto"/>
              </w:rPr>
              <w:t>compensation program relative to our performance and market practice.</w:t>
            </w:r>
          </w:p>
        </w:tc>
        <w:tc>
          <w:tcPr>
            <w:tcW w:w="0" w:type="dxa"/>
            <w:vAlign w:val="bottom"/>
          </w:tcPr>
          <w:p>
            <w:pPr>
              <w:spacing w:after="0"/>
              <w:rPr>
                <w:sz w:val="1"/>
                <w:szCs w:val="1"/>
                <w:color w:val="auto"/>
              </w:rPr>
            </w:pPr>
          </w:p>
        </w:tc>
      </w:tr>
      <w:tr>
        <w:trPr>
          <w:trHeight w:val="200"/>
        </w:trPr>
        <w:tc>
          <w:tcPr>
            <w:tcW w:w="2900" w:type="dxa"/>
            <w:vAlign w:val="bottom"/>
            <w:vMerge w:val="restart"/>
          </w:tcPr>
          <w:p>
            <w:pPr>
              <w:ind w:left="20"/>
              <w:spacing w:after="0"/>
              <w:rPr>
                <w:sz w:val="20"/>
                <w:szCs w:val="20"/>
                <w:color w:val="auto"/>
              </w:rPr>
            </w:pPr>
            <w:r>
              <w:rPr>
                <w:rFonts w:ascii="Arial" w:cs="Arial" w:eastAsia="Arial" w:hAnsi="Arial"/>
                <w:sz w:val="18"/>
                <w:szCs w:val="18"/>
                <w:i w:val="1"/>
                <w:iCs w:val="1"/>
                <w:color w:val="auto"/>
              </w:rPr>
              <w:t>(Willis Towers Watson)</w:t>
            </w:r>
          </w:p>
        </w:tc>
        <w:tc>
          <w:tcPr>
            <w:tcW w:w="1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220" w:type="dxa"/>
            <w:vAlign w:val="bottom"/>
          </w:tcPr>
          <w:p>
            <w:pPr>
              <w:ind w:left="40"/>
              <w:spacing w:after="0" w:line="201" w:lineRule="exact"/>
              <w:rPr>
                <w:sz w:val="20"/>
                <w:szCs w:val="20"/>
                <w:color w:val="auto"/>
              </w:rPr>
            </w:pPr>
            <w:r>
              <w:rPr>
                <w:rFonts w:ascii="Arial" w:cs="Arial" w:eastAsia="Arial" w:hAnsi="Arial"/>
                <w:sz w:val="18"/>
                <w:szCs w:val="18"/>
                <w:color w:val="auto"/>
              </w:rPr>
              <w:t>Reviews total compensation strategy and pay levels for executives.</w:t>
            </w:r>
          </w:p>
        </w:tc>
        <w:tc>
          <w:tcPr>
            <w:tcW w:w="0" w:type="dxa"/>
            <w:vAlign w:val="bottom"/>
          </w:tcPr>
          <w:p>
            <w:pPr>
              <w:spacing w:after="0"/>
              <w:rPr>
                <w:sz w:val="1"/>
                <w:szCs w:val="1"/>
                <w:color w:val="auto"/>
              </w:rPr>
            </w:pPr>
          </w:p>
        </w:tc>
      </w:tr>
      <w:tr>
        <w:trPr>
          <w:trHeight w:val="140"/>
        </w:trPr>
        <w:tc>
          <w:tcPr>
            <w:tcW w:w="2900" w:type="dxa"/>
            <w:vAlign w:val="bottom"/>
            <w:vMerge w:val="continue"/>
          </w:tcPr>
          <w:p>
            <w:pPr>
              <w:spacing w:after="0"/>
              <w:rPr>
                <w:sz w:val="12"/>
                <w:szCs w:val="12"/>
                <w:color w:val="auto"/>
              </w:rPr>
            </w:pPr>
          </w:p>
        </w:tc>
        <w:tc>
          <w:tcPr>
            <w:tcW w:w="120" w:type="dxa"/>
            <w:vAlign w:val="bottom"/>
            <w:vMerge w:val="restart"/>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220" w:type="dxa"/>
            <w:vAlign w:val="bottom"/>
            <w:vMerge w:val="restart"/>
          </w:tcPr>
          <w:p>
            <w:pPr>
              <w:ind w:left="40"/>
              <w:spacing w:after="0" w:line="201" w:lineRule="exact"/>
              <w:rPr>
                <w:sz w:val="20"/>
                <w:szCs w:val="20"/>
                <w:color w:val="auto"/>
              </w:rPr>
            </w:pPr>
            <w:r>
              <w:rPr>
                <w:rFonts w:ascii="Arial" w:cs="Arial" w:eastAsia="Arial" w:hAnsi="Arial"/>
                <w:sz w:val="18"/>
                <w:szCs w:val="18"/>
                <w:color w:val="auto"/>
              </w:rPr>
              <w:t>Examines our executive compensation program to ensure that each element supports our business</w:t>
            </w:r>
          </w:p>
        </w:tc>
        <w:tc>
          <w:tcPr>
            <w:tcW w:w="0" w:type="dxa"/>
            <w:vAlign w:val="bottom"/>
          </w:tcPr>
          <w:p>
            <w:pPr>
              <w:spacing w:after="0"/>
              <w:rPr>
                <w:sz w:val="1"/>
                <w:szCs w:val="1"/>
                <w:color w:val="auto"/>
              </w:rPr>
            </w:pPr>
          </w:p>
        </w:tc>
      </w:tr>
      <w:tr>
        <w:trPr>
          <w:trHeight w:val="61"/>
        </w:trPr>
        <w:tc>
          <w:tcPr>
            <w:tcW w:w="2900" w:type="dxa"/>
            <w:vAlign w:val="bottom"/>
          </w:tcPr>
          <w:p>
            <w:pPr>
              <w:spacing w:after="0"/>
              <w:rPr>
                <w:sz w:val="5"/>
                <w:szCs w:val="5"/>
                <w:color w:val="auto"/>
              </w:rPr>
            </w:pPr>
          </w:p>
        </w:tc>
        <w:tc>
          <w:tcPr>
            <w:tcW w:w="120" w:type="dxa"/>
            <w:vAlign w:val="bottom"/>
            <w:vMerge w:val="continue"/>
          </w:tcPr>
          <w:p>
            <w:pPr>
              <w:spacing w:after="0"/>
              <w:rPr>
                <w:sz w:val="5"/>
                <w:szCs w:val="5"/>
                <w:color w:val="auto"/>
              </w:rPr>
            </w:pPr>
          </w:p>
        </w:tc>
        <w:tc>
          <w:tcPr>
            <w:tcW w:w="82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0"/>
        </w:trPr>
        <w:tc>
          <w:tcPr>
            <w:tcW w:w="2900" w:type="dxa"/>
            <w:vAlign w:val="bottom"/>
          </w:tcPr>
          <w:p>
            <w:pPr>
              <w:ind w:left="20"/>
              <w:spacing w:after="0" w:line="190" w:lineRule="exact"/>
              <w:rPr>
                <w:sz w:val="20"/>
                <w:szCs w:val="20"/>
                <w:color w:val="auto"/>
              </w:rPr>
            </w:pPr>
            <w:r>
              <w:rPr>
                <w:rFonts w:ascii="Arial" w:cs="Arial" w:eastAsia="Arial" w:hAnsi="Arial"/>
                <w:sz w:val="18"/>
                <w:szCs w:val="18"/>
                <w:i w:val="1"/>
                <w:iCs w:val="1"/>
                <w:color w:val="auto"/>
              </w:rPr>
              <w:t>(Independent under NYSE listing</w:t>
            </w:r>
          </w:p>
        </w:tc>
        <w:tc>
          <w:tcPr>
            <w:tcW w:w="120" w:type="dxa"/>
            <w:vAlign w:val="bottom"/>
          </w:tcPr>
          <w:p>
            <w:pPr>
              <w:spacing w:after="0"/>
              <w:rPr>
                <w:sz w:val="16"/>
                <w:szCs w:val="16"/>
                <w:color w:val="auto"/>
              </w:rPr>
            </w:pPr>
          </w:p>
        </w:tc>
        <w:tc>
          <w:tcPr>
            <w:tcW w:w="8220" w:type="dxa"/>
            <w:vAlign w:val="bottom"/>
          </w:tcPr>
          <w:p>
            <w:pPr>
              <w:ind w:left="60"/>
              <w:spacing w:after="0" w:line="190" w:lineRule="exact"/>
              <w:rPr>
                <w:sz w:val="20"/>
                <w:szCs w:val="20"/>
                <w:color w:val="auto"/>
              </w:rPr>
            </w:pPr>
            <w:r>
              <w:rPr>
                <w:rFonts w:ascii="Arial" w:cs="Arial" w:eastAsia="Arial" w:hAnsi="Arial"/>
                <w:sz w:val="18"/>
                <w:szCs w:val="18"/>
                <w:color w:val="auto"/>
              </w:rPr>
              <w:t>strategy.</w:t>
            </w:r>
          </w:p>
        </w:tc>
        <w:tc>
          <w:tcPr>
            <w:tcW w:w="0" w:type="dxa"/>
            <w:vAlign w:val="bottom"/>
          </w:tcPr>
          <w:p>
            <w:pPr>
              <w:spacing w:after="0"/>
              <w:rPr>
                <w:sz w:val="1"/>
                <w:szCs w:val="1"/>
                <w:color w:val="auto"/>
              </w:rPr>
            </w:pPr>
          </w:p>
        </w:tc>
      </w:tr>
      <w:tr>
        <w:trPr>
          <w:trHeight w:val="200"/>
        </w:trPr>
        <w:tc>
          <w:tcPr>
            <w:tcW w:w="2900" w:type="dxa"/>
            <w:vAlign w:val="bottom"/>
          </w:tcPr>
          <w:p>
            <w:pPr>
              <w:ind w:left="20"/>
              <w:spacing w:after="0" w:line="201" w:lineRule="exact"/>
              <w:rPr>
                <w:sz w:val="20"/>
                <w:szCs w:val="20"/>
                <w:color w:val="auto"/>
              </w:rPr>
            </w:pPr>
            <w:r>
              <w:rPr>
                <w:rFonts w:ascii="Arial" w:cs="Arial" w:eastAsia="Arial" w:hAnsi="Arial"/>
                <w:sz w:val="18"/>
                <w:szCs w:val="18"/>
                <w:i w:val="1"/>
                <w:iCs w:val="1"/>
                <w:color w:val="auto"/>
              </w:rPr>
              <w:t>standards and reports to the</w:t>
            </w:r>
          </w:p>
        </w:tc>
        <w:tc>
          <w:tcPr>
            <w:tcW w:w="1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220" w:type="dxa"/>
            <w:vAlign w:val="bottom"/>
          </w:tcPr>
          <w:p>
            <w:pPr>
              <w:ind w:left="40"/>
              <w:spacing w:after="0" w:line="201" w:lineRule="exact"/>
              <w:rPr>
                <w:sz w:val="20"/>
                <w:szCs w:val="20"/>
                <w:color w:val="auto"/>
              </w:rPr>
            </w:pPr>
            <w:r>
              <w:rPr>
                <w:rFonts w:ascii="Arial" w:cs="Arial" w:eastAsia="Arial" w:hAnsi="Arial"/>
                <w:sz w:val="18"/>
                <w:szCs w:val="18"/>
                <w:color w:val="auto"/>
              </w:rPr>
              <w:t>Assists in gathering competitive market data.</w:t>
            </w:r>
          </w:p>
        </w:tc>
        <w:tc>
          <w:tcPr>
            <w:tcW w:w="0" w:type="dxa"/>
            <w:vAlign w:val="bottom"/>
          </w:tcPr>
          <w:p>
            <w:pPr>
              <w:spacing w:after="0"/>
              <w:rPr>
                <w:sz w:val="1"/>
                <w:szCs w:val="1"/>
                <w:color w:val="auto"/>
              </w:rPr>
            </w:pPr>
          </w:p>
        </w:tc>
      </w:tr>
      <w:tr>
        <w:trPr>
          <w:trHeight w:val="197"/>
        </w:trPr>
        <w:tc>
          <w:tcPr>
            <w:tcW w:w="3020" w:type="dxa"/>
            <w:vAlign w:val="bottom"/>
            <w:gridSpan w:val="2"/>
          </w:tcPr>
          <w:p>
            <w:pPr>
              <w:ind w:left="20"/>
              <w:spacing w:after="0" w:line="196" w:lineRule="exact"/>
              <w:rPr>
                <w:sz w:val="20"/>
                <w:szCs w:val="20"/>
                <w:color w:val="auto"/>
              </w:rPr>
            </w:pPr>
            <w:r>
              <w:rPr>
                <w:rFonts w:ascii="Arial" w:cs="Arial" w:eastAsia="Arial" w:hAnsi="Arial"/>
                <w:sz w:val="18"/>
                <w:szCs w:val="18"/>
                <w:i w:val="1"/>
                <w:iCs w:val="1"/>
                <w:color w:val="auto"/>
              </w:rPr>
              <w:t xml:space="preserve">Compensation &amp; Human Resources </w:t>
            </w:r>
            <w:r>
              <w:rPr>
                <w:rFonts w:ascii="Times New Roman" w:cs="Times New Roman" w:eastAsia="Times New Roman" w:hAnsi="Times New Roman"/>
                <w:sz w:val="16"/>
                <w:szCs w:val="16"/>
                <w:color w:val="auto"/>
              </w:rPr>
              <w:t>•</w:t>
            </w:r>
          </w:p>
        </w:tc>
        <w:tc>
          <w:tcPr>
            <w:tcW w:w="8220" w:type="dxa"/>
            <w:vAlign w:val="bottom"/>
          </w:tcPr>
          <w:p>
            <w:pPr>
              <w:ind w:left="40"/>
              <w:spacing w:after="0" w:line="196" w:lineRule="exact"/>
              <w:rPr>
                <w:sz w:val="20"/>
                <w:szCs w:val="20"/>
                <w:color w:val="auto"/>
              </w:rPr>
            </w:pPr>
            <w:r>
              <w:rPr>
                <w:rFonts w:ascii="Arial" w:cs="Arial" w:eastAsia="Arial" w:hAnsi="Arial"/>
                <w:sz w:val="18"/>
                <w:szCs w:val="18"/>
                <w:color w:val="auto"/>
              </w:rPr>
              <w:t>Provides advice with respect to our incentive plans, performance measures and equity compensation</w:t>
            </w:r>
          </w:p>
        </w:tc>
        <w:tc>
          <w:tcPr>
            <w:tcW w:w="0" w:type="dxa"/>
            <w:vAlign w:val="bottom"/>
          </w:tcPr>
          <w:p>
            <w:pPr>
              <w:spacing w:after="0"/>
              <w:rPr>
                <w:sz w:val="1"/>
                <w:szCs w:val="1"/>
                <w:color w:val="auto"/>
              </w:rPr>
            </w:pPr>
          </w:p>
        </w:tc>
      </w:tr>
      <w:tr>
        <w:trPr>
          <w:trHeight w:val="190"/>
        </w:trPr>
        <w:tc>
          <w:tcPr>
            <w:tcW w:w="2900" w:type="dxa"/>
            <w:vAlign w:val="bottom"/>
          </w:tcPr>
          <w:p>
            <w:pPr>
              <w:ind w:left="20"/>
              <w:spacing w:after="0" w:line="190" w:lineRule="exact"/>
              <w:rPr>
                <w:sz w:val="20"/>
                <w:szCs w:val="20"/>
                <w:color w:val="auto"/>
              </w:rPr>
            </w:pPr>
            <w:r>
              <w:rPr>
                <w:rFonts w:ascii="Arial" w:cs="Arial" w:eastAsia="Arial" w:hAnsi="Arial"/>
                <w:sz w:val="18"/>
                <w:szCs w:val="18"/>
                <w:i w:val="1"/>
                <w:iCs w:val="1"/>
                <w:color w:val="auto"/>
              </w:rPr>
              <w:t>Committee)</w:t>
            </w:r>
          </w:p>
        </w:tc>
        <w:tc>
          <w:tcPr>
            <w:tcW w:w="120" w:type="dxa"/>
            <w:vAlign w:val="bottom"/>
          </w:tcPr>
          <w:p>
            <w:pPr>
              <w:spacing w:after="0"/>
              <w:rPr>
                <w:sz w:val="16"/>
                <w:szCs w:val="16"/>
                <w:color w:val="auto"/>
              </w:rPr>
            </w:pPr>
          </w:p>
        </w:tc>
        <w:tc>
          <w:tcPr>
            <w:tcW w:w="8220" w:type="dxa"/>
            <w:vAlign w:val="bottom"/>
          </w:tcPr>
          <w:p>
            <w:pPr>
              <w:ind w:left="60"/>
              <w:spacing w:after="0" w:line="190" w:lineRule="exact"/>
              <w:rPr>
                <w:sz w:val="20"/>
                <w:szCs w:val="20"/>
                <w:color w:val="auto"/>
              </w:rPr>
            </w:pPr>
            <w:r>
              <w:rPr>
                <w:rFonts w:ascii="Arial" w:cs="Arial" w:eastAsia="Arial" w:hAnsi="Arial"/>
                <w:sz w:val="18"/>
                <w:szCs w:val="18"/>
                <w:color w:val="auto"/>
              </w:rPr>
              <w:t>mix.</w:t>
            </w:r>
          </w:p>
        </w:tc>
        <w:tc>
          <w:tcPr>
            <w:tcW w:w="0" w:type="dxa"/>
            <w:vAlign w:val="bottom"/>
          </w:tcPr>
          <w:p>
            <w:pPr>
              <w:spacing w:after="0"/>
              <w:rPr>
                <w:sz w:val="1"/>
                <w:szCs w:val="1"/>
                <w:color w:val="auto"/>
              </w:rPr>
            </w:pPr>
          </w:p>
        </w:tc>
      </w:tr>
      <w:tr>
        <w:trPr>
          <w:trHeight w:val="197"/>
        </w:trPr>
        <w:tc>
          <w:tcPr>
            <w:tcW w:w="2900" w:type="dxa"/>
            <w:vAlign w:val="bottom"/>
          </w:tcPr>
          <w:p>
            <w:pPr>
              <w:spacing w:after="0"/>
              <w:rPr>
                <w:sz w:val="17"/>
                <w:szCs w:val="17"/>
                <w:color w:val="auto"/>
              </w:rPr>
            </w:pPr>
          </w:p>
        </w:tc>
        <w:tc>
          <w:tcPr>
            <w:tcW w:w="1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220" w:type="dxa"/>
            <w:vAlign w:val="bottom"/>
          </w:tcPr>
          <w:p>
            <w:pPr>
              <w:ind w:left="40"/>
              <w:spacing w:after="0" w:line="196" w:lineRule="exact"/>
              <w:rPr>
                <w:sz w:val="20"/>
                <w:szCs w:val="20"/>
                <w:color w:val="auto"/>
              </w:rPr>
            </w:pPr>
            <w:r>
              <w:rPr>
                <w:rFonts w:ascii="Arial" w:cs="Arial" w:eastAsia="Arial" w:hAnsi="Arial"/>
                <w:sz w:val="18"/>
                <w:szCs w:val="18"/>
                <w:color w:val="auto"/>
              </w:rPr>
              <w:t>Periodically assesses risk as it related to our incentive plans.</w:t>
            </w:r>
          </w:p>
        </w:tc>
        <w:tc>
          <w:tcPr>
            <w:tcW w:w="0" w:type="dxa"/>
            <w:vAlign w:val="bottom"/>
          </w:tcPr>
          <w:p>
            <w:pPr>
              <w:spacing w:after="0"/>
              <w:rPr>
                <w:sz w:val="1"/>
                <w:szCs w:val="1"/>
                <w:color w:val="auto"/>
              </w:rPr>
            </w:pPr>
          </w:p>
        </w:tc>
      </w:tr>
      <w:tr>
        <w:trPr>
          <w:trHeight w:val="200"/>
        </w:trPr>
        <w:tc>
          <w:tcPr>
            <w:tcW w:w="2900" w:type="dxa"/>
            <w:vAlign w:val="bottom"/>
          </w:tcPr>
          <w:p>
            <w:pPr>
              <w:spacing w:after="0"/>
              <w:rPr>
                <w:sz w:val="17"/>
                <w:szCs w:val="17"/>
                <w:color w:val="auto"/>
              </w:rPr>
            </w:pPr>
          </w:p>
        </w:tc>
        <w:tc>
          <w:tcPr>
            <w:tcW w:w="1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220" w:type="dxa"/>
            <w:vAlign w:val="bottom"/>
          </w:tcPr>
          <w:p>
            <w:pPr>
              <w:ind w:left="40"/>
              <w:spacing w:after="0" w:line="201" w:lineRule="exact"/>
              <w:rPr>
                <w:sz w:val="20"/>
                <w:szCs w:val="20"/>
                <w:color w:val="auto"/>
              </w:rPr>
            </w:pPr>
            <w:r>
              <w:rPr>
                <w:rFonts w:ascii="Arial" w:cs="Arial" w:eastAsia="Arial" w:hAnsi="Arial"/>
                <w:sz w:val="18"/>
                <w:szCs w:val="18"/>
                <w:color w:val="auto"/>
              </w:rPr>
              <w:t>Reviews structure and competitiveness of our non-employee director compensation program.</w:t>
            </w:r>
          </w:p>
        </w:tc>
        <w:tc>
          <w:tcPr>
            <w:tcW w:w="0" w:type="dxa"/>
            <w:vAlign w:val="bottom"/>
          </w:tcPr>
          <w:p>
            <w:pPr>
              <w:spacing w:after="0"/>
              <w:rPr>
                <w:sz w:val="1"/>
                <w:szCs w:val="1"/>
                <w:color w:val="auto"/>
              </w:rPr>
            </w:pPr>
          </w:p>
        </w:tc>
      </w:tr>
      <w:tr>
        <w:trPr>
          <w:trHeight w:val="233"/>
        </w:trPr>
        <w:tc>
          <w:tcPr>
            <w:tcW w:w="2900" w:type="dxa"/>
            <w:vAlign w:val="bottom"/>
          </w:tcPr>
          <w:p>
            <w:pPr>
              <w:spacing w:after="0"/>
              <w:rPr>
                <w:sz w:val="20"/>
                <w:szCs w:val="20"/>
                <w:color w:val="auto"/>
              </w:rPr>
            </w:pPr>
          </w:p>
        </w:tc>
        <w:tc>
          <w:tcPr>
            <w:tcW w:w="1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220" w:type="dxa"/>
            <w:vAlign w:val="bottom"/>
          </w:tcPr>
          <w:p>
            <w:pPr>
              <w:ind w:left="40"/>
              <w:spacing w:after="0"/>
              <w:rPr>
                <w:sz w:val="20"/>
                <w:szCs w:val="20"/>
                <w:color w:val="auto"/>
              </w:rPr>
            </w:pPr>
            <w:r>
              <w:rPr>
                <w:rFonts w:ascii="Arial" w:cs="Arial" w:eastAsia="Arial" w:hAnsi="Arial"/>
                <w:sz w:val="18"/>
                <w:szCs w:val="18"/>
                <w:color w:val="auto"/>
              </w:rPr>
              <w:t>Regularly attends Compensation &amp; Human Resources Committee meetings.</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6985</wp:posOffset>
            </wp:positionV>
            <wp:extent cx="7134225"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1154" w:right="339" w:bottom="1440" w:gutter="0" w:footer="0" w:header="0"/>
        </w:sectPr>
      </w:pPr>
    </w:p>
    <w:p>
      <w:pPr>
        <w:spacing w:after="0" w:line="21" w:lineRule="exact"/>
        <w:rPr>
          <w:sz w:val="20"/>
          <w:szCs w:val="20"/>
          <w:color w:val="auto"/>
        </w:rPr>
      </w:pPr>
    </w:p>
    <w:p>
      <w:pPr>
        <w:ind w:left="20"/>
        <w:spacing w:after="0"/>
        <w:rPr>
          <w:sz w:val="20"/>
          <w:szCs w:val="20"/>
          <w:color w:val="auto"/>
        </w:rPr>
      </w:pPr>
      <w:r>
        <w:rPr>
          <w:rFonts w:ascii="Arial" w:cs="Arial" w:eastAsia="Arial" w:hAnsi="Arial"/>
          <w:sz w:val="18"/>
          <w:szCs w:val="18"/>
          <w:color w:val="auto"/>
        </w:rPr>
        <w:t>Management</w:t>
      </w:r>
    </w:p>
    <w:p>
      <w:pPr>
        <w:spacing w:after="0" w:line="96" w:lineRule="exact"/>
        <w:rPr>
          <w:sz w:val="20"/>
          <w:szCs w:val="20"/>
          <w:color w:val="auto"/>
        </w:rPr>
      </w:pPr>
    </w:p>
    <w:p>
      <w:pPr>
        <w:ind w:left="20"/>
        <w:spacing w:after="0"/>
        <w:rPr>
          <w:sz w:val="20"/>
          <w:szCs w:val="20"/>
          <w:color w:val="auto"/>
        </w:rPr>
      </w:pPr>
      <w:r>
        <w:rPr>
          <w:rFonts w:ascii="Arial" w:cs="Arial" w:eastAsia="Arial" w:hAnsi="Arial"/>
          <w:sz w:val="18"/>
          <w:szCs w:val="18"/>
          <w:i w:val="1"/>
          <w:iCs w:val="1"/>
          <w:color w:val="auto"/>
        </w:rPr>
        <w:t>(Chairman and CEO, Vice</w:t>
      </w:r>
    </w:p>
    <w:p>
      <w:pPr>
        <w:ind w:left="20"/>
        <w:spacing w:after="0"/>
        <w:rPr>
          <w:sz w:val="20"/>
          <w:szCs w:val="20"/>
          <w:color w:val="auto"/>
        </w:rPr>
      </w:pPr>
      <w:r>
        <w:rPr>
          <w:rFonts w:ascii="Arial" w:cs="Arial" w:eastAsia="Arial" w:hAnsi="Arial"/>
          <w:sz w:val="17"/>
          <w:szCs w:val="17"/>
          <w:i w:val="1"/>
          <w:iCs w:val="1"/>
          <w:color w:val="auto"/>
        </w:rPr>
        <w:t>President, Human Resources and</w:t>
      </w:r>
    </w:p>
    <w:p>
      <w:pPr>
        <w:spacing w:after="0" w:line="5" w:lineRule="exact"/>
        <w:rPr>
          <w:sz w:val="20"/>
          <w:szCs w:val="20"/>
          <w:color w:val="auto"/>
        </w:rPr>
      </w:pPr>
    </w:p>
    <w:p>
      <w:pPr>
        <w:ind w:left="20"/>
        <w:spacing w:after="0"/>
        <w:rPr>
          <w:sz w:val="20"/>
          <w:szCs w:val="20"/>
          <w:color w:val="auto"/>
        </w:rPr>
      </w:pPr>
      <w:r>
        <w:rPr>
          <w:rFonts w:ascii="Arial" w:cs="Arial" w:eastAsia="Arial" w:hAnsi="Arial"/>
          <w:sz w:val="17"/>
          <w:szCs w:val="17"/>
          <w:i w:val="1"/>
          <w:iCs w:val="1"/>
          <w:color w:val="auto"/>
        </w:rPr>
        <w:t>Managing Director, Total Rewards</w:t>
      </w:r>
    </w:p>
    <w:p>
      <w:pPr>
        <w:spacing w:after="0" w:line="5" w:lineRule="exact"/>
        <w:rPr>
          <w:sz w:val="20"/>
          <w:szCs w:val="20"/>
          <w:color w:val="auto"/>
        </w:rPr>
      </w:pPr>
    </w:p>
    <w:p>
      <w:pPr>
        <w:ind w:left="20"/>
        <w:spacing w:after="0"/>
        <w:rPr>
          <w:sz w:val="20"/>
          <w:szCs w:val="20"/>
          <w:color w:val="auto"/>
        </w:rPr>
      </w:pPr>
      <w:r>
        <w:rPr>
          <w:rFonts w:ascii="Arial" w:cs="Arial" w:eastAsia="Arial" w:hAnsi="Arial"/>
          <w:sz w:val="18"/>
          <w:szCs w:val="18"/>
          <w:i w:val="1"/>
          <w:iCs w:val="1"/>
          <w:color w:val="auto"/>
        </w:rPr>
        <w:t>and Employee Services)</w:t>
      </w:r>
    </w:p>
    <w:p>
      <w:pPr>
        <w:spacing w:after="0" w:line="20" w:lineRule="exact"/>
        <w:rPr>
          <w:sz w:val="20"/>
          <w:szCs w:val="20"/>
          <w:color w:val="auto"/>
        </w:rPr>
      </w:pPr>
      <w:r>
        <w:rPr>
          <w:sz w:val="20"/>
          <w:szCs w:val="20"/>
          <w:color w:val="auto"/>
        </w:rPr>
        <w:br w:type="column"/>
      </w:r>
    </w:p>
    <w:p>
      <w:pPr>
        <w:spacing w:after="0" w:line="1" w:lineRule="exact"/>
        <w:rPr>
          <w:sz w:val="20"/>
          <w:szCs w:val="20"/>
          <w:color w:val="auto"/>
        </w:rPr>
      </w:pPr>
    </w:p>
    <w:p>
      <w:pPr>
        <w:ind w:left="160" w:right="380" w:hanging="160"/>
        <w:spacing w:after="0" w:line="233" w:lineRule="auto"/>
        <w:tabs>
          <w:tab w:leader="none" w:pos="149" w:val="left"/>
        </w:tabs>
        <w:numPr>
          <w:ilvl w:val="0"/>
          <w:numId w:val="61"/>
        </w:numPr>
        <w:rPr>
          <w:rFonts w:ascii="Times New Roman" w:cs="Times New Roman" w:eastAsia="Times New Roman" w:hAnsi="Times New Roman"/>
          <w:sz w:val="16"/>
          <w:szCs w:val="16"/>
          <w:color w:val="auto"/>
        </w:rPr>
      </w:pPr>
      <w:r>
        <w:rPr>
          <w:rFonts w:ascii="Arial" w:cs="Arial" w:eastAsia="Arial" w:hAnsi="Arial"/>
          <w:sz w:val="18"/>
          <w:szCs w:val="18"/>
          <w:color w:val="auto"/>
        </w:rPr>
        <w:t>Provides compensation information to Compensation &amp; Human Resources Committee and external compensation consultant to assist them in making and recommending compensation.</w:t>
      </w:r>
    </w:p>
    <w:p>
      <w:pPr>
        <w:spacing w:after="0" w:line="1" w:lineRule="exact"/>
        <w:rPr>
          <w:rFonts w:ascii="Times New Roman" w:cs="Times New Roman" w:eastAsia="Times New Roman" w:hAnsi="Times New Roman"/>
          <w:sz w:val="16"/>
          <w:szCs w:val="16"/>
          <w:color w:val="auto"/>
        </w:rPr>
      </w:pPr>
    </w:p>
    <w:p>
      <w:pPr>
        <w:ind w:left="160" w:right="40" w:hanging="160"/>
        <w:spacing w:after="0" w:line="232" w:lineRule="auto"/>
        <w:tabs>
          <w:tab w:leader="none" w:pos="149" w:val="left"/>
        </w:tabs>
        <w:numPr>
          <w:ilvl w:val="0"/>
          <w:numId w:val="61"/>
        </w:numPr>
        <w:rPr>
          <w:rFonts w:ascii="Times New Roman" w:cs="Times New Roman" w:eastAsia="Times New Roman" w:hAnsi="Times New Roman"/>
          <w:sz w:val="16"/>
          <w:szCs w:val="16"/>
          <w:color w:val="auto"/>
        </w:rPr>
      </w:pPr>
      <w:r>
        <w:rPr>
          <w:rFonts w:ascii="Arial" w:cs="Arial" w:eastAsia="Arial" w:hAnsi="Arial"/>
          <w:sz w:val="18"/>
          <w:szCs w:val="18"/>
          <w:color w:val="auto"/>
        </w:rPr>
        <w:t>Confers with the Compensation &amp; Human Resources Committee and external compensation consultant concerning design and development of compensation and benefit plans.</w:t>
      </w:r>
    </w:p>
    <w:p>
      <w:pPr>
        <w:ind w:left="160" w:right="380" w:hanging="160"/>
        <w:spacing w:after="0" w:line="224" w:lineRule="auto"/>
        <w:tabs>
          <w:tab w:leader="none" w:pos="149" w:val="left"/>
        </w:tabs>
        <w:numPr>
          <w:ilvl w:val="0"/>
          <w:numId w:val="61"/>
        </w:numPr>
        <w:rPr>
          <w:rFonts w:ascii="Times New Roman" w:cs="Times New Roman" w:eastAsia="Times New Roman" w:hAnsi="Times New Roman"/>
          <w:sz w:val="16"/>
          <w:szCs w:val="16"/>
          <w:color w:val="auto"/>
        </w:rPr>
      </w:pPr>
      <w:r>
        <w:rPr>
          <w:rFonts w:ascii="Arial" w:cs="Arial" w:eastAsia="Arial" w:hAnsi="Arial"/>
          <w:sz w:val="18"/>
          <w:szCs w:val="18"/>
          <w:color w:val="auto"/>
        </w:rPr>
        <w:t>Provides analysis and recommendations on executive officer compensation to the Compensation &amp; Human Resources Committee.</w:t>
      </w:r>
    </w:p>
    <w:p>
      <w:pPr>
        <w:ind w:left="140" w:hanging="140"/>
        <w:spacing w:after="0" w:line="232" w:lineRule="auto"/>
        <w:tabs>
          <w:tab w:leader="none" w:pos="140" w:val="left"/>
        </w:tabs>
        <w:numPr>
          <w:ilvl w:val="0"/>
          <w:numId w:val="61"/>
        </w:numPr>
        <w:rPr>
          <w:rFonts w:ascii="Times New Roman" w:cs="Times New Roman" w:eastAsia="Times New Roman" w:hAnsi="Times New Roman"/>
          <w:sz w:val="16"/>
          <w:szCs w:val="16"/>
          <w:color w:val="auto"/>
        </w:rPr>
      </w:pPr>
      <w:r>
        <w:rPr>
          <w:rFonts w:ascii="Arial" w:cs="Arial" w:eastAsia="Arial" w:hAnsi="Arial"/>
          <w:sz w:val="18"/>
          <w:szCs w:val="18"/>
          <w:color w:val="auto"/>
        </w:rPr>
        <w:t>Reviews performance of executive officers.</w:t>
      </w:r>
    </w:p>
    <w:p>
      <w:pPr>
        <w:ind w:left="140" w:hanging="140"/>
        <w:spacing w:after="0"/>
        <w:tabs>
          <w:tab w:leader="none" w:pos="140" w:val="left"/>
        </w:tabs>
        <w:numPr>
          <w:ilvl w:val="0"/>
          <w:numId w:val="61"/>
        </w:numPr>
        <w:rPr>
          <w:rFonts w:ascii="Times New Roman" w:cs="Times New Roman" w:eastAsia="Times New Roman" w:hAnsi="Times New Roman"/>
          <w:sz w:val="16"/>
          <w:szCs w:val="16"/>
          <w:color w:val="auto"/>
        </w:rPr>
      </w:pPr>
      <w:r>
        <w:rPr>
          <w:rFonts w:ascii="Arial" w:cs="Arial" w:eastAsia="Arial" w:hAnsi="Arial"/>
          <w:sz w:val="18"/>
          <w:szCs w:val="18"/>
          <w:color w:val="auto"/>
        </w:rPr>
        <w:t>Provides no input or recommendations with respect to their own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-1849120</wp:posOffset>
            </wp:positionH>
            <wp:positionV relativeFrom="paragraph">
              <wp:posOffset>13335</wp:posOffset>
            </wp:positionV>
            <wp:extent cx="7134225"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700" w:space="220"/>
            <w:col w:w="8320"/>
          </w:cols>
          <w:pgMar w:left="320" w:top="1154"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79375</wp:posOffset>
            </wp:positionV>
            <wp:extent cx="7159625" cy="425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154" w:right="339" w:bottom="1440" w:gutter="0" w:footer="0" w:header="0"/>
          <w:type w:val="continuous"/>
        </w:sectPr>
      </w:pPr>
    </w:p>
    <w:bookmarkStart w:id="58" w:name="page59"/>
    <w:bookmarkEnd w:id="58"/>
    <w:p>
      <w:pPr>
        <w:spacing w:after="0"/>
        <w:rPr>
          <w:sz w:val="20"/>
          <w:szCs w:val="20"/>
          <w:color w:val="auto"/>
        </w:rPr>
      </w:pPr>
      <w:r>
        <w:rPr>
          <w:rFonts w:ascii="Arial" w:cs="Arial" w:eastAsia="Arial" w:hAnsi="Arial"/>
          <w:sz w:val="20"/>
          <w:szCs w:val="20"/>
          <w:b w:val="1"/>
          <w:bCs w:val="1"/>
          <w:color w:val="C00000"/>
        </w:rPr>
        <w:t>Compensation &amp; Human Resources Committee Report</w:t>
      </w:r>
    </w:p>
    <w:p>
      <w:pPr>
        <w:spacing w:after="0" w:line="110" w:lineRule="exact"/>
        <w:rPr>
          <w:sz w:val="20"/>
          <w:szCs w:val="20"/>
          <w:color w:val="auto"/>
        </w:rPr>
      </w:pPr>
    </w:p>
    <w:p>
      <w:pPr>
        <w:jc w:val="both"/>
        <w:ind w:firstLine="320"/>
        <w:spacing w:after="0" w:line="247" w:lineRule="auto"/>
        <w:rPr>
          <w:sz w:val="20"/>
          <w:szCs w:val="20"/>
          <w:color w:val="auto"/>
        </w:rPr>
      </w:pPr>
      <w:r>
        <w:rPr>
          <w:rFonts w:ascii="Arial" w:cs="Arial" w:eastAsia="Arial" w:hAnsi="Arial"/>
          <w:sz w:val="18"/>
          <w:szCs w:val="18"/>
          <w:color w:val="auto"/>
        </w:rPr>
        <w:t>The Compensation &amp; Human Resources Committee has reviewed and discussed the foregoing "Compensation Discussion and Analysis" with Management and, based on such review and discussions, recommended to the Board that the "Compensation Discussion and Analysis" be included in this proxy statement and incorporated by reference into our Annual Report on Form 10-K for the fiscal year ended October 31, 2024.</w:t>
      </w:r>
    </w:p>
    <w:p>
      <w:pPr>
        <w:spacing w:after="0" w:line="6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C00000"/>
        </w:rPr>
        <w:t>Compensation &amp; Human Resources Committee:</w:t>
      </w:r>
    </w:p>
    <w:p>
      <w:pPr>
        <w:spacing w:after="0" w:line="1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James C. O'Rourke (Chair)</w:t>
      </w:r>
    </w:p>
    <w:p>
      <w:pPr>
        <w:spacing w:after="0" w:line="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Eric P. Hansotia</w:t>
      </w:r>
    </w:p>
    <w:p>
      <w:pPr>
        <w:jc w:val="center"/>
        <w:ind w:right="-19"/>
        <w:spacing w:after="0" w:line="232" w:lineRule="auto"/>
        <w:rPr>
          <w:sz w:val="20"/>
          <w:szCs w:val="20"/>
          <w:color w:val="auto"/>
        </w:rPr>
      </w:pPr>
      <w:r>
        <w:rPr>
          <w:rFonts w:ascii="Arial" w:cs="Arial" w:eastAsia="Arial" w:hAnsi="Arial"/>
          <w:sz w:val="18"/>
          <w:szCs w:val="18"/>
          <w:color w:val="auto"/>
        </w:rPr>
        <w:t>D. Christian Koch</w:t>
      </w:r>
    </w:p>
    <w:p>
      <w:pPr>
        <w:jc w:val="center"/>
        <w:ind w:right="-19"/>
        <w:spacing w:after="0"/>
        <w:rPr>
          <w:sz w:val="20"/>
          <w:szCs w:val="20"/>
          <w:color w:val="auto"/>
        </w:rPr>
      </w:pPr>
      <w:r>
        <w:rPr>
          <w:rFonts w:ascii="Arial" w:cs="Arial" w:eastAsia="Arial" w:hAnsi="Arial"/>
          <w:sz w:val="18"/>
          <w:szCs w:val="18"/>
          <w:color w:val="auto"/>
        </w:rPr>
        <w:t>Joyce A. Mullen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ind w:right="-19"/>
        <w:spacing w:after="0"/>
        <w:rPr>
          <w:sz w:val="20"/>
          <w:szCs w:val="20"/>
          <w:color w:val="auto"/>
        </w:rPr>
      </w:pPr>
      <w:r>
        <w:rPr>
          <w:rFonts w:ascii="Arial" w:cs="Arial" w:eastAsia="Arial" w:hAnsi="Arial"/>
          <w:sz w:val="21"/>
          <w:szCs w:val="21"/>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79375</wp:posOffset>
            </wp:positionV>
            <wp:extent cx="7159625" cy="425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103" w:right="339" w:bottom="1440" w:gutter="0" w:footer="0" w:header="0"/>
        </w:sectPr>
      </w:pPr>
    </w:p>
    <w:bookmarkStart w:id="59" w:name="page60"/>
    <w:bookmarkEnd w:id="59"/>
    <w:p>
      <w:pPr>
        <w:jc w:val="center"/>
        <w:ind w:right="220"/>
        <w:spacing w:after="0"/>
        <w:rPr>
          <w:sz w:val="20"/>
          <w:szCs w:val="20"/>
          <w:color w:val="auto"/>
        </w:rPr>
      </w:pPr>
      <w:r>
        <w:rPr>
          <w:rFonts w:ascii="Arial" w:cs="Arial" w:eastAsia="Arial" w:hAnsi="Arial"/>
          <w:sz w:val="21"/>
          <w:szCs w:val="21"/>
          <w:b w:val="1"/>
          <w:bCs w:val="1"/>
          <w:color w:val="FFFFFF"/>
        </w:rPr>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-151765</wp:posOffset>
            </wp:positionV>
            <wp:extent cx="6998335" cy="18669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6998335" cy="186690"/>
                    </a:xfrm>
                    <a:prstGeom prst="rect">
                      <a:avLst/>
                    </a:prstGeom>
                    <a:noFill/>
                  </pic:spPr>
                </pic:pic>
              </a:graphicData>
            </a:graphic>
          </wp:anchor>
        </w:drawing>
      </w:r>
    </w:p>
    <w:p>
      <w:pPr>
        <w:spacing w:after="0" w:line="317" w:lineRule="exact"/>
        <w:rPr>
          <w:sz w:val="20"/>
          <w:szCs w:val="20"/>
          <w:color w:val="auto"/>
        </w:rPr>
      </w:pPr>
    </w:p>
    <w:p>
      <w:pPr>
        <w:spacing w:after="0"/>
        <w:rPr>
          <w:sz w:val="20"/>
          <w:szCs w:val="20"/>
          <w:color w:val="auto"/>
        </w:rPr>
      </w:pPr>
      <w:r>
        <w:rPr>
          <w:rFonts w:ascii="Arial" w:cs="Arial" w:eastAsia="Arial" w:hAnsi="Arial"/>
          <w:sz w:val="20"/>
          <w:szCs w:val="20"/>
          <w:b w:val="1"/>
          <w:bCs w:val="1"/>
          <w:color w:val="BF2115"/>
        </w:rPr>
        <w:t>Summary Compensation Table</w:t>
      </w:r>
    </w:p>
    <w:p>
      <w:pPr>
        <w:spacing w:after="0" w:line="97" w:lineRule="exact"/>
        <w:rPr>
          <w:sz w:val="20"/>
          <w:szCs w:val="20"/>
          <w:color w:val="auto"/>
        </w:rPr>
      </w:pPr>
    </w:p>
    <w:p>
      <w:pPr>
        <w:jc w:val="both"/>
        <w:ind w:firstLine="320"/>
        <w:spacing w:after="0" w:line="233" w:lineRule="auto"/>
        <w:rPr>
          <w:sz w:val="20"/>
          <w:szCs w:val="20"/>
          <w:color w:val="auto"/>
        </w:rPr>
      </w:pPr>
      <w:r>
        <w:rPr>
          <w:rFonts w:ascii="Arial" w:cs="Arial" w:eastAsia="Arial" w:hAnsi="Arial"/>
          <w:sz w:val="18"/>
          <w:szCs w:val="18"/>
          <w:color w:val="auto"/>
        </w:rPr>
        <w:t>The following table summarizes compensation for each of the last three fiscal years awarded to, earned by or paid to individuals who served as our principal executive officer and principal financial officer during fiscal 2024, and the other three most highly compensated</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executive officers during fiscal 2024.We collectively refer to these as our “named executive officers,” or NEOs.</w:t>
      </w:r>
    </w:p>
    <w:p>
      <w:pPr>
        <w:spacing w:after="0" w:line="217" w:lineRule="exact"/>
        <w:rPr>
          <w:sz w:val="20"/>
          <w:szCs w:val="20"/>
          <w:color w:val="auto"/>
        </w:rPr>
      </w:pPr>
    </w:p>
    <w:p>
      <w:pPr>
        <w:jc w:val="both"/>
        <w:ind w:firstLine="320"/>
        <w:spacing w:after="0" w:line="239" w:lineRule="auto"/>
        <w:rPr>
          <w:sz w:val="20"/>
          <w:szCs w:val="20"/>
          <w:color w:val="auto"/>
        </w:rPr>
      </w:pPr>
      <w:r>
        <w:rPr>
          <w:rFonts w:ascii="Arial" w:cs="Arial" w:eastAsia="Arial" w:hAnsi="Arial"/>
          <w:sz w:val="18"/>
          <w:szCs w:val="18"/>
          <w:color w:val="auto"/>
        </w:rPr>
        <w:t>Amounts in this Summary Compensation Table are not reduced to reflect any elections to defer receipt of base salary, annual cash incentive award payouts or performance share award payouts. Elections to defer these forms of compensation are described in more detail under “Nonqualified Deferred Compensation for Fiscal 2024.” Earnings on nonqualified deferred compensation are not on a basis that is considered to be above-market or preferential. The “Compensation Discussion and Analysis” provides additional information about compensation paid to our NEOs.</w:t>
      </w:r>
    </w:p>
    <w:p>
      <w:pPr>
        <w:spacing w:after="0" w:line="267" w:lineRule="exact"/>
        <w:rPr>
          <w:sz w:val="20"/>
          <w:szCs w:val="20"/>
          <w:color w:val="auto"/>
        </w:rPr>
      </w:pPr>
    </w:p>
    <w:tbl>
      <w:tblPr>
        <w:tblLayout w:type="fixed"/>
        <w:tblInd w:w="60" w:type="dxa"/>
        <w:tblCellMar>
          <w:top w:w="0" w:type="dxa"/>
          <w:left w:w="0" w:type="dxa"/>
          <w:bottom w:w="0" w:type="dxa"/>
          <w:right w:w="0" w:type="dxa"/>
        </w:tblCellMar>
      </w:tblPr>
      <w:tr>
        <w:trPr>
          <w:trHeight w:val="172"/>
        </w:trPr>
        <w:tc>
          <w:tcPr>
            <w:tcW w:w="2600" w:type="dxa"/>
            <w:vAlign w:val="bottom"/>
            <w:shd w:val="clear" w:color="auto" w:fill="BF2115"/>
          </w:tcPr>
          <w:p>
            <w:pPr>
              <w:spacing w:after="0"/>
              <w:rPr>
                <w:sz w:val="14"/>
                <w:szCs w:val="14"/>
                <w:color w:val="auto"/>
              </w:rPr>
            </w:pPr>
          </w:p>
        </w:tc>
        <w:tc>
          <w:tcPr>
            <w:tcW w:w="620" w:type="dxa"/>
            <w:vAlign w:val="bottom"/>
            <w:shd w:val="clear" w:color="auto" w:fill="BF2115"/>
          </w:tcPr>
          <w:p>
            <w:pPr>
              <w:spacing w:after="0"/>
              <w:rPr>
                <w:sz w:val="14"/>
                <w:szCs w:val="14"/>
                <w:color w:val="auto"/>
              </w:rPr>
            </w:pPr>
          </w:p>
        </w:tc>
        <w:tc>
          <w:tcPr>
            <w:tcW w:w="120" w:type="dxa"/>
            <w:vAlign w:val="bottom"/>
            <w:shd w:val="clear" w:color="auto" w:fill="BF2115"/>
          </w:tcPr>
          <w:p>
            <w:pPr>
              <w:spacing w:after="0"/>
              <w:rPr>
                <w:sz w:val="14"/>
                <w:szCs w:val="14"/>
                <w:color w:val="auto"/>
              </w:rPr>
            </w:pPr>
          </w:p>
        </w:tc>
        <w:tc>
          <w:tcPr>
            <w:tcW w:w="1000" w:type="dxa"/>
            <w:vAlign w:val="bottom"/>
            <w:shd w:val="clear" w:color="auto" w:fill="BF2115"/>
          </w:tcPr>
          <w:p>
            <w:pPr>
              <w:spacing w:after="0"/>
              <w:rPr>
                <w:sz w:val="14"/>
                <w:szCs w:val="14"/>
                <w:color w:val="auto"/>
              </w:rPr>
            </w:pPr>
          </w:p>
        </w:tc>
        <w:tc>
          <w:tcPr>
            <w:tcW w:w="900" w:type="dxa"/>
            <w:vAlign w:val="bottom"/>
            <w:shd w:val="clear" w:color="auto" w:fill="BF2115"/>
          </w:tcPr>
          <w:p>
            <w:pPr>
              <w:spacing w:after="0"/>
              <w:rPr>
                <w:sz w:val="14"/>
                <w:szCs w:val="14"/>
                <w:color w:val="auto"/>
              </w:rPr>
            </w:pPr>
          </w:p>
        </w:tc>
        <w:tc>
          <w:tcPr>
            <w:tcW w:w="1000" w:type="dxa"/>
            <w:vAlign w:val="bottom"/>
            <w:shd w:val="clear" w:color="auto" w:fill="BF2115"/>
          </w:tcPr>
          <w:p>
            <w:pPr>
              <w:jc w:val="center"/>
              <w:ind w:right="97"/>
              <w:spacing w:after="0"/>
              <w:rPr>
                <w:sz w:val="20"/>
                <w:szCs w:val="20"/>
                <w:color w:val="auto"/>
              </w:rPr>
            </w:pPr>
            <w:r>
              <w:rPr>
                <w:rFonts w:ascii="Arial" w:cs="Arial" w:eastAsia="Arial" w:hAnsi="Arial"/>
                <w:sz w:val="13"/>
                <w:szCs w:val="13"/>
                <w:b w:val="1"/>
                <w:bCs w:val="1"/>
                <w:color w:val="FFFFFF"/>
              </w:rPr>
              <w:t>Stock</w:t>
            </w:r>
          </w:p>
        </w:tc>
        <w:tc>
          <w:tcPr>
            <w:tcW w:w="920" w:type="dxa"/>
            <w:vAlign w:val="bottom"/>
            <w:shd w:val="clear" w:color="auto" w:fill="BF2115"/>
          </w:tcPr>
          <w:p>
            <w:pPr>
              <w:jc w:val="center"/>
              <w:ind w:right="57"/>
              <w:spacing w:after="0"/>
              <w:rPr>
                <w:sz w:val="20"/>
                <w:szCs w:val="20"/>
                <w:color w:val="auto"/>
              </w:rPr>
            </w:pPr>
            <w:r>
              <w:rPr>
                <w:rFonts w:ascii="Arial" w:cs="Arial" w:eastAsia="Arial" w:hAnsi="Arial"/>
                <w:sz w:val="13"/>
                <w:szCs w:val="13"/>
                <w:b w:val="1"/>
                <w:bCs w:val="1"/>
                <w:color w:val="FFFFFF"/>
              </w:rPr>
              <w:t>Option</w:t>
            </w:r>
          </w:p>
        </w:tc>
        <w:tc>
          <w:tcPr>
            <w:tcW w:w="1620" w:type="dxa"/>
            <w:vAlign w:val="bottom"/>
            <w:shd w:val="clear" w:color="auto" w:fill="BF2115"/>
          </w:tcPr>
          <w:p>
            <w:pPr>
              <w:jc w:val="center"/>
              <w:ind w:right="77"/>
              <w:spacing w:after="0"/>
              <w:rPr>
                <w:sz w:val="20"/>
                <w:szCs w:val="20"/>
                <w:color w:val="auto"/>
              </w:rPr>
            </w:pPr>
            <w:r>
              <w:rPr>
                <w:rFonts w:ascii="Arial" w:cs="Arial" w:eastAsia="Arial" w:hAnsi="Arial"/>
                <w:sz w:val="13"/>
                <w:szCs w:val="13"/>
                <w:b w:val="1"/>
                <w:bCs w:val="1"/>
                <w:color w:val="FFFFFF"/>
              </w:rPr>
              <w:t>Non-Equity Incentive</w:t>
            </w:r>
          </w:p>
        </w:tc>
        <w:tc>
          <w:tcPr>
            <w:tcW w:w="1540" w:type="dxa"/>
            <w:vAlign w:val="bottom"/>
            <w:shd w:val="clear" w:color="auto" w:fill="BF2115"/>
          </w:tcPr>
          <w:p>
            <w:pPr>
              <w:jc w:val="center"/>
              <w:ind w:right="157"/>
              <w:spacing w:after="0"/>
              <w:rPr>
                <w:sz w:val="20"/>
                <w:szCs w:val="20"/>
                <w:color w:val="auto"/>
              </w:rPr>
            </w:pPr>
            <w:r>
              <w:rPr>
                <w:rFonts w:ascii="Arial" w:cs="Arial" w:eastAsia="Arial" w:hAnsi="Arial"/>
                <w:sz w:val="13"/>
                <w:szCs w:val="13"/>
                <w:b w:val="1"/>
                <w:bCs w:val="1"/>
                <w:color w:val="FFFFFF"/>
              </w:rPr>
              <w:t>All Other</w:t>
            </w:r>
          </w:p>
        </w:tc>
        <w:tc>
          <w:tcPr>
            <w:tcW w:w="800" w:type="dxa"/>
            <w:vAlign w:val="bottom"/>
            <w:shd w:val="clear" w:color="auto" w:fill="BF2115"/>
          </w:tcPr>
          <w:p>
            <w:pPr>
              <w:spacing w:after="0"/>
              <w:rPr>
                <w:sz w:val="14"/>
                <w:szCs w:val="14"/>
                <w:color w:val="auto"/>
              </w:rPr>
            </w:pPr>
          </w:p>
        </w:tc>
        <w:tc>
          <w:tcPr>
            <w:tcW w:w="0" w:type="dxa"/>
            <w:vAlign w:val="bottom"/>
          </w:tcPr>
          <w:p>
            <w:pPr>
              <w:spacing w:after="0"/>
              <w:rPr>
                <w:sz w:val="1"/>
                <w:szCs w:val="1"/>
                <w:color w:val="auto"/>
              </w:rPr>
            </w:pPr>
          </w:p>
        </w:tc>
      </w:tr>
      <w:tr>
        <w:trPr>
          <w:trHeight w:val="173"/>
        </w:trPr>
        <w:tc>
          <w:tcPr>
            <w:tcW w:w="2600" w:type="dxa"/>
            <w:vAlign w:val="bottom"/>
            <w:shd w:val="clear" w:color="auto" w:fill="BF2115"/>
          </w:tcPr>
          <w:p>
            <w:pPr>
              <w:ind w:left="20"/>
              <w:spacing w:after="0"/>
              <w:rPr>
                <w:sz w:val="20"/>
                <w:szCs w:val="20"/>
                <w:color w:val="auto"/>
              </w:rPr>
            </w:pPr>
            <w:r>
              <w:rPr>
                <w:rFonts w:ascii="Arial" w:cs="Arial" w:eastAsia="Arial" w:hAnsi="Arial"/>
                <w:sz w:val="13"/>
                <w:szCs w:val="13"/>
                <w:b w:val="1"/>
                <w:bCs w:val="1"/>
                <w:color w:val="FFFFFF"/>
              </w:rPr>
              <w:t>Name and</w:t>
            </w:r>
          </w:p>
        </w:tc>
        <w:tc>
          <w:tcPr>
            <w:tcW w:w="620" w:type="dxa"/>
            <w:vAlign w:val="bottom"/>
            <w:shd w:val="clear" w:color="auto" w:fill="BF2115"/>
          </w:tcPr>
          <w:p>
            <w:pPr>
              <w:jc w:val="center"/>
              <w:spacing w:after="0"/>
              <w:rPr>
                <w:sz w:val="20"/>
                <w:szCs w:val="20"/>
                <w:color w:val="auto"/>
              </w:rPr>
            </w:pPr>
            <w:r>
              <w:rPr>
                <w:rFonts w:ascii="Arial" w:cs="Arial" w:eastAsia="Arial" w:hAnsi="Arial"/>
                <w:sz w:val="13"/>
                <w:szCs w:val="13"/>
                <w:b w:val="1"/>
                <w:bCs w:val="1"/>
                <w:color w:val="FFFFFF"/>
              </w:rPr>
              <w:t>Fiscal</w:t>
            </w:r>
          </w:p>
        </w:tc>
        <w:tc>
          <w:tcPr>
            <w:tcW w:w="120" w:type="dxa"/>
            <w:vAlign w:val="bottom"/>
            <w:shd w:val="clear" w:color="auto" w:fill="BF2115"/>
          </w:tcPr>
          <w:p>
            <w:pPr>
              <w:spacing w:after="0"/>
              <w:rPr>
                <w:sz w:val="15"/>
                <w:szCs w:val="15"/>
                <w:color w:val="auto"/>
              </w:rPr>
            </w:pPr>
          </w:p>
        </w:tc>
        <w:tc>
          <w:tcPr>
            <w:tcW w:w="1000" w:type="dxa"/>
            <w:vAlign w:val="bottom"/>
            <w:shd w:val="clear" w:color="auto" w:fill="BF2115"/>
          </w:tcPr>
          <w:p>
            <w:pPr>
              <w:jc w:val="right"/>
              <w:ind w:right="276"/>
              <w:spacing w:after="0" w:line="173" w:lineRule="exact"/>
              <w:rPr>
                <w:sz w:val="20"/>
                <w:szCs w:val="20"/>
                <w:color w:val="auto"/>
              </w:rPr>
            </w:pPr>
            <w:r>
              <w:rPr>
                <w:rFonts w:ascii="Arial" w:cs="Arial" w:eastAsia="Arial" w:hAnsi="Arial"/>
                <w:sz w:val="13"/>
                <w:szCs w:val="13"/>
                <w:b w:val="1"/>
                <w:bCs w:val="1"/>
                <w:color w:val="FFFFFF"/>
              </w:rPr>
              <w:t>Salary</w:t>
            </w:r>
            <w:r>
              <w:rPr>
                <w:rFonts w:ascii="Arial" w:cs="Arial" w:eastAsia="Arial" w:hAnsi="Arial"/>
                <w:sz w:val="17"/>
                <w:szCs w:val="17"/>
                <w:b w:val="1"/>
                <w:bCs w:val="1"/>
                <w:color w:val="FFFFFF"/>
                <w:vertAlign w:val="superscript"/>
              </w:rPr>
              <w:t>1</w:t>
            </w:r>
          </w:p>
        </w:tc>
        <w:tc>
          <w:tcPr>
            <w:tcW w:w="900" w:type="dxa"/>
            <w:vAlign w:val="bottom"/>
            <w:shd w:val="clear" w:color="auto" w:fill="BF2115"/>
          </w:tcPr>
          <w:p>
            <w:pPr>
              <w:jc w:val="right"/>
              <w:ind w:right="237"/>
              <w:spacing w:after="0" w:line="173" w:lineRule="exact"/>
              <w:rPr>
                <w:sz w:val="20"/>
                <w:szCs w:val="20"/>
                <w:color w:val="auto"/>
              </w:rPr>
            </w:pPr>
            <w:r>
              <w:rPr>
                <w:rFonts w:ascii="Arial" w:cs="Arial" w:eastAsia="Arial" w:hAnsi="Arial"/>
                <w:sz w:val="13"/>
                <w:szCs w:val="13"/>
                <w:b w:val="1"/>
                <w:bCs w:val="1"/>
                <w:color w:val="FFFFFF"/>
              </w:rPr>
              <w:t>Bonus</w:t>
            </w:r>
            <w:r>
              <w:rPr>
                <w:rFonts w:ascii="Arial" w:cs="Arial" w:eastAsia="Arial" w:hAnsi="Arial"/>
                <w:sz w:val="17"/>
                <w:szCs w:val="17"/>
                <w:b w:val="1"/>
                <w:bCs w:val="1"/>
                <w:color w:val="FFFFFF"/>
                <w:vertAlign w:val="superscript"/>
              </w:rPr>
              <w:t>2</w:t>
            </w:r>
          </w:p>
        </w:tc>
        <w:tc>
          <w:tcPr>
            <w:tcW w:w="1000" w:type="dxa"/>
            <w:vAlign w:val="bottom"/>
            <w:shd w:val="clear" w:color="auto" w:fill="BF2115"/>
          </w:tcPr>
          <w:p>
            <w:pPr>
              <w:jc w:val="center"/>
              <w:ind w:right="97"/>
              <w:spacing w:after="0" w:line="173" w:lineRule="exact"/>
              <w:rPr>
                <w:sz w:val="20"/>
                <w:szCs w:val="20"/>
                <w:color w:val="auto"/>
              </w:rPr>
            </w:pPr>
            <w:r>
              <w:rPr>
                <w:rFonts w:ascii="Arial" w:cs="Arial" w:eastAsia="Arial" w:hAnsi="Arial"/>
                <w:sz w:val="13"/>
                <w:szCs w:val="13"/>
                <w:b w:val="1"/>
                <w:bCs w:val="1"/>
                <w:color w:val="FFFFFF"/>
                <w:w w:val="97"/>
              </w:rPr>
              <w:t>Awards</w:t>
            </w:r>
            <w:r>
              <w:rPr>
                <w:rFonts w:ascii="Arial" w:cs="Arial" w:eastAsia="Arial" w:hAnsi="Arial"/>
                <w:sz w:val="17"/>
                <w:szCs w:val="17"/>
                <w:b w:val="1"/>
                <w:bCs w:val="1"/>
                <w:color w:val="FFFFFF"/>
                <w:w w:val="97"/>
                <w:vertAlign w:val="superscript"/>
              </w:rPr>
              <w:t>3</w:t>
            </w:r>
          </w:p>
        </w:tc>
        <w:tc>
          <w:tcPr>
            <w:tcW w:w="920" w:type="dxa"/>
            <w:vAlign w:val="bottom"/>
            <w:shd w:val="clear" w:color="auto" w:fill="BF2115"/>
          </w:tcPr>
          <w:p>
            <w:pPr>
              <w:jc w:val="center"/>
              <w:ind w:right="57"/>
              <w:spacing w:after="0" w:line="173" w:lineRule="exact"/>
              <w:rPr>
                <w:sz w:val="20"/>
                <w:szCs w:val="20"/>
                <w:color w:val="auto"/>
              </w:rPr>
            </w:pPr>
            <w:r>
              <w:rPr>
                <w:rFonts w:ascii="Arial" w:cs="Arial" w:eastAsia="Arial" w:hAnsi="Arial"/>
                <w:sz w:val="13"/>
                <w:szCs w:val="13"/>
                <w:b w:val="1"/>
                <w:bCs w:val="1"/>
                <w:color w:val="FFFFFF"/>
                <w:w w:val="97"/>
              </w:rPr>
              <w:t>Awards</w:t>
            </w:r>
            <w:r>
              <w:rPr>
                <w:rFonts w:ascii="Arial" w:cs="Arial" w:eastAsia="Arial" w:hAnsi="Arial"/>
                <w:sz w:val="17"/>
                <w:szCs w:val="17"/>
                <w:b w:val="1"/>
                <w:bCs w:val="1"/>
                <w:color w:val="FFFFFF"/>
                <w:w w:val="97"/>
                <w:vertAlign w:val="superscript"/>
              </w:rPr>
              <w:t>4</w:t>
            </w:r>
          </w:p>
        </w:tc>
        <w:tc>
          <w:tcPr>
            <w:tcW w:w="1620" w:type="dxa"/>
            <w:vAlign w:val="bottom"/>
            <w:shd w:val="clear" w:color="auto" w:fill="BF2115"/>
          </w:tcPr>
          <w:p>
            <w:pPr>
              <w:jc w:val="center"/>
              <w:ind w:right="57"/>
              <w:spacing w:after="0" w:line="173" w:lineRule="exact"/>
              <w:rPr>
                <w:sz w:val="20"/>
                <w:szCs w:val="20"/>
                <w:color w:val="auto"/>
              </w:rPr>
            </w:pPr>
            <w:r>
              <w:rPr>
                <w:rFonts w:ascii="Arial" w:cs="Arial" w:eastAsia="Arial" w:hAnsi="Arial"/>
                <w:sz w:val="13"/>
                <w:szCs w:val="13"/>
                <w:b w:val="1"/>
                <w:bCs w:val="1"/>
                <w:color w:val="FFFFFF"/>
              </w:rPr>
              <w:t>Plan Compensation</w:t>
            </w:r>
            <w:r>
              <w:rPr>
                <w:rFonts w:ascii="Arial" w:cs="Arial" w:eastAsia="Arial" w:hAnsi="Arial"/>
                <w:sz w:val="17"/>
                <w:szCs w:val="17"/>
                <w:b w:val="1"/>
                <w:bCs w:val="1"/>
                <w:color w:val="FFFFFF"/>
                <w:vertAlign w:val="superscript"/>
              </w:rPr>
              <w:t>5</w:t>
            </w:r>
          </w:p>
        </w:tc>
        <w:tc>
          <w:tcPr>
            <w:tcW w:w="1540" w:type="dxa"/>
            <w:vAlign w:val="bottom"/>
            <w:shd w:val="clear" w:color="auto" w:fill="BF2115"/>
          </w:tcPr>
          <w:p>
            <w:pPr>
              <w:jc w:val="center"/>
              <w:ind w:right="177"/>
              <w:spacing w:after="0" w:line="173" w:lineRule="exact"/>
              <w:rPr>
                <w:sz w:val="20"/>
                <w:szCs w:val="20"/>
                <w:color w:val="auto"/>
              </w:rPr>
            </w:pPr>
            <w:r>
              <w:rPr>
                <w:rFonts w:ascii="Arial" w:cs="Arial" w:eastAsia="Arial" w:hAnsi="Arial"/>
                <w:sz w:val="13"/>
                <w:szCs w:val="13"/>
                <w:b w:val="1"/>
                <w:bCs w:val="1"/>
                <w:color w:val="FFFFFF"/>
              </w:rPr>
              <w:t>Compensation</w:t>
            </w:r>
            <w:r>
              <w:rPr>
                <w:rFonts w:ascii="Arial" w:cs="Arial" w:eastAsia="Arial" w:hAnsi="Arial"/>
                <w:sz w:val="17"/>
                <w:szCs w:val="17"/>
                <w:b w:val="1"/>
                <w:bCs w:val="1"/>
                <w:color w:val="FFFFFF"/>
                <w:vertAlign w:val="superscript"/>
              </w:rPr>
              <w:t>6</w:t>
            </w:r>
          </w:p>
        </w:tc>
        <w:tc>
          <w:tcPr>
            <w:tcW w:w="800" w:type="dxa"/>
            <w:vAlign w:val="bottom"/>
            <w:shd w:val="clear" w:color="auto" w:fill="BF2115"/>
          </w:tcPr>
          <w:p>
            <w:pPr>
              <w:jc w:val="right"/>
              <w:ind w:right="217"/>
              <w:spacing w:after="0"/>
              <w:rPr>
                <w:sz w:val="20"/>
                <w:szCs w:val="20"/>
                <w:color w:val="auto"/>
              </w:rPr>
            </w:pPr>
            <w:r>
              <w:rPr>
                <w:rFonts w:ascii="Arial" w:cs="Arial" w:eastAsia="Arial" w:hAnsi="Arial"/>
                <w:sz w:val="13"/>
                <w:szCs w:val="13"/>
                <w:b w:val="1"/>
                <w:bCs w:val="1"/>
                <w:color w:val="FFFFFF"/>
              </w:rPr>
              <w:t>Total</w:t>
            </w:r>
          </w:p>
        </w:tc>
        <w:tc>
          <w:tcPr>
            <w:tcW w:w="0" w:type="dxa"/>
            <w:vAlign w:val="bottom"/>
          </w:tcPr>
          <w:p>
            <w:pPr>
              <w:spacing w:after="0"/>
              <w:rPr>
                <w:sz w:val="1"/>
                <w:szCs w:val="1"/>
                <w:color w:val="auto"/>
              </w:rPr>
            </w:pPr>
          </w:p>
        </w:tc>
      </w:tr>
      <w:tr>
        <w:trPr>
          <w:trHeight w:val="201"/>
        </w:trPr>
        <w:tc>
          <w:tcPr>
            <w:tcW w:w="2600" w:type="dxa"/>
            <w:vAlign w:val="bottom"/>
            <w:shd w:val="clear" w:color="auto" w:fill="BF2115"/>
          </w:tcPr>
          <w:p>
            <w:pPr>
              <w:ind w:left="20"/>
              <w:spacing w:after="0"/>
              <w:rPr>
                <w:sz w:val="20"/>
                <w:szCs w:val="20"/>
                <w:color w:val="auto"/>
              </w:rPr>
            </w:pPr>
            <w:r>
              <w:rPr>
                <w:rFonts w:ascii="Arial" w:cs="Arial" w:eastAsia="Arial" w:hAnsi="Arial"/>
                <w:sz w:val="13"/>
                <w:szCs w:val="13"/>
                <w:b w:val="1"/>
                <w:bCs w:val="1"/>
                <w:color w:val="FFFFFF"/>
              </w:rPr>
              <w:t>Principal Position</w:t>
            </w:r>
          </w:p>
        </w:tc>
        <w:tc>
          <w:tcPr>
            <w:tcW w:w="620" w:type="dxa"/>
            <w:vAlign w:val="bottom"/>
            <w:shd w:val="clear" w:color="auto" w:fill="BF2115"/>
          </w:tcPr>
          <w:p>
            <w:pPr>
              <w:jc w:val="center"/>
              <w:spacing w:after="0"/>
              <w:rPr>
                <w:sz w:val="20"/>
                <w:szCs w:val="20"/>
                <w:color w:val="auto"/>
              </w:rPr>
            </w:pPr>
            <w:r>
              <w:rPr>
                <w:rFonts w:ascii="Arial" w:cs="Arial" w:eastAsia="Arial" w:hAnsi="Arial"/>
                <w:sz w:val="13"/>
                <w:szCs w:val="13"/>
                <w:b w:val="1"/>
                <w:bCs w:val="1"/>
                <w:color w:val="FFFFFF"/>
                <w:w w:val="99"/>
              </w:rPr>
              <w:t>Year</w:t>
            </w:r>
          </w:p>
        </w:tc>
        <w:tc>
          <w:tcPr>
            <w:tcW w:w="1120" w:type="dxa"/>
            <w:vAlign w:val="bottom"/>
            <w:gridSpan w:val="2"/>
            <w:shd w:val="clear" w:color="auto" w:fill="BF2115"/>
          </w:tcPr>
          <w:p>
            <w:pPr>
              <w:jc w:val="right"/>
              <w:ind w:right="416"/>
              <w:spacing w:after="0"/>
              <w:rPr>
                <w:sz w:val="20"/>
                <w:szCs w:val="20"/>
                <w:color w:val="auto"/>
              </w:rPr>
            </w:pPr>
            <w:r>
              <w:rPr>
                <w:rFonts w:ascii="Arial" w:cs="Arial" w:eastAsia="Arial" w:hAnsi="Arial"/>
                <w:sz w:val="13"/>
                <w:szCs w:val="13"/>
                <w:b w:val="1"/>
                <w:bCs w:val="1"/>
                <w:color w:val="FFFFFF"/>
              </w:rPr>
              <w:t>($)</w:t>
            </w:r>
          </w:p>
        </w:tc>
        <w:tc>
          <w:tcPr>
            <w:tcW w:w="900" w:type="dxa"/>
            <w:vAlign w:val="bottom"/>
            <w:shd w:val="clear" w:color="auto" w:fill="BF2115"/>
          </w:tcPr>
          <w:p>
            <w:pPr>
              <w:jc w:val="center"/>
              <w:ind w:right="77"/>
              <w:spacing w:after="0"/>
              <w:rPr>
                <w:sz w:val="20"/>
                <w:szCs w:val="20"/>
                <w:color w:val="auto"/>
              </w:rPr>
            </w:pPr>
            <w:r>
              <w:rPr>
                <w:rFonts w:ascii="Arial" w:cs="Arial" w:eastAsia="Arial" w:hAnsi="Arial"/>
                <w:sz w:val="13"/>
                <w:szCs w:val="13"/>
                <w:b w:val="1"/>
                <w:bCs w:val="1"/>
                <w:color w:val="FFFFFF"/>
              </w:rPr>
              <w:t>($)</w:t>
            </w:r>
          </w:p>
        </w:tc>
        <w:tc>
          <w:tcPr>
            <w:tcW w:w="1000" w:type="dxa"/>
            <w:vAlign w:val="bottom"/>
            <w:shd w:val="clear" w:color="auto" w:fill="BF2115"/>
          </w:tcPr>
          <w:p>
            <w:pPr>
              <w:jc w:val="center"/>
              <w:ind w:right="97"/>
              <w:spacing w:after="0"/>
              <w:rPr>
                <w:sz w:val="20"/>
                <w:szCs w:val="20"/>
                <w:color w:val="auto"/>
              </w:rPr>
            </w:pPr>
            <w:r>
              <w:rPr>
                <w:rFonts w:ascii="Arial" w:cs="Arial" w:eastAsia="Arial" w:hAnsi="Arial"/>
                <w:sz w:val="13"/>
                <w:szCs w:val="13"/>
                <w:b w:val="1"/>
                <w:bCs w:val="1"/>
                <w:color w:val="FFFFFF"/>
              </w:rPr>
              <w:t>($)</w:t>
            </w:r>
          </w:p>
        </w:tc>
        <w:tc>
          <w:tcPr>
            <w:tcW w:w="920" w:type="dxa"/>
            <w:vAlign w:val="bottom"/>
            <w:shd w:val="clear" w:color="auto" w:fill="BF2115"/>
          </w:tcPr>
          <w:p>
            <w:pPr>
              <w:jc w:val="center"/>
              <w:ind w:right="57"/>
              <w:spacing w:after="0"/>
              <w:rPr>
                <w:sz w:val="20"/>
                <w:szCs w:val="20"/>
                <w:color w:val="auto"/>
              </w:rPr>
            </w:pPr>
            <w:r>
              <w:rPr>
                <w:rFonts w:ascii="Arial" w:cs="Arial" w:eastAsia="Arial" w:hAnsi="Arial"/>
                <w:sz w:val="13"/>
                <w:szCs w:val="13"/>
                <w:b w:val="1"/>
                <w:bCs w:val="1"/>
                <w:color w:val="FFFFFF"/>
              </w:rPr>
              <w:t>($)</w:t>
            </w:r>
          </w:p>
        </w:tc>
        <w:tc>
          <w:tcPr>
            <w:tcW w:w="1620" w:type="dxa"/>
            <w:vAlign w:val="bottom"/>
            <w:shd w:val="clear" w:color="auto" w:fill="BF2115"/>
          </w:tcPr>
          <w:p>
            <w:pPr>
              <w:jc w:val="center"/>
              <w:ind w:right="77"/>
              <w:spacing w:after="0"/>
              <w:rPr>
                <w:sz w:val="20"/>
                <w:szCs w:val="20"/>
                <w:color w:val="auto"/>
              </w:rPr>
            </w:pPr>
            <w:r>
              <w:rPr>
                <w:rFonts w:ascii="Arial" w:cs="Arial" w:eastAsia="Arial" w:hAnsi="Arial"/>
                <w:sz w:val="13"/>
                <w:szCs w:val="13"/>
                <w:b w:val="1"/>
                <w:bCs w:val="1"/>
                <w:color w:val="FFFFFF"/>
              </w:rPr>
              <w:t>($)</w:t>
            </w:r>
          </w:p>
        </w:tc>
        <w:tc>
          <w:tcPr>
            <w:tcW w:w="1540" w:type="dxa"/>
            <w:vAlign w:val="bottom"/>
            <w:shd w:val="clear" w:color="auto" w:fill="BF2115"/>
          </w:tcPr>
          <w:p>
            <w:pPr>
              <w:jc w:val="center"/>
              <w:ind w:right="157"/>
              <w:spacing w:after="0"/>
              <w:rPr>
                <w:sz w:val="20"/>
                <w:szCs w:val="20"/>
                <w:color w:val="auto"/>
              </w:rPr>
            </w:pPr>
            <w:r>
              <w:rPr>
                <w:rFonts w:ascii="Arial" w:cs="Arial" w:eastAsia="Arial" w:hAnsi="Arial"/>
                <w:sz w:val="13"/>
                <w:szCs w:val="13"/>
                <w:b w:val="1"/>
                <w:bCs w:val="1"/>
                <w:color w:val="FFFFFF"/>
              </w:rPr>
              <w:t>($)</w:t>
            </w:r>
          </w:p>
        </w:tc>
        <w:tc>
          <w:tcPr>
            <w:tcW w:w="800" w:type="dxa"/>
            <w:vAlign w:val="bottom"/>
            <w:shd w:val="clear" w:color="auto" w:fill="BF2115"/>
          </w:tcPr>
          <w:p>
            <w:pPr>
              <w:jc w:val="right"/>
              <w:ind w:right="277"/>
              <w:spacing w:after="0"/>
              <w:rPr>
                <w:sz w:val="20"/>
                <w:szCs w:val="20"/>
                <w:color w:val="auto"/>
              </w:rPr>
            </w:pPr>
            <w:r>
              <w:rPr>
                <w:rFonts w:ascii="Arial" w:cs="Arial" w:eastAsia="Arial" w:hAnsi="Arial"/>
                <w:sz w:val="13"/>
                <w:szCs w:val="13"/>
                <w:b w:val="1"/>
                <w:bCs w:val="1"/>
                <w:color w:val="FFFFFF"/>
              </w:rPr>
              <w:t>($)</w:t>
            </w:r>
          </w:p>
        </w:tc>
        <w:tc>
          <w:tcPr>
            <w:tcW w:w="0" w:type="dxa"/>
            <w:vAlign w:val="bottom"/>
          </w:tcPr>
          <w:p>
            <w:pPr>
              <w:spacing w:after="0"/>
              <w:rPr>
                <w:sz w:val="1"/>
                <w:szCs w:val="1"/>
                <w:color w:val="auto"/>
              </w:rPr>
            </w:pPr>
          </w:p>
        </w:tc>
      </w:tr>
      <w:tr>
        <w:trPr>
          <w:trHeight w:val="174"/>
        </w:trPr>
        <w:tc>
          <w:tcPr>
            <w:tcW w:w="2600" w:type="dxa"/>
            <w:vAlign w:val="bottom"/>
          </w:tcPr>
          <w:p>
            <w:pPr>
              <w:ind w:left="20"/>
              <w:spacing w:after="0"/>
              <w:rPr>
                <w:sz w:val="20"/>
                <w:szCs w:val="20"/>
                <w:color w:val="auto"/>
              </w:rPr>
            </w:pPr>
            <w:r>
              <w:rPr>
                <w:rFonts w:ascii="Arial" w:cs="Arial" w:eastAsia="Arial" w:hAnsi="Arial"/>
                <w:sz w:val="13"/>
                <w:szCs w:val="13"/>
                <w:color w:val="auto"/>
              </w:rPr>
              <w:t>Richard M. Olson,</w:t>
            </w:r>
          </w:p>
        </w:tc>
        <w:tc>
          <w:tcPr>
            <w:tcW w:w="620" w:type="dxa"/>
            <w:vAlign w:val="bottom"/>
          </w:tcPr>
          <w:p>
            <w:pPr>
              <w:jc w:val="center"/>
              <w:spacing w:after="0"/>
              <w:rPr>
                <w:sz w:val="20"/>
                <w:szCs w:val="20"/>
                <w:color w:val="auto"/>
              </w:rPr>
            </w:pPr>
            <w:r>
              <w:rPr>
                <w:rFonts w:ascii="Arial" w:cs="Arial" w:eastAsia="Arial" w:hAnsi="Arial"/>
                <w:sz w:val="12"/>
                <w:szCs w:val="12"/>
                <w:color w:val="auto"/>
              </w:rPr>
              <w:t>2024</w:t>
            </w:r>
          </w:p>
        </w:tc>
        <w:tc>
          <w:tcPr>
            <w:tcW w:w="1120" w:type="dxa"/>
            <w:vAlign w:val="bottom"/>
            <w:gridSpan w:val="2"/>
          </w:tcPr>
          <w:p>
            <w:pPr>
              <w:jc w:val="right"/>
              <w:ind w:right="76"/>
              <w:spacing w:after="0"/>
              <w:rPr>
                <w:sz w:val="20"/>
                <w:szCs w:val="20"/>
                <w:color w:val="auto"/>
              </w:rPr>
            </w:pPr>
            <w:r>
              <w:rPr>
                <w:rFonts w:ascii="Arial" w:cs="Arial" w:eastAsia="Arial" w:hAnsi="Arial"/>
                <w:sz w:val="12"/>
                <w:szCs w:val="12"/>
                <w:color w:val="auto"/>
              </w:rPr>
              <w:t>1,174,609</w:t>
            </w:r>
          </w:p>
        </w:tc>
        <w:tc>
          <w:tcPr>
            <w:tcW w:w="900" w:type="dxa"/>
            <w:vAlign w:val="bottom"/>
          </w:tcPr>
          <w:p>
            <w:pPr>
              <w:jc w:val="center"/>
              <w:ind w:right="77"/>
              <w:spacing w:after="0"/>
              <w:rPr>
                <w:sz w:val="20"/>
                <w:szCs w:val="20"/>
                <w:color w:val="auto"/>
              </w:rPr>
            </w:pPr>
            <w:r>
              <w:rPr>
                <w:rFonts w:ascii="Arial" w:cs="Arial" w:eastAsia="Arial" w:hAnsi="Arial"/>
                <w:sz w:val="12"/>
                <w:szCs w:val="12"/>
                <w:color w:val="auto"/>
              </w:rPr>
              <w:t>0</w:t>
            </w:r>
          </w:p>
        </w:tc>
        <w:tc>
          <w:tcPr>
            <w:tcW w:w="1000" w:type="dxa"/>
            <w:vAlign w:val="bottom"/>
          </w:tcPr>
          <w:p>
            <w:pPr>
              <w:jc w:val="right"/>
              <w:ind w:right="97"/>
              <w:spacing w:after="0"/>
              <w:rPr>
                <w:sz w:val="20"/>
                <w:szCs w:val="20"/>
                <w:color w:val="auto"/>
              </w:rPr>
            </w:pPr>
            <w:r>
              <w:rPr>
                <w:rFonts w:ascii="Arial" w:cs="Arial" w:eastAsia="Arial" w:hAnsi="Arial"/>
                <w:sz w:val="12"/>
                <w:szCs w:val="12"/>
                <w:color w:val="auto"/>
              </w:rPr>
              <w:t>3,207,120</w:t>
            </w:r>
          </w:p>
        </w:tc>
        <w:tc>
          <w:tcPr>
            <w:tcW w:w="920" w:type="dxa"/>
            <w:vAlign w:val="bottom"/>
          </w:tcPr>
          <w:p>
            <w:pPr>
              <w:jc w:val="right"/>
              <w:ind w:right="37"/>
              <w:spacing w:after="0"/>
              <w:rPr>
                <w:sz w:val="20"/>
                <w:szCs w:val="20"/>
                <w:color w:val="auto"/>
              </w:rPr>
            </w:pPr>
            <w:r>
              <w:rPr>
                <w:rFonts w:ascii="Arial" w:cs="Arial" w:eastAsia="Arial" w:hAnsi="Arial"/>
                <w:sz w:val="12"/>
                <w:szCs w:val="12"/>
                <w:color w:val="auto"/>
              </w:rPr>
              <w:t>3,162,586</w:t>
            </w:r>
          </w:p>
        </w:tc>
        <w:tc>
          <w:tcPr>
            <w:tcW w:w="1620" w:type="dxa"/>
            <w:vAlign w:val="bottom"/>
          </w:tcPr>
          <w:p>
            <w:pPr>
              <w:jc w:val="right"/>
              <w:ind w:right="117"/>
              <w:spacing w:after="0"/>
              <w:rPr>
                <w:sz w:val="20"/>
                <w:szCs w:val="20"/>
                <w:color w:val="auto"/>
              </w:rPr>
            </w:pPr>
            <w:r>
              <w:rPr>
                <w:rFonts w:ascii="Arial" w:cs="Arial" w:eastAsia="Arial" w:hAnsi="Arial"/>
                <w:sz w:val="12"/>
                <w:szCs w:val="12"/>
                <w:color w:val="auto"/>
              </w:rPr>
              <w:t>604,994</w:t>
            </w:r>
          </w:p>
        </w:tc>
        <w:tc>
          <w:tcPr>
            <w:tcW w:w="1540" w:type="dxa"/>
            <w:vAlign w:val="bottom"/>
          </w:tcPr>
          <w:p>
            <w:pPr>
              <w:jc w:val="right"/>
              <w:ind w:right="137"/>
              <w:spacing w:after="0"/>
              <w:rPr>
                <w:sz w:val="20"/>
                <w:szCs w:val="20"/>
                <w:color w:val="auto"/>
              </w:rPr>
            </w:pPr>
            <w:r>
              <w:rPr>
                <w:rFonts w:ascii="Arial" w:cs="Arial" w:eastAsia="Arial" w:hAnsi="Arial"/>
                <w:sz w:val="12"/>
                <w:szCs w:val="12"/>
                <w:color w:val="auto"/>
              </w:rPr>
              <w:t>129,130</w:t>
            </w:r>
          </w:p>
        </w:tc>
        <w:tc>
          <w:tcPr>
            <w:tcW w:w="800" w:type="dxa"/>
            <w:vAlign w:val="bottom"/>
          </w:tcPr>
          <w:p>
            <w:pPr>
              <w:jc w:val="right"/>
              <w:spacing w:after="0"/>
              <w:rPr>
                <w:sz w:val="20"/>
                <w:szCs w:val="20"/>
                <w:color w:val="auto"/>
              </w:rPr>
            </w:pPr>
            <w:r>
              <w:rPr>
                <w:rFonts w:ascii="Arial" w:cs="Arial" w:eastAsia="Arial" w:hAnsi="Arial"/>
                <w:sz w:val="12"/>
                <w:szCs w:val="12"/>
                <w:color w:val="auto"/>
              </w:rPr>
              <w:t>8,278,439</w:t>
            </w:r>
          </w:p>
        </w:tc>
        <w:tc>
          <w:tcPr>
            <w:tcW w:w="0" w:type="dxa"/>
            <w:vAlign w:val="bottom"/>
          </w:tcPr>
          <w:p>
            <w:pPr>
              <w:spacing w:after="0"/>
              <w:rPr>
                <w:sz w:val="1"/>
                <w:szCs w:val="1"/>
                <w:color w:val="auto"/>
              </w:rPr>
            </w:pPr>
          </w:p>
        </w:tc>
      </w:tr>
      <w:tr>
        <w:trPr>
          <w:trHeight w:val="173"/>
        </w:trPr>
        <w:tc>
          <w:tcPr>
            <w:tcW w:w="2600" w:type="dxa"/>
            <w:vAlign w:val="bottom"/>
          </w:tcPr>
          <w:p>
            <w:pPr>
              <w:ind w:left="100"/>
              <w:spacing w:after="0"/>
              <w:rPr>
                <w:sz w:val="20"/>
                <w:szCs w:val="20"/>
                <w:color w:val="auto"/>
              </w:rPr>
            </w:pPr>
            <w:r>
              <w:rPr>
                <w:rFonts w:ascii="Arial" w:cs="Arial" w:eastAsia="Arial" w:hAnsi="Arial"/>
                <w:sz w:val="13"/>
                <w:szCs w:val="13"/>
                <w:color w:val="auto"/>
              </w:rPr>
              <w:t>Chairman of the Board, President</w:t>
            </w:r>
          </w:p>
        </w:tc>
        <w:tc>
          <w:tcPr>
            <w:tcW w:w="620" w:type="dxa"/>
            <w:vAlign w:val="bottom"/>
            <w:vMerge w:val="restart"/>
          </w:tcPr>
          <w:p>
            <w:pPr>
              <w:jc w:val="center"/>
              <w:spacing w:after="0"/>
              <w:rPr>
                <w:sz w:val="20"/>
                <w:szCs w:val="20"/>
                <w:color w:val="auto"/>
              </w:rPr>
            </w:pPr>
            <w:r>
              <w:rPr>
                <w:rFonts w:ascii="Arial" w:cs="Arial" w:eastAsia="Arial" w:hAnsi="Arial"/>
                <w:sz w:val="12"/>
                <w:szCs w:val="12"/>
                <w:color w:val="auto"/>
              </w:rPr>
              <w:t>2023</w:t>
            </w:r>
          </w:p>
        </w:tc>
        <w:tc>
          <w:tcPr>
            <w:tcW w:w="1120" w:type="dxa"/>
            <w:vAlign w:val="bottom"/>
            <w:gridSpan w:val="2"/>
            <w:vMerge w:val="restart"/>
          </w:tcPr>
          <w:p>
            <w:pPr>
              <w:jc w:val="right"/>
              <w:ind w:right="76"/>
              <w:spacing w:after="0"/>
              <w:rPr>
                <w:sz w:val="20"/>
                <w:szCs w:val="20"/>
                <w:color w:val="auto"/>
              </w:rPr>
            </w:pPr>
            <w:r>
              <w:rPr>
                <w:rFonts w:ascii="Arial" w:cs="Arial" w:eastAsia="Arial" w:hAnsi="Arial"/>
                <w:sz w:val="12"/>
                <w:szCs w:val="12"/>
                <w:color w:val="auto"/>
              </w:rPr>
              <w:t>1,129,958</w:t>
            </w:r>
          </w:p>
        </w:tc>
        <w:tc>
          <w:tcPr>
            <w:tcW w:w="900" w:type="dxa"/>
            <w:vAlign w:val="bottom"/>
            <w:vMerge w:val="restart"/>
          </w:tcPr>
          <w:p>
            <w:pPr>
              <w:jc w:val="center"/>
              <w:ind w:right="77"/>
              <w:spacing w:after="0"/>
              <w:rPr>
                <w:sz w:val="20"/>
                <w:szCs w:val="20"/>
                <w:color w:val="auto"/>
              </w:rPr>
            </w:pPr>
            <w:r>
              <w:rPr>
                <w:rFonts w:ascii="Arial" w:cs="Arial" w:eastAsia="Arial" w:hAnsi="Arial"/>
                <w:sz w:val="12"/>
                <w:szCs w:val="12"/>
                <w:color w:val="auto"/>
              </w:rPr>
              <w:t>0</w:t>
            </w:r>
          </w:p>
        </w:tc>
        <w:tc>
          <w:tcPr>
            <w:tcW w:w="1000" w:type="dxa"/>
            <w:vAlign w:val="bottom"/>
            <w:vMerge w:val="restart"/>
          </w:tcPr>
          <w:p>
            <w:pPr>
              <w:jc w:val="right"/>
              <w:ind w:right="97"/>
              <w:spacing w:after="0"/>
              <w:rPr>
                <w:sz w:val="20"/>
                <w:szCs w:val="20"/>
                <w:color w:val="auto"/>
              </w:rPr>
            </w:pPr>
            <w:r>
              <w:rPr>
                <w:rFonts w:ascii="Arial" w:cs="Arial" w:eastAsia="Arial" w:hAnsi="Arial"/>
                <w:sz w:val="12"/>
                <w:szCs w:val="12"/>
                <w:color w:val="auto"/>
              </w:rPr>
              <w:t>3,599,694</w:t>
            </w:r>
          </w:p>
        </w:tc>
        <w:tc>
          <w:tcPr>
            <w:tcW w:w="920" w:type="dxa"/>
            <w:vAlign w:val="bottom"/>
            <w:vMerge w:val="restart"/>
          </w:tcPr>
          <w:p>
            <w:pPr>
              <w:jc w:val="right"/>
              <w:ind w:right="37"/>
              <w:spacing w:after="0"/>
              <w:rPr>
                <w:sz w:val="20"/>
                <w:szCs w:val="20"/>
                <w:color w:val="auto"/>
              </w:rPr>
            </w:pPr>
            <w:r>
              <w:rPr>
                <w:rFonts w:ascii="Arial" w:cs="Arial" w:eastAsia="Arial" w:hAnsi="Arial"/>
                <w:sz w:val="12"/>
                <w:szCs w:val="12"/>
                <w:color w:val="auto"/>
              </w:rPr>
              <w:t>3,692,052</w:t>
            </w:r>
          </w:p>
        </w:tc>
        <w:tc>
          <w:tcPr>
            <w:tcW w:w="1620" w:type="dxa"/>
            <w:vAlign w:val="bottom"/>
            <w:vMerge w:val="restart"/>
          </w:tcPr>
          <w:p>
            <w:pPr>
              <w:jc w:val="right"/>
              <w:ind w:right="117"/>
              <w:spacing w:after="0"/>
              <w:rPr>
                <w:sz w:val="20"/>
                <w:szCs w:val="20"/>
                <w:color w:val="auto"/>
              </w:rPr>
            </w:pPr>
            <w:r>
              <w:rPr>
                <w:rFonts w:ascii="Arial" w:cs="Arial" w:eastAsia="Arial" w:hAnsi="Arial"/>
                <w:sz w:val="12"/>
                <w:szCs w:val="12"/>
                <w:color w:val="auto"/>
              </w:rPr>
              <w:t>425,260</w:t>
            </w:r>
          </w:p>
        </w:tc>
        <w:tc>
          <w:tcPr>
            <w:tcW w:w="1540" w:type="dxa"/>
            <w:vAlign w:val="bottom"/>
            <w:vMerge w:val="restart"/>
          </w:tcPr>
          <w:p>
            <w:pPr>
              <w:jc w:val="right"/>
              <w:ind w:right="137"/>
              <w:spacing w:after="0"/>
              <w:rPr>
                <w:sz w:val="20"/>
                <w:szCs w:val="20"/>
                <w:color w:val="auto"/>
              </w:rPr>
            </w:pPr>
            <w:r>
              <w:rPr>
                <w:rFonts w:ascii="Arial" w:cs="Arial" w:eastAsia="Arial" w:hAnsi="Arial"/>
                <w:sz w:val="12"/>
                <w:szCs w:val="12"/>
                <w:color w:val="auto"/>
              </w:rPr>
              <w:t>178,847</w:t>
            </w:r>
          </w:p>
        </w:tc>
        <w:tc>
          <w:tcPr>
            <w:tcW w:w="800" w:type="dxa"/>
            <w:vAlign w:val="bottom"/>
            <w:vMerge w:val="restart"/>
          </w:tcPr>
          <w:p>
            <w:pPr>
              <w:jc w:val="right"/>
              <w:spacing w:after="0"/>
              <w:rPr>
                <w:sz w:val="20"/>
                <w:szCs w:val="20"/>
                <w:color w:val="auto"/>
              </w:rPr>
            </w:pPr>
            <w:r>
              <w:rPr>
                <w:rFonts w:ascii="Arial" w:cs="Arial" w:eastAsia="Arial" w:hAnsi="Arial"/>
                <w:sz w:val="12"/>
                <w:szCs w:val="12"/>
                <w:color w:val="auto"/>
              </w:rPr>
              <w:t>9,025,811</w:t>
            </w:r>
          </w:p>
        </w:tc>
        <w:tc>
          <w:tcPr>
            <w:tcW w:w="0" w:type="dxa"/>
            <w:vAlign w:val="bottom"/>
          </w:tcPr>
          <w:p>
            <w:pPr>
              <w:spacing w:after="0"/>
              <w:rPr>
                <w:sz w:val="1"/>
                <w:szCs w:val="1"/>
                <w:color w:val="auto"/>
              </w:rPr>
            </w:pPr>
          </w:p>
        </w:tc>
      </w:tr>
      <w:tr>
        <w:trPr>
          <w:trHeight w:val="53"/>
        </w:trPr>
        <w:tc>
          <w:tcPr>
            <w:tcW w:w="2600" w:type="dxa"/>
            <w:vAlign w:val="bottom"/>
            <w:vMerge w:val="restart"/>
          </w:tcPr>
          <w:p>
            <w:pPr>
              <w:ind w:left="100"/>
              <w:spacing w:after="0"/>
              <w:rPr>
                <w:sz w:val="20"/>
                <w:szCs w:val="20"/>
                <w:color w:val="auto"/>
              </w:rPr>
            </w:pPr>
            <w:r>
              <w:rPr>
                <w:rFonts w:ascii="Arial" w:cs="Arial" w:eastAsia="Arial" w:hAnsi="Arial"/>
                <w:sz w:val="13"/>
                <w:szCs w:val="13"/>
                <w:color w:val="auto"/>
              </w:rPr>
              <w:t>and Chief Executive Officer</w:t>
            </w:r>
          </w:p>
        </w:tc>
        <w:tc>
          <w:tcPr>
            <w:tcW w:w="620" w:type="dxa"/>
            <w:vAlign w:val="bottom"/>
            <w:vMerge w:val="continue"/>
          </w:tcPr>
          <w:p>
            <w:pPr>
              <w:spacing w:after="0"/>
              <w:rPr>
                <w:sz w:val="4"/>
                <w:szCs w:val="4"/>
                <w:color w:val="auto"/>
              </w:rPr>
            </w:pPr>
          </w:p>
        </w:tc>
        <w:tc>
          <w:tcPr>
            <w:tcW w:w="1120" w:type="dxa"/>
            <w:vAlign w:val="bottom"/>
            <w:gridSpan w:val="2"/>
            <w:vMerge w:val="continue"/>
          </w:tcPr>
          <w:p>
            <w:pPr>
              <w:spacing w:after="0"/>
              <w:rPr>
                <w:sz w:val="4"/>
                <w:szCs w:val="4"/>
                <w:color w:val="auto"/>
              </w:rPr>
            </w:pPr>
          </w:p>
        </w:tc>
        <w:tc>
          <w:tcPr>
            <w:tcW w:w="900" w:type="dxa"/>
            <w:vAlign w:val="bottom"/>
            <w:vMerge w:val="continue"/>
          </w:tcPr>
          <w:p>
            <w:pPr>
              <w:spacing w:after="0"/>
              <w:rPr>
                <w:sz w:val="4"/>
                <w:szCs w:val="4"/>
                <w:color w:val="auto"/>
              </w:rPr>
            </w:pPr>
          </w:p>
        </w:tc>
        <w:tc>
          <w:tcPr>
            <w:tcW w:w="1000" w:type="dxa"/>
            <w:vAlign w:val="bottom"/>
            <w:vMerge w:val="continue"/>
          </w:tcPr>
          <w:p>
            <w:pPr>
              <w:spacing w:after="0"/>
              <w:rPr>
                <w:sz w:val="4"/>
                <w:szCs w:val="4"/>
                <w:color w:val="auto"/>
              </w:rPr>
            </w:pPr>
          </w:p>
        </w:tc>
        <w:tc>
          <w:tcPr>
            <w:tcW w:w="920" w:type="dxa"/>
            <w:vAlign w:val="bottom"/>
            <w:vMerge w:val="continue"/>
          </w:tcPr>
          <w:p>
            <w:pPr>
              <w:spacing w:after="0"/>
              <w:rPr>
                <w:sz w:val="4"/>
                <w:szCs w:val="4"/>
                <w:color w:val="auto"/>
              </w:rPr>
            </w:pPr>
          </w:p>
        </w:tc>
        <w:tc>
          <w:tcPr>
            <w:tcW w:w="1620" w:type="dxa"/>
            <w:vAlign w:val="bottom"/>
            <w:vMerge w:val="continue"/>
          </w:tcPr>
          <w:p>
            <w:pPr>
              <w:spacing w:after="0"/>
              <w:rPr>
                <w:sz w:val="4"/>
                <w:szCs w:val="4"/>
                <w:color w:val="auto"/>
              </w:rPr>
            </w:pPr>
          </w:p>
        </w:tc>
        <w:tc>
          <w:tcPr>
            <w:tcW w:w="1540" w:type="dxa"/>
            <w:vAlign w:val="bottom"/>
            <w:vMerge w:val="continue"/>
          </w:tcPr>
          <w:p>
            <w:pPr>
              <w:spacing w:after="0"/>
              <w:rPr>
                <w:sz w:val="4"/>
                <w:szCs w:val="4"/>
                <w:color w:val="auto"/>
              </w:rPr>
            </w:pPr>
          </w:p>
        </w:tc>
        <w:tc>
          <w:tcPr>
            <w:tcW w:w="8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22"/>
        </w:trPr>
        <w:tc>
          <w:tcPr>
            <w:tcW w:w="2600" w:type="dxa"/>
            <w:vAlign w:val="bottom"/>
            <w:vMerge w:val="continue"/>
          </w:tcPr>
          <w:p>
            <w:pPr>
              <w:spacing w:after="0"/>
              <w:rPr>
                <w:sz w:val="10"/>
                <w:szCs w:val="10"/>
                <w:color w:val="auto"/>
              </w:rPr>
            </w:pPr>
          </w:p>
        </w:tc>
        <w:tc>
          <w:tcPr>
            <w:tcW w:w="620" w:type="dxa"/>
            <w:vAlign w:val="bottom"/>
            <w:vMerge w:val="restart"/>
          </w:tcPr>
          <w:p>
            <w:pPr>
              <w:jc w:val="center"/>
              <w:spacing w:after="0"/>
              <w:rPr>
                <w:sz w:val="20"/>
                <w:szCs w:val="20"/>
                <w:color w:val="auto"/>
              </w:rPr>
            </w:pPr>
            <w:r>
              <w:rPr>
                <w:rFonts w:ascii="Arial" w:cs="Arial" w:eastAsia="Arial" w:hAnsi="Arial"/>
                <w:sz w:val="12"/>
                <w:szCs w:val="12"/>
                <w:color w:val="auto"/>
              </w:rPr>
              <w:t>2022</w:t>
            </w:r>
          </w:p>
        </w:tc>
        <w:tc>
          <w:tcPr>
            <w:tcW w:w="1120" w:type="dxa"/>
            <w:vAlign w:val="bottom"/>
            <w:gridSpan w:val="2"/>
            <w:vMerge w:val="restart"/>
          </w:tcPr>
          <w:p>
            <w:pPr>
              <w:jc w:val="right"/>
              <w:ind w:right="76"/>
              <w:spacing w:after="0"/>
              <w:rPr>
                <w:sz w:val="20"/>
                <w:szCs w:val="20"/>
                <w:color w:val="auto"/>
              </w:rPr>
            </w:pPr>
            <w:r>
              <w:rPr>
                <w:rFonts w:ascii="Arial" w:cs="Arial" w:eastAsia="Arial" w:hAnsi="Arial"/>
                <w:sz w:val="12"/>
                <w:szCs w:val="12"/>
                <w:color w:val="auto"/>
              </w:rPr>
              <w:t>1,086,778</w:t>
            </w:r>
          </w:p>
        </w:tc>
        <w:tc>
          <w:tcPr>
            <w:tcW w:w="900" w:type="dxa"/>
            <w:vAlign w:val="bottom"/>
            <w:vMerge w:val="restart"/>
          </w:tcPr>
          <w:p>
            <w:pPr>
              <w:jc w:val="center"/>
              <w:ind w:right="77"/>
              <w:spacing w:after="0"/>
              <w:rPr>
                <w:sz w:val="20"/>
                <w:szCs w:val="20"/>
                <w:color w:val="auto"/>
              </w:rPr>
            </w:pPr>
            <w:r>
              <w:rPr>
                <w:rFonts w:ascii="Arial" w:cs="Arial" w:eastAsia="Arial" w:hAnsi="Arial"/>
                <w:sz w:val="12"/>
                <w:szCs w:val="12"/>
                <w:color w:val="auto"/>
              </w:rPr>
              <w:t>0</w:t>
            </w:r>
          </w:p>
        </w:tc>
        <w:tc>
          <w:tcPr>
            <w:tcW w:w="1000" w:type="dxa"/>
            <w:vAlign w:val="bottom"/>
            <w:vMerge w:val="restart"/>
          </w:tcPr>
          <w:p>
            <w:pPr>
              <w:jc w:val="right"/>
              <w:ind w:right="97"/>
              <w:spacing w:after="0"/>
              <w:rPr>
                <w:sz w:val="20"/>
                <w:szCs w:val="20"/>
                <w:color w:val="auto"/>
              </w:rPr>
            </w:pPr>
            <w:r>
              <w:rPr>
                <w:rFonts w:ascii="Arial" w:cs="Arial" w:eastAsia="Arial" w:hAnsi="Arial"/>
                <w:sz w:val="12"/>
                <w:szCs w:val="12"/>
                <w:color w:val="auto"/>
              </w:rPr>
              <w:t>2,489,773</w:t>
            </w:r>
          </w:p>
        </w:tc>
        <w:tc>
          <w:tcPr>
            <w:tcW w:w="920" w:type="dxa"/>
            <w:vAlign w:val="bottom"/>
            <w:vMerge w:val="restart"/>
          </w:tcPr>
          <w:p>
            <w:pPr>
              <w:jc w:val="right"/>
              <w:ind w:right="37"/>
              <w:spacing w:after="0"/>
              <w:rPr>
                <w:sz w:val="20"/>
                <w:szCs w:val="20"/>
                <w:color w:val="auto"/>
              </w:rPr>
            </w:pPr>
            <w:r>
              <w:rPr>
                <w:rFonts w:ascii="Arial" w:cs="Arial" w:eastAsia="Arial" w:hAnsi="Arial"/>
                <w:sz w:val="12"/>
                <w:szCs w:val="12"/>
                <w:color w:val="auto"/>
              </w:rPr>
              <w:t>2,507,118</w:t>
            </w:r>
          </w:p>
        </w:tc>
        <w:tc>
          <w:tcPr>
            <w:tcW w:w="1620" w:type="dxa"/>
            <w:vAlign w:val="bottom"/>
            <w:vMerge w:val="restart"/>
          </w:tcPr>
          <w:p>
            <w:pPr>
              <w:jc w:val="right"/>
              <w:ind w:right="117"/>
              <w:spacing w:after="0"/>
              <w:rPr>
                <w:sz w:val="20"/>
                <w:szCs w:val="20"/>
                <w:color w:val="auto"/>
              </w:rPr>
            </w:pPr>
            <w:r>
              <w:rPr>
                <w:rFonts w:ascii="Arial" w:cs="Arial" w:eastAsia="Arial" w:hAnsi="Arial"/>
                <w:sz w:val="12"/>
                <w:szCs w:val="12"/>
                <w:color w:val="auto"/>
              </w:rPr>
              <w:t>974,698</w:t>
            </w:r>
          </w:p>
        </w:tc>
        <w:tc>
          <w:tcPr>
            <w:tcW w:w="1540" w:type="dxa"/>
            <w:vAlign w:val="bottom"/>
            <w:vMerge w:val="restart"/>
          </w:tcPr>
          <w:p>
            <w:pPr>
              <w:jc w:val="right"/>
              <w:ind w:right="137"/>
              <w:spacing w:after="0"/>
              <w:rPr>
                <w:sz w:val="20"/>
                <w:szCs w:val="20"/>
                <w:color w:val="auto"/>
              </w:rPr>
            </w:pPr>
            <w:r>
              <w:rPr>
                <w:rFonts w:ascii="Arial" w:cs="Arial" w:eastAsia="Arial" w:hAnsi="Arial"/>
                <w:sz w:val="12"/>
                <w:szCs w:val="12"/>
                <w:color w:val="auto"/>
              </w:rPr>
              <w:t>253,586</w:t>
            </w:r>
          </w:p>
        </w:tc>
        <w:tc>
          <w:tcPr>
            <w:tcW w:w="800" w:type="dxa"/>
            <w:vAlign w:val="bottom"/>
            <w:vMerge w:val="restart"/>
          </w:tcPr>
          <w:p>
            <w:pPr>
              <w:jc w:val="right"/>
              <w:spacing w:after="0"/>
              <w:rPr>
                <w:sz w:val="20"/>
                <w:szCs w:val="20"/>
                <w:color w:val="auto"/>
              </w:rPr>
            </w:pPr>
            <w:r>
              <w:rPr>
                <w:rFonts w:ascii="Arial" w:cs="Arial" w:eastAsia="Arial" w:hAnsi="Arial"/>
                <w:sz w:val="12"/>
                <w:szCs w:val="12"/>
                <w:color w:val="auto"/>
              </w:rPr>
              <w:t>7,311,953</w:t>
            </w:r>
          </w:p>
        </w:tc>
        <w:tc>
          <w:tcPr>
            <w:tcW w:w="0" w:type="dxa"/>
            <w:vAlign w:val="bottom"/>
          </w:tcPr>
          <w:p>
            <w:pPr>
              <w:spacing w:after="0"/>
              <w:rPr>
                <w:sz w:val="1"/>
                <w:szCs w:val="1"/>
                <w:color w:val="auto"/>
              </w:rPr>
            </w:pPr>
          </w:p>
        </w:tc>
      </w:tr>
      <w:tr>
        <w:trPr>
          <w:trHeight w:val="91"/>
        </w:trPr>
        <w:tc>
          <w:tcPr>
            <w:tcW w:w="2600" w:type="dxa"/>
            <w:vAlign w:val="bottom"/>
          </w:tcPr>
          <w:p>
            <w:pPr>
              <w:spacing w:after="0"/>
              <w:rPr>
                <w:sz w:val="7"/>
                <w:szCs w:val="7"/>
                <w:color w:val="auto"/>
              </w:rPr>
            </w:pPr>
          </w:p>
        </w:tc>
        <w:tc>
          <w:tcPr>
            <w:tcW w:w="620" w:type="dxa"/>
            <w:vAlign w:val="bottom"/>
            <w:vMerge w:val="continue"/>
          </w:tcPr>
          <w:p>
            <w:pPr>
              <w:spacing w:after="0"/>
              <w:rPr>
                <w:sz w:val="7"/>
                <w:szCs w:val="7"/>
                <w:color w:val="auto"/>
              </w:rPr>
            </w:pPr>
          </w:p>
        </w:tc>
        <w:tc>
          <w:tcPr>
            <w:tcW w:w="1120" w:type="dxa"/>
            <w:vAlign w:val="bottom"/>
            <w:gridSpan w:val="2"/>
            <w:vMerge w:val="continue"/>
          </w:tcPr>
          <w:p>
            <w:pPr>
              <w:spacing w:after="0"/>
              <w:rPr>
                <w:sz w:val="7"/>
                <w:szCs w:val="7"/>
                <w:color w:val="auto"/>
              </w:rPr>
            </w:pPr>
          </w:p>
        </w:tc>
        <w:tc>
          <w:tcPr>
            <w:tcW w:w="900" w:type="dxa"/>
            <w:vAlign w:val="bottom"/>
            <w:vMerge w:val="continue"/>
          </w:tcPr>
          <w:p>
            <w:pPr>
              <w:spacing w:after="0"/>
              <w:rPr>
                <w:sz w:val="7"/>
                <w:szCs w:val="7"/>
                <w:color w:val="auto"/>
              </w:rPr>
            </w:pPr>
          </w:p>
        </w:tc>
        <w:tc>
          <w:tcPr>
            <w:tcW w:w="1000" w:type="dxa"/>
            <w:vAlign w:val="bottom"/>
            <w:vMerge w:val="continue"/>
          </w:tcPr>
          <w:p>
            <w:pPr>
              <w:spacing w:after="0"/>
              <w:rPr>
                <w:sz w:val="7"/>
                <w:szCs w:val="7"/>
                <w:color w:val="auto"/>
              </w:rPr>
            </w:pPr>
          </w:p>
        </w:tc>
        <w:tc>
          <w:tcPr>
            <w:tcW w:w="920" w:type="dxa"/>
            <w:vAlign w:val="bottom"/>
            <w:vMerge w:val="continue"/>
          </w:tcPr>
          <w:p>
            <w:pPr>
              <w:spacing w:after="0"/>
              <w:rPr>
                <w:sz w:val="7"/>
                <w:szCs w:val="7"/>
                <w:color w:val="auto"/>
              </w:rPr>
            </w:pPr>
          </w:p>
        </w:tc>
        <w:tc>
          <w:tcPr>
            <w:tcW w:w="1620" w:type="dxa"/>
            <w:vAlign w:val="bottom"/>
            <w:vMerge w:val="continue"/>
          </w:tcPr>
          <w:p>
            <w:pPr>
              <w:spacing w:after="0"/>
              <w:rPr>
                <w:sz w:val="7"/>
                <w:szCs w:val="7"/>
                <w:color w:val="auto"/>
              </w:rPr>
            </w:pPr>
          </w:p>
        </w:tc>
        <w:tc>
          <w:tcPr>
            <w:tcW w:w="1540" w:type="dxa"/>
            <w:vAlign w:val="bottom"/>
            <w:vMerge w:val="continue"/>
          </w:tcPr>
          <w:p>
            <w:pPr>
              <w:spacing w:after="0"/>
              <w:rPr>
                <w:sz w:val="7"/>
                <w:szCs w:val="7"/>
                <w:color w:val="auto"/>
              </w:rPr>
            </w:pPr>
          </w:p>
        </w:tc>
        <w:tc>
          <w:tcPr>
            <w:tcW w:w="8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7"/>
        </w:trPr>
        <w:tc>
          <w:tcPr>
            <w:tcW w:w="26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54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7"/>
        </w:trPr>
        <w:tc>
          <w:tcPr>
            <w:tcW w:w="2600" w:type="dxa"/>
            <w:vAlign w:val="bottom"/>
            <w:shd w:val="clear" w:color="auto" w:fill="DBDBDB"/>
          </w:tcPr>
          <w:p>
            <w:pPr>
              <w:ind w:left="20"/>
              <w:spacing w:after="0"/>
              <w:rPr>
                <w:sz w:val="20"/>
                <w:szCs w:val="20"/>
                <w:color w:val="auto"/>
              </w:rPr>
            </w:pPr>
            <w:r>
              <w:rPr>
                <w:rFonts w:ascii="Arial" w:cs="Arial" w:eastAsia="Arial" w:hAnsi="Arial"/>
                <w:sz w:val="13"/>
                <w:szCs w:val="13"/>
                <w:color w:val="auto"/>
              </w:rPr>
              <w:t>Angela C. Drake,</w:t>
            </w:r>
          </w:p>
        </w:tc>
        <w:tc>
          <w:tcPr>
            <w:tcW w:w="620" w:type="dxa"/>
            <w:vAlign w:val="bottom"/>
            <w:shd w:val="clear" w:color="auto" w:fill="DBDBDB"/>
          </w:tcPr>
          <w:p>
            <w:pPr>
              <w:jc w:val="center"/>
              <w:spacing w:after="0"/>
              <w:rPr>
                <w:sz w:val="20"/>
                <w:szCs w:val="20"/>
                <w:color w:val="auto"/>
              </w:rPr>
            </w:pPr>
            <w:r>
              <w:rPr>
                <w:rFonts w:ascii="Arial" w:cs="Arial" w:eastAsia="Arial" w:hAnsi="Arial"/>
                <w:sz w:val="12"/>
                <w:szCs w:val="12"/>
                <w:color w:val="auto"/>
              </w:rPr>
              <w:t>2024</w:t>
            </w:r>
          </w:p>
        </w:tc>
        <w:tc>
          <w:tcPr>
            <w:tcW w:w="1120" w:type="dxa"/>
            <w:vAlign w:val="bottom"/>
            <w:gridSpan w:val="2"/>
            <w:shd w:val="clear" w:color="auto" w:fill="DBDBDB"/>
          </w:tcPr>
          <w:p>
            <w:pPr>
              <w:jc w:val="right"/>
              <w:ind w:right="76"/>
              <w:spacing w:after="0"/>
              <w:rPr>
                <w:sz w:val="20"/>
                <w:szCs w:val="20"/>
                <w:color w:val="auto"/>
              </w:rPr>
            </w:pPr>
            <w:r>
              <w:rPr>
                <w:rFonts w:ascii="Arial" w:cs="Arial" w:eastAsia="Arial" w:hAnsi="Arial"/>
                <w:sz w:val="12"/>
                <w:szCs w:val="12"/>
                <w:color w:val="auto"/>
              </w:rPr>
              <w:t>579,813</w:t>
            </w:r>
          </w:p>
        </w:tc>
        <w:tc>
          <w:tcPr>
            <w:tcW w:w="900" w:type="dxa"/>
            <w:vAlign w:val="bottom"/>
            <w:shd w:val="clear" w:color="auto" w:fill="DBDBDB"/>
          </w:tcPr>
          <w:p>
            <w:pPr>
              <w:jc w:val="center"/>
              <w:ind w:right="77"/>
              <w:spacing w:after="0"/>
              <w:rPr>
                <w:sz w:val="20"/>
                <w:szCs w:val="20"/>
                <w:color w:val="auto"/>
              </w:rPr>
            </w:pPr>
            <w:r>
              <w:rPr>
                <w:rFonts w:ascii="Arial" w:cs="Arial" w:eastAsia="Arial" w:hAnsi="Arial"/>
                <w:sz w:val="12"/>
                <w:szCs w:val="12"/>
                <w:color w:val="auto"/>
              </w:rPr>
              <w:t>0</w:t>
            </w:r>
          </w:p>
        </w:tc>
        <w:tc>
          <w:tcPr>
            <w:tcW w:w="1000" w:type="dxa"/>
            <w:vAlign w:val="bottom"/>
            <w:shd w:val="clear" w:color="auto" w:fill="DBDBDB"/>
          </w:tcPr>
          <w:p>
            <w:pPr>
              <w:jc w:val="right"/>
              <w:ind w:right="97"/>
              <w:spacing w:after="0"/>
              <w:rPr>
                <w:sz w:val="20"/>
                <w:szCs w:val="20"/>
                <w:color w:val="auto"/>
              </w:rPr>
            </w:pPr>
            <w:r>
              <w:rPr>
                <w:rFonts w:ascii="Arial" w:cs="Arial" w:eastAsia="Arial" w:hAnsi="Arial"/>
                <w:sz w:val="12"/>
                <w:szCs w:val="12"/>
                <w:color w:val="auto"/>
              </w:rPr>
              <w:t>747,000</w:t>
            </w:r>
          </w:p>
        </w:tc>
        <w:tc>
          <w:tcPr>
            <w:tcW w:w="920" w:type="dxa"/>
            <w:vAlign w:val="bottom"/>
            <w:shd w:val="clear" w:color="auto" w:fill="DBDBDB"/>
          </w:tcPr>
          <w:p>
            <w:pPr>
              <w:jc w:val="right"/>
              <w:ind w:right="37"/>
              <w:spacing w:after="0"/>
              <w:rPr>
                <w:sz w:val="20"/>
                <w:szCs w:val="20"/>
                <w:color w:val="auto"/>
              </w:rPr>
            </w:pPr>
            <w:r>
              <w:rPr>
                <w:rFonts w:ascii="Arial" w:cs="Arial" w:eastAsia="Arial" w:hAnsi="Arial"/>
                <w:sz w:val="12"/>
                <w:szCs w:val="12"/>
                <w:color w:val="auto"/>
              </w:rPr>
              <w:t>736,792</w:t>
            </w:r>
          </w:p>
        </w:tc>
        <w:tc>
          <w:tcPr>
            <w:tcW w:w="1620" w:type="dxa"/>
            <w:vAlign w:val="bottom"/>
            <w:shd w:val="clear" w:color="auto" w:fill="DBDBDB"/>
          </w:tcPr>
          <w:p>
            <w:pPr>
              <w:jc w:val="right"/>
              <w:ind w:right="117"/>
              <w:spacing w:after="0"/>
              <w:rPr>
                <w:sz w:val="20"/>
                <w:szCs w:val="20"/>
                <w:color w:val="auto"/>
              </w:rPr>
            </w:pPr>
            <w:r>
              <w:rPr>
                <w:rFonts w:ascii="Arial" w:cs="Arial" w:eastAsia="Arial" w:hAnsi="Arial"/>
                <w:sz w:val="12"/>
                <w:szCs w:val="12"/>
                <w:color w:val="auto"/>
              </w:rPr>
              <w:t>160,805</w:t>
            </w:r>
          </w:p>
        </w:tc>
        <w:tc>
          <w:tcPr>
            <w:tcW w:w="1540" w:type="dxa"/>
            <w:vAlign w:val="bottom"/>
            <w:shd w:val="clear" w:color="auto" w:fill="DBDBDB"/>
          </w:tcPr>
          <w:p>
            <w:pPr>
              <w:jc w:val="right"/>
              <w:ind w:right="137"/>
              <w:spacing w:after="0"/>
              <w:rPr>
                <w:sz w:val="20"/>
                <w:szCs w:val="20"/>
                <w:color w:val="auto"/>
              </w:rPr>
            </w:pPr>
            <w:r>
              <w:rPr>
                <w:rFonts w:ascii="Arial" w:cs="Arial" w:eastAsia="Arial" w:hAnsi="Arial"/>
                <w:sz w:val="12"/>
                <w:szCs w:val="12"/>
                <w:color w:val="auto"/>
              </w:rPr>
              <w:t>68,113</w:t>
            </w:r>
          </w:p>
        </w:tc>
        <w:tc>
          <w:tcPr>
            <w:tcW w:w="800" w:type="dxa"/>
            <w:vAlign w:val="bottom"/>
            <w:shd w:val="clear" w:color="auto" w:fill="DBDBDB"/>
          </w:tcPr>
          <w:p>
            <w:pPr>
              <w:jc w:val="right"/>
              <w:spacing w:after="0"/>
              <w:rPr>
                <w:sz w:val="20"/>
                <w:szCs w:val="20"/>
                <w:color w:val="auto"/>
              </w:rPr>
            </w:pPr>
            <w:r>
              <w:rPr>
                <w:rFonts w:ascii="Arial" w:cs="Arial" w:eastAsia="Arial" w:hAnsi="Arial"/>
                <w:sz w:val="12"/>
                <w:szCs w:val="12"/>
                <w:color w:val="auto"/>
              </w:rPr>
              <w:t>2,292,523</w:t>
            </w:r>
          </w:p>
        </w:tc>
        <w:tc>
          <w:tcPr>
            <w:tcW w:w="0" w:type="dxa"/>
            <w:vAlign w:val="bottom"/>
          </w:tcPr>
          <w:p>
            <w:pPr>
              <w:spacing w:after="0"/>
              <w:rPr>
                <w:sz w:val="1"/>
                <w:szCs w:val="1"/>
                <w:color w:val="auto"/>
              </w:rPr>
            </w:pPr>
          </w:p>
        </w:tc>
      </w:tr>
      <w:tr>
        <w:trPr>
          <w:trHeight w:val="127"/>
        </w:trPr>
        <w:tc>
          <w:tcPr>
            <w:tcW w:w="2600" w:type="dxa"/>
            <w:vAlign w:val="bottom"/>
            <w:shd w:val="clear" w:color="auto" w:fill="DBDBDB"/>
          </w:tcPr>
          <w:p>
            <w:pPr>
              <w:ind w:left="100"/>
              <w:spacing w:after="0" w:line="128" w:lineRule="exact"/>
              <w:rPr>
                <w:sz w:val="20"/>
                <w:szCs w:val="20"/>
                <w:color w:val="auto"/>
              </w:rPr>
            </w:pPr>
            <w:r>
              <w:rPr>
                <w:rFonts w:ascii="Arial" w:cs="Arial" w:eastAsia="Arial" w:hAnsi="Arial"/>
                <w:sz w:val="13"/>
                <w:szCs w:val="13"/>
                <w:color w:val="auto"/>
              </w:rPr>
              <w:t>Vice President,</w:t>
            </w:r>
          </w:p>
        </w:tc>
        <w:tc>
          <w:tcPr>
            <w:tcW w:w="620" w:type="dxa"/>
            <w:vAlign w:val="bottom"/>
            <w:shd w:val="clear" w:color="auto" w:fill="DBDBDB"/>
          </w:tcPr>
          <w:p>
            <w:pPr>
              <w:spacing w:after="0"/>
              <w:rPr>
                <w:sz w:val="11"/>
                <w:szCs w:val="11"/>
                <w:color w:val="auto"/>
              </w:rPr>
            </w:pPr>
          </w:p>
        </w:tc>
        <w:tc>
          <w:tcPr>
            <w:tcW w:w="120" w:type="dxa"/>
            <w:vAlign w:val="bottom"/>
            <w:shd w:val="clear" w:color="auto" w:fill="DBDBDB"/>
          </w:tcPr>
          <w:p>
            <w:pPr>
              <w:spacing w:after="0"/>
              <w:rPr>
                <w:sz w:val="11"/>
                <w:szCs w:val="11"/>
                <w:color w:val="auto"/>
              </w:rPr>
            </w:pPr>
          </w:p>
        </w:tc>
        <w:tc>
          <w:tcPr>
            <w:tcW w:w="1000" w:type="dxa"/>
            <w:vAlign w:val="bottom"/>
            <w:shd w:val="clear" w:color="auto" w:fill="DBDBDB"/>
          </w:tcPr>
          <w:p>
            <w:pPr>
              <w:spacing w:after="0"/>
              <w:rPr>
                <w:sz w:val="11"/>
                <w:szCs w:val="11"/>
                <w:color w:val="auto"/>
              </w:rPr>
            </w:pPr>
          </w:p>
        </w:tc>
        <w:tc>
          <w:tcPr>
            <w:tcW w:w="900" w:type="dxa"/>
            <w:vAlign w:val="bottom"/>
            <w:shd w:val="clear" w:color="auto" w:fill="DBDBDB"/>
          </w:tcPr>
          <w:p>
            <w:pPr>
              <w:spacing w:after="0"/>
              <w:rPr>
                <w:sz w:val="11"/>
                <w:szCs w:val="11"/>
                <w:color w:val="auto"/>
              </w:rPr>
            </w:pPr>
          </w:p>
        </w:tc>
        <w:tc>
          <w:tcPr>
            <w:tcW w:w="1000" w:type="dxa"/>
            <w:vAlign w:val="bottom"/>
            <w:shd w:val="clear" w:color="auto" w:fill="DBDBDB"/>
          </w:tcPr>
          <w:p>
            <w:pPr>
              <w:spacing w:after="0"/>
              <w:rPr>
                <w:sz w:val="11"/>
                <w:szCs w:val="11"/>
                <w:color w:val="auto"/>
              </w:rPr>
            </w:pPr>
          </w:p>
        </w:tc>
        <w:tc>
          <w:tcPr>
            <w:tcW w:w="920" w:type="dxa"/>
            <w:vAlign w:val="bottom"/>
            <w:shd w:val="clear" w:color="auto" w:fill="DBDBDB"/>
          </w:tcPr>
          <w:p>
            <w:pPr>
              <w:spacing w:after="0"/>
              <w:rPr>
                <w:sz w:val="11"/>
                <w:szCs w:val="11"/>
                <w:color w:val="auto"/>
              </w:rPr>
            </w:pPr>
          </w:p>
        </w:tc>
        <w:tc>
          <w:tcPr>
            <w:tcW w:w="1620" w:type="dxa"/>
            <w:vAlign w:val="bottom"/>
            <w:shd w:val="clear" w:color="auto" w:fill="DBDBDB"/>
          </w:tcPr>
          <w:p>
            <w:pPr>
              <w:spacing w:after="0"/>
              <w:rPr>
                <w:sz w:val="11"/>
                <w:szCs w:val="11"/>
                <w:color w:val="auto"/>
              </w:rPr>
            </w:pPr>
          </w:p>
        </w:tc>
        <w:tc>
          <w:tcPr>
            <w:tcW w:w="1540" w:type="dxa"/>
            <w:vAlign w:val="bottom"/>
            <w:shd w:val="clear" w:color="auto" w:fill="DBDBDB"/>
          </w:tcPr>
          <w:p>
            <w:pPr>
              <w:spacing w:after="0"/>
              <w:rPr>
                <w:sz w:val="11"/>
                <w:szCs w:val="11"/>
                <w:color w:val="auto"/>
              </w:rPr>
            </w:pPr>
          </w:p>
        </w:tc>
        <w:tc>
          <w:tcPr>
            <w:tcW w:w="800" w:type="dxa"/>
            <w:vAlign w:val="bottom"/>
            <w:shd w:val="clear" w:color="auto" w:fill="DBDBDB"/>
          </w:tcPr>
          <w:p>
            <w:pPr>
              <w:spacing w:after="0"/>
              <w:rPr>
                <w:sz w:val="11"/>
                <w:szCs w:val="11"/>
                <w:color w:val="auto"/>
              </w:rPr>
            </w:pPr>
          </w:p>
        </w:tc>
        <w:tc>
          <w:tcPr>
            <w:tcW w:w="0" w:type="dxa"/>
            <w:vAlign w:val="bottom"/>
          </w:tcPr>
          <w:p>
            <w:pPr>
              <w:spacing w:after="0"/>
              <w:rPr>
                <w:sz w:val="1"/>
                <w:szCs w:val="1"/>
                <w:color w:val="auto"/>
              </w:rPr>
            </w:pPr>
          </w:p>
        </w:tc>
      </w:tr>
      <w:tr>
        <w:trPr>
          <w:trHeight w:val="206"/>
        </w:trPr>
        <w:tc>
          <w:tcPr>
            <w:tcW w:w="2600" w:type="dxa"/>
            <w:vAlign w:val="bottom"/>
            <w:shd w:val="clear" w:color="auto" w:fill="DBDBDB"/>
          </w:tcPr>
          <w:p>
            <w:pPr>
              <w:ind w:left="100"/>
              <w:spacing w:after="0"/>
              <w:rPr>
                <w:sz w:val="20"/>
                <w:szCs w:val="20"/>
                <w:color w:val="auto"/>
              </w:rPr>
            </w:pPr>
            <w:r>
              <w:rPr>
                <w:rFonts w:ascii="Arial" w:cs="Arial" w:eastAsia="Arial" w:hAnsi="Arial"/>
                <w:sz w:val="13"/>
                <w:szCs w:val="13"/>
                <w:color w:val="auto"/>
              </w:rPr>
              <w:t>and Chief Financial Officer</w:t>
            </w:r>
            <w:r>
              <w:rPr>
                <w:rFonts w:ascii="Arial" w:cs="Arial" w:eastAsia="Arial" w:hAnsi="Arial"/>
                <w:sz w:val="17"/>
                <w:szCs w:val="17"/>
                <w:color w:val="auto"/>
                <w:vertAlign w:val="superscript"/>
              </w:rPr>
              <w:t>7</w:t>
            </w:r>
          </w:p>
        </w:tc>
        <w:tc>
          <w:tcPr>
            <w:tcW w:w="620" w:type="dxa"/>
            <w:vAlign w:val="bottom"/>
            <w:shd w:val="clear" w:color="auto" w:fill="DBDBDB"/>
          </w:tcPr>
          <w:p>
            <w:pPr>
              <w:jc w:val="center"/>
              <w:spacing w:after="0"/>
              <w:rPr>
                <w:sz w:val="20"/>
                <w:szCs w:val="20"/>
                <w:color w:val="auto"/>
              </w:rPr>
            </w:pPr>
            <w:r>
              <w:rPr>
                <w:rFonts w:ascii="Arial" w:cs="Arial" w:eastAsia="Arial" w:hAnsi="Arial"/>
                <w:sz w:val="12"/>
                <w:szCs w:val="12"/>
                <w:color w:val="auto"/>
              </w:rPr>
              <w:t>2023</w:t>
            </w:r>
          </w:p>
        </w:tc>
        <w:tc>
          <w:tcPr>
            <w:tcW w:w="1120" w:type="dxa"/>
            <w:vAlign w:val="bottom"/>
            <w:gridSpan w:val="2"/>
            <w:shd w:val="clear" w:color="auto" w:fill="DBDBDB"/>
          </w:tcPr>
          <w:p>
            <w:pPr>
              <w:jc w:val="right"/>
              <w:ind w:right="76"/>
              <w:spacing w:after="0"/>
              <w:rPr>
                <w:sz w:val="20"/>
                <w:szCs w:val="20"/>
                <w:color w:val="auto"/>
              </w:rPr>
            </w:pPr>
            <w:r>
              <w:rPr>
                <w:rFonts w:ascii="Arial" w:cs="Arial" w:eastAsia="Arial" w:hAnsi="Arial"/>
                <w:sz w:val="12"/>
                <w:szCs w:val="12"/>
                <w:color w:val="auto"/>
              </w:rPr>
              <w:t>510,777</w:t>
            </w:r>
          </w:p>
        </w:tc>
        <w:tc>
          <w:tcPr>
            <w:tcW w:w="900" w:type="dxa"/>
            <w:vAlign w:val="bottom"/>
            <w:shd w:val="clear" w:color="auto" w:fill="DBDBDB"/>
          </w:tcPr>
          <w:p>
            <w:pPr>
              <w:jc w:val="center"/>
              <w:ind w:right="77"/>
              <w:spacing w:after="0"/>
              <w:rPr>
                <w:sz w:val="20"/>
                <w:szCs w:val="20"/>
                <w:color w:val="auto"/>
              </w:rPr>
            </w:pPr>
            <w:r>
              <w:rPr>
                <w:rFonts w:ascii="Arial" w:cs="Arial" w:eastAsia="Arial" w:hAnsi="Arial"/>
                <w:sz w:val="12"/>
                <w:szCs w:val="12"/>
                <w:color w:val="auto"/>
              </w:rPr>
              <w:t>0</w:t>
            </w:r>
          </w:p>
        </w:tc>
        <w:tc>
          <w:tcPr>
            <w:tcW w:w="1000" w:type="dxa"/>
            <w:vAlign w:val="bottom"/>
            <w:shd w:val="clear" w:color="auto" w:fill="DBDBDB"/>
          </w:tcPr>
          <w:p>
            <w:pPr>
              <w:jc w:val="right"/>
              <w:ind w:right="97"/>
              <w:spacing w:after="0"/>
              <w:rPr>
                <w:sz w:val="20"/>
                <w:szCs w:val="20"/>
                <w:color w:val="auto"/>
              </w:rPr>
            </w:pPr>
            <w:r>
              <w:rPr>
                <w:rFonts w:ascii="Arial" w:cs="Arial" w:eastAsia="Arial" w:hAnsi="Arial"/>
                <w:sz w:val="12"/>
                <w:szCs w:val="12"/>
                <w:color w:val="auto"/>
              </w:rPr>
              <w:t>1,063,014</w:t>
            </w:r>
          </w:p>
        </w:tc>
        <w:tc>
          <w:tcPr>
            <w:tcW w:w="920" w:type="dxa"/>
            <w:vAlign w:val="bottom"/>
            <w:shd w:val="clear" w:color="auto" w:fill="DBDBDB"/>
          </w:tcPr>
          <w:p>
            <w:pPr>
              <w:jc w:val="right"/>
              <w:ind w:right="37"/>
              <w:spacing w:after="0"/>
              <w:rPr>
                <w:sz w:val="20"/>
                <w:szCs w:val="20"/>
                <w:color w:val="auto"/>
              </w:rPr>
            </w:pPr>
            <w:r>
              <w:rPr>
                <w:rFonts w:ascii="Arial" w:cs="Arial" w:eastAsia="Arial" w:hAnsi="Arial"/>
                <w:sz w:val="12"/>
                <w:szCs w:val="12"/>
                <w:color w:val="auto"/>
              </w:rPr>
              <w:t>223,146</w:t>
            </w:r>
          </w:p>
        </w:tc>
        <w:tc>
          <w:tcPr>
            <w:tcW w:w="1620" w:type="dxa"/>
            <w:vAlign w:val="bottom"/>
            <w:shd w:val="clear" w:color="auto" w:fill="DBDBDB"/>
          </w:tcPr>
          <w:p>
            <w:pPr>
              <w:jc w:val="right"/>
              <w:ind w:right="117"/>
              <w:spacing w:after="0"/>
              <w:rPr>
                <w:sz w:val="20"/>
                <w:szCs w:val="20"/>
                <w:color w:val="auto"/>
              </w:rPr>
            </w:pPr>
            <w:r>
              <w:rPr>
                <w:rFonts w:ascii="Arial" w:cs="Arial" w:eastAsia="Arial" w:hAnsi="Arial"/>
                <w:sz w:val="12"/>
                <w:szCs w:val="12"/>
                <w:color w:val="auto"/>
              </w:rPr>
              <w:t>91,957</w:t>
            </w:r>
          </w:p>
        </w:tc>
        <w:tc>
          <w:tcPr>
            <w:tcW w:w="1540" w:type="dxa"/>
            <w:vAlign w:val="bottom"/>
            <w:shd w:val="clear" w:color="auto" w:fill="DBDBDB"/>
          </w:tcPr>
          <w:p>
            <w:pPr>
              <w:jc w:val="right"/>
              <w:ind w:right="137"/>
              <w:spacing w:after="0"/>
              <w:rPr>
                <w:sz w:val="20"/>
                <w:szCs w:val="20"/>
                <w:color w:val="auto"/>
              </w:rPr>
            </w:pPr>
            <w:r>
              <w:rPr>
                <w:rFonts w:ascii="Arial" w:cs="Arial" w:eastAsia="Arial" w:hAnsi="Arial"/>
                <w:sz w:val="12"/>
                <w:szCs w:val="12"/>
                <w:color w:val="auto"/>
              </w:rPr>
              <w:t>75,810</w:t>
            </w:r>
          </w:p>
        </w:tc>
        <w:tc>
          <w:tcPr>
            <w:tcW w:w="800" w:type="dxa"/>
            <w:vAlign w:val="bottom"/>
            <w:shd w:val="clear" w:color="auto" w:fill="DBDBDB"/>
          </w:tcPr>
          <w:p>
            <w:pPr>
              <w:jc w:val="right"/>
              <w:spacing w:after="0"/>
              <w:rPr>
                <w:sz w:val="20"/>
                <w:szCs w:val="20"/>
                <w:color w:val="auto"/>
              </w:rPr>
            </w:pPr>
            <w:r>
              <w:rPr>
                <w:rFonts w:ascii="Arial" w:cs="Arial" w:eastAsia="Arial" w:hAnsi="Arial"/>
                <w:sz w:val="12"/>
                <w:szCs w:val="12"/>
                <w:color w:val="auto"/>
              </w:rPr>
              <w:t>1,964,704</w:t>
            </w:r>
          </w:p>
        </w:tc>
        <w:tc>
          <w:tcPr>
            <w:tcW w:w="0" w:type="dxa"/>
            <w:vAlign w:val="bottom"/>
          </w:tcPr>
          <w:p>
            <w:pPr>
              <w:spacing w:after="0"/>
              <w:rPr>
                <w:sz w:val="1"/>
                <w:szCs w:val="1"/>
                <w:color w:val="auto"/>
              </w:rPr>
            </w:pPr>
          </w:p>
        </w:tc>
      </w:tr>
      <w:tr>
        <w:trPr>
          <w:trHeight w:val="174"/>
        </w:trPr>
        <w:tc>
          <w:tcPr>
            <w:tcW w:w="2600" w:type="dxa"/>
            <w:vAlign w:val="bottom"/>
          </w:tcPr>
          <w:p>
            <w:pPr>
              <w:ind w:left="20"/>
              <w:spacing w:after="0"/>
              <w:rPr>
                <w:sz w:val="20"/>
                <w:szCs w:val="20"/>
                <w:color w:val="auto"/>
              </w:rPr>
            </w:pPr>
            <w:r>
              <w:rPr>
                <w:rFonts w:ascii="Arial" w:cs="Arial" w:eastAsia="Arial" w:hAnsi="Arial"/>
                <w:sz w:val="13"/>
                <w:szCs w:val="13"/>
                <w:color w:val="auto"/>
              </w:rPr>
              <w:t>Kevin N. Carpenter,</w:t>
            </w:r>
          </w:p>
        </w:tc>
        <w:tc>
          <w:tcPr>
            <w:tcW w:w="620" w:type="dxa"/>
            <w:vAlign w:val="bottom"/>
          </w:tcPr>
          <w:p>
            <w:pPr>
              <w:jc w:val="center"/>
              <w:spacing w:after="0"/>
              <w:rPr>
                <w:sz w:val="20"/>
                <w:szCs w:val="20"/>
                <w:color w:val="auto"/>
              </w:rPr>
            </w:pPr>
            <w:r>
              <w:rPr>
                <w:rFonts w:ascii="Arial" w:cs="Arial" w:eastAsia="Arial" w:hAnsi="Arial"/>
                <w:sz w:val="12"/>
                <w:szCs w:val="12"/>
                <w:color w:val="auto"/>
              </w:rPr>
              <w:t>2024</w:t>
            </w:r>
          </w:p>
        </w:tc>
        <w:tc>
          <w:tcPr>
            <w:tcW w:w="1120" w:type="dxa"/>
            <w:vAlign w:val="bottom"/>
            <w:gridSpan w:val="2"/>
          </w:tcPr>
          <w:p>
            <w:pPr>
              <w:jc w:val="right"/>
              <w:ind w:right="76"/>
              <w:spacing w:after="0"/>
              <w:rPr>
                <w:sz w:val="20"/>
                <w:szCs w:val="20"/>
                <w:color w:val="auto"/>
              </w:rPr>
            </w:pPr>
            <w:r>
              <w:rPr>
                <w:rFonts w:ascii="Arial" w:cs="Arial" w:eastAsia="Arial" w:hAnsi="Arial"/>
                <w:sz w:val="12"/>
                <w:szCs w:val="12"/>
                <w:color w:val="auto"/>
              </w:rPr>
              <w:t>503,025</w:t>
            </w:r>
          </w:p>
        </w:tc>
        <w:tc>
          <w:tcPr>
            <w:tcW w:w="900" w:type="dxa"/>
            <w:vAlign w:val="bottom"/>
          </w:tcPr>
          <w:p>
            <w:pPr>
              <w:jc w:val="center"/>
              <w:ind w:right="77"/>
              <w:spacing w:after="0"/>
              <w:rPr>
                <w:sz w:val="20"/>
                <w:szCs w:val="20"/>
                <w:color w:val="auto"/>
              </w:rPr>
            </w:pPr>
            <w:r>
              <w:rPr>
                <w:rFonts w:ascii="Arial" w:cs="Arial" w:eastAsia="Arial" w:hAnsi="Arial"/>
                <w:sz w:val="12"/>
                <w:szCs w:val="12"/>
                <w:color w:val="auto"/>
              </w:rPr>
              <w:t>0</w:t>
            </w:r>
          </w:p>
        </w:tc>
        <w:tc>
          <w:tcPr>
            <w:tcW w:w="1000" w:type="dxa"/>
            <w:vAlign w:val="bottom"/>
          </w:tcPr>
          <w:p>
            <w:pPr>
              <w:jc w:val="right"/>
              <w:ind w:right="97"/>
              <w:spacing w:after="0"/>
              <w:rPr>
                <w:sz w:val="20"/>
                <w:szCs w:val="20"/>
                <w:color w:val="auto"/>
              </w:rPr>
            </w:pPr>
            <w:r>
              <w:rPr>
                <w:rFonts w:ascii="Arial" w:cs="Arial" w:eastAsia="Arial" w:hAnsi="Arial"/>
                <w:sz w:val="12"/>
                <w:szCs w:val="12"/>
                <w:color w:val="auto"/>
              </w:rPr>
              <w:t>1,008,508</w:t>
            </w:r>
          </w:p>
        </w:tc>
        <w:tc>
          <w:tcPr>
            <w:tcW w:w="920" w:type="dxa"/>
            <w:vAlign w:val="bottom"/>
          </w:tcPr>
          <w:p>
            <w:pPr>
              <w:jc w:val="right"/>
              <w:ind w:right="37"/>
              <w:spacing w:after="0"/>
              <w:rPr>
                <w:sz w:val="20"/>
                <w:szCs w:val="20"/>
                <w:color w:val="auto"/>
              </w:rPr>
            </w:pPr>
            <w:r>
              <w:rPr>
                <w:rFonts w:ascii="Arial" w:cs="Arial" w:eastAsia="Arial" w:hAnsi="Arial"/>
                <w:sz w:val="12"/>
                <w:szCs w:val="12"/>
                <w:color w:val="auto"/>
              </w:rPr>
              <w:t>355,908</w:t>
            </w:r>
          </w:p>
        </w:tc>
        <w:tc>
          <w:tcPr>
            <w:tcW w:w="1620" w:type="dxa"/>
            <w:vAlign w:val="bottom"/>
          </w:tcPr>
          <w:p>
            <w:pPr>
              <w:jc w:val="right"/>
              <w:ind w:right="117"/>
              <w:spacing w:after="0"/>
              <w:rPr>
                <w:sz w:val="20"/>
                <w:szCs w:val="20"/>
                <w:color w:val="auto"/>
              </w:rPr>
            </w:pPr>
            <w:r>
              <w:rPr>
                <w:rFonts w:ascii="Arial" w:cs="Arial" w:eastAsia="Arial" w:hAnsi="Arial"/>
                <w:sz w:val="12"/>
                <w:szCs w:val="12"/>
                <w:color w:val="auto"/>
              </w:rPr>
              <w:t>129,544</w:t>
            </w:r>
          </w:p>
        </w:tc>
        <w:tc>
          <w:tcPr>
            <w:tcW w:w="1540" w:type="dxa"/>
            <w:vAlign w:val="bottom"/>
          </w:tcPr>
          <w:p>
            <w:pPr>
              <w:jc w:val="right"/>
              <w:ind w:right="137"/>
              <w:spacing w:after="0"/>
              <w:rPr>
                <w:sz w:val="20"/>
                <w:szCs w:val="20"/>
                <w:color w:val="auto"/>
              </w:rPr>
            </w:pPr>
            <w:r>
              <w:rPr>
                <w:rFonts w:ascii="Arial" w:cs="Arial" w:eastAsia="Arial" w:hAnsi="Arial"/>
                <w:sz w:val="12"/>
                <w:szCs w:val="12"/>
                <w:color w:val="auto"/>
              </w:rPr>
              <w:t>77,056</w:t>
            </w:r>
          </w:p>
        </w:tc>
        <w:tc>
          <w:tcPr>
            <w:tcW w:w="800" w:type="dxa"/>
            <w:vAlign w:val="bottom"/>
          </w:tcPr>
          <w:p>
            <w:pPr>
              <w:jc w:val="right"/>
              <w:spacing w:after="0"/>
              <w:rPr>
                <w:sz w:val="20"/>
                <w:szCs w:val="20"/>
                <w:color w:val="auto"/>
              </w:rPr>
            </w:pPr>
            <w:r>
              <w:rPr>
                <w:rFonts w:ascii="Arial" w:cs="Arial" w:eastAsia="Arial" w:hAnsi="Arial"/>
                <w:sz w:val="12"/>
                <w:szCs w:val="12"/>
                <w:color w:val="auto"/>
              </w:rPr>
              <w:t>2,074,041</w:t>
            </w:r>
          </w:p>
        </w:tc>
        <w:tc>
          <w:tcPr>
            <w:tcW w:w="0" w:type="dxa"/>
            <w:vAlign w:val="bottom"/>
          </w:tcPr>
          <w:p>
            <w:pPr>
              <w:spacing w:after="0"/>
              <w:rPr>
                <w:sz w:val="1"/>
                <w:szCs w:val="1"/>
                <w:color w:val="auto"/>
              </w:rPr>
            </w:pPr>
          </w:p>
        </w:tc>
      </w:tr>
      <w:tr>
        <w:trPr>
          <w:trHeight w:val="173"/>
        </w:trPr>
        <w:tc>
          <w:tcPr>
            <w:tcW w:w="2600" w:type="dxa"/>
            <w:vAlign w:val="bottom"/>
          </w:tcPr>
          <w:p>
            <w:pPr>
              <w:ind w:left="100"/>
              <w:spacing w:after="0"/>
              <w:rPr>
                <w:sz w:val="20"/>
                <w:szCs w:val="20"/>
                <w:color w:val="auto"/>
              </w:rPr>
            </w:pPr>
            <w:r>
              <w:rPr>
                <w:rFonts w:ascii="Arial" w:cs="Arial" w:eastAsia="Arial" w:hAnsi="Arial"/>
                <w:sz w:val="13"/>
                <w:szCs w:val="13"/>
                <w:color w:val="auto"/>
              </w:rPr>
              <w:t>Vice President, Global Operations</w:t>
            </w:r>
          </w:p>
        </w:tc>
        <w:tc>
          <w:tcPr>
            <w:tcW w:w="620" w:type="dxa"/>
            <w:vAlign w:val="bottom"/>
            <w:vMerge w:val="restart"/>
          </w:tcPr>
          <w:p>
            <w:pPr>
              <w:jc w:val="center"/>
              <w:spacing w:after="0"/>
              <w:rPr>
                <w:sz w:val="20"/>
                <w:szCs w:val="20"/>
                <w:color w:val="auto"/>
              </w:rPr>
            </w:pPr>
            <w:r>
              <w:rPr>
                <w:rFonts w:ascii="Arial" w:cs="Arial" w:eastAsia="Arial" w:hAnsi="Arial"/>
                <w:sz w:val="12"/>
                <w:szCs w:val="12"/>
                <w:color w:val="auto"/>
              </w:rPr>
              <w:t>2023</w:t>
            </w:r>
          </w:p>
        </w:tc>
        <w:tc>
          <w:tcPr>
            <w:tcW w:w="1120" w:type="dxa"/>
            <w:vAlign w:val="bottom"/>
            <w:gridSpan w:val="2"/>
            <w:vMerge w:val="restart"/>
          </w:tcPr>
          <w:p>
            <w:pPr>
              <w:jc w:val="right"/>
              <w:ind w:right="76"/>
              <w:spacing w:after="0"/>
              <w:rPr>
                <w:sz w:val="20"/>
                <w:szCs w:val="20"/>
                <w:color w:val="auto"/>
              </w:rPr>
            </w:pPr>
            <w:r>
              <w:rPr>
                <w:rFonts w:ascii="Arial" w:cs="Arial" w:eastAsia="Arial" w:hAnsi="Arial"/>
                <w:sz w:val="12"/>
                <w:szCs w:val="12"/>
                <w:color w:val="auto"/>
              </w:rPr>
              <w:t>473,313</w:t>
            </w:r>
          </w:p>
        </w:tc>
        <w:tc>
          <w:tcPr>
            <w:tcW w:w="900" w:type="dxa"/>
            <w:vAlign w:val="bottom"/>
            <w:vMerge w:val="restart"/>
          </w:tcPr>
          <w:p>
            <w:pPr>
              <w:jc w:val="center"/>
              <w:ind w:right="77"/>
              <w:spacing w:after="0"/>
              <w:rPr>
                <w:sz w:val="20"/>
                <w:szCs w:val="20"/>
                <w:color w:val="auto"/>
              </w:rPr>
            </w:pPr>
            <w:r>
              <w:rPr>
                <w:rFonts w:ascii="Arial" w:cs="Arial" w:eastAsia="Arial" w:hAnsi="Arial"/>
                <w:sz w:val="12"/>
                <w:szCs w:val="12"/>
                <w:color w:val="auto"/>
              </w:rPr>
              <w:t>0</w:t>
            </w:r>
          </w:p>
        </w:tc>
        <w:tc>
          <w:tcPr>
            <w:tcW w:w="1000" w:type="dxa"/>
            <w:vAlign w:val="bottom"/>
            <w:vMerge w:val="restart"/>
          </w:tcPr>
          <w:p>
            <w:pPr>
              <w:jc w:val="right"/>
              <w:ind w:right="97"/>
              <w:spacing w:after="0"/>
              <w:rPr>
                <w:sz w:val="20"/>
                <w:szCs w:val="20"/>
                <w:color w:val="auto"/>
              </w:rPr>
            </w:pPr>
            <w:r>
              <w:rPr>
                <w:rFonts w:ascii="Arial" w:cs="Arial" w:eastAsia="Arial" w:hAnsi="Arial"/>
                <w:sz w:val="12"/>
                <w:szCs w:val="12"/>
                <w:color w:val="auto"/>
              </w:rPr>
              <w:t>325,206</w:t>
            </w:r>
          </w:p>
        </w:tc>
        <w:tc>
          <w:tcPr>
            <w:tcW w:w="920" w:type="dxa"/>
            <w:vAlign w:val="bottom"/>
            <w:vMerge w:val="restart"/>
          </w:tcPr>
          <w:p>
            <w:pPr>
              <w:jc w:val="right"/>
              <w:ind w:right="37"/>
              <w:spacing w:after="0"/>
              <w:rPr>
                <w:sz w:val="20"/>
                <w:szCs w:val="20"/>
                <w:color w:val="auto"/>
              </w:rPr>
            </w:pPr>
            <w:r>
              <w:rPr>
                <w:rFonts w:ascii="Arial" w:cs="Arial" w:eastAsia="Arial" w:hAnsi="Arial"/>
                <w:sz w:val="12"/>
                <w:szCs w:val="12"/>
                <w:color w:val="auto"/>
              </w:rPr>
              <w:t>334,719</w:t>
            </w:r>
          </w:p>
        </w:tc>
        <w:tc>
          <w:tcPr>
            <w:tcW w:w="1620" w:type="dxa"/>
            <w:vAlign w:val="bottom"/>
            <w:vMerge w:val="restart"/>
          </w:tcPr>
          <w:p>
            <w:pPr>
              <w:jc w:val="right"/>
              <w:ind w:right="117"/>
              <w:spacing w:after="0"/>
              <w:rPr>
                <w:sz w:val="20"/>
                <w:szCs w:val="20"/>
                <w:color w:val="auto"/>
              </w:rPr>
            </w:pPr>
            <w:r>
              <w:rPr>
                <w:rFonts w:ascii="Arial" w:cs="Arial" w:eastAsia="Arial" w:hAnsi="Arial"/>
                <w:sz w:val="12"/>
                <w:szCs w:val="12"/>
                <w:color w:val="auto"/>
              </w:rPr>
              <w:t>61,661</w:t>
            </w:r>
          </w:p>
        </w:tc>
        <w:tc>
          <w:tcPr>
            <w:tcW w:w="1540" w:type="dxa"/>
            <w:vAlign w:val="bottom"/>
            <w:vMerge w:val="restart"/>
          </w:tcPr>
          <w:p>
            <w:pPr>
              <w:jc w:val="right"/>
              <w:ind w:right="137"/>
              <w:spacing w:after="0"/>
              <w:rPr>
                <w:sz w:val="20"/>
                <w:szCs w:val="20"/>
                <w:color w:val="auto"/>
              </w:rPr>
            </w:pPr>
            <w:r>
              <w:rPr>
                <w:rFonts w:ascii="Arial" w:cs="Arial" w:eastAsia="Arial" w:hAnsi="Arial"/>
                <w:sz w:val="12"/>
                <w:szCs w:val="12"/>
                <w:color w:val="auto"/>
              </w:rPr>
              <w:t>39,700</w:t>
            </w:r>
          </w:p>
        </w:tc>
        <w:tc>
          <w:tcPr>
            <w:tcW w:w="800" w:type="dxa"/>
            <w:vAlign w:val="bottom"/>
            <w:vMerge w:val="restart"/>
          </w:tcPr>
          <w:p>
            <w:pPr>
              <w:jc w:val="right"/>
              <w:spacing w:after="0"/>
              <w:rPr>
                <w:sz w:val="20"/>
                <w:szCs w:val="20"/>
                <w:color w:val="auto"/>
              </w:rPr>
            </w:pPr>
            <w:r>
              <w:rPr>
                <w:rFonts w:ascii="Arial" w:cs="Arial" w:eastAsia="Arial" w:hAnsi="Arial"/>
                <w:sz w:val="12"/>
                <w:szCs w:val="12"/>
                <w:color w:val="auto"/>
              </w:rPr>
              <w:t>1,234,599</w:t>
            </w:r>
          </w:p>
        </w:tc>
        <w:tc>
          <w:tcPr>
            <w:tcW w:w="0" w:type="dxa"/>
            <w:vAlign w:val="bottom"/>
          </w:tcPr>
          <w:p>
            <w:pPr>
              <w:spacing w:after="0"/>
              <w:rPr>
                <w:sz w:val="1"/>
                <w:szCs w:val="1"/>
                <w:color w:val="auto"/>
              </w:rPr>
            </w:pPr>
          </w:p>
        </w:tc>
      </w:tr>
      <w:tr>
        <w:trPr>
          <w:trHeight w:val="53"/>
        </w:trPr>
        <w:tc>
          <w:tcPr>
            <w:tcW w:w="2600" w:type="dxa"/>
            <w:vAlign w:val="bottom"/>
            <w:vMerge w:val="restart"/>
          </w:tcPr>
          <w:p>
            <w:pPr>
              <w:ind w:left="100"/>
              <w:spacing w:after="0"/>
              <w:rPr>
                <w:sz w:val="20"/>
                <w:szCs w:val="20"/>
                <w:color w:val="auto"/>
              </w:rPr>
            </w:pPr>
            <w:r>
              <w:rPr>
                <w:rFonts w:ascii="Arial" w:cs="Arial" w:eastAsia="Arial" w:hAnsi="Arial"/>
                <w:sz w:val="13"/>
                <w:szCs w:val="13"/>
                <w:color w:val="auto"/>
              </w:rPr>
              <w:t>and Integrated Supply Chain</w:t>
            </w:r>
          </w:p>
        </w:tc>
        <w:tc>
          <w:tcPr>
            <w:tcW w:w="620" w:type="dxa"/>
            <w:vAlign w:val="bottom"/>
            <w:vMerge w:val="continue"/>
          </w:tcPr>
          <w:p>
            <w:pPr>
              <w:spacing w:after="0"/>
              <w:rPr>
                <w:sz w:val="4"/>
                <w:szCs w:val="4"/>
                <w:color w:val="auto"/>
              </w:rPr>
            </w:pPr>
          </w:p>
        </w:tc>
        <w:tc>
          <w:tcPr>
            <w:tcW w:w="1120" w:type="dxa"/>
            <w:vAlign w:val="bottom"/>
            <w:gridSpan w:val="2"/>
            <w:vMerge w:val="continue"/>
          </w:tcPr>
          <w:p>
            <w:pPr>
              <w:spacing w:after="0"/>
              <w:rPr>
                <w:sz w:val="4"/>
                <w:szCs w:val="4"/>
                <w:color w:val="auto"/>
              </w:rPr>
            </w:pPr>
          </w:p>
        </w:tc>
        <w:tc>
          <w:tcPr>
            <w:tcW w:w="900" w:type="dxa"/>
            <w:vAlign w:val="bottom"/>
            <w:vMerge w:val="continue"/>
          </w:tcPr>
          <w:p>
            <w:pPr>
              <w:spacing w:after="0"/>
              <w:rPr>
                <w:sz w:val="4"/>
                <w:szCs w:val="4"/>
                <w:color w:val="auto"/>
              </w:rPr>
            </w:pPr>
          </w:p>
        </w:tc>
        <w:tc>
          <w:tcPr>
            <w:tcW w:w="1000" w:type="dxa"/>
            <w:vAlign w:val="bottom"/>
            <w:vMerge w:val="continue"/>
          </w:tcPr>
          <w:p>
            <w:pPr>
              <w:spacing w:after="0"/>
              <w:rPr>
                <w:sz w:val="4"/>
                <w:szCs w:val="4"/>
                <w:color w:val="auto"/>
              </w:rPr>
            </w:pPr>
          </w:p>
        </w:tc>
        <w:tc>
          <w:tcPr>
            <w:tcW w:w="920" w:type="dxa"/>
            <w:vAlign w:val="bottom"/>
            <w:vMerge w:val="continue"/>
          </w:tcPr>
          <w:p>
            <w:pPr>
              <w:spacing w:after="0"/>
              <w:rPr>
                <w:sz w:val="4"/>
                <w:szCs w:val="4"/>
                <w:color w:val="auto"/>
              </w:rPr>
            </w:pPr>
          </w:p>
        </w:tc>
        <w:tc>
          <w:tcPr>
            <w:tcW w:w="1620" w:type="dxa"/>
            <w:vAlign w:val="bottom"/>
            <w:vMerge w:val="continue"/>
          </w:tcPr>
          <w:p>
            <w:pPr>
              <w:spacing w:after="0"/>
              <w:rPr>
                <w:sz w:val="4"/>
                <w:szCs w:val="4"/>
                <w:color w:val="auto"/>
              </w:rPr>
            </w:pPr>
          </w:p>
        </w:tc>
        <w:tc>
          <w:tcPr>
            <w:tcW w:w="1540" w:type="dxa"/>
            <w:vAlign w:val="bottom"/>
            <w:vMerge w:val="continue"/>
          </w:tcPr>
          <w:p>
            <w:pPr>
              <w:spacing w:after="0"/>
              <w:rPr>
                <w:sz w:val="4"/>
                <w:szCs w:val="4"/>
                <w:color w:val="auto"/>
              </w:rPr>
            </w:pPr>
          </w:p>
        </w:tc>
        <w:tc>
          <w:tcPr>
            <w:tcW w:w="8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22"/>
        </w:trPr>
        <w:tc>
          <w:tcPr>
            <w:tcW w:w="2600" w:type="dxa"/>
            <w:vAlign w:val="bottom"/>
            <w:vMerge w:val="continue"/>
          </w:tcPr>
          <w:p>
            <w:pPr>
              <w:spacing w:after="0"/>
              <w:rPr>
                <w:sz w:val="10"/>
                <w:szCs w:val="10"/>
                <w:color w:val="auto"/>
              </w:rPr>
            </w:pPr>
          </w:p>
        </w:tc>
        <w:tc>
          <w:tcPr>
            <w:tcW w:w="620" w:type="dxa"/>
            <w:vAlign w:val="bottom"/>
            <w:vMerge w:val="restart"/>
          </w:tcPr>
          <w:p>
            <w:pPr>
              <w:jc w:val="center"/>
              <w:spacing w:after="0"/>
              <w:rPr>
                <w:sz w:val="20"/>
                <w:szCs w:val="20"/>
                <w:color w:val="auto"/>
              </w:rPr>
            </w:pPr>
            <w:r>
              <w:rPr>
                <w:rFonts w:ascii="Arial" w:cs="Arial" w:eastAsia="Arial" w:hAnsi="Arial"/>
                <w:sz w:val="12"/>
                <w:szCs w:val="12"/>
                <w:color w:val="auto"/>
              </w:rPr>
              <w:t>2022</w:t>
            </w:r>
          </w:p>
        </w:tc>
        <w:tc>
          <w:tcPr>
            <w:tcW w:w="1120" w:type="dxa"/>
            <w:vAlign w:val="bottom"/>
            <w:gridSpan w:val="2"/>
            <w:vMerge w:val="restart"/>
          </w:tcPr>
          <w:p>
            <w:pPr>
              <w:jc w:val="right"/>
              <w:ind w:right="76"/>
              <w:spacing w:after="0"/>
              <w:rPr>
                <w:sz w:val="20"/>
                <w:szCs w:val="20"/>
                <w:color w:val="auto"/>
              </w:rPr>
            </w:pPr>
            <w:r>
              <w:rPr>
                <w:rFonts w:ascii="Arial" w:cs="Arial" w:eastAsia="Arial" w:hAnsi="Arial"/>
                <w:sz w:val="12"/>
                <w:szCs w:val="12"/>
                <w:color w:val="auto"/>
              </w:rPr>
              <w:t>422,858</w:t>
            </w:r>
          </w:p>
        </w:tc>
        <w:tc>
          <w:tcPr>
            <w:tcW w:w="900" w:type="dxa"/>
            <w:vAlign w:val="bottom"/>
            <w:vMerge w:val="restart"/>
          </w:tcPr>
          <w:p>
            <w:pPr>
              <w:jc w:val="right"/>
              <w:ind w:right="77"/>
              <w:spacing w:after="0"/>
              <w:rPr>
                <w:sz w:val="20"/>
                <w:szCs w:val="20"/>
                <w:color w:val="auto"/>
              </w:rPr>
            </w:pPr>
            <w:r>
              <w:rPr>
                <w:rFonts w:ascii="Arial" w:cs="Arial" w:eastAsia="Arial" w:hAnsi="Arial"/>
                <w:sz w:val="12"/>
                <w:szCs w:val="12"/>
                <w:color w:val="auto"/>
              </w:rPr>
              <w:t>450,000</w:t>
            </w:r>
          </w:p>
        </w:tc>
        <w:tc>
          <w:tcPr>
            <w:tcW w:w="1000" w:type="dxa"/>
            <w:vAlign w:val="bottom"/>
            <w:vMerge w:val="restart"/>
          </w:tcPr>
          <w:p>
            <w:pPr>
              <w:jc w:val="right"/>
              <w:ind w:right="97"/>
              <w:spacing w:after="0"/>
              <w:rPr>
                <w:sz w:val="20"/>
                <w:szCs w:val="20"/>
                <w:color w:val="auto"/>
              </w:rPr>
            </w:pPr>
            <w:r>
              <w:rPr>
                <w:rFonts w:ascii="Arial" w:cs="Arial" w:eastAsia="Arial" w:hAnsi="Arial"/>
                <w:sz w:val="12"/>
                <w:szCs w:val="12"/>
                <w:color w:val="auto"/>
              </w:rPr>
              <w:t>1,986,129</w:t>
            </w:r>
          </w:p>
        </w:tc>
        <w:tc>
          <w:tcPr>
            <w:tcW w:w="920" w:type="dxa"/>
            <w:vAlign w:val="bottom"/>
            <w:vMerge w:val="restart"/>
          </w:tcPr>
          <w:p>
            <w:pPr>
              <w:jc w:val="right"/>
              <w:ind w:right="37"/>
              <w:spacing w:after="0"/>
              <w:rPr>
                <w:sz w:val="20"/>
                <w:szCs w:val="20"/>
                <w:color w:val="auto"/>
              </w:rPr>
            </w:pPr>
            <w:r>
              <w:rPr>
                <w:rFonts w:ascii="Arial" w:cs="Arial" w:eastAsia="Arial" w:hAnsi="Arial"/>
                <w:sz w:val="12"/>
                <w:szCs w:val="12"/>
                <w:color w:val="auto"/>
              </w:rPr>
              <w:t>236,694</w:t>
            </w:r>
          </w:p>
        </w:tc>
        <w:tc>
          <w:tcPr>
            <w:tcW w:w="1620" w:type="dxa"/>
            <w:vAlign w:val="bottom"/>
            <w:vMerge w:val="restart"/>
          </w:tcPr>
          <w:p>
            <w:pPr>
              <w:jc w:val="right"/>
              <w:ind w:right="117"/>
              <w:spacing w:after="0"/>
              <w:rPr>
                <w:sz w:val="20"/>
                <w:szCs w:val="20"/>
                <w:color w:val="auto"/>
              </w:rPr>
            </w:pPr>
            <w:r>
              <w:rPr>
                <w:rFonts w:ascii="Arial" w:cs="Arial" w:eastAsia="Arial" w:hAnsi="Arial"/>
                <w:sz w:val="12"/>
                <w:szCs w:val="12"/>
                <w:color w:val="auto"/>
              </w:rPr>
              <w:t>170,823</w:t>
            </w:r>
          </w:p>
        </w:tc>
        <w:tc>
          <w:tcPr>
            <w:tcW w:w="1540" w:type="dxa"/>
            <w:vAlign w:val="bottom"/>
            <w:vMerge w:val="restart"/>
          </w:tcPr>
          <w:p>
            <w:pPr>
              <w:jc w:val="right"/>
              <w:ind w:right="137"/>
              <w:spacing w:after="0"/>
              <w:rPr>
                <w:sz w:val="20"/>
                <w:szCs w:val="20"/>
                <w:color w:val="auto"/>
              </w:rPr>
            </w:pPr>
            <w:r>
              <w:rPr>
                <w:rFonts w:ascii="Arial" w:cs="Arial" w:eastAsia="Arial" w:hAnsi="Arial"/>
                <w:sz w:val="12"/>
                <w:szCs w:val="12"/>
                <w:color w:val="auto"/>
              </w:rPr>
              <w:t>114,754</w:t>
            </w:r>
          </w:p>
        </w:tc>
        <w:tc>
          <w:tcPr>
            <w:tcW w:w="800" w:type="dxa"/>
            <w:vAlign w:val="bottom"/>
            <w:vMerge w:val="restart"/>
          </w:tcPr>
          <w:p>
            <w:pPr>
              <w:jc w:val="right"/>
              <w:spacing w:after="0"/>
              <w:rPr>
                <w:sz w:val="20"/>
                <w:szCs w:val="20"/>
                <w:color w:val="auto"/>
              </w:rPr>
            </w:pPr>
            <w:r>
              <w:rPr>
                <w:rFonts w:ascii="Arial" w:cs="Arial" w:eastAsia="Arial" w:hAnsi="Arial"/>
                <w:sz w:val="12"/>
                <w:szCs w:val="12"/>
                <w:color w:val="auto"/>
              </w:rPr>
              <w:t>3,381,258</w:t>
            </w:r>
          </w:p>
        </w:tc>
        <w:tc>
          <w:tcPr>
            <w:tcW w:w="0" w:type="dxa"/>
            <w:vAlign w:val="bottom"/>
          </w:tcPr>
          <w:p>
            <w:pPr>
              <w:spacing w:after="0"/>
              <w:rPr>
                <w:sz w:val="1"/>
                <w:szCs w:val="1"/>
                <w:color w:val="auto"/>
              </w:rPr>
            </w:pPr>
          </w:p>
        </w:tc>
      </w:tr>
      <w:tr>
        <w:trPr>
          <w:trHeight w:val="91"/>
        </w:trPr>
        <w:tc>
          <w:tcPr>
            <w:tcW w:w="2600" w:type="dxa"/>
            <w:vAlign w:val="bottom"/>
          </w:tcPr>
          <w:p>
            <w:pPr>
              <w:spacing w:after="0"/>
              <w:rPr>
                <w:sz w:val="7"/>
                <w:szCs w:val="7"/>
                <w:color w:val="auto"/>
              </w:rPr>
            </w:pPr>
          </w:p>
        </w:tc>
        <w:tc>
          <w:tcPr>
            <w:tcW w:w="620" w:type="dxa"/>
            <w:vAlign w:val="bottom"/>
            <w:vMerge w:val="continue"/>
          </w:tcPr>
          <w:p>
            <w:pPr>
              <w:spacing w:after="0"/>
              <w:rPr>
                <w:sz w:val="7"/>
                <w:szCs w:val="7"/>
                <w:color w:val="auto"/>
              </w:rPr>
            </w:pPr>
          </w:p>
        </w:tc>
        <w:tc>
          <w:tcPr>
            <w:tcW w:w="1120" w:type="dxa"/>
            <w:vAlign w:val="bottom"/>
            <w:gridSpan w:val="2"/>
            <w:vMerge w:val="continue"/>
          </w:tcPr>
          <w:p>
            <w:pPr>
              <w:spacing w:after="0"/>
              <w:rPr>
                <w:sz w:val="7"/>
                <w:szCs w:val="7"/>
                <w:color w:val="auto"/>
              </w:rPr>
            </w:pPr>
          </w:p>
        </w:tc>
        <w:tc>
          <w:tcPr>
            <w:tcW w:w="900" w:type="dxa"/>
            <w:vAlign w:val="bottom"/>
            <w:vMerge w:val="continue"/>
          </w:tcPr>
          <w:p>
            <w:pPr>
              <w:spacing w:after="0"/>
              <w:rPr>
                <w:sz w:val="7"/>
                <w:szCs w:val="7"/>
                <w:color w:val="auto"/>
              </w:rPr>
            </w:pPr>
          </w:p>
        </w:tc>
        <w:tc>
          <w:tcPr>
            <w:tcW w:w="1000" w:type="dxa"/>
            <w:vAlign w:val="bottom"/>
            <w:vMerge w:val="continue"/>
          </w:tcPr>
          <w:p>
            <w:pPr>
              <w:spacing w:after="0"/>
              <w:rPr>
                <w:sz w:val="7"/>
                <w:szCs w:val="7"/>
                <w:color w:val="auto"/>
              </w:rPr>
            </w:pPr>
          </w:p>
        </w:tc>
        <w:tc>
          <w:tcPr>
            <w:tcW w:w="920" w:type="dxa"/>
            <w:vAlign w:val="bottom"/>
            <w:vMerge w:val="continue"/>
          </w:tcPr>
          <w:p>
            <w:pPr>
              <w:spacing w:after="0"/>
              <w:rPr>
                <w:sz w:val="7"/>
                <w:szCs w:val="7"/>
                <w:color w:val="auto"/>
              </w:rPr>
            </w:pPr>
          </w:p>
        </w:tc>
        <w:tc>
          <w:tcPr>
            <w:tcW w:w="1620" w:type="dxa"/>
            <w:vAlign w:val="bottom"/>
            <w:vMerge w:val="continue"/>
          </w:tcPr>
          <w:p>
            <w:pPr>
              <w:spacing w:after="0"/>
              <w:rPr>
                <w:sz w:val="7"/>
                <w:szCs w:val="7"/>
                <w:color w:val="auto"/>
              </w:rPr>
            </w:pPr>
          </w:p>
        </w:tc>
        <w:tc>
          <w:tcPr>
            <w:tcW w:w="1540" w:type="dxa"/>
            <w:vAlign w:val="bottom"/>
            <w:vMerge w:val="continue"/>
          </w:tcPr>
          <w:p>
            <w:pPr>
              <w:spacing w:after="0"/>
              <w:rPr>
                <w:sz w:val="7"/>
                <w:szCs w:val="7"/>
                <w:color w:val="auto"/>
              </w:rPr>
            </w:pPr>
          </w:p>
        </w:tc>
        <w:tc>
          <w:tcPr>
            <w:tcW w:w="8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7"/>
        </w:trPr>
        <w:tc>
          <w:tcPr>
            <w:tcW w:w="26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54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1"/>
        </w:trPr>
        <w:tc>
          <w:tcPr>
            <w:tcW w:w="2600" w:type="dxa"/>
            <w:vAlign w:val="bottom"/>
            <w:shd w:val="clear" w:color="auto" w:fill="DBDBDB"/>
          </w:tcPr>
          <w:p>
            <w:pPr>
              <w:ind w:left="20"/>
              <w:spacing w:after="0"/>
              <w:rPr>
                <w:sz w:val="20"/>
                <w:szCs w:val="20"/>
                <w:color w:val="auto"/>
              </w:rPr>
            </w:pPr>
            <w:r>
              <w:rPr>
                <w:rFonts w:ascii="Arial" w:cs="Arial" w:eastAsia="Arial" w:hAnsi="Arial"/>
                <w:sz w:val="13"/>
                <w:szCs w:val="13"/>
                <w:color w:val="auto"/>
              </w:rPr>
              <w:t>Amy E. Dahl,</w:t>
            </w:r>
          </w:p>
        </w:tc>
        <w:tc>
          <w:tcPr>
            <w:tcW w:w="620" w:type="dxa"/>
            <w:vAlign w:val="bottom"/>
            <w:shd w:val="clear" w:color="auto" w:fill="DBDBDB"/>
          </w:tcPr>
          <w:p>
            <w:pPr>
              <w:jc w:val="center"/>
              <w:spacing w:after="0"/>
              <w:rPr>
                <w:sz w:val="20"/>
                <w:szCs w:val="20"/>
                <w:color w:val="auto"/>
              </w:rPr>
            </w:pPr>
            <w:r>
              <w:rPr>
                <w:rFonts w:ascii="Arial" w:cs="Arial" w:eastAsia="Arial" w:hAnsi="Arial"/>
                <w:sz w:val="12"/>
                <w:szCs w:val="12"/>
                <w:color w:val="auto"/>
              </w:rPr>
              <w:t>2024</w:t>
            </w:r>
          </w:p>
        </w:tc>
        <w:tc>
          <w:tcPr>
            <w:tcW w:w="1120" w:type="dxa"/>
            <w:vAlign w:val="bottom"/>
            <w:gridSpan w:val="2"/>
            <w:shd w:val="clear" w:color="auto" w:fill="DBDBDB"/>
          </w:tcPr>
          <w:p>
            <w:pPr>
              <w:jc w:val="right"/>
              <w:ind w:right="76"/>
              <w:spacing w:after="0"/>
              <w:rPr>
                <w:sz w:val="20"/>
                <w:szCs w:val="20"/>
                <w:color w:val="auto"/>
              </w:rPr>
            </w:pPr>
            <w:r>
              <w:rPr>
                <w:rFonts w:ascii="Arial" w:cs="Arial" w:eastAsia="Arial" w:hAnsi="Arial"/>
                <w:sz w:val="12"/>
                <w:szCs w:val="12"/>
                <w:color w:val="auto"/>
              </w:rPr>
              <w:t>545,477</w:t>
            </w:r>
          </w:p>
        </w:tc>
        <w:tc>
          <w:tcPr>
            <w:tcW w:w="900" w:type="dxa"/>
            <w:vAlign w:val="bottom"/>
            <w:shd w:val="clear" w:color="auto" w:fill="DBDBDB"/>
          </w:tcPr>
          <w:p>
            <w:pPr>
              <w:jc w:val="center"/>
              <w:ind w:right="77"/>
              <w:spacing w:after="0"/>
              <w:rPr>
                <w:sz w:val="20"/>
                <w:szCs w:val="20"/>
                <w:color w:val="auto"/>
              </w:rPr>
            </w:pPr>
            <w:r>
              <w:rPr>
                <w:rFonts w:ascii="Arial" w:cs="Arial" w:eastAsia="Arial" w:hAnsi="Arial"/>
                <w:sz w:val="12"/>
                <w:szCs w:val="12"/>
                <w:color w:val="auto"/>
              </w:rPr>
              <w:t>0</w:t>
            </w:r>
          </w:p>
        </w:tc>
        <w:tc>
          <w:tcPr>
            <w:tcW w:w="1000" w:type="dxa"/>
            <w:vAlign w:val="bottom"/>
            <w:shd w:val="clear" w:color="auto" w:fill="DBDBDB"/>
          </w:tcPr>
          <w:p>
            <w:pPr>
              <w:jc w:val="right"/>
              <w:ind w:right="97"/>
              <w:spacing w:after="0"/>
              <w:rPr>
                <w:sz w:val="20"/>
                <w:szCs w:val="20"/>
                <w:color w:val="auto"/>
              </w:rPr>
            </w:pPr>
            <w:r>
              <w:rPr>
                <w:rFonts w:ascii="Arial" w:cs="Arial" w:eastAsia="Arial" w:hAnsi="Arial"/>
                <w:sz w:val="12"/>
                <w:szCs w:val="12"/>
                <w:color w:val="auto"/>
              </w:rPr>
              <w:t>458,160</w:t>
            </w:r>
          </w:p>
        </w:tc>
        <w:tc>
          <w:tcPr>
            <w:tcW w:w="920" w:type="dxa"/>
            <w:vAlign w:val="bottom"/>
            <w:shd w:val="clear" w:color="auto" w:fill="DBDBDB"/>
          </w:tcPr>
          <w:p>
            <w:pPr>
              <w:jc w:val="right"/>
              <w:ind w:right="37"/>
              <w:spacing w:after="0"/>
              <w:rPr>
                <w:sz w:val="20"/>
                <w:szCs w:val="20"/>
                <w:color w:val="auto"/>
              </w:rPr>
            </w:pPr>
            <w:r>
              <w:rPr>
                <w:rFonts w:ascii="Arial" w:cs="Arial" w:eastAsia="Arial" w:hAnsi="Arial"/>
                <w:sz w:val="12"/>
                <w:szCs w:val="12"/>
                <w:color w:val="auto"/>
              </w:rPr>
              <w:t>446,446</w:t>
            </w:r>
          </w:p>
        </w:tc>
        <w:tc>
          <w:tcPr>
            <w:tcW w:w="1620" w:type="dxa"/>
            <w:vAlign w:val="bottom"/>
            <w:shd w:val="clear" w:color="auto" w:fill="DBDBDB"/>
          </w:tcPr>
          <w:p>
            <w:pPr>
              <w:jc w:val="right"/>
              <w:ind w:right="117"/>
              <w:spacing w:after="0"/>
              <w:rPr>
                <w:sz w:val="20"/>
                <w:szCs w:val="20"/>
                <w:color w:val="auto"/>
              </w:rPr>
            </w:pPr>
            <w:r>
              <w:rPr>
                <w:rFonts w:ascii="Arial" w:cs="Arial" w:eastAsia="Arial" w:hAnsi="Arial"/>
                <w:sz w:val="12"/>
                <w:szCs w:val="12"/>
                <w:color w:val="auto"/>
              </w:rPr>
              <w:t>302,954</w:t>
            </w:r>
          </w:p>
        </w:tc>
        <w:tc>
          <w:tcPr>
            <w:tcW w:w="1540" w:type="dxa"/>
            <w:vAlign w:val="bottom"/>
            <w:shd w:val="clear" w:color="auto" w:fill="DBDBDB"/>
          </w:tcPr>
          <w:p>
            <w:pPr>
              <w:jc w:val="right"/>
              <w:ind w:right="137"/>
              <w:spacing w:after="0"/>
              <w:rPr>
                <w:sz w:val="20"/>
                <w:szCs w:val="20"/>
                <w:color w:val="auto"/>
              </w:rPr>
            </w:pPr>
            <w:r>
              <w:rPr>
                <w:rFonts w:ascii="Arial" w:cs="Arial" w:eastAsia="Arial" w:hAnsi="Arial"/>
                <w:sz w:val="12"/>
                <w:szCs w:val="12"/>
                <w:color w:val="auto"/>
              </w:rPr>
              <w:t>89,672</w:t>
            </w:r>
          </w:p>
        </w:tc>
        <w:tc>
          <w:tcPr>
            <w:tcW w:w="800" w:type="dxa"/>
            <w:vAlign w:val="bottom"/>
            <w:shd w:val="clear" w:color="auto" w:fill="DBDBDB"/>
          </w:tcPr>
          <w:p>
            <w:pPr>
              <w:jc w:val="right"/>
              <w:spacing w:after="0"/>
              <w:rPr>
                <w:sz w:val="20"/>
                <w:szCs w:val="20"/>
                <w:color w:val="auto"/>
              </w:rPr>
            </w:pPr>
            <w:r>
              <w:rPr>
                <w:rFonts w:ascii="Arial" w:cs="Arial" w:eastAsia="Arial" w:hAnsi="Arial"/>
                <w:sz w:val="12"/>
                <w:szCs w:val="12"/>
                <w:color w:val="auto"/>
              </w:rPr>
              <w:t>1,842,709</w:t>
            </w:r>
          </w:p>
        </w:tc>
        <w:tc>
          <w:tcPr>
            <w:tcW w:w="0" w:type="dxa"/>
            <w:vAlign w:val="bottom"/>
          </w:tcPr>
          <w:p>
            <w:pPr>
              <w:spacing w:after="0"/>
              <w:rPr>
                <w:sz w:val="1"/>
                <w:szCs w:val="1"/>
                <w:color w:val="auto"/>
              </w:rPr>
            </w:pPr>
          </w:p>
        </w:tc>
      </w:tr>
      <w:tr>
        <w:trPr>
          <w:trHeight w:val="175"/>
        </w:trPr>
        <w:tc>
          <w:tcPr>
            <w:tcW w:w="2600" w:type="dxa"/>
            <w:vAlign w:val="bottom"/>
            <w:shd w:val="clear" w:color="auto" w:fill="DBDBDB"/>
          </w:tcPr>
          <w:p>
            <w:pPr>
              <w:ind w:left="100"/>
              <w:spacing w:after="0"/>
              <w:rPr>
                <w:sz w:val="20"/>
                <w:szCs w:val="20"/>
                <w:color w:val="auto"/>
              </w:rPr>
            </w:pPr>
            <w:r>
              <w:rPr>
                <w:rFonts w:ascii="Arial" w:cs="Arial" w:eastAsia="Arial" w:hAnsi="Arial"/>
                <w:sz w:val="13"/>
                <w:szCs w:val="13"/>
                <w:color w:val="auto"/>
              </w:rPr>
              <w:t>Vice President, International</w:t>
            </w:r>
          </w:p>
        </w:tc>
        <w:tc>
          <w:tcPr>
            <w:tcW w:w="620" w:type="dxa"/>
            <w:vAlign w:val="bottom"/>
            <w:vMerge w:val="restart"/>
            <w:shd w:val="clear" w:color="auto" w:fill="DBDBDB"/>
          </w:tcPr>
          <w:p>
            <w:pPr>
              <w:jc w:val="center"/>
              <w:spacing w:after="0"/>
              <w:rPr>
                <w:sz w:val="20"/>
                <w:szCs w:val="20"/>
                <w:color w:val="auto"/>
              </w:rPr>
            </w:pPr>
            <w:r>
              <w:rPr>
                <w:rFonts w:ascii="Arial" w:cs="Arial" w:eastAsia="Arial" w:hAnsi="Arial"/>
                <w:sz w:val="12"/>
                <w:szCs w:val="12"/>
                <w:color w:val="auto"/>
              </w:rPr>
              <w:t>2023</w:t>
            </w:r>
          </w:p>
        </w:tc>
        <w:tc>
          <w:tcPr>
            <w:tcW w:w="120" w:type="dxa"/>
            <w:vAlign w:val="bottom"/>
            <w:shd w:val="clear" w:color="auto" w:fill="DBDBDB"/>
          </w:tcPr>
          <w:p>
            <w:pPr>
              <w:spacing w:after="0"/>
              <w:rPr>
                <w:sz w:val="15"/>
                <w:szCs w:val="15"/>
                <w:color w:val="auto"/>
              </w:rPr>
            </w:pPr>
          </w:p>
        </w:tc>
        <w:tc>
          <w:tcPr>
            <w:tcW w:w="1000" w:type="dxa"/>
            <w:vAlign w:val="bottom"/>
            <w:vMerge w:val="restart"/>
            <w:shd w:val="clear" w:color="auto" w:fill="DBDBDB"/>
          </w:tcPr>
          <w:p>
            <w:pPr>
              <w:jc w:val="right"/>
              <w:ind w:right="76"/>
              <w:spacing w:after="0"/>
              <w:rPr>
                <w:sz w:val="20"/>
                <w:szCs w:val="20"/>
                <w:color w:val="auto"/>
              </w:rPr>
            </w:pPr>
            <w:r>
              <w:rPr>
                <w:rFonts w:ascii="Arial" w:cs="Arial" w:eastAsia="Arial" w:hAnsi="Arial"/>
                <w:sz w:val="12"/>
                <w:szCs w:val="12"/>
                <w:color w:val="auto"/>
              </w:rPr>
              <w:t>523,981</w:t>
            </w:r>
          </w:p>
        </w:tc>
        <w:tc>
          <w:tcPr>
            <w:tcW w:w="900" w:type="dxa"/>
            <w:vAlign w:val="bottom"/>
            <w:vMerge w:val="restart"/>
            <w:shd w:val="clear" w:color="auto" w:fill="DBDBDB"/>
          </w:tcPr>
          <w:p>
            <w:pPr>
              <w:jc w:val="center"/>
              <w:ind w:right="77"/>
              <w:spacing w:after="0"/>
              <w:rPr>
                <w:sz w:val="20"/>
                <w:szCs w:val="20"/>
                <w:color w:val="auto"/>
              </w:rPr>
            </w:pPr>
            <w:r>
              <w:rPr>
                <w:rFonts w:ascii="Arial" w:cs="Arial" w:eastAsia="Arial" w:hAnsi="Arial"/>
                <w:sz w:val="12"/>
                <w:szCs w:val="12"/>
                <w:color w:val="auto"/>
              </w:rPr>
              <w:t>0</w:t>
            </w:r>
          </w:p>
        </w:tc>
        <w:tc>
          <w:tcPr>
            <w:tcW w:w="1000" w:type="dxa"/>
            <w:vAlign w:val="bottom"/>
            <w:vMerge w:val="restart"/>
            <w:shd w:val="clear" w:color="auto" w:fill="DBDBDB"/>
          </w:tcPr>
          <w:p>
            <w:pPr>
              <w:jc w:val="right"/>
              <w:ind w:right="97"/>
              <w:spacing w:after="0"/>
              <w:rPr>
                <w:sz w:val="20"/>
                <w:szCs w:val="20"/>
                <w:color w:val="auto"/>
              </w:rPr>
            </w:pPr>
            <w:r>
              <w:rPr>
                <w:rFonts w:ascii="Arial" w:cs="Arial" w:eastAsia="Arial" w:hAnsi="Arial"/>
                <w:sz w:val="12"/>
                <w:szCs w:val="12"/>
                <w:color w:val="auto"/>
              </w:rPr>
              <w:t>504,630</w:t>
            </w:r>
          </w:p>
        </w:tc>
        <w:tc>
          <w:tcPr>
            <w:tcW w:w="920" w:type="dxa"/>
            <w:vAlign w:val="bottom"/>
            <w:vMerge w:val="restart"/>
            <w:shd w:val="clear" w:color="auto" w:fill="DBDBDB"/>
          </w:tcPr>
          <w:p>
            <w:pPr>
              <w:jc w:val="right"/>
              <w:ind w:right="37"/>
              <w:spacing w:after="0"/>
              <w:rPr>
                <w:sz w:val="20"/>
                <w:szCs w:val="20"/>
                <w:color w:val="auto"/>
              </w:rPr>
            </w:pPr>
            <w:r>
              <w:rPr>
                <w:rFonts w:ascii="Arial" w:cs="Arial" w:eastAsia="Arial" w:hAnsi="Arial"/>
                <w:sz w:val="12"/>
                <w:szCs w:val="12"/>
                <w:color w:val="auto"/>
              </w:rPr>
              <w:t>520,674</w:t>
            </w:r>
          </w:p>
        </w:tc>
        <w:tc>
          <w:tcPr>
            <w:tcW w:w="1620" w:type="dxa"/>
            <w:vAlign w:val="bottom"/>
            <w:vMerge w:val="restart"/>
            <w:shd w:val="clear" w:color="auto" w:fill="DBDBDB"/>
          </w:tcPr>
          <w:p>
            <w:pPr>
              <w:jc w:val="right"/>
              <w:ind w:right="117"/>
              <w:spacing w:after="0"/>
              <w:rPr>
                <w:sz w:val="20"/>
                <w:szCs w:val="20"/>
                <w:color w:val="auto"/>
              </w:rPr>
            </w:pPr>
            <w:r>
              <w:rPr>
                <w:rFonts w:ascii="Arial" w:cs="Arial" w:eastAsia="Arial" w:hAnsi="Arial"/>
                <w:sz w:val="12"/>
                <w:szCs w:val="12"/>
                <w:color w:val="auto"/>
              </w:rPr>
              <w:t>135,656</w:t>
            </w:r>
          </w:p>
        </w:tc>
        <w:tc>
          <w:tcPr>
            <w:tcW w:w="1540" w:type="dxa"/>
            <w:vAlign w:val="bottom"/>
            <w:vMerge w:val="restart"/>
            <w:shd w:val="clear" w:color="auto" w:fill="DBDBDB"/>
          </w:tcPr>
          <w:p>
            <w:pPr>
              <w:jc w:val="right"/>
              <w:ind w:right="137"/>
              <w:spacing w:after="0"/>
              <w:rPr>
                <w:sz w:val="20"/>
                <w:szCs w:val="20"/>
                <w:color w:val="auto"/>
              </w:rPr>
            </w:pPr>
            <w:r>
              <w:rPr>
                <w:rFonts w:ascii="Arial" w:cs="Arial" w:eastAsia="Arial" w:hAnsi="Arial"/>
                <w:sz w:val="12"/>
                <w:szCs w:val="12"/>
                <w:color w:val="auto"/>
              </w:rPr>
              <w:t>100,348</w:t>
            </w:r>
          </w:p>
        </w:tc>
        <w:tc>
          <w:tcPr>
            <w:tcW w:w="800" w:type="dxa"/>
            <w:vAlign w:val="bottom"/>
            <w:vMerge w:val="restart"/>
            <w:shd w:val="clear" w:color="auto" w:fill="DBDBDB"/>
          </w:tcPr>
          <w:p>
            <w:pPr>
              <w:jc w:val="right"/>
              <w:spacing w:after="0"/>
              <w:rPr>
                <w:sz w:val="20"/>
                <w:szCs w:val="20"/>
                <w:color w:val="auto"/>
              </w:rPr>
            </w:pPr>
            <w:r>
              <w:rPr>
                <w:rFonts w:ascii="Arial" w:cs="Arial" w:eastAsia="Arial" w:hAnsi="Arial"/>
                <w:sz w:val="12"/>
                <w:szCs w:val="12"/>
                <w:color w:val="auto"/>
              </w:rPr>
              <w:t>1,785,289</w:t>
            </w:r>
          </w:p>
        </w:tc>
        <w:tc>
          <w:tcPr>
            <w:tcW w:w="0" w:type="dxa"/>
            <w:vAlign w:val="bottom"/>
          </w:tcPr>
          <w:p>
            <w:pPr>
              <w:spacing w:after="0"/>
              <w:rPr>
                <w:sz w:val="1"/>
                <w:szCs w:val="1"/>
                <w:color w:val="auto"/>
              </w:rPr>
            </w:pPr>
          </w:p>
        </w:tc>
      </w:tr>
      <w:tr>
        <w:trPr>
          <w:trHeight w:val="158"/>
        </w:trPr>
        <w:tc>
          <w:tcPr>
            <w:tcW w:w="2600" w:type="dxa"/>
            <w:vAlign w:val="bottom"/>
            <w:shd w:val="clear" w:color="auto" w:fill="DBDBDB"/>
          </w:tcPr>
          <w:p>
            <w:pPr>
              <w:spacing w:after="0"/>
              <w:rPr>
                <w:sz w:val="13"/>
                <w:szCs w:val="13"/>
                <w:color w:val="auto"/>
              </w:rPr>
            </w:pPr>
          </w:p>
        </w:tc>
        <w:tc>
          <w:tcPr>
            <w:tcW w:w="620" w:type="dxa"/>
            <w:vAlign w:val="bottom"/>
            <w:vMerge w:val="continue"/>
            <w:shd w:val="clear" w:color="auto" w:fill="DBDBDB"/>
          </w:tcPr>
          <w:p>
            <w:pPr>
              <w:spacing w:after="0"/>
              <w:rPr>
                <w:sz w:val="13"/>
                <w:szCs w:val="13"/>
                <w:color w:val="auto"/>
              </w:rPr>
            </w:pPr>
          </w:p>
        </w:tc>
        <w:tc>
          <w:tcPr>
            <w:tcW w:w="120" w:type="dxa"/>
            <w:vAlign w:val="bottom"/>
            <w:shd w:val="clear" w:color="auto" w:fill="DBDBDB"/>
          </w:tcPr>
          <w:p>
            <w:pPr>
              <w:spacing w:after="0"/>
              <w:rPr>
                <w:sz w:val="13"/>
                <w:szCs w:val="13"/>
                <w:color w:val="auto"/>
              </w:rPr>
            </w:pPr>
          </w:p>
        </w:tc>
        <w:tc>
          <w:tcPr>
            <w:tcW w:w="1000" w:type="dxa"/>
            <w:vAlign w:val="bottom"/>
            <w:vMerge w:val="continue"/>
            <w:shd w:val="clear" w:color="auto" w:fill="DBDBDB"/>
          </w:tcPr>
          <w:p>
            <w:pPr>
              <w:spacing w:after="0"/>
              <w:rPr>
                <w:sz w:val="13"/>
                <w:szCs w:val="13"/>
                <w:color w:val="auto"/>
              </w:rPr>
            </w:pPr>
          </w:p>
        </w:tc>
        <w:tc>
          <w:tcPr>
            <w:tcW w:w="900" w:type="dxa"/>
            <w:vAlign w:val="bottom"/>
            <w:vMerge w:val="continue"/>
            <w:shd w:val="clear" w:color="auto" w:fill="DBDBDB"/>
          </w:tcPr>
          <w:p>
            <w:pPr>
              <w:spacing w:after="0"/>
              <w:rPr>
                <w:sz w:val="13"/>
                <w:szCs w:val="13"/>
                <w:color w:val="auto"/>
              </w:rPr>
            </w:pPr>
          </w:p>
        </w:tc>
        <w:tc>
          <w:tcPr>
            <w:tcW w:w="1000" w:type="dxa"/>
            <w:vAlign w:val="bottom"/>
            <w:vMerge w:val="continue"/>
            <w:shd w:val="clear" w:color="auto" w:fill="DBDBDB"/>
          </w:tcPr>
          <w:p>
            <w:pPr>
              <w:spacing w:after="0"/>
              <w:rPr>
                <w:sz w:val="13"/>
                <w:szCs w:val="13"/>
                <w:color w:val="auto"/>
              </w:rPr>
            </w:pPr>
          </w:p>
        </w:tc>
        <w:tc>
          <w:tcPr>
            <w:tcW w:w="920" w:type="dxa"/>
            <w:vAlign w:val="bottom"/>
            <w:vMerge w:val="continue"/>
            <w:shd w:val="clear" w:color="auto" w:fill="DBDBDB"/>
          </w:tcPr>
          <w:p>
            <w:pPr>
              <w:spacing w:after="0"/>
              <w:rPr>
                <w:sz w:val="13"/>
                <w:szCs w:val="13"/>
                <w:color w:val="auto"/>
              </w:rPr>
            </w:pPr>
          </w:p>
        </w:tc>
        <w:tc>
          <w:tcPr>
            <w:tcW w:w="1620" w:type="dxa"/>
            <w:vAlign w:val="bottom"/>
            <w:vMerge w:val="continue"/>
            <w:shd w:val="clear" w:color="auto" w:fill="DBDBDB"/>
          </w:tcPr>
          <w:p>
            <w:pPr>
              <w:spacing w:after="0"/>
              <w:rPr>
                <w:sz w:val="13"/>
                <w:szCs w:val="13"/>
                <w:color w:val="auto"/>
              </w:rPr>
            </w:pPr>
          </w:p>
        </w:tc>
        <w:tc>
          <w:tcPr>
            <w:tcW w:w="1540" w:type="dxa"/>
            <w:vAlign w:val="bottom"/>
            <w:vMerge w:val="continue"/>
            <w:shd w:val="clear" w:color="auto" w:fill="DBDBDB"/>
          </w:tcPr>
          <w:p>
            <w:pPr>
              <w:spacing w:after="0"/>
              <w:rPr>
                <w:sz w:val="13"/>
                <w:szCs w:val="13"/>
                <w:color w:val="auto"/>
              </w:rPr>
            </w:pPr>
          </w:p>
        </w:tc>
        <w:tc>
          <w:tcPr>
            <w:tcW w:w="800" w:type="dxa"/>
            <w:vAlign w:val="bottom"/>
            <w:vMerge w:val="continue"/>
            <w:shd w:val="clear" w:color="auto" w:fill="DBDBDB"/>
          </w:tcPr>
          <w:p>
            <w:pPr>
              <w:spacing w:after="0"/>
              <w:rPr>
                <w:sz w:val="13"/>
                <w:szCs w:val="13"/>
                <w:color w:val="auto"/>
              </w:rPr>
            </w:pPr>
          </w:p>
        </w:tc>
        <w:tc>
          <w:tcPr>
            <w:tcW w:w="0" w:type="dxa"/>
            <w:vAlign w:val="bottom"/>
          </w:tcPr>
          <w:p>
            <w:pPr>
              <w:spacing w:after="0"/>
              <w:rPr>
                <w:sz w:val="1"/>
                <w:szCs w:val="1"/>
                <w:color w:val="auto"/>
              </w:rPr>
            </w:pPr>
          </w:p>
        </w:tc>
      </w:tr>
      <w:tr>
        <w:trPr>
          <w:trHeight w:val="314"/>
        </w:trPr>
        <w:tc>
          <w:tcPr>
            <w:tcW w:w="2600" w:type="dxa"/>
            <w:vAlign w:val="bottom"/>
            <w:tcBorders>
              <w:bottom w:val="single" w:sz="8" w:color="DBDBDB"/>
            </w:tcBorders>
            <w:shd w:val="clear" w:color="auto" w:fill="DBDBDB"/>
          </w:tcPr>
          <w:p>
            <w:pPr>
              <w:spacing w:after="0"/>
              <w:rPr>
                <w:sz w:val="24"/>
                <w:szCs w:val="24"/>
                <w:color w:val="auto"/>
              </w:rPr>
            </w:pPr>
          </w:p>
        </w:tc>
        <w:tc>
          <w:tcPr>
            <w:tcW w:w="620" w:type="dxa"/>
            <w:vAlign w:val="bottom"/>
            <w:tcBorders>
              <w:bottom w:val="single" w:sz="8" w:color="DBDBDB"/>
            </w:tcBorders>
            <w:shd w:val="clear" w:color="auto" w:fill="DBDBDB"/>
          </w:tcPr>
          <w:p>
            <w:pPr>
              <w:jc w:val="center"/>
              <w:spacing w:after="0"/>
              <w:rPr>
                <w:sz w:val="20"/>
                <w:szCs w:val="20"/>
                <w:color w:val="auto"/>
              </w:rPr>
            </w:pPr>
            <w:r>
              <w:rPr>
                <w:rFonts w:ascii="Arial" w:cs="Arial" w:eastAsia="Arial" w:hAnsi="Arial"/>
                <w:sz w:val="12"/>
                <w:szCs w:val="12"/>
                <w:color w:val="auto"/>
              </w:rPr>
              <w:t>2022</w:t>
            </w:r>
          </w:p>
        </w:tc>
        <w:tc>
          <w:tcPr>
            <w:tcW w:w="120" w:type="dxa"/>
            <w:vAlign w:val="bottom"/>
            <w:tcBorders>
              <w:bottom w:val="single" w:sz="8" w:color="DBDBDB"/>
            </w:tcBorders>
            <w:shd w:val="clear" w:color="auto" w:fill="DBDBDB"/>
          </w:tcPr>
          <w:p>
            <w:pPr>
              <w:spacing w:after="0"/>
              <w:rPr>
                <w:sz w:val="24"/>
                <w:szCs w:val="24"/>
                <w:color w:val="auto"/>
              </w:rPr>
            </w:pPr>
          </w:p>
        </w:tc>
        <w:tc>
          <w:tcPr>
            <w:tcW w:w="1000" w:type="dxa"/>
            <w:vAlign w:val="bottom"/>
            <w:tcBorders>
              <w:bottom w:val="single" w:sz="8" w:color="DBDBDB"/>
            </w:tcBorders>
            <w:shd w:val="clear" w:color="auto" w:fill="DBDBDB"/>
          </w:tcPr>
          <w:p>
            <w:pPr>
              <w:jc w:val="right"/>
              <w:ind w:right="76"/>
              <w:spacing w:after="0"/>
              <w:rPr>
                <w:sz w:val="20"/>
                <w:szCs w:val="20"/>
                <w:color w:val="auto"/>
              </w:rPr>
            </w:pPr>
            <w:r>
              <w:rPr>
                <w:rFonts w:ascii="Arial" w:cs="Arial" w:eastAsia="Arial" w:hAnsi="Arial"/>
                <w:sz w:val="12"/>
                <w:szCs w:val="12"/>
                <w:color w:val="auto"/>
              </w:rPr>
              <w:t>503,397</w:t>
            </w:r>
          </w:p>
        </w:tc>
        <w:tc>
          <w:tcPr>
            <w:tcW w:w="900" w:type="dxa"/>
            <w:vAlign w:val="bottom"/>
            <w:tcBorders>
              <w:bottom w:val="single" w:sz="8" w:color="DBDBDB"/>
            </w:tcBorders>
            <w:shd w:val="clear" w:color="auto" w:fill="DBDBDB"/>
          </w:tcPr>
          <w:p>
            <w:pPr>
              <w:jc w:val="center"/>
              <w:ind w:right="77"/>
              <w:spacing w:after="0"/>
              <w:rPr>
                <w:sz w:val="20"/>
                <w:szCs w:val="20"/>
                <w:color w:val="auto"/>
              </w:rPr>
            </w:pPr>
            <w:r>
              <w:rPr>
                <w:rFonts w:ascii="Arial" w:cs="Arial" w:eastAsia="Arial" w:hAnsi="Arial"/>
                <w:sz w:val="12"/>
                <w:szCs w:val="12"/>
                <w:color w:val="auto"/>
              </w:rPr>
              <w:t>0</w:t>
            </w:r>
          </w:p>
        </w:tc>
        <w:tc>
          <w:tcPr>
            <w:tcW w:w="1000" w:type="dxa"/>
            <w:vAlign w:val="bottom"/>
            <w:tcBorders>
              <w:bottom w:val="single" w:sz="8" w:color="DBDBDB"/>
            </w:tcBorders>
            <w:shd w:val="clear" w:color="auto" w:fill="DBDBDB"/>
          </w:tcPr>
          <w:p>
            <w:pPr>
              <w:jc w:val="right"/>
              <w:ind w:right="97"/>
              <w:spacing w:after="0"/>
              <w:rPr>
                <w:sz w:val="20"/>
                <w:szCs w:val="20"/>
                <w:color w:val="auto"/>
              </w:rPr>
            </w:pPr>
            <w:r>
              <w:rPr>
                <w:rFonts w:ascii="Arial" w:cs="Arial" w:eastAsia="Arial" w:hAnsi="Arial"/>
                <w:sz w:val="12"/>
                <w:szCs w:val="12"/>
                <w:color w:val="auto"/>
              </w:rPr>
              <w:t>383,799</w:t>
            </w:r>
          </w:p>
        </w:tc>
        <w:tc>
          <w:tcPr>
            <w:tcW w:w="920" w:type="dxa"/>
            <w:vAlign w:val="bottom"/>
            <w:tcBorders>
              <w:bottom w:val="single" w:sz="8" w:color="DBDBDB"/>
            </w:tcBorders>
            <w:shd w:val="clear" w:color="auto" w:fill="DBDBDB"/>
          </w:tcPr>
          <w:p>
            <w:pPr>
              <w:jc w:val="right"/>
              <w:ind w:right="37"/>
              <w:spacing w:after="0"/>
              <w:rPr>
                <w:sz w:val="20"/>
                <w:szCs w:val="20"/>
                <w:color w:val="auto"/>
              </w:rPr>
            </w:pPr>
            <w:r>
              <w:rPr>
                <w:rFonts w:ascii="Arial" w:cs="Arial" w:eastAsia="Arial" w:hAnsi="Arial"/>
                <w:sz w:val="12"/>
                <w:szCs w:val="12"/>
                <w:color w:val="auto"/>
              </w:rPr>
              <w:t>388,362</w:t>
            </w:r>
          </w:p>
        </w:tc>
        <w:tc>
          <w:tcPr>
            <w:tcW w:w="1620" w:type="dxa"/>
            <w:vAlign w:val="bottom"/>
            <w:tcBorders>
              <w:bottom w:val="single" w:sz="8" w:color="DBDBDB"/>
            </w:tcBorders>
            <w:shd w:val="clear" w:color="auto" w:fill="DBDBDB"/>
          </w:tcPr>
          <w:p>
            <w:pPr>
              <w:jc w:val="right"/>
              <w:ind w:right="117"/>
              <w:spacing w:after="0"/>
              <w:rPr>
                <w:sz w:val="20"/>
                <w:szCs w:val="20"/>
                <w:color w:val="auto"/>
              </w:rPr>
            </w:pPr>
            <w:r>
              <w:rPr>
                <w:rFonts w:ascii="Arial" w:cs="Arial" w:eastAsia="Arial" w:hAnsi="Arial"/>
                <w:sz w:val="12"/>
                <w:szCs w:val="12"/>
                <w:color w:val="auto"/>
              </w:rPr>
              <w:t>225,741</w:t>
            </w:r>
          </w:p>
        </w:tc>
        <w:tc>
          <w:tcPr>
            <w:tcW w:w="1540" w:type="dxa"/>
            <w:vAlign w:val="bottom"/>
            <w:tcBorders>
              <w:bottom w:val="single" w:sz="8" w:color="DBDBDB"/>
            </w:tcBorders>
            <w:shd w:val="clear" w:color="auto" w:fill="DBDBDB"/>
          </w:tcPr>
          <w:p>
            <w:pPr>
              <w:jc w:val="right"/>
              <w:ind w:right="137"/>
              <w:spacing w:after="0"/>
              <w:rPr>
                <w:sz w:val="20"/>
                <w:szCs w:val="20"/>
                <w:color w:val="auto"/>
              </w:rPr>
            </w:pPr>
            <w:r>
              <w:rPr>
                <w:rFonts w:ascii="Arial" w:cs="Arial" w:eastAsia="Arial" w:hAnsi="Arial"/>
                <w:sz w:val="12"/>
                <w:szCs w:val="12"/>
                <w:color w:val="auto"/>
              </w:rPr>
              <w:t>115,530</w:t>
            </w:r>
          </w:p>
        </w:tc>
        <w:tc>
          <w:tcPr>
            <w:tcW w:w="80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2"/>
                <w:szCs w:val="12"/>
                <w:color w:val="auto"/>
              </w:rPr>
              <w:t>1,616,829</w:t>
            </w:r>
          </w:p>
        </w:tc>
        <w:tc>
          <w:tcPr>
            <w:tcW w:w="0" w:type="dxa"/>
            <w:vAlign w:val="bottom"/>
          </w:tcPr>
          <w:p>
            <w:pPr>
              <w:spacing w:after="0"/>
              <w:rPr>
                <w:sz w:val="1"/>
                <w:szCs w:val="1"/>
                <w:color w:val="auto"/>
              </w:rPr>
            </w:pPr>
          </w:p>
        </w:tc>
      </w:tr>
      <w:tr>
        <w:trPr>
          <w:trHeight w:val="174"/>
        </w:trPr>
        <w:tc>
          <w:tcPr>
            <w:tcW w:w="2600" w:type="dxa"/>
            <w:vAlign w:val="bottom"/>
          </w:tcPr>
          <w:p>
            <w:pPr>
              <w:ind w:left="20"/>
              <w:spacing w:after="0"/>
              <w:rPr>
                <w:sz w:val="20"/>
                <w:szCs w:val="20"/>
                <w:color w:val="auto"/>
              </w:rPr>
            </w:pPr>
            <w:r>
              <w:rPr>
                <w:rFonts w:ascii="Arial" w:cs="Arial" w:eastAsia="Arial" w:hAnsi="Arial"/>
                <w:sz w:val="13"/>
                <w:szCs w:val="13"/>
                <w:color w:val="auto"/>
              </w:rPr>
              <w:t>Joanna M. Totsky,</w:t>
            </w:r>
          </w:p>
        </w:tc>
        <w:tc>
          <w:tcPr>
            <w:tcW w:w="620" w:type="dxa"/>
            <w:vAlign w:val="bottom"/>
            <w:vMerge w:val="restart"/>
          </w:tcPr>
          <w:p>
            <w:pPr>
              <w:jc w:val="center"/>
              <w:spacing w:after="0"/>
              <w:rPr>
                <w:sz w:val="20"/>
                <w:szCs w:val="20"/>
                <w:color w:val="auto"/>
              </w:rPr>
            </w:pPr>
            <w:r>
              <w:rPr>
                <w:rFonts w:ascii="Arial" w:cs="Arial" w:eastAsia="Arial" w:hAnsi="Arial"/>
                <w:sz w:val="12"/>
                <w:szCs w:val="12"/>
                <w:color w:val="auto"/>
              </w:rPr>
              <w:t>2024</w:t>
            </w:r>
          </w:p>
        </w:tc>
        <w:tc>
          <w:tcPr>
            <w:tcW w:w="1120" w:type="dxa"/>
            <w:vAlign w:val="bottom"/>
            <w:gridSpan w:val="2"/>
            <w:vMerge w:val="restart"/>
          </w:tcPr>
          <w:p>
            <w:pPr>
              <w:jc w:val="right"/>
              <w:ind w:right="76"/>
              <w:spacing w:after="0"/>
              <w:rPr>
                <w:sz w:val="20"/>
                <w:szCs w:val="20"/>
                <w:color w:val="auto"/>
              </w:rPr>
            </w:pPr>
            <w:r>
              <w:rPr>
                <w:rFonts w:ascii="Arial" w:cs="Arial" w:eastAsia="Arial" w:hAnsi="Arial"/>
                <w:sz w:val="12"/>
                <w:szCs w:val="12"/>
                <w:color w:val="auto"/>
              </w:rPr>
              <w:t>564,474</w:t>
            </w:r>
          </w:p>
        </w:tc>
        <w:tc>
          <w:tcPr>
            <w:tcW w:w="900" w:type="dxa"/>
            <w:vAlign w:val="bottom"/>
            <w:vMerge w:val="restart"/>
          </w:tcPr>
          <w:p>
            <w:pPr>
              <w:jc w:val="center"/>
              <w:ind w:right="77"/>
              <w:spacing w:after="0"/>
              <w:rPr>
                <w:sz w:val="20"/>
                <w:szCs w:val="20"/>
                <w:color w:val="auto"/>
              </w:rPr>
            </w:pPr>
            <w:r>
              <w:rPr>
                <w:rFonts w:ascii="Arial" w:cs="Arial" w:eastAsia="Arial" w:hAnsi="Arial"/>
                <w:sz w:val="12"/>
                <w:szCs w:val="12"/>
                <w:color w:val="auto"/>
              </w:rPr>
              <w:t>0</w:t>
            </w:r>
          </w:p>
        </w:tc>
        <w:tc>
          <w:tcPr>
            <w:tcW w:w="1000" w:type="dxa"/>
            <w:vAlign w:val="bottom"/>
            <w:vMerge w:val="restart"/>
          </w:tcPr>
          <w:p>
            <w:pPr>
              <w:jc w:val="right"/>
              <w:ind w:right="97"/>
              <w:spacing w:after="0"/>
              <w:rPr>
                <w:sz w:val="20"/>
                <w:szCs w:val="20"/>
                <w:color w:val="auto"/>
              </w:rPr>
            </w:pPr>
            <w:r>
              <w:rPr>
                <w:rFonts w:ascii="Arial" w:cs="Arial" w:eastAsia="Arial" w:hAnsi="Arial"/>
                <w:sz w:val="12"/>
                <w:szCs w:val="12"/>
                <w:color w:val="auto"/>
              </w:rPr>
              <w:t>438,240</w:t>
            </w:r>
          </w:p>
        </w:tc>
        <w:tc>
          <w:tcPr>
            <w:tcW w:w="920" w:type="dxa"/>
            <w:vAlign w:val="bottom"/>
            <w:vMerge w:val="restart"/>
          </w:tcPr>
          <w:p>
            <w:pPr>
              <w:jc w:val="right"/>
              <w:ind w:right="37"/>
              <w:spacing w:after="0"/>
              <w:rPr>
                <w:sz w:val="20"/>
                <w:szCs w:val="20"/>
                <w:color w:val="auto"/>
              </w:rPr>
            </w:pPr>
            <w:r>
              <w:rPr>
                <w:rFonts w:ascii="Arial" w:cs="Arial" w:eastAsia="Arial" w:hAnsi="Arial"/>
                <w:sz w:val="12"/>
                <w:szCs w:val="12"/>
                <w:color w:val="auto"/>
              </w:rPr>
              <w:t>437,080</w:t>
            </w:r>
          </w:p>
        </w:tc>
        <w:tc>
          <w:tcPr>
            <w:tcW w:w="1620" w:type="dxa"/>
            <w:vAlign w:val="bottom"/>
            <w:vMerge w:val="restart"/>
          </w:tcPr>
          <w:p>
            <w:pPr>
              <w:jc w:val="right"/>
              <w:ind w:right="117"/>
              <w:spacing w:after="0"/>
              <w:rPr>
                <w:sz w:val="20"/>
                <w:szCs w:val="20"/>
                <w:color w:val="auto"/>
              </w:rPr>
            </w:pPr>
            <w:r>
              <w:rPr>
                <w:rFonts w:ascii="Arial" w:cs="Arial" w:eastAsia="Arial" w:hAnsi="Arial"/>
                <w:sz w:val="12"/>
                <w:szCs w:val="12"/>
                <w:color w:val="auto"/>
              </w:rPr>
              <w:t>145,369</w:t>
            </w:r>
          </w:p>
        </w:tc>
        <w:tc>
          <w:tcPr>
            <w:tcW w:w="1540" w:type="dxa"/>
            <w:vAlign w:val="bottom"/>
            <w:vMerge w:val="restart"/>
          </w:tcPr>
          <w:p>
            <w:pPr>
              <w:jc w:val="right"/>
              <w:ind w:right="137"/>
              <w:spacing w:after="0"/>
              <w:rPr>
                <w:sz w:val="20"/>
                <w:szCs w:val="20"/>
                <w:color w:val="auto"/>
              </w:rPr>
            </w:pPr>
            <w:r>
              <w:rPr>
                <w:rFonts w:ascii="Arial" w:cs="Arial" w:eastAsia="Arial" w:hAnsi="Arial"/>
                <w:sz w:val="12"/>
                <w:szCs w:val="12"/>
                <w:color w:val="auto"/>
              </w:rPr>
              <w:t>77,243</w:t>
            </w:r>
          </w:p>
        </w:tc>
        <w:tc>
          <w:tcPr>
            <w:tcW w:w="800" w:type="dxa"/>
            <w:vAlign w:val="bottom"/>
            <w:vMerge w:val="restart"/>
          </w:tcPr>
          <w:p>
            <w:pPr>
              <w:jc w:val="right"/>
              <w:spacing w:after="0"/>
              <w:rPr>
                <w:sz w:val="20"/>
                <w:szCs w:val="20"/>
                <w:color w:val="auto"/>
              </w:rPr>
            </w:pPr>
            <w:r>
              <w:rPr>
                <w:rFonts w:ascii="Arial" w:cs="Arial" w:eastAsia="Arial" w:hAnsi="Arial"/>
                <w:sz w:val="12"/>
                <w:szCs w:val="12"/>
                <w:color w:val="auto"/>
              </w:rPr>
              <w:t>1,662,406</w:t>
            </w:r>
          </w:p>
        </w:tc>
        <w:tc>
          <w:tcPr>
            <w:tcW w:w="0" w:type="dxa"/>
            <w:vAlign w:val="bottom"/>
          </w:tcPr>
          <w:p>
            <w:pPr>
              <w:spacing w:after="0"/>
              <w:rPr>
                <w:sz w:val="1"/>
                <w:szCs w:val="1"/>
                <w:color w:val="auto"/>
              </w:rPr>
            </w:pPr>
          </w:p>
        </w:tc>
      </w:tr>
      <w:tr>
        <w:trPr>
          <w:trHeight w:val="119"/>
        </w:trPr>
        <w:tc>
          <w:tcPr>
            <w:tcW w:w="2600" w:type="dxa"/>
            <w:vAlign w:val="bottom"/>
            <w:vMerge w:val="restart"/>
          </w:tcPr>
          <w:p>
            <w:pPr>
              <w:ind w:left="100"/>
              <w:spacing w:after="0"/>
              <w:rPr>
                <w:sz w:val="20"/>
                <w:szCs w:val="20"/>
                <w:color w:val="auto"/>
              </w:rPr>
            </w:pPr>
            <w:r>
              <w:rPr>
                <w:rFonts w:ascii="Arial" w:cs="Arial" w:eastAsia="Arial" w:hAnsi="Arial"/>
                <w:sz w:val="13"/>
                <w:szCs w:val="13"/>
                <w:color w:val="auto"/>
              </w:rPr>
              <w:t>Vice President, General Counsel and</w:t>
            </w:r>
          </w:p>
        </w:tc>
        <w:tc>
          <w:tcPr>
            <w:tcW w:w="620" w:type="dxa"/>
            <w:vAlign w:val="bottom"/>
            <w:vMerge w:val="continue"/>
          </w:tcPr>
          <w:p>
            <w:pPr>
              <w:spacing w:after="0"/>
              <w:rPr>
                <w:sz w:val="10"/>
                <w:szCs w:val="10"/>
                <w:color w:val="auto"/>
              </w:rPr>
            </w:pPr>
          </w:p>
        </w:tc>
        <w:tc>
          <w:tcPr>
            <w:tcW w:w="1120" w:type="dxa"/>
            <w:vAlign w:val="bottom"/>
            <w:gridSpan w:val="2"/>
            <w:vMerge w:val="continue"/>
          </w:tcPr>
          <w:p>
            <w:pPr>
              <w:spacing w:after="0"/>
              <w:rPr>
                <w:sz w:val="10"/>
                <w:szCs w:val="10"/>
                <w:color w:val="auto"/>
              </w:rPr>
            </w:pPr>
          </w:p>
        </w:tc>
        <w:tc>
          <w:tcPr>
            <w:tcW w:w="900" w:type="dxa"/>
            <w:vAlign w:val="bottom"/>
            <w:vMerge w:val="continue"/>
          </w:tcPr>
          <w:p>
            <w:pPr>
              <w:spacing w:after="0"/>
              <w:rPr>
                <w:sz w:val="10"/>
                <w:szCs w:val="10"/>
                <w:color w:val="auto"/>
              </w:rPr>
            </w:pPr>
          </w:p>
        </w:tc>
        <w:tc>
          <w:tcPr>
            <w:tcW w:w="1000" w:type="dxa"/>
            <w:vAlign w:val="bottom"/>
            <w:vMerge w:val="continue"/>
          </w:tcPr>
          <w:p>
            <w:pPr>
              <w:spacing w:after="0"/>
              <w:rPr>
                <w:sz w:val="10"/>
                <w:szCs w:val="10"/>
                <w:color w:val="auto"/>
              </w:rPr>
            </w:pPr>
          </w:p>
        </w:tc>
        <w:tc>
          <w:tcPr>
            <w:tcW w:w="920" w:type="dxa"/>
            <w:vAlign w:val="bottom"/>
            <w:vMerge w:val="continue"/>
          </w:tcPr>
          <w:p>
            <w:pPr>
              <w:spacing w:after="0"/>
              <w:rPr>
                <w:sz w:val="10"/>
                <w:szCs w:val="10"/>
                <w:color w:val="auto"/>
              </w:rPr>
            </w:pPr>
          </w:p>
        </w:tc>
        <w:tc>
          <w:tcPr>
            <w:tcW w:w="1620" w:type="dxa"/>
            <w:vAlign w:val="bottom"/>
            <w:vMerge w:val="continue"/>
          </w:tcPr>
          <w:p>
            <w:pPr>
              <w:spacing w:after="0"/>
              <w:rPr>
                <w:sz w:val="10"/>
                <w:szCs w:val="10"/>
                <w:color w:val="auto"/>
              </w:rPr>
            </w:pPr>
          </w:p>
        </w:tc>
        <w:tc>
          <w:tcPr>
            <w:tcW w:w="1540" w:type="dxa"/>
            <w:vAlign w:val="bottom"/>
            <w:vMerge w:val="continue"/>
          </w:tcPr>
          <w:p>
            <w:pPr>
              <w:spacing w:after="0"/>
              <w:rPr>
                <w:sz w:val="10"/>
                <w:szCs w:val="10"/>
                <w:color w:val="auto"/>
              </w:rPr>
            </w:pPr>
          </w:p>
        </w:tc>
        <w:tc>
          <w:tcPr>
            <w:tcW w:w="8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34"/>
        </w:trPr>
        <w:tc>
          <w:tcPr>
            <w:tcW w:w="2600" w:type="dxa"/>
            <w:vAlign w:val="bottom"/>
            <w:vMerge w:val="continue"/>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54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2"/>
        </w:trPr>
        <w:tc>
          <w:tcPr>
            <w:tcW w:w="2600" w:type="dxa"/>
            <w:vAlign w:val="bottom"/>
          </w:tcPr>
          <w:p>
            <w:pPr>
              <w:ind w:left="100"/>
              <w:spacing w:after="0"/>
              <w:rPr>
                <w:sz w:val="20"/>
                <w:szCs w:val="20"/>
                <w:color w:val="auto"/>
              </w:rPr>
            </w:pPr>
            <w:r>
              <w:rPr>
                <w:rFonts w:ascii="Arial" w:cs="Arial" w:eastAsia="Arial" w:hAnsi="Arial"/>
                <w:sz w:val="13"/>
                <w:szCs w:val="13"/>
                <w:color w:val="auto"/>
              </w:rPr>
              <w:t>Corporate Secretary</w:t>
            </w:r>
            <w:r>
              <w:rPr>
                <w:rFonts w:ascii="Arial" w:cs="Arial" w:eastAsia="Arial" w:hAnsi="Arial"/>
                <w:sz w:val="17"/>
                <w:szCs w:val="17"/>
                <w:color w:val="auto"/>
                <w:vertAlign w:val="superscript"/>
              </w:rPr>
              <w:t>7</w:t>
            </w:r>
          </w:p>
        </w:tc>
        <w:tc>
          <w:tcPr>
            <w:tcW w:w="620" w:type="dxa"/>
            <w:vAlign w:val="bottom"/>
          </w:tcPr>
          <w:p>
            <w:pPr>
              <w:jc w:val="center"/>
              <w:spacing w:after="0"/>
              <w:rPr>
                <w:sz w:val="20"/>
                <w:szCs w:val="20"/>
                <w:color w:val="auto"/>
              </w:rPr>
            </w:pPr>
            <w:r>
              <w:rPr>
                <w:rFonts w:ascii="Arial" w:cs="Arial" w:eastAsia="Arial" w:hAnsi="Arial"/>
                <w:sz w:val="12"/>
                <w:szCs w:val="12"/>
                <w:color w:val="auto"/>
              </w:rPr>
              <w:t>2023</w:t>
            </w:r>
          </w:p>
        </w:tc>
        <w:tc>
          <w:tcPr>
            <w:tcW w:w="1120" w:type="dxa"/>
            <w:vAlign w:val="bottom"/>
            <w:gridSpan w:val="2"/>
          </w:tcPr>
          <w:p>
            <w:pPr>
              <w:jc w:val="right"/>
              <w:ind w:right="76"/>
              <w:spacing w:after="0"/>
              <w:rPr>
                <w:sz w:val="20"/>
                <w:szCs w:val="20"/>
                <w:color w:val="auto"/>
              </w:rPr>
            </w:pPr>
            <w:r>
              <w:rPr>
                <w:rFonts w:ascii="Arial" w:cs="Arial" w:eastAsia="Arial" w:hAnsi="Arial"/>
                <w:sz w:val="12"/>
                <w:szCs w:val="12"/>
                <w:color w:val="auto"/>
              </w:rPr>
              <w:t>200,967</w:t>
            </w:r>
          </w:p>
        </w:tc>
        <w:tc>
          <w:tcPr>
            <w:tcW w:w="900" w:type="dxa"/>
            <w:vAlign w:val="bottom"/>
          </w:tcPr>
          <w:p>
            <w:pPr>
              <w:jc w:val="right"/>
              <w:ind w:right="77"/>
              <w:spacing w:after="0"/>
              <w:rPr>
                <w:sz w:val="20"/>
                <w:szCs w:val="20"/>
                <w:color w:val="auto"/>
              </w:rPr>
            </w:pPr>
            <w:r>
              <w:rPr>
                <w:rFonts w:ascii="Arial" w:cs="Arial" w:eastAsia="Arial" w:hAnsi="Arial"/>
                <w:sz w:val="12"/>
                <w:szCs w:val="12"/>
                <w:color w:val="auto"/>
              </w:rPr>
              <w:t>150,000</w:t>
            </w:r>
          </w:p>
        </w:tc>
        <w:tc>
          <w:tcPr>
            <w:tcW w:w="1000" w:type="dxa"/>
            <w:vAlign w:val="bottom"/>
          </w:tcPr>
          <w:p>
            <w:pPr>
              <w:jc w:val="right"/>
              <w:ind w:right="97"/>
              <w:spacing w:after="0"/>
              <w:rPr>
                <w:sz w:val="20"/>
                <w:szCs w:val="20"/>
                <w:color w:val="auto"/>
              </w:rPr>
            </w:pPr>
            <w:r>
              <w:rPr>
                <w:rFonts w:ascii="Arial" w:cs="Arial" w:eastAsia="Arial" w:hAnsi="Arial"/>
                <w:sz w:val="12"/>
                <w:szCs w:val="12"/>
                <w:color w:val="auto"/>
              </w:rPr>
              <w:t>1,349,913</w:t>
            </w:r>
          </w:p>
        </w:tc>
        <w:tc>
          <w:tcPr>
            <w:tcW w:w="920" w:type="dxa"/>
            <w:vAlign w:val="bottom"/>
          </w:tcPr>
          <w:p>
            <w:pPr>
              <w:jc w:val="right"/>
              <w:ind w:right="37"/>
              <w:spacing w:after="0"/>
              <w:rPr>
                <w:sz w:val="20"/>
                <w:szCs w:val="20"/>
                <w:color w:val="auto"/>
              </w:rPr>
            </w:pPr>
            <w:r>
              <w:rPr>
                <w:rFonts w:ascii="Arial" w:cs="Arial" w:eastAsia="Arial" w:hAnsi="Arial"/>
                <w:sz w:val="12"/>
                <w:szCs w:val="12"/>
                <w:color w:val="auto"/>
              </w:rPr>
              <w:t>0</w:t>
            </w:r>
          </w:p>
        </w:tc>
        <w:tc>
          <w:tcPr>
            <w:tcW w:w="1620" w:type="dxa"/>
            <w:vAlign w:val="bottom"/>
          </w:tcPr>
          <w:p>
            <w:pPr>
              <w:jc w:val="right"/>
              <w:ind w:right="117"/>
              <w:spacing w:after="0"/>
              <w:rPr>
                <w:sz w:val="20"/>
                <w:szCs w:val="20"/>
                <w:color w:val="auto"/>
              </w:rPr>
            </w:pPr>
            <w:r>
              <w:rPr>
                <w:rFonts w:ascii="Arial" w:cs="Arial" w:eastAsia="Arial" w:hAnsi="Arial"/>
                <w:sz w:val="12"/>
                <w:szCs w:val="12"/>
                <w:color w:val="auto"/>
              </w:rPr>
              <w:t>37,817</w:t>
            </w:r>
          </w:p>
        </w:tc>
        <w:tc>
          <w:tcPr>
            <w:tcW w:w="1540" w:type="dxa"/>
            <w:vAlign w:val="bottom"/>
          </w:tcPr>
          <w:p>
            <w:pPr>
              <w:jc w:val="right"/>
              <w:ind w:right="137"/>
              <w:spacing w:after="0"/>
              <w:rPr>
                <w:sz w:val="20"/>
                <w:szCs w:val="20"/>
                <w:color w:val="auto"/>
              </w:rPr>
            </w:pPr>
            <w:r>
              <w:rPr>
                <w:rFonts w:ascii="Arial" w:cs="Arial" w:eastAsia="Arial" w:hAnsi="Arial"/>
                <w:sz w:val="12"/>
                <w:szCs w:val="12"/>
                <w:color w:val="auto"/>
              </w:rPr>
              <w:t>119,245</w:t>
            </w:r>
          </w:p>
        </w:tc>
        <w:tc>
          <w:tcPr>
            <w:tcW w:w="800" w:type="dxa"/>
            <w:vAlign w:val="bottom"/>
          </w:tcPr>
          <w:p>
            <w:pPr>
              <w:jc w:val="right"/>
              <w:spacing w:after="0"/>
              <w:rPr>
                <w:sz w:val="20"/>
                <w:szCs w:val="20"/>
                <w:color w:val="auto"/>
              </w:rPr>
            </w:pPr>
            <w:r>
              <w:rPr>
                <w:rFonts w:ascii="Arial" w:cs="Arial" w:eastAsia="Arial" w:hAnsi="Arial"/>
                <w:sz w:val="12"/>
                <w:szCs w:val="12"/>
                <w:color w:val="auto"/>
              </w:rPr>
              <w:t>1,857,942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102235</wp:posOffset>
            </wp:positionV>
            <wp:extent cx="1991360"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1991360" cy="8255"/>
                    </a:xfrm>
                    <a:prstGeom prst="rect">
                      <a:avLst/>
                    </a:prstGeom>
                    <a:noFill/>
                  </pic:spPr>
                </pic:pic>
              </a:graphicData>
            </a:graphic>
          </wp:anchor>
        </w:drawing>
      </w:r>
    </w:p>
    <w:p>
      <w:pPr>
        <w:spacing w:after="0" w:line="258" w:lineRule="exact"/>
        <w:rPr>
          <w:sz w:val="20"/>
          <w:szCs w:val="20"/>
          <w:color w:val="auto"/>
        </w:rPr>
      </w:pPr>
    </w:p>
    <w:p>
      <w:pPr>
        <w:ind w:left="320" w:hanging="313"/>
        <w:spacing w:after="0"/>
        <w:tabs>
          <w:tab w:leader="none" w:pos="320" w:val="left"/>
        </w:tabs>
        <w:numPr>
          <w:ilvl w:val="0"/>
          <w:numId w:val="62"/>
        </w:numPr>
        <w:rPr>
          <w:rFonts w:ascii="Arial" w:cs="Arial" w:eastAsia="Arial" w:hAnsi="Arial"/>
          <w:sz w:val="18"/>
          <w:szCs w:val="18"/>
          <w:color w:val="auto"/>
        </w:rPr>
      </w:pPr>
      <w:r>
        <w:rPr>
          <w:rFonts w:ascii="Arial" w:cs="Arial" w:eastAsia="Arial" w:hAnsi="Arial"/>
          <w:sz w:val="18"/>
          <w:szCs w:val="18"/>
          <w:color w:val="auto"/>
        </w:rPr>
        <w:t>Amounts reflect actual salary earnings throughout the fiscal year.</w:t>
      </w:r>
    </w:p>
    <w:p>
      <w:pPr>
        <w:spacing w:after="0" w:line="46" w:lineRule="exact"/>
        <w:rPr>
          <w:rFonts w:ascii="Arial" w:cs="Arial" w:eastAsia="Arial" w:hAnsi="Arial"/>
          <w:sz w:val="18"/>
          <w:szCs w:val="18"/>
          <w:color w:val="auto"/>
        </w:rPr>
      </w:pPr>
    </w:p>
    <w:p>
      <w:pPr>
        <w:jc w:val="both"/>
        <w:ind w:left="320" w:hanging="313"/>
        <w:spacing w:after="0" w:line="233" w:lineRule="auto"/>
        <w:tabs>
          <w:tab w:leader="none" w:pos="308" w:val="left"/>
        </w:tabs>
        <w:numPr>
          <w:ilvl w:val="0"/>
          <w:numId w:val="62"/>
        </w:numPr>
        <w:rPr>
          <w:rFonts w:ascii="Arial" w:cs="Arial" w:eastAsia="Arial" w:hAnsi="Arial"/>
          <w:sz w:val="18"/>
          <w:szCs w:val="18"/>
          <w:color w:val="auto"/>
        </w:rPr>
      </w:pPr>
      <w:r>
        <w:rPr>
          <w:rFonts w:ascii="Arial" w:cs="Arial" w:eastAsia="Arial" w:hAnsi="Arial"/>
          <w:sz w:val="18"/>
          <w:szCs w:val="18"/>
          <w:color w:val="auto"/>
        </w:rPr>
        <w:t>We generally do not pay discretionary bonuses or bonuses that are subjectively determined; we did not pay any such bonuses to any of our NEOs in any of the last three most recently completed fiscal years, other than a sign-on bonus to Ms. Totsky as part of her employment offer and upon commencement of her employment with us in fiscal 2023 and a sign-on bonus to Mr. Carpenter as part of his employment offer and upon commencement of his employment with us in fiscal 2022. Annual cash incentive award payouts based on performance against pre-established financial performance goals are reported in the Non-Equity Incentive Plan Compensation column.</w:t>
      </w:r>
    </w:p>
    <w:p>
      <w:pPr>
        <w:spacing w:after="0" w:line="22" w:lineRule="exact"/>
        <w:rPr>
          <w:rFonts w:ascii="Arial" w:cs="Arial" w:eastAsia="Arial" w:hAnsi="Arial"/>
          <w:sz w:val="18"/>
          <w:szCs w:val="18"/>
          <w:color w:val="auto"/>
        </w:rPr>
      </w:pPr>
    </w:p>
    <w:p>
      <w:pPr>
        <w:jc w:val="both"/>
        <w:ind w:left="320" w:hanging="313"/>
        <w:spacing w:after="0" w:line="232" w:lineRule="auto"/>
        <w:tabs>
          <w:tab w:leader="none" w:pos="308" w:val="left"/>
        </w:tabs>
        <w:numPr>
          <w:ilvl w:val="0"/>
          <w:numId w:val="62"/>
        </w:numPr>
        <w:rPr>
          <w:rFonts w:ascii="Arial" w:cs="Arial" w:eastAsia="Arial" w:hAnsi="Arial"/>
          <w:sz w:val="18"/>
          <w:szCs w:val="18"/>
          <w:color w:val="auto"/>
        </w:rPr>
      </w:pPr>
      <w:r>
        <w:rPr>
          <w:rFonts w:ascii="Arial" w:cs="Arial" w:eastAsia="Arial" w:hAnsi="Arial"/>
          <w:sz w:val="18"/>
          <w:szCs w:val="18"/>
          <w:color w:val="auto"/>
        </w:rPr>
        <w:t>Amounts reported for fiscal 2024 represent the grant date fair value, computed in accordance with FASB ASC Topic 718, of performance share awards granted for the fiscal 2024 to fiscal 2026 performance period assuming target levels of performance. The amount reported for Mr. Carpenter also includes the grant date fair value of a restricted stock unit award granted to him for retention purposes. Amounts reported for fiscal 2024 are set forth in the Grants of Plan-Based Awards for Fiscal 2024 table in the Grant Date Fair Value of Stock and Option Awards column. Provided below is the fiscal 2024 grant date fair value of performance share awards for the fiscal 2024 to fiscal 2026 performance period assuming maximum levels of performance. The maximum value is calculated using the number of shares reflected in the Maximum column of the Estimated Future Payouts Under Equity Incentive Plan Awards section of the Grants of Plan-Based Awards for Fiscal 2024 table and the closing price of our common stock on December 26, 2023, the grant date, of $99.60.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152" w:right="339" w:bottom="1440" w:gutter="0" w:footer="0" w:header="0"/>
        </w:sectPr>
      </w:pPr>
    </w:p>
    <w:bookmarkStart w:id="60" w:name="page61"/>
    <w:bookmarkEnd w:id="60"/>
    <w:tbl>
      <w:tblPr>
        <w:tblLayout w:type="fixed"/>
        <w:tblInd w:w="2880" w:type="dxa"/>
        <w:tblCellMar>
          <w:top w:w="0" w:type="dxa"/>
          <w:left w:w="0" w:type="dxa"/>
          <w:bottom w:w="0" w:type="dxa"/>
          <w:right w:w="0" w:type="dxa"/>
        </w:tblCellMar>
      </w:tblPr>
      <w:tr>
        <w:trPr>
          <w:trHeight w:val="178"/>
        </w:trPr>
        <w:tc>
          <w:tcPr>
            <w:tcW w:w="1960" w:type="dxa"/>
            <w:vAlign w:val="bottom"/>
            <w:shd w:val="clear" w:color="auto" w:fill="BF2115"/>
          </w:tcPr>
          <w:p>
            <w:pPr>
              <w:spacing w:after="0"/>
              <w:rPr>
                <w:sz w:val="15"/>
                <w:szCs w:val="15"/>
                <w:color w:val="auto"/>
              </w:rPr>
            </w:pPr>
          </w:p>
        </w:tc>
        <w:tc>
          <w:tcPr>
            <w:tcW w:w="3540" w:type="dxa"/>
            <w:vAlign w:val="bottom"/>
            <w:shd w:val="clear" w:color="auto" w:fill="BF2115"/>
          </w:tcPr>
          <w:p>
            <w:pPr>
              <w:jc w:val="center"/>
              <w:ind w:left="523"/>
              <w:spacing w:after="0"/>
              <w:rPr>
                <w:sz w:val="20"/>
                <w:szCs w:val="20"/>
                <w:color w:val="auto"/>
              </w:rPr>
            </w:pPr>
            <w:r>
              <w:rPr>
                <w:rFonts w:ascii="Arial" w:cs="Arial" w:eastAsia="Arial" w:hAnsi="Arial"/>
                <w:sz w:val="14"/>
                <w:szCs w:val="14"/>
                <w:b w:val="1"/>
                <w:bCs w:val="1"/>
                <w:color w:val="FFFFFF"/>
              </w:rPr>
              <w:t>Grant Date Fair Value at</w:t>
            </w:r>
          </w:p>
        </w:tc>
      </w:tr>
      <w:tr>
        <w:trPr>
          <w:trHeight w:val="160"/>
        </w:trPr>
        <w:tc>
          <w:tcPr>
            <w:tcW w:w="1960" w:type="dxa"/>
            <w:vAlign w:val="bottom"/>
            <w:shd w:val="clear" w:color="auto" w:fill="BF2115"/>
          </w:tcPr>
          <w:p>
            <w:pPr>
              <w:spacing w:after="0"/>
              <w:rPr>
                <w:sz w:val="13"/>
                <w:szCs w:val="13"/>
                <w:color w:val="auto"/>
              </w:rPr>
            </w:pPr>
          </w:p>
        </w:tc>
        <w:tc>
          <w:tcPr>
            <w:tcW w:w="3540" w:type="dxa"/>
            <w:vAlign w:val="bottom"/>
            <w:shd w:val="clear" w:color="auto" w:fill="BF2115"/>
          </w:tcPr>
          <w:p>
            <w:pPr>
              <w:jc w:val="center"/>
              <w:ind w:left="523"/>
              <w:spacing w:after="0"/>
              <w:rPr>
                <w:sz w:val="20"/>
                <w:szCs w:val="20"/>
                <w:color w:val="auto"/>
              </w:rPr>
            </w:pPr>
            <w:r>
              <w:rPr>
                <w:rFonts w:ascii="Arial" w:cs="Arial" w:eastAsia="Arial" w:hAnsi="Arial"/>
                <w:sz w:val="14"/>
                <w:szCs w:val="14"/>
                <w:b w:val="1"/>
                <w:bCs w:val="1"/>
                <w:color w:val="FFFFFF"/>
              </w:rPr>
              <w:t>Maximum Levels of Performance</w:t>
            </w:r>
          </w:p>
        </w:tc>
      </w:tr>
      <w:tr>
        <w:trPr>
          <w:trHeight w:val="209"/>
        </w:trPr>
        <w:tc>
          <w:tcPr>
            <w:tcW w:w="1960" w:type="dxa"/>
            <w:vAlign w:val="bottom"/>
            <w:shd w:val="clear" w:color="auto" w:fill="BF2115"/>
          </w:tcPr>
          <w:p>
            <w:pPr>
              <w:ind w:left="20"/>
              <w:spacing w:after="0"/>
              <w:rPr>
                <w:sz w:val="20"/>
                <w:szCs w:val="20"/>
                <w:color w:val="auto"/>
              </w:rPr>
            </w:pPr>
            <w:r>
              <w:rPr>
                <w:rFonts w:ascii="Arial" w:cs="Arial" w:eastAsia="Arial" w:hAnsi="Arial"/>
                <w:sz w:val="14"/>
                <w:szCs w:val="14"/>
                <w:b w:val="1"/>
                <w:bCs w:val="1"/>
                <w:color w:val="FFFFFF"/>
              </w:rPr>
              <w:t>Name</w:t>
            </w:r>
          </w:p>
        </w:tc>
        <w:tc>
          <w:tcPr>
            <w:tcW w:w="3540" w:type="dxa"/>
            <w:vAlign w:val="bottom"/>
            <w:shd w:val="clear" w:color="auto" w:fill="BF2115"/>
          </w:tcPr>
          <w:p>
            <w:pPr>
              <w:jc w:val="center"/>
              <w:ind w:left="523"/>
              <w:spacing w:after="0"/>
              <w:rPr>
                <w:sz w:val="20"/>
                <w:szCs w:val="20"/>
                <w:color w:val="auto"/>
              </w:rPr>
            </w:pPr>
            <w:r>
              <w:rPr>
                <w:rFonts w:ascii="Arial" w:cs="Arial" w:eastAsia="Arial" w:hAnsi="Arial"/>
                <w:sz w:val="14"/>
                <w:szCs w:val="14"/>
                <w:b w:val="1"/>
                <w:bCs w:val="1"/>
                <w:color w:val="FFFFFF"/>
              </w:rPr>
              <w:t>($)</w:t>
            </w:r>
          </w:p>
        </w:tc>
      </w:tr>
      <w:tr>
        <w:trPr>
          <w:trHeight w:val="211"/>
        </w:trPr>
        <w:tc>
          <w:tcPr>
            <w:tcW w:w="1960" w:type="dxa"/>
            <w:vAlign w:val="bottom"/>
          </w:tcPr>
          <w:p>
            <w:pPr>
              <w:ind w:left="20"/>
              <w:spacing w:after="0"/>
              <w:rPr>
                <w:sz w:val="20"/>
                <w:szCs w:val="20"/>
                <w:color w:val="auto"/>
              </w:rPr>
            </w:pPr>
            <w:r>
              <w:rPr>
                <w:rFonts w:ascii="Arial" w:cs="Arial" w:eastAsia="Arial" w:hAnsi="Arial"/>
                <w:sz w:val="16"/>
                <w:szCs w:val="16"/>
                <w:color w:val="auto"/>
              </w:rPr>
              <w:t>Mr. Olson</w:t>
            </w:r>
          </w:p>
        </w:tc>
        <w:tc>
          <w:tcPr>
            <w:tcW w:w="3540" w:type="dxa"/>
            <w:vAlign w:val="bottom"/>
          </w:tcPr>
          <w:p>
            <w:pPr>
              <w:jc w:val="right"/>
              <w:spacing w:after="0"/>
              <w:rPr>
                <w:sz w:val="20"/>
                <w:szCs w:val="20"/>
                <w:color w:val="auto"/>
              </w:rPr>
            </w:pPr>
            <w:r>
              <w:rPr>
                <w:rFonts w:ascii="Arial" w:cs="Arial" w:eastAsia="Arial" w:hAnsi="Arial"/>
                <w:sz w:val="16"/>
                <w:szCs w:val="16"/>
                <w:color w:val="auto"/>
              </w:rPr>
              <w:t>6,414,240</w:t>
            </w:r>
          </w:p>
        </w:tc>
      </w:tr>
      <w:tr>
        <w:trPr>
          <w:trHeight w:val="29"/>
        </w:trPr>
        <w:tc>
          <w:tcPr>
            <w:tcW w:w="1960" w:type="dxa"/>
            <w:vAlign w:val="bottom"/>
          </w:tcPr>
          <w:p>
            <w:pPr>
              <w:spacing w:after="0"/>
              <w:rPr>
                <w:sz w:val="2"/>
                <w:szCs w:val="2"/>
                <w:color w:val="auto"/>
              </w:rPr>
            </w:pPr>
          </w:p>
        </w:tc>
        <w:tc>
          <w:tcPr>
            <w:tcW w:w="3540" w:type="dxa"/>
            <w:vAlign w:val="bottom"/>
          </w:tcPr>
          <w:p>
            <w:pPr>
              <w:spacing w:after="0"/>
              <w:rPr>
                <w:sz w:val="2"/>
                <w:szCs w:val="2"/>
                <w:color w:val="auto"/>
              </w:rPr>
            </w:pPr>
          </w:p>
        </w:tc>
      </w:tr>
      <w:tr>
        <w:trPr>
          <w:trHeight w:val="220"/>
        </w:trPr>
        <w:tc>
          <w:tcPr>
            <w:tcW w:w="196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6"/>
                <w:szCs w:val="16"/>
                <w:color w:val="auto"/>
              </w:rPr>
              <w:t>Ms. Drake</w:t>
            </w:r>
          </w:p>
        </w:tc>
        <w:tc>
          <w:tcPr>
            <w:tcW w:w="354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6"/>
                <w:szCs w:val="16"/>
                <w:color w:val="auto"/>
              </w:rPr>
              <w:t>1,494,000</w:t>
            </w:r>
          </w:p>
        </w:tc>
      </w:tr>
      <w:tr>
        <w:trPr>
          <w:trHeight w:val="211"/>
        </w:trPr>
        <w:tc>
          <w:tcPr>
            <w:tcW w:w="1960" w:type="dxa"/>
            <w:vAlign w:val="bottom"/>
          </w:tcPr>
          <w:p>
            <w:pPr>
              <w:ind w:left="20"/>
              <w:spacing w:after="0"/>
              <w:rPr>
                <w:sz w:val="20"/>
                <w:szCs w:val="20"/>
                <w:color w:val="auto"/>
              </w:rPr>
            </w:pPr>
            <w:r>
              <w:rPr>
                <w:rFonts w:ascii="Arial" w:cs="Arial" w:eastAsia="Arial" w:hAnsi="Arial"/>
                <w:sz w:val="16"/>
                <w:szCs w:val="16"/>
                <w:color w:val="auto"/>
              </w:rPr>
              <w:t>Mr. Carpenter</w:t>
            </w:r>
          </w:p>
        </w:tc>
        <w:tc>
          <w:tcPr>
            <w:tcW w:w="3540" w:type="dxa"/>
            <w:vAlign w:val="bottom"/>
          </w:tcPr>
          <w:p>
            <w:pPr>
              <w:jc w:val="right"/>
              <w:spacing w:after="0"/>
              <w:rPr>
                <w:sz w:val="20"/>
                <w:szCs w:val="20"/>
                <w:color w:val="auto"/>
              </w:rPr>
            </w:pPr>
            <w:r>
              <w:rPr>
                <w:rFonts w:ascii="Arial" w:cs="Arial" w:eastAsia="Arial" w:hAnsi="Arial"/>
                <w:sz w:val="16"/>
                <w:szCs w:val="16"/>
                <w:color w:val="auto"/>
              </w:rPr>
              <w:t>717,120</w:t>
            </w:r>
          </w:p>
        </w:tc>
      </w:tr>
      <w:tr>
        <w:trPr>
          <w:trHeight w:val="29"/>
        </w:trPr>
        <w:tc>
          <w:tcPr>
            <w:tcW w:w="1960" w:type="dxa"/>
            <w:vAlign w:val="bottom"/>
          </w:tcPr>
          <w:p>
            <w:pPr>
              <w:spacing w:after="0"/>
              <w:rPr>
                <w:sz w:val="2"/>
                <w:szCs w:val="2"/>
                <w:color w:val="auto"/>
              </w:rPr>
            </w:pPr>
          </w:p>
        </w:tc>
        <w:tc>
          <w:tcPr>
            <w:tcW w:w="3540" w:type="dxa"/>
            <w:vAlign w:val="bottom"/>
          </w:tcPr>
          <w:p>
            <w:pPr>
              <w:spacing w:after="0"/>
              <w:rPr>
                <w:sz w:val="2"/>
                <w:szCs w:val="2"/>
                <w:color w:val="auto"/>
              </w:rPr>
            </w:pPr>
          </w:p>
        </w:tc>
      </w:tr>
      <w:tr>
        <w:trPr>
          <w:trHeight w:val="220"/>
        </w:trPr>
        <w:tc>
          <w:tcPr>
            <w:tcW w:w="196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6"/>
                <w:szCs w:val="16"/>
                <w:color w:val="auto"/>
              </w:rPr>
              <w:t>Ms. Dahl</w:t>
            </w:r>
          </w:p>
        </w:tc>
        <w:tc>
          <w:tcPr>
            <w:tcW w:w="354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6"/>
                <w:szCs w:val="16"/>
                <w:color w:val="auto"/>
              </w:rPr>
              <w:t>916,320</w:t>
            </w:r>
          </w:p>
        </w:tc>
      </w:tr>
      <w:tr>
        <w:trPr>
          <w:trHeight w:val="211"/>
        </w:trPr>
        <w:tc>
          <w:tcPr>
            <w:tcW w:w="1960" w:type="dxa"/>
            <w:vAlign w:val="bottom"/>
          </w:tcPr>
          <w:p>
            <w:pPr>
              <w:ind w:left="20"/>
              <w:spacing w:after="0"/>
              <w:rPr>
                <w:sz w:val="20"/>
                <w:szCs w:val="20"/>
                <w:color w:val="auto"/>
              </w:rPr>
            </w:pPr>
            <w:r>
              <w:rPr>
                <w:rFonts w:ascii="Arial" w:cs="Arial" w:eastAsia="Arial" w:hAnsi="Arial"/>
                <w:sz w:val="16"/>
                <w:szCs w:val="16"/>
                <w:color w:val="auto"/>
              </w:rPr>
              <w:t>Ms. Totsky</w:t>
            </w:r>
          </w:p>
        </w:tc>
        <w:tc>
          <w:tcPr>
            <w:tcW w:w="3540" w:type="dxa"/>
            <w:vAlign w:val="bottom"/>
          </w:tcPr>
          <w:p>
            <w:pPr>
              <w:jc w:val="right"/>
              <w:spacing w:after="0"/>
              <w:rPr>
                <w:sz w:val="20"/>
                <w:szCs w:val="20"/>
                <w:color w:val="auto"/>
              </w:rPr>
            </w:pPr>
            <w:r>
              <w:rPr>
                <w:rFonts w:ascii="Arial" w:cs="Arial" w:eastAsia="Arial" w:hAnsi="Arial"/>
                <w:sz w:val="16"/>
                <w:szCs w:val="16"/>
                <w:color w:val="auto"/>
              </w:rPr>
              <w:t>876,480</w:t>
            </w:r>
          </w:p>
        </w:tc>
      </w:tr>
    </w:tbl>
    <w:p>
      <w:pPr>
        <w:spacing w:after="0" w:line="92" w:lineRule="exact"/>
        <w:rPr>
          <w:sz w:val="20"/>
          <w:szCs w:val="20"/>
          <w:color w:val="auto"/>
        </w:rPr>
      </w:pPr>
    </w:p>
    <w:p>
      <w:pPr>
        <w:ind w:left="320" w:hanging="313"/>
        <w:spacing w:after="0" w:line="246" w:lineRule="auto"/>
        <w:tabs>
          <w:tab w:leader="none" w:pos="308" w:val="left"/>
        </w:tabs>
        <w:numPr>
          <w:ilvl w:val="0"/>
          <w:numId w:val="63"/>
        </w:numPr>
        <w:rPr>
          <w:rFonts w:ascii="Arial" w:cs="Arial" w:eastAsia="Arial" w:hAnsi="Arial"/>
          <w:sz w:val="18"/>
          <w:szCs w:val="18"/>
          <w:color w:val="auto"/>
        </w:rPr>
      </w:pPr>
      <w:r>
        <w:rPr>
          <w:rFonts w:ascii="Arial" w:cs="Arial" w:eastAsia="Arial" w:hAnsi="Arial"/>
          <w:sz w:val="18"/>
          <w:szCs w:val="18"/>
          <w:color w:val="auto"/>
        </w:rPr>
        <w:t>Amounts reported represent the grant date fair value, computed in accordance with FASB ASC Topic 718, of option awards granted each fiscal year. Summarized in the table below are the specific assumptions used in the valuation of the option awards.</w:t>
      </w:r>
    </w:p>
    <w:p>
      <w:pPr>
        <w:spacing w:after="0" w:line="19" w:lineRule="exact"/>
        <w:rPr>
          <w:sz w:val="20"/>
          <w:szCs w:val="20"/>
          <w:color w:val="auto"/>
        </w:rPr>
      </w:pPr>
    </w:p>
    <w:tbl>
      <w:tblPr>
        <w:tblLayout w:type="fixed"/>
        <w:tblInd w:w="480" w:type="dxa"/>
        <w:tblCellMar>
          <w:top w:w="0" w:type="dxa"/>
          <w:left w:w="0" w:type="dxa"/>
          <w:bottom w:w="0" w:type="dxa"/>
          <w:right w:w="0" w:type="dxa"/>
        </w:tblCellMar>
      </w:tblPr>
      <w:tr>
        <w:trPr>
          <w:trHeight w:val="204"/>
        </w:trPr>
        <w:tc>
          <w:tcPr>
            <w:tcW w:w="1360" w:type="dxa"/>
            <w:vAlign w:val="bottom"/>
            <w:shd w:val="clear" w:color="auto" w:fill="BF2115"/>
          </w:tcPr>
          <w:p>
            <w:pPr>
              <w:spacing w:after="0"/>
              <w:rPr>
                <w:sz w:val="17"/>
                <w:szCs w:val="17"/>
                <w:color w:val="auto"/>
              </w:rPr>
            </w:pPr>
          </w:p>
        </w:tc>
        <w:tc>
          <w:tcPr>
            <w:tcW w:w="1840" w:type="dxa"/>
            <w:vAlign w:val="bottom"/>
            <w:shd w:val="clear" w:color="auto" w:fill="BF2115"/>
          </w:tcPr>
          <w:p>
            <w:pPr>
              <w:spacing w:after="0"/>
              <w:rPr>
                <w:sz w:val="17"/>
                <w:szCs w:val="17"/>
                <w:color w:val="auto"/>
              </w:rPr>
            </w:pPr>
          </w:p>
        </w:tc>
        <w:tc>
          <w:tcPr>
            <w:tcW w:w="1540" w:type="dxa"/>
            <w:vAlign w:val="bottom"/>
            <w:shd w:val="clear" w:color="auto" w:fill="BF2115"/>
          </w:tcPr>
          <w:p>
            <w:pPr>
              <w:spacing w:after="0"/>
              <w:rPr>
                <w:sz w:val="17"/>
                <w:szCs w:val="17"/>
                <w:color w:val="auto"/>
              </w:rPr>
            </w:pPr>
          </w:p>
        </w:tc>
        <w:tc>
          <w:tcPr>
            <w:tcW w:w="1540" w:type="dxa"/>
            <w:vAlign w:val="bottom"/>
            <w:shd w:val="clear" w:color="auto" w:fill="BF2115"/>
          </w:tcPr>
          <w:p>
            <w:pPr>
              <w:spacing w:after="0"/>
              <w:rPr>
                <w:sz w:val="17"/>
                <w:szCs w:val="17"/>
                <w:color w:val="auto"/>
              </w:rPr>
            </w:pPr>
          </w:p>
        </w:tc>
        <w:tc>
          <w:tcPr>
            <w:tcW w:w="1520" w:type="dxa"/>
            <w:vAlign w:val="bottom"/>
            <w:shd w:val="clear" w:color="auto" w:fill="BF2115"/>
          </w:tcPr>
          <w:p>
            <w:pPr>
              <w:spacing w:after="0"/>
              <w:rPr>
                <w:sz w:val="17"/>
                <w:szCs w:val="17"/>
                <w:color w:val="auto"/>
              </w:rPr>
            </w:pPr>
          </w:p>
        </w:tc>
        <w:tc>
          <w:tcPr>
            <w:tcW w:w="220" w:type="dxa"/>
            <w:vAlign w:val="bottom"/>
            <w:shd w:val="clear" w:color="auto" w:fill="BF2115"/>
          </w:tcPr>
          <w:p>
            <w:pPr>
              <w:spacing w:after="0"/>
              <w:rPr>
                <w:sz w:val="17"/>
                <w:szCs w:val="17"/>
                <w:color w:val="auto"/>
              </w:rPr>
            </w:pPr>
          </w:p>
        </w:tc>
        <w:tc>
          <w:tcPr>
            <w:tcW w:w="1260" w:type="dxa"/>
            <w:vAlign w:val="bottom"/>
            <w:shd w:val="clear" w:color="auto" w:fill="BF2115"/>
          </w:tcPr>
          <w:p>
            <w:pPr>
              <w:jc w:val="center"/>
              <w:ind w:right="84"/>
              <w:spacing w:after="0"/>
              <w:rPr>
                <w:sz w:val="20"/>
                <w:szCs w:val="20"/>
                <w:color w:val="auto"/>
              </w:rPr>
            </w:pPr>
            <w:r>
              <w:rPr>
                <w:rFonts w:ascii="Arial" w:cs="Arial" w:eastAsia="Arial" w:hAnsi="Arial"/>
                <w:sz w:val="14"/>
                <w:szCs w:val="14"/>
                <w:b w:val="1"/>
                <w:bCs w:val="1"/>
                <w:color w:val="FFFFFF"/>
              </w:rPr>
              <w:t>Per Share</w:t>
            </w:r>
          </w:p>
        </w:tc>
      </w:tr>
      <w:tr>
        <w:trPr>
          <w:trHeight w:val="173"/>
        </w:trPr>
        <w:tc>
          <w:tcPr>
            <w:tcW w:w="1360" w:type="dxa"/>
            <w:vAlign w:val="bottom"/>
            <w:shd w:val="clear" w:color="auto" w:fill="BF2115"/>
          </w:tcPr>
          <w:p>
            <w:pPr>
              <w:spacing w:after="0"/>
              <w:rPr>
                <w:sz w:val="15"/>
                <w:szCs w:val="15"/>
                <w:color w:val="auto"/>
              </w:rPr>
            </w:pPr>
          </w:p>
        </w:tc>
        <w:tc>
          <w:tcPr>
            <w:tcW w:w="1840" w:type="dxa"/>
            <w:vAlign w:val="bottom"/>
            <w:shd w:val="clear" w:color="auto" w:fill="BF2115"/>
          </w:tcPr>
          <w:p>
            <w:pPr>
              <w:jc w:val="right"/>
              <w:ind w:right="604"/>
              <w:spacing w:after="0"/>
              <w:rPr>
                <w:sz w:val="20"/>
                <w:szCs w:val="20"/>
                <w:color w:val="auto"/>
              </w:rPr>
            </w:pPr>
            <w:r>
              <w:rPr>
                <w:rFonts w:ascii="Arial" w:cs="Arial" w:eastAsia="Arial" w:hAnsi="Arial"/>
                <w:sz w:val="14"/>
                <w:szCs w:val="14"/>
                <w:b w:val="1"/>
                <w:bCs w:val="1"/>
                <w:color w:val="FFFFFF"/>
              </w:rPr>
              <w:t>Risk Free</w:t>
            </w:r>
          </w:p>
        </w:tc>
        <w:tc>
          <w:tcPr>
            <w:tcW w:w="1540" w:type="dxa"/>
            <w:vAlign w:val="bottom"/>
            <w:shd w:val="clear" w:color="auto" w:fill="BF2115"/>
          </w:tcPr>
          <w:p>
            <w:pPr>
              <w:jc w:val="center"/>
              <w:ind w:right="344"/>
              <w:spacing w:after="0"/>
              <w:rPr>
                <w:sz w:val="20"/>
                <w:szCs w:val="20"/>
                <w:color w:val="auto"/>
              </w:rPr>
            </w:pPr>
            <w:r>
              <w:rPr>
                <w:rFonts w:ascii="Arial" w:cs="Arial" w:eastAsia="Arial" w:hAnsi="Arial"/>
                <w:sz w:val="14"/>
                <w:szCs w:val="14"/>
                <w:b w:val="1"/>
                <w:bCs w:val="1"/>
                <w:color w:val="FFFFFF"/>
              </w:rPr>
              <w:t>Expected</w:t>
            </w:r>
          </w:p>
        </w:tc>
        <w:tc>
          <w:tcPr>
            <w:tcW w:w="1540" w:type="dxa"/>
            <w:vAlign w:val="bottom"/>
            <w:shd w:val="clear" w:color="auto" w:fill="BF2115"/>
          </w:tcPr>
          <w:p>
            <w:pPr>
              <w:jc w:val="right"/>
              <w:ind w:right="544"/>
              <w:spacing w:after="0"/>
              <w:rPr>
                <w:sz w:val="20"/>
                <w:szCs w:val="20"/>
                <w:color w:val="auto"/>
              </w:rPr>
            </w:pPr>
            <w:r>
              <w:rPr>
                <w:rFonts w:ascii="Arial" w:cs="Arial" w:eastAsia="Arial" w:hAnsi="Arial"/>
                <w:sz w:val="14"/>
                <w:szCs w:val="14"/>
                <w:b w:val="1"/>
                <w:bCs w:val="1"/>
                <w:color w:val="FFFFFF"/>
              </w:rPr>
              <w:t>Expected</w:t>
            </w:r>
          </w:p>
        </w:tc>
        <w:tc>
          <w:tcPr>
            <w:tcW w:w="1520" w:type="dxa"/>
            <w:vAlign w:val="bottom"/>
            <w:shd w:val="clear" w:color="auto" w:fill="BF2115"/>
          </w:tcPr>
          <w:p>
            <w:pPr>
              <w:jc w:val="right"/>
              <w:ind w:right="424"/>
              <w:spacing w:after="0"/>
              <w:rPr>
                <w:sz w:val="20"/>
                <w:szCs w:val="20"/>
                <w:color w:val="auto"/>
              </w:rPr>
            </w:pPr>
            <w:r>
              <w:rPr>
                <w:rFonts w:ascii="Arial" w:cs="Arial" w:eastAsia="Arial" w:hAnsi="Arial"/>
                <w:sz w:val="14"/>
                <w:szCs w:val="14"/>
                <w:b w:val="1"/>
                <w:bCs w:val="1"/>
                <w:color w:val="FFFFFF"/>
              </w:rPr>
              <w:t>Expected</w:t>
            </w:r>
          </w:p>
        </w:tc>
        <w:tc>
          <w:tcPr>
            <w:tcW w:w="220" w:type="dxa"/>
            <w:vAlign w:val="bottom"/>
            <w:shd w:val="clear" w:color="auto" w:fill="BF2115"/>
          </w:tcPr>
          <w:p>
            <w:pPr>
              <w:spacing w:after="0"/>
              <w:rPr>
                <w:sz w:val="15"/>
                <w:szCs w:val="15"/>
                <w:color w:val="auto"/>
              </w:rPr>
            </w:pPr>
          </w:p>
        </w:tc>
        <w:tc>
          <w:tcPr>
            <w:tcW w:w="1260" w:type="dxa"/>
            <w:vAlign w:val="bottom"/>
            <w:shd w:val="clear" w:color="auto" w:fill="BF2115"/>
          </w:tcPr>
          <w:p>
            <w:pPr>
              <w:jc w:val="center"/>
              <w:ind w:right="84"/>
              <w:spacing w:after="0"/>
              <w:rPr>
                <w:sz w:val="20"/>
                <w:szCs w:val="20"/>
                <w:color w:val="auto"/>
              </w:rPr>
            </w:pPr>
            <w:r>
              <w:rPr>
                <w:rFonts w:ascii="Arial" w:cs="Arial" w:eastAsia="Arial" w:hAnsi="Arial"/>
                <w:sz w:val="14"/>
                <w:szCs w:val="14"/>
                <w:b w:val="1"/>
                <w:bCs w:val="1"/>
                <w:color w:val="FFFFFF"/>
              </w:rPr>
              <w:t>Black-Scholes</w:t>
            </w:r>
          </w:p>
        </w:tc>
      </w:tr>
      <w:tr>
        <w:trPr>
          <w:trHeight w:val="209"/>
        </w:trPr>
        <w:tc>
          <w:tcPr>
            <w:tcW w:w="1360" w:type="dxa"/>
            <w:vAlign w:val="bottom"/>
            <w:shd w:val="clear" w:color="auto" w:fill="BF2115"/>
          </w:tcPr>
          <w:p>
            <w:pPr>
              <w:ind w:left="20"/>
              <w:spacing w:after="0"/>
              <w:rPr>
                <w:sz w:val="20"/>
                <w:szCs w:val="20"/>
                <w:color w:val="auto"/>
              </w:rPr>
            </w:pPr>
            <w:r>
              <w:rPr>
                <w:rFonts w:ascii="Arial" w:cs="Arial" w:eastAsia="Arial" w:hAnsi="Arial"/>
                <w:sz w:val="14"/>
                <w:szCs w:val="14"/>
                <w:b w:val="1"/>
                <w:bCs w:val="1"/>
                <w:color w:val="FFFFFF"/>
              </w:rPr>
              <w:t>Grant Date</w:t>
            </w:r>
          </w:p>
        </w:tc>
        <w:tc>
          <w:tcPr>
            <w:tcW w:w="1840" w:type="dxa"/>
            <w:vAlign w:val="bottom"/>
            <w:shd w:val="clear" w:color="auto" w:fill="BF2115"/>
          </w:tcPr>
          <w:p>
            <w:pPr>
              <w:jc w:val="right"/>
              <w:ind w:right="764"/>
              <w:spacing w:after="0"/>
              <w:rPr>
                <w:sz w:val="20"/>
                <w:szCs w:val="20"/>
                <w:color w:val="auto"/>
              </w:rPr>
            </w:pPr>
            <w:r>
              <w:rPr>
                <w:rFonts w:ascii="Arial" w:cs="Arial" w:eastAsia="Arial" w:hAnsi="Arial"/>
                <w:sz w:val="14"/>
                <w:szCs w:val="14"/>
                <w:b w:val="1"/>
                <w:bCs w:val="1"/>
                <w:color w:val="FFFFFF"/>
              </w:rPr>
              <w:t>Rate</w:t>
            </w:r>
          </w:p>
        </w:tc>
        <w:tc>
          <w:tcPr>
            <w:tcW w:w="1540" w:type="dxa"/>
            <w:vAlign w:val="bottom"/>
            <w:shd w:val="clear" w:color="auto" w:fill="BF2115"/>
          </w:tcPr>
          <w:p>
            <w:pPr>
              <w:jc w:val="center"/>
              <w:ind w:right="344"/>
              <w:spacing w:after="0"/>
              <w:rPr>
                <w:sz w:val="20"/>
                <w:szCs w:val="20"/>
                <w:color w:val="auto"/>
              </w:rPr>
            </w:pPr>
            <w:r>
              <w:rPr>
                <w:rFonts w:ascii="Arial" w:cs="Arial" w:eastAsia="Arial" w:hAnsi="Arial"/>
                <w:sz w:val="14"/>
                <w:szCs w:val="14"/>
                <w:b w:val="1"/>
                <w:bCs w:val="1"/>
                <w:color w:val="FFFFFF"/>
                <w:w w:val="96"/>
              </w:rPr>
              <w:t>Life</w:t>
            </w:r>
          </w:p>
        </w:tc>
        <w:tc>
          <w:tcPr>
            <w:tcW w:w="1540" w:type="dxa"/>
            <w:vAlign w:val="bottom"/>
            <w:shd w:val="clear" w:color="auto" w:fill="BF2115"/>
          </w:tcPr>
          <w:p>
            <w:pPr>
              <w:jc w:val="right"/>
              <w:ind w:right="584"/>
              <w:spacing w:after="0"/>
              <w:rPr>
                <w:sz w:val="20"/>
                <w:szCs w:val="20"/>
                <w:color w:val="auto"/>
              </w:rPr>
            </w:pPr>
            <w:r>
              <w:rPr>
                <w:rFonts w:ascii="Arial" w:cs="Arial" w:eastAsia="Arial" w:hAnsi="Arial"/>
                <w:sz w:val="14"/>
                <w:szCs w:val="14"/>
                <w:b w:val="1"/>
                <w:bCs w:val="1"/>
                <w:color w:val="FFFFFF"/>
              </w:rPr>
              <w:t>Volatility</w:t>
            </w:r>
          </w:p>
        </w:tc>
        <w:tc>
          <w:tcPr>
            <w:tcW w:w="1520" w:type="dxa"/>
            <w:vAlign w:val="bottom"/>
            <w:shd w:val="clear" w:color="auto" w:fill="BF2115"/>
          </w:tcPr>
          <w:p>
            <w:pPr>
              <w:jc w:val="right"/>
              <w:ind w:right="264"/>
              <w:spacing w:after="0"/>
              <w:rPr>
                <w:sz w:val="20"/>
                <w:szCs w:val="20"/>
                <w:color w:val="auto"/>
              </w:rPr>
            </w:pPr>
            <w:r>
              <w:rPr>
                <w:rFonts w:ascii="Arial" w:cs="Arial" w:eastAsia="Arial" w:hAnsi="Arial"/>
                <w:sz w:val="14"/>
                <w:szCs w:val="14"/>
                <w:b w:val="1"/>
                <w:bCs w:val="1"/>
                <w:color w:val="FFFFFF"/>
              </w:rPr>
              <w:t>Dividend Yield</w:t>
            </w:r>
          </w:p>
        </w:tc>
        <w:tc>
          <w:tcPr>
            <w:tcW w:w="220" w:type="dxa"/>
            <w:vAlign w:val="bottom"/>
            <w:shd w:val="clear" w:color="auto" w:fill="BF2115"/>
          </w:tcPr>
          <w:p>
            <w:pPr>
              <w:spacing w:after="0"/>
              <w:rPr>
                <w:sz w:val="18"/>
                <w:szCs w:val="18"/>
                <w:color w:val="auto"/>
              </w:rPr>
            </w:pPr>
          </w:p>
        </w:tc>
        <w:tc>
          <w:tcPr>
            <w:tcW w:w="1260" w:type="dxa"/>
            <w:vAlign w:val="bottom"/>
            <w:shd w:val="clear" w:color="auto" w:fill="BF2115"/>
          </w:tcPr>
          <w:p>
            <w:pPr>
              <w:jc w:val="center"/>
              <w:ind w:right="84"/>
              <w:spacing w:after="0"/>
              <w:rPr>
                <w:sz w:val="20"/>
                <w:szCs w:val="20"/>
                <w:color w:val="auto"/>
              </w:rPr>
            </w:pPr>
            <w:r>
              <w:rPr>
                <w:rFonts w:ascii="Arial" w:cs="Arial" w:eastAsia="Arial" w:hAnsi="Arial"/>
                <w:sz w:val="14"/>
                <w:szCs w:val="14"/>
                <w:b w:val="1"/>
                <w:bCs w:val="1"/>
                <w:color w:val="FFFFFF"/>
              </w:rPr>
              <w:t>Value</w:t>
            </w:r>
          </w:p>
        </w:tc>
      </w:tr>
      <w:tr>
        <w:trPr>
          <w:trHeight w:val="211"/>
        </w:trPr>
        <w:tc>
          <w:tcPr>
            <w:tcW w:w="1360" w:type="dxa"/>
            <w:vAlign w:val="bottom"/>
          </w:tcPr>
          <w:p>
            <w:pPr>
              <w:ind w:left="20"/>
              <w:spacing w:after="0"/>
              <w:rPr>
                <w:sz w:val="20"/>
                <w:szCs w:val="20"/>
                <w:color w:val="auto"/>
              </w:rPr>
            </w:pPr>
            <w:r>
              <w:rPr>
                <w:rFonts w:ascii="Arial" w:cs="Arial" w:eastAsia="Arial" w:hAnsi="Arial"/>
                <w:sz w:val="16"/>
                <w:szCs w:val="16"/>
                <w:color w:val="auto"/>
              </w:rPr>
              <w:t>12/26/2023</w:t>
            </w:r>
          </w:p>
        </w:tc>
        <w:tc>
          <w:tcPr>
            <w:tcW w:w="1840" w:type="dxa"/>
            <w:vAlign w:val="bottom"/>
          </w:tcPr>
          <w:p>
            <w:pPr>
              <w:jc w:val="right"/>
              <w:ind w:right="184"/>
              <w:spacing w:after="0"/>
              <w:rPr>
                <w:sz w:val="20"/>
                <w:szCs w:val="20"/>
                <w:color w:val="auto"/>
              </w:rPr>
            </w:pPr>
            <w:r>
              <w:rPr>
                <w:rFonts w:ascii="Arial" w:cs="Arial" w:eastAsia="Arial" w:hAnsi="Arial"/>
                <w:sz w:val="16"/>
                <w:szCs w:val="16"/>
                <w:color w:val="auto"/>
              </w:rPr>
              <w:t>3.91 %</w:t>
            </w:r>
          </w:p>
        </w:tc>
        <w:tc>
          <w:tcPr>
            <w:tcW w:w="1540" w:type="dxa"/>
            <w:vAlign w:val="bottom"/>
          </w:tcPr>
          <w:p>
            <w:pPr>
              <w:ind w:left="580"/>
              <w:spacing w:after="0"/>
              <w:rPr>
                <w:sz w:val="20"/>
                <w:szCs w:val="20"/>
                <w:color w:val="auto"/>
              </w:rPr>
            </w:pPr>
            <w:r>
              <w:rPr>
                <w:rFonts w:ascii="Arial" w:cs="Arial" w:eastAsia="Arial" w:hAnsi="Arial"/>
                <w:sz w:val="16"/>
                <w:szCs w:val="16"/>
                <w:color w:val="auto"/>
              </w:rPr>
              <w:t>6.7 years</w:t>
            </w:r>
          </w:p>
        </w:tc>
        <w:tc>
          <w:tcPr>
            <w:tcW w:w="1540" w:type="dxa"/>
            <w:vAlign w:val="bottom"/>
          </w:tcPr>
          <w:p>
            <w:pPr>
              <w:jc w:val="right"/>
              <w:ind w:right="124"/>
              <w:spacing w:after="0"/>
              <w:rPr>
                <w:sz w:val="20"/>
                <w:szCs w:val="20"/>
                <w:color w:val="auto"/>
              </w:rPr>
            </w:pPr>
            <w:r>
              <w:rPr>
                <w:rFonts w:ascii="Arial" w:cs="Arial" w:eastAsia="Arial" w:hAnsi="Arial"/>
                <w:sz w:val="16"/>
                <w:szCs w:val="16"/>
                <w:color w:val="auto"/>
              </w:rPr>
              <w:t>26.50 %</w:t>
            </w:r>
          </w:p>
        </w:tc>
        <w:tc>
          <w:tcPr>
            <w:tcW w:w="1520" w:type="dxa"/>
            <w:vAlign w:val="bottom"/>
          </w:tcPr>
          <w:p>
            <w:pPr>
              <w:jc w:val="right"/>
              <w:ind w:right="4"/>
              <w:spacing w:after="0"/>
              <w:rPr>
                <w:sz w:val="20"/>
                <w:szCs w:val="20"/>
                <w:color w:val="auto"/>
              </w:rPr>
            </w:pPr>
            <w:r>
              <w:rPr>
                <w:rFonts w:ascii="Arial" w:cs="Arial" w:eastAsia="Arial" w:hAnsi="Arial"/>
                <w:sz w:val="16"/>
                <w:szCs w:val="16"/>
                <w:color w:val="auto"/>
              </w:rPr>
              <w:t>1.13 %</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1260" w:type="dxa"/>
            <w:vAlign w:val="bottom"/>
          </w:tcPr>
          <w:p>
            <w:pPr>
              <w:jc w:val="right"/>
              <w:ind w:right="4"/>
              <w:spacing w:after="0"/>
              <w:rPr>
                <w:sz w:val="20"/>
                <w:szCs w:val="20"/>
                <w:color w:val="auto"/>
              </w:rPr>
            </w:pPr>
            <w:r>
              <w:rPr>
                <w:rFonts w:ascii="Arial" w:cs="Arial" w:eastAsia="Arial" w:hAnsi="Arial"/>
                <w:sz w:val="16"/>
                <w:szCs w:val="16"/>
                <w:color w:val="auto"/>
              </w:rPr>
              <w:t>31.22</w:t>
            </w:r>
          </w:p>
        </w:tc>
      </w:tr>
      <w:tr>
        <w:trPr>
          <w:trHeight w:val="29"/>
        </w:trPr>
        <w:tc>
          <w:tcPr>
            <w:tcW w:w="136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5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20"/>
        </w:trPr>
        <w:tc>
          <w:tcPr>
            <w:tcW w:w="136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6"/>
                <w:szCs w:val="16"/>
                <w:color w:val="auto"/>
              </w:rPr>
              <w:t>12/22/2022</w:t>
            </w:r>
          </w:p>
        </w:tc>
        <w:tc>
          <w:tcPr>
            <w:tcW w:w="1840" w:type="dxa"/>
            <w:vAlign w:val="bottom"/>
            <w:tcBorders>
              <w:bottom w:val="single" w:sz="8" w:color="DBDBDB"/>
            </w:tcBorders>
            <w:shd w:val="clear" w:color="auto" w:fill="DBDBDB"/>
          </w:tcPr>
          <w:p>
            <w:pPr>
              <w:jc w:val="right"/>
              <w:ind w:right="184"/>
              <w:spacing w:after="0"/>
              <w:rPr>
                <w:sz w:val="20"/>
                <w:szCs w:val="20"/>
                <w:color w:val="auto"/>
              </w:rPr>
            </w:pPr>
            <w:r>
              <w:rPr>
                <w:rFonts w:ascii="Arial" w:cs="Arial" w:eastAsia="Arial" w:hAnsi="Arial"/>
                <w:sz w:val="16"/>
                <w:szCs w:val="16"/>
                <w:color w:val="auto"/>
              </w:rPr>
              <w:t>3.77 %</w:t>
            </w:r>
          </w:p>
        </w:tc>
        <w:tc>
          <w:tcPr>
            <w:tcW w:w="1540" w:type="dxa"/>
            <w:vAlign w:val="bottom"/>
            <w:tcBorders>
              <w:bottom w:val="single" w:sz="8" w:color="DBDBDB"/>
            </w:tcBorders>
            <w:shd w:val="clear" w:color="auto" w:fill="DBDBDB"/>
          </w:tcPr>
          <w:p>
            <w:pPr>
              <w:ind w:left="580"/>
              <w:spacing w:after="0"/>
              <w:rPr>
                <w:sz w:val="20"/>
                <w:szCs w:val="20"/>
                <w:color w:val="auto"/>
              </w:rPr>
            </w:pPr>
            <w:r>
              <w:rPr>
                <w:rFonts w:ascii="Arial" w:cs="Arial" w:eastAsia="Arial" w:hAnsi="Arial"/>
                <w:sz w:val="16"/>
                <w:szCs w:val="16"/>
                <w:color w:val="auto"/>
              </w:rPr>
              <w:t>6.6 years</w:t>
            </w:r>
          </w:p>
        </w:tc>
        <w:tc>
          <w:tcPr>
            <w:tcW w:w="1540" w:type="dxa"/>
            <w:vAlign w:val="bottom"/>
            <w:tcBorders>
              <w:bottom w:val="single" w:sz="8" w:color="DBDBDB"/>
            </w:tcBorders>
            <w:shd w:val="clear" w:color="auto" w:fill="DBDBDB"/>
          </w:tcPr>
          <w:p>
            <w:pPr>
              <w:jc w:val="right"/>
              <w:ind w:right="124"/>
              <w:spacing w:after="0"/>
              <w:rPr>
                <w:sz w:val="20"/>
                <w:szCs w:val="20"/>
                <w:color w:val="auto"/>
              </w:rPr>
            </w:pPr>
            <w:r>
              <w:rPr>
                <w:rFonts w:ascii="Arial" w:cs="Arial" w:eastAsia="Arial" w:hAnsi="Arial"/>
                <w:sz w:val="16"/>
                <w:szCs w:val="16"/>
                <w:color w:val="auto"/>
              </w:rPr>
              <w:t>24.94 %</w:t>
            </w:r>
          </w:p>
        </w:tc>
        <w:tc>
          <w:tcPr>
            <w:tcW w:w="1520" w:type="dxa"/>
            <w:vAlign w:val="bottom"/>
            <w:tcBorders>
              <w:bottom w:val="single" w:sz="8" w:color="DBDBDB"/>
            </w:tcBorders>
            <w:shd w:val="clear" w:color="auto" w:fill="DBDBDB"/>
          </w:tcPr>
          <w:p>
            <w:pPr>
              <w:jc w:val="right"/>
              <w:ind w:right="4"/>
              <w:spacing w:after="0"/>
              <w:rPr>
                <w:sz w:val="20"/>
                <w:szCs w:val="20"/>
                <w:color w:val="auto"/>
              </w:rPr>
            </w:pPr>
            <w:r>
              <w:rPr>
                <w:rFonts w:ascii="Arial" w:cs="Arial" w:eastAsia="Arial" w:hAnsi="Arial"/>
                <w:sz w:val="16"/>
                <w:szCs w:val="16"/>
                <w:color w:val="auto"/>
              </w:rPr>
              <w:t>0.94 %</w:t>
            </w:r>
          </w:p>
        </w:tc>
        <w:tc>
          <w:tcPr>
            <w:tcW w:w="22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DBDBDB"/>
            </w:tcBorders>
            <w:shd w:val="clear" w:color="auto" w:fill="DBDBDB"/>
          </w:tcPr>
          <w:p>
            <w:pPr>
              <w:jc w:val="right"/>
              <w:ind w:right="4"/>
              <w:spacing w:after="0"/>
              <w:rPr>
                <w:sz w:val="20"/>
                <w:szCs w:val="20"/>
                <w:color w:val="auto"/>
              </w:rPr>
            </w:pPr>
            <w:r>
              <w:rPr>
                <w:rFonts w:ascii="Arial" w:cs="Arial" w:eastAsia="Arial" w:hAnsi="Arial"/>
                <w:sz w:val="16"/>
                <w:szCs w:val="16"/>
                <w:color w:val="auto"/>
              </w:rPr>
              <w:t>33.81</w:t>
            </w:r>
          </w:p>
        </w:tc>
      </w:tr>
      <w:tr>
        <w:trPr>
          <w:trHeight w:val="211"/>
        </w:trPr>
        <w:tc>
          <w:tcPr>
            <w:tcW w:w="1360" w:type="dxa"/>
            <w:vAlign w:val="bottom"/>
          </w:tcPr>
          <w:p>
            <w:pPr>
              <w:ind w:left="20"/>
              <w:spacing w:after="0"/>
              <w:rPr>
                <w:sz w:val="20"/>
                <w:szCs w:val="20"/>
                <w:color w:val="auto"/>
              </w:rPr>
            </w:pPr>
            <w:r>
              <w:rPr>
                <w:rFonts w:ascii="Arial" w:cs="Arial" w:eastAsia="Arial" w:hAnsi="Arial"/>
                <w:sz w:val="16"/>
                <w:szCs w:val="16"/>
                <w:color w:val="auto"/>
              </w:rPr>
              <w:t>12/16/2021</w:t>
            </w:r>
          </w:p>
        </w:tc>
        <w:tc>
          <w:tcPr>
            <w:tcW w:w="1840" w:type="dxa"/>
            <w:vAlign w:val="bottom"/>
          </w:tcPr>
          <w:p>
            <w:pPr>
              <w:jc w:val="right"/>
              <w:ind w:right="184"/>
              <w:spacing w:after="0"/>
              <w:rPr>
                <w:sz w:val="20"/>
                <w:szCs w:val="20"/>
                <w:color w:val="auto"/>
              </w:rPr>
            </w:pPr>
            <w:r>
              <w:rPr>
                <w:rFonts w:ascii="Arial" w:cs="Arial" w:eastAsia="Arial" w:hAnsi="Arial"/>
                <w:sz w:val="16"/>
                <w:szCs w:val="16"/>
                <w:color w:val="auto"/>
              </w:rPr>
              <w:t>1.31 %</w:t>
            </w:r>
          </w:p>
        </w:tc>
        <w:tc>
          <w:tcPr>
            <w:tcW w:w="1540" w:type="dxa"/>
            <w:vAlign w:val="bottom"/>
          </w:tcPr>
          <w:p>
            <w:pPr>
              <w:ind w:left="580"/>
              <w:spacing w:after="0"/>
              <w:rPr>
                <w:sz w:val="20"/>
                <w:szCs w:val="20"/>
                <w:color w:val="auto"/>
              </w:rPr>
            </w:pPr>
            <w:r>
              <w:rPr>
                <w:rFonts w:ascii="Arial" w:cs="Arial" w:eastAsia="Arial" w:hAnsi="Arial"/>
                <w:sz w:val="16"/>
                <w:szCs w:val="16"/>
                <w:color w:val="auto"/>
              </w:rPr>
              <w:t>6.4 years</w:t>
            </w:r>
          </w:p>
        </w:tc>
        <w:tc>
          <w:tcPr>
            <w:tcW w:w="1540" w:type="dxa"/>
            <w:vAlign w:val="bottom"/>
          </w:tcPr>
          <w:p>
            <w:pPr>
              <w:jc w:val="right"/>
              <w:ind w:right="124"/>
              <w:spacing w:after="0"/>
              <w:rPr>
                <w:sz w:val="20"/>
                <w:szCs w:val="20"/>
                <w:color w:val="auto"/>
              </w:rPr>
            </w:pPr>
            <w:r>
              <w:rPr>
                <w:rFonts w:ascii="Arial" w:cs="Arial" w:eastAsia="Arial" w:hAnsi="Arial"/>
                <w:sz w:val="16"/>
                <w:szCs w:val="16"/>
                <w:color w:val="auto"/>
              </w:rPr>
              <w:t>23.75 %</w:t>
            </w:r>
          </w:p>
        </w:tc>
        <w:tc>
          <w:tcPr>
            <w:tcW w:w="1520" w:type="dxa"/>
            <w:vAlign w:val="bottom"/>
          </w:tcPr>
          <w:p>
            <w:pPr>
              <w:jc w:val="right"/>
              <w:ind w:right="4"/>
              <w:spacing w:after="0"/>
              <w:rPr>
                <w:sz w:val="20"/>
                <w:szCs w:val="20"/>
                <w:color w:val="auto"/>
              </w:rPr>
            </w:pPr>
            <w:r>
              <w:rPr>
                <w:rFonts w:ascii="Arial" w:cs="Arial" w:eastAsia="Arial" w:hAnsi="Arial"/>
                <w:sz w:val="16"/>
                <w:szCs w:val="16"/>
                <w:color w:val="auto"/>
              </w:rPr>
              <w:t>0.93 %</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1260" w:type="dxa"/>
            <w:vAlign w:val="bottom"/>
          </w:tcPr>
          <w:p>
            <w:pPr>
              <w:jc w:val="right"/>
              <w:ind w:right="4"/>
              <w:spacing w:after="0"/>
              <w:rPr>
                <w:sz w:val="20"/>
                <w:szCs w:val="20"/>
                <w:color w:val="auto"/>
              </w:rPr>
            </w:pPr>
            <w:r>
              <w:rPr>
                <w:rFonts w:ascii="Arial" w:cs="Arial" w:eastAsia="Arial" w:hAnsi="Arial"/>
                <w:sz w:val="16"/>
                <w:szCs w:val="16"/>
                <w:color w:val="auto"/>
              </w:rPr>
              <w:t>22.98</w:t>
            </w:r>
          </w:p>
        </w:tc>
      </w:tr>
    </w:tbl>
    <w:p>
      <w:pPr>
        <w:spacing w:after="0" w:line="92" w:lineRule="exact"/>
        <w:rPr>
          <w:sz w:val="20"/>
          <w:szCs w:val="20"/>
          <w:color w:val="auto"/>
        </w:rPr>
      </w:pPr>
    </w:p>
    <w:p>
      <w:pPr>
        <w:ind w:left="320" w:hanging="313"/>
        <w:spacing w:after="0" w:line="246" w:lineRule="auto"/>
        <w:tabs>
          <w:tab w:leader="none" w:pos="308" w:val="left"/>
        </w:tabs>
        <w:numPr>
          <w:ilvl w:val="0"/>
          <w:numId w:val="64"/>
        </w:numPr>
        <w:rPr>
          <w:rFonts w:ascii="Arial" w:cs="Arial" w:eastAsia="Arial" w:hAnsi="Arial"/>
          <w:sz w:val="18"/>
          <w:szCs w:val="18"/>
          <w:color w:val="auto"/>
        </w:rPr>
      </w:pPr>
      <w:r>
        <w:rPr>
          <w:rFonts w:ascii="Arial" w:cs="Arial" w:eastAsia="Arial" w:hAnsi="Arial"/>
          <w:sz w:val="18"/>
          <w:szCs w:val="18"/>
          <w:color w:val="auto"/>
        </w:rPr>
        <w:t>Amounts reported represent annual cash incentive awards earned for each fiscal year, but paid during the following fiscal year or deferred. Annual cash incentive awards are calculated and paid based on performance against financial performance goals.</w:t>
      </w:r>
    </w:p>
    <w:p>
      <w:pPr>
        <w:spacing w:after="0" w:line="15" w:lineRule="exact"/>
        <w:rPr>
          <w:rFonts w:ascii="Arial" w:cs="Arial" w:eastAsia="Arial" w:hAnsi="Arial"/>
          <w:sz w:val="18"/>
          <w:szCs w:val="18"/>
          <w:color w:val="auto"/>
        </w:rPr>
      </w:pPr>
    </w:p>
    <w:p>
      <w:pPr>
        <w:ind w:left="320" w:hanging="313"/>
        <w:spacing w:after="0"/>
        <w:tabs>
          <w:tab w:leader="none" w:pos="320" w:val="left"/>
        </w:tabs>
        <w:numPr>
          <w:ilvl w:val="0"/>
          <w:numId w:val="64"/>
        </w:numPr>
        <w:rPr>
          <w:rFonts w:ascii="Arial" w:cs="Arial" w:eastAsia="Arial" w:hAnsi="Arial"/>
          <w:sz w:val="18"/>
          <w:szCs w:val="18"/>
          <w:color w:val="auto"/>
        </w:rPr>
      </w:pPr>
      <w:r>
        <w:rPr>
          <w:rFonts w:ascii="Arial" w:cs="Arial" w:eastAsia="Arial" w:hAnsi="Arial"/>
          <w:sz w:val="18"/>
          <w:szCs w:val="18"/>
          <w:color w:val="auto"/>
        </w:rPr>
        <w:t>Amounts for fiscal 2024 are set forth below under All Other Compensation for Fiscal 2024.</w:t>
      </w:r>
    </w:p>
    <w:p>
      <w:pPr>
        <w:spacing w:after="0" w:line="46" w:lineRule="exact"/>
        <w:rPr>
          <w:rFonts w:ascii="Arial" w:cs="Arial" w:eastAsia="Arial" w:hAnsi="Arial"/>
          <w:sz w:val="18"/>
          <w:szCs w:val="18"/>
          <w:color w:val="auto"/>
        </w:rPr>
      </w:pPr>
    </w:p>
    <w:p>
      <w:pPr>
        <w:ind w:left="320" w:hanging="313"/>
        <w:spacing w:after="0" w:line="246" w:lineRule="auto"/>
        <w:tabs>
          <w:tab w:leader="none" w:pos="308" w:val="left"/>
        </w:tabs>
        <w:numPr>
          <w:ilvl w:val="0"/>
          <w:numId w:val="64"/>
        </w:numPr>
        <w:rPr>
          <w:rFonts w:ascii="Arial" w:cs="Arial" w:eastAsia="Arial" w:hAnsi="Arial"/>
          <w:sz w:val="18"/>
          <w:szCs w:val="18"/>
          <w:color w:val="auto"/>
        </w:rPr>
      </w:pPr>
      <w:r>
        <w:rPr>
          <w:rFonts w:ascii="Arial" w:cs="Arial" w:eastAsia="Arial" w:hAnsi="Arial"/>
          <w:sz w:val="18"/>
          <w:szCs w:val="18"/>
          <w:color w:val="auto"/>
        </w:rPr>
        <w:t>Ms. Drake became a named executive officer in fiscal 2023 and Ms. Totsky joined the Company in June 2023; therefore, their information is provided for fiscal 2024 and 2023 only.</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20"/>
          <w:szCs w:val="20"/>
          <w:b w:val="1"/>
          <w:bCs w:val="1"/>
          <w:color w:val="C00000"/>
        </w:rPr>
        <w:t>All Other Compensation for Fiscal 2024</w:t>
      </w:r>
    </w:p>
    <w:p>
      <w:pPr>
        <w:spacing w:after="0" w:line="110" w:lineRule="exact"/>
        <w:rPr>
          <w:sz w:val="20"/>
          <w:szCs w:val="20"/>
          <w:color w:val="auto"/>
        </w:rPr>
      </w:pPr>
    </w:p>
    <w:p>
      <w:pPr>
        <w:ind w:left="320"/>
        <w:spacing w:after="0"/>
        <w:rPr>
          <w:sz w:val="20"/>
          <w:szCs w:val="20"/>
          <w:color w:val="auto"/>
        </w:rPr>
      </w:pPr>
      <w:r>
        <w:rPr>
          <w:rFonts w:ascii="Arial" w:cs="Arial" w:eastAsia="Arial" w:hAnsi="Arial"/>
          <w:sz w:val="18"/>
          <w:szCs w:val="18"/>
          <w:color w:val="auto"/>
        </w:rPr>
        <w:t>All other compensation for fiscal 2024 includes the compensation components described below.</w:t>
      </w:r>
    </w:p>
    <w:p>
      <w:pPr>
        <w:sectPr>
          <w:pgSz w:w="11900" w:h="16838" w:orient="portrait"/>
          <w:cols w:equalWidth="0" w:num="1">
            <w:col w:w="11240"/>
          </w:cols>
          <w:pgMar w:left="320" w:top="1154" w:right="339" w:bottom="1440" w:gutter="0" w:footer="0" w:header="0"/>
        </w:sectPr>
      </w:pPr>
    </w:p>
    <w:p>
      <w:pPr>
        <w:spacing w:after="0" w:line="143" w:lineRule="exact"/>
        <w:rPr>
          <w:sz w:val="20"/>
          <w:szCs w:val="20"/>
          <w:color w:val="auto"/>
        </w:rPr>
      </w:pPr>
    </w:p>
    <w:p>
      <w:pPr>
        <w:ind w:left="180"/>
        <w:spacing w:after="0"/>
        <w:rPr>
          <w:sz w:val="20"/>
          <w:szCs w:val="20"/>
          <w:color w:val="auto"/>
        </w:rPr>
      </w:pPr>
      <w:r>
        <w:rPr>
          <w:rFonts w:ascii="Arial" w:cs="Arial" w:eastAsia="Arial" w:hAnsi="Arial"/>
          <w:sz w:val="16"/>
          <w:szCs w:val="16"/>
          <w:b w:val="1"/>
          <w:bCs w:val="1"/>
          <w:color w:val="FFFFFF"/>
        </w:rPr>
        <w:t>Element</w:t>
      </w:r>
    </w:p>
    <w:p>
      <w:pPr>
        <w:spacing w:after="0" w:line="96" w:lineRule="exact"/>
        <w:rPr>
          <w:sz w:val="20"/>
          <w:szCs w:val="20"/>
          <w:color w:val="auto"/>
        </w:rPr>
      </w:pPr>
    </w:p>
    <w:p>
      <w:pPr>
        <w:ind w:left="180"/>
        <w:spacing w:after="0"/>
        <w:rPr>
          <w:sz w:val="20"/>
          <w:szCs w:val="20"/>
          <w:color w:val="auto"/>
        </w:rPr>
      </w:pPr>
      <w:r>
        <w:rPr>
          <w:rFonts w:ascii="Arial" w:cs="Arial" w:eastAsia="Arial" w:hAnsi="Arial"/>
          <w:sz w:val="16"/>
          <w:szCs w:val="16"/>
          <w:color w:val="auto"/>
        </w:rPr>
        <w:t>Retirement</w:t>
      </w:r>
    </w:p>
    <w:p>
      <w:pPr>
        <w:spacing w:after="0" w:line="29" w:lineRule="exact"/>
        <w:rPr>
          <w:sz w:val="20"/>
          <w:szCs w:val="20"/>
          <w:color w:val="auto"/>
        </w:rPr>
      </w:pPr>
    </w:p>
    <w:p>
      <w:pPr>
        <w:ind w:left="180"/>
        <w:spacing w:after="0"/>
        <w:rPr>
          <w:sz w:val="20"/>
          <w:szCs w:val="20"/>
          <w:color w:val="auto"/>
        </w:rPr>
      </w:pPr>
      <w:r>
        <w:rPr>
          <w:rFonts w:ascii="Arial" w:cs="Arial" w:eastAsia="Arial" w:hAnsi="Arial"/>
          <w:sz w:val="16"/>
          <w:szCs w:val="16"/>
          <w:color w:val="auto"/>
        </w:rPr>
        <w:t>Benefits</w:t>
      </w:r>
    </w:p>
    <w:p>
      <w:pPr>
        <w:spacing w:after="0" w:line="200" w:lineRule="exact"/>
        <w:rPr>
          <w:sz w:val="20"/>
          <w:szCs w:val="20"/>
          <w:color w:val="auto"/>
        </w:rPr>
      </w:pPr>
    </w:p>
    <w:p>
      <w:pPr>
        <w:spacing w:after="0" w:line="323" w:lineRule="exact"/>
        <w:rPr>
          <w:sz w:val="20"/>
          <w:szCs w:val="20"/>
          <w:color w:val="auto"/>
        </w:rPr>
      </w:pPr>
    </w:p>
    <w:p>
      <w:pPr>
        <w:ind w:left="180"/>
        <w:spacing w:after="0"/>
        <w:rPr>
          <w:sz w:val="20"/>
          <w:szCs w:val="20"/>
          <w:color w:val="auto"/>
        </w:rPr>
      </w:pPr>
      <w:r>
        <w:rPr>
          <w:rFonts w:ascii="Arial" w:cs="Arial" w:eastAsia="Arial" w:hAnsi="Arial"/>
          <w:sz w:val="16"/>
          <w:szCs w:val="16"/>
          <w:color w:val="auto"/>
        </w:rPr>
        <w:t>Perquisites</w:t>
      </w:r>
    </w:p>
    <w:p>
      <w:pPr>
        <w:spacing w:after="0" w:line="20" w:lineRule="exact"/>
        <w:rPr>
          <w:sz w:val="20"/>
          <w:szCs w:val="20"/>
          <w:color w:val="auto"/>
        </w:rPr>
      </w:pPr>
      <w:r>
        <w:rPr>
          <w:sz w:val="20"/>
          <w:szCs w:val="20"/>
          <w:color w:val="auto"/>
        </w:rPr>
        <w:br w:type="column"/>
      </w:r>
    </w:p>
    <w:p>
      <w:pPr>
        <w:spacing w:after="0" w:line="123" w:lineRule="exact"/>
        <w:rPr>
          <w:sz w:val="20"/>
          <w:szCs w:val="20"/>
          <w:color w:val="auto"/>
        </w:rPr>
      </w:pPr>
    </w:p>
    <w:p>
      <w:pPr>
        <w:ind w:left="8"/>
        <w:spacing w:after="0"/>
        <w:rPr>
          <w:sz w:val="20"/>
          <w:szCs w:val="20"/>
          <w:color w:val="auto"/>
        </w:rPr>
      </w:pPr>
      <w:r>
        <w:rPr>
          <w:rFonts w:ascii="Arial" w:cs="Arial" w:eastAsia="Arial" w:hAnsi="Arial"/>
          <w:sz w:val="16"/>
          <w:szCs w:val="16"/>
          <w:b w:val="1"/>
          <w:bCs w:val="1"/>
          <w:color w:val="FFFFFF"/>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-993775</wp:posOffset>
            </wp:positionH>
            <wp:positionV relativeFrom="paragraph">
              <wp:posOffset>-115570</wp:posOffset>
            </wp:positionV>
            <wp:extent cx="6955790" cy="15240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6955790" cy="152400"/>
                    </a:xfrm>
                    <a:prstGeom prst="rect">
                      <a:avLst/>
                    </a:prstGeom>
                    <a:noFill/>
                  </pic:spPr>
                </pic:pic>
              </a:graphicData>
            </a:graphic>
          </wp:anchor>
        </w:drawing>
      </w:r>
    </w:p>
    <w:p>
      <w:pPr>
        <w:spacing w:after="0" w:line="36" w:lineRule="exact"/>
        <w:rPr>
          <w:sz w:val="20"/>
          <w:szCs w:val="20"/>
          <w:color w:val="auto"/>
        </w:rPr>
      </w:pPr>
    </w:p>
    <w:p>
      <w:pPr>
        <w:jc w:val="both"/>
        <w:ind w:left="8" w:right="140"/>
        <w:spacing w:after="0" w:line="248" w:lineRule="auto"/>
        <w:rPr>
          <w:sz w:val="20"/>
          <w:szCs w:val="20"/>
          <w:color w:val="auto"/>
        </w:rPr>
      </w:pPr>
      <w:r>
        <w:rPr>
          <w:rFonts w:ascii="Arial" w:cs="Arial" w:eastAsia="Arial" w:hAnsi="Arial"/>
          <w:sz w:val="16"/>
          <w:szCs w:val="16"/>
          <w:color w:val="auto"/>
        </w:rPr>
        <w:t>Under our Retirement Plan in calendar year 2024, we matched one dollar for each employee dollar contribution, up to an employee maximum of 4%. Additionally, the Company may make a discretionary investment fund contribution. Employees are eligible to participate in the plan after 30 days of service. For employees whose compensation exceeds the IRS limit, we also provide a contribution into our nonqualified deferred compensation plans, the Supplemental Benefit Plan or the Deferred Plan, as applicable. Our nonqualified deferred compensation plans are described under Nonqualified Deferred Compensation for Fiscal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-993775</wp:posOffset>
            </wp:positionH>
            <wp:positionV relativeFrom="paragraph">
              <wp:posOffset>6985</wp:posOffset>
            </wp:positionV>
            <wp:extent cx="6955790" cy="192341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6955790" cy="1923415"/>
                    </a:xfrm>
                    <a:prstGeom prst="rect">
                      <a:avLst/>
                    </a:prstGeom>
                    <a:noFill/>
                  </pic:spPr>
                </pic:pic>
              </a:graphicData>
            </a:graphic>
          </wp:anchor>
        </w:drawing>
      </w:r>
    </w:p>
    <w:p>
      <w:pPr>
        <w:spacing w:after="0" w:line="30" w:lineRule="exact"/>
        <w:rPr>
          <w:sz w:val="20"/>
          <w:szCs w:val="20"/>
          <w:color w:val="auto"/>
        </w:rPr>
      </w:pPr>
    </w:p>
    <w:p>
      <w:pPr>
        <w:ind w:left="8"/>
        <w:spacing w:after="0"/>
        <w:rPr>
          <w:sz w:val="20"/>
          <w:szCs w:val="20"/>
          <w:color w:val="auto"/>
        </w:rPr>
      </w:pPr>
      <w:r>
        <w:rPr>
          <w:rFonts w:ascii="Arial" w:cs="Arial" w:eastAsia="Arial" w:hAnsi="Arial"/>
          <w:sz w:val="16"/>
          <w:szCs w:val="16"/>
          <w:color w:val="auto"/>
        </w:rPr>
        <w:t>We provide our executive officers with modest perquisites, including:</w:t>
      </w:r>
    </w:p>
    <w:p>
      <w:pPr>
        <w:spacing w:after="0" w:line="29" w:lineRule="exact"/>
        <w:rPr>
          <w:sz w:val="20"/>
          <w:szCs w:val="20"/>
          <w:color w:val="auto"/>
        </w:rPr>
      </w:pPr>
    </w:p>
    <w:p>
      <w:pPr>
        <w:ind w:left="168" w:right="140" w:hanging="168"/>
        <w:spacing w:after="0" w:line="261" w:lineRule="auto"/>
        <w:tabs>
          <w:tab w:leader="none" w:pos="157" w:val="left"/>
        </w:tabs>
        <w:numPr>
          <w:ilvl w:val="0"/>
          <w:numId w:val="65"/>
        </w:numPr>
        <w:rPr>
          <w:rFonts w:ascii="Arial" w:cs="Arial" w:eastAsia="Arial" w:hAnsi="Arial"/>
          <w:sz w:val="16"/>
          <w:szCs w:val="16"/>
          <w:color w:val="auto"/>
        </w:rPr>
      </w:pPr>
      <w:r>
        <w:rPr>
          <w:rFonts w:ascii="Arial" w:cs="Arial" w:eastAsia="Arial" w:hAnsi="Arial"/>
          <w:sz w:val="16"/>
          <w:szCs w:val="16"/>
          <w:color w:val="auto"/>
        </w:rPr>
        <w:t>Company-leased automobile--We pay all costs associated with leasing, operating, maintaining and insuring a company-leased automobile up to certain thresholds.</w:t>
      </w:r>
    </w:p>
    <w:p>
      <w:pPr>
        <w:jc w:val="both"/>
        <w:ind w:left="168" w:right="140" w:hanging="168"/>
        <w:spacing w:after="0" w:line="261" w:lineRule="auto"/>
        <w:tabs>
          <w:tab w:leader="none" w:pos="157" w:val="left"/>
        </w:tabs>
        <w:numPr>
          <w:ilvl w:val="0"/>
          <w:numId w:val="65"/>
        </w:numPr>
        <w:rPr>
          <w:rFonts w:ascii="Arial" w:cs="Arial" w:eastAsia="Arial" w:hAnsi="Arial"/>
          <w:sz w:val="16"/>
          <w:szCs w:val="16"/>
          <w:color w:val="auto"/>
        </w:rPr>
      </w:pPr>
      <w:r>
        <w:rPr>
          <w:rFonts w:ascii="Arial" w:cs="Arial" w:eastAsia="Arial" w:hAnsi="Arial"/>
          <w:sz w:val="16"/>
          <w:szCs w:val="16"/>
          <w:color w:val="auto"/>
        </w:rPr>
        <w:t>Financial planning-We encourage our executive officers to receive professional advice regarding their financial, tax and estate planning needs. Therefore, we pay up to a maximum defined amount for each of our executive officers to cover tax planning, tax return preparation, financial counseling and estate planning.</w:t>
      </w:r>
    </w:p>
    <w:p>
      <w:pPr>
        <w:ind w:left="168" w:right="140" w:hanging="168"/>
        <w:spacing w:after="0" w:line="261" w:lineRule="auto"/>
        <w:tabs>
          <w:tab w:leader="none" w:pos="157" w:val="left"/>
        </w:tabs>
        <w:numPr>
          <w:ilvl w:val="0"/>
          <w:numId w:val="65"/>
        </w:numPr>
        <w:rPr>
          <w:rFonts w:ascii="Arial" w:cs="Arial" w:eastAsia="Arial" w:hAnsi="Arial"/>
          <w:sz w:val="16"/>
          <w:szCs w:val="16"/>
          <w:color w:val="auto"/>
        </w:rPr>
      </w:pPr>
      <w:r>
        <w:rPr>
          <w:rFonts w:ascii="Arial" w:cs="Arial" w:eastAsia="Arial" w:hAnsi="Arial"/>
          <w:sz w:val="16"/>
          <w:szCs w:val="16"/>
          <w:color w:val="auto"/>
        </w:rPr>
        <w:t>Annual executive physical--To help ensure the health of our executive officers, we generally pay up to a certain amount for approved physical exam expenses not covered by the executive officer's health insurance.</w:t>
      </w:r>
    </w:p>
    <w:p>
      <w:pPr>
        <w:jc w:val="both"/>
        <w:ind w:left="168" w:right="140" w:hanging="168"/>
        <w:spacing w:after="0" w:line="247" w:lineRule="auto"/>
        <w:tabs>
          <w:tab w:leader="none" w:pos="157" w:val="left"/>
        </w:tabs>
        <w:numPr>
          <w:ilvl w:val="0"/>
          <w:numId w:val="65"/>
        </w:numPr>
        <w:rPr>
          <w:rFonts w:ascii="Arial" w:cs="Arial" w:eastAsia="Arial" w:hAnsi="Arial"/>
          <w:sz w:val="16"/>
          <w:szCs w:val="16"/>
          <w:color w:val="auto"/>
        </w:rPr>
      </w:pPr>
      <w:r>
        <w:rPr>
          <w:rFonts w:ascii="Arial" w:cs="Arial" w:eastAsia="Arial" w:hAnsi="Arial"/>
          <w:sz w:val="16"/>
          <w:szCs w:val="16"/>
          <w:color w:val="auto"/>
        </w:rPr>
        <w:t>Company products--To enable our executive officers the opportunity to become more familiar with our products and use those products on a regular basis, we provide certain Company products and related accessories for personal use at no cost; provided, however, that executive officers are responsible for applicable taxes attributable to the value of such products. The value is generally deemed to be our distributor net price or its equivalent, which is the price at which products are available to employees for purchase.</w:t>
      </w:r>
    </w:p>
    <w:p>
      <w:pPr>
        <w:ind w:left="168" w:right="140" w:hanging="168"/>
        <w:spacing w:after="0" w:line="278" w:lineRule="auto"/>
        <w:tabs>
          <w:tab w:leader="none" w:pos="157" w:val="left"/>
        </w:tabs>
        <w:numPr>
          <w:ilvl w:val="0"/>
          <w:numId w:val="65"/>
        </w:numPr>
        <w:rPr>
          <w:rFonts w:ascii="Arial" w:cs="Arial" w:eastAsia="Arial" w:hAnsi="Arial"/>
          <w:sz w:val="16"/>
          <w:szCs w:val="16"/>
          <w:color w:val="auto"/>
        </w:rPr>
      </w:pPr>
      <w:r>
        <w:rPr>
          <w:rFonts w:ascii="Arial" w:cs="Arial" w:eastAsia="Arial" w:hAnsi="Arial"/>
          <w:sz w:val="16"/>
          <w:szCs w:val="16"/>
          <w:color w:val="auto"/>
        </w:rPr>
        <w:t>Travel expenses--During fiscal 2024, we paid certain travel costs for spouses of our executive officers in connection with certain off-site, business-related meetings in which it was appropriate for a spouse to attend.</w:t>
      </w:r>
    </w:p>
    <w:p>
      <w:pPr>
        <w:spacing w:after="0" w:line="200" w:lineRule="exact"/>
        <w:rPr>
          <w:sz w:val="20"/>
          <w:szCs w:val="20"/>
          <w:color w:val="auto"/>
        </w:rPr>
      </w:pPr>
    </w:p>
    <w:p>
      <w:pPr>
        <w:sectPr>
          <w:pgSz w:w="11900" w:h="16838" w:orient="portrait"/>
          <w:cols w:equalWidth="0" w:num="2">
            <w:col w:w="1012" w:space="720"/>
            <w:col w:w="9508"/>
          </w:cols>
          <w:pgMar w:left="320" w:top="1154"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79375</wp:posOffset>
            </wp:positionV>
            <wp:extent cx="7159625" cy="425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154" w:right="339" w:bottom="1440" w:gutter="0" w:footer="0" w:header="0"/>
          <w:type w:val="continuous"/>
        </w:sectPr>
      </w:pPr>
    </w:p>
    <w:bookmarkStart w:id="61" w:name="page62"/>
    <w:bookmarkEnd w:id="61"/>
    <w:p>
      <w:pPr>
        <w:ind w:left="180"/>
        <w:spacing w:after="0"/>
        <w:rPr>
          <w:sz w:val="20"/>
          <w:szCs w:val="20"/>
          <w:color w:val="auto"/>
        </w:rPr>
      </w:pPr>
      <w:r>
        <w:rPr>
          <w:rFonts w:ascii="Arial" w:cs="Arial" w:eastAsia="Arial" w:hAnsi="Arial"/>
          <w:sz w:val="16"/>
          <w:szCs w:val="16"/>
          <w:color w:val="auto"/>
        </w:rPr>
        <w:t>Charitable</w:t>
      </w:r>
    </w:p>
    <w:p>
      <w:pPr>
        <w:ind w:left="180"/>
        <w:spacing w:after="0"/>
        <w:rPr>
          <w:sz w:val="20"/>
          <w:szCs w:val="20"/>
          <w:color w:val="auto"/>
        </w:rPr>
      </w:pPr>
      <w:r>
        <w:rPr>
          <w:rFonts w:ascii="Arial" w:cs="Arial" w:eastAsia="Arial" w:hAnsi="Arial"/>
          <w:sz w:val="16"/>
          <w:szCs w:val="16"/>
          <w:color w:val="auto"/>
        </w:rPr>
        <w:t>Giving</w:t>
      </w:r>
    </w:p>
    <w:p>
      <w:pPr>
        <w:spacing w:after="0" w:line="240" w:lineRule="exact"/>
        <w:rPr>
          <w:sz w:val="20"/>
          <w:szCs w:val="20"/>
          <w:color w:val="auto"/>
        </w:rPr>
      </w:pPr>
    </w:p>
    <w:p>
      <w:pPr>
        <w:jc w:val="center"/>
        <w:ind w:left="180"/>
        <w:spacing w:after="0"/>
        <w:rPr>
          <w:sz w:val="20"/>
          <w:szCs w:val="20"/>
          <w:color w:val="auto"/>
        </w:rPr>
      </w:pPr>
      <w:r>
        <w:rPr>
          <w:rFonts w:ascii="Arial" w:cs="Arial" w:eastAsia="Arial" w:hAnsi="Arial"/>
          <w:sz w:val="16"/>
          <w:szCs w:val="16"/>
          <w:color w:val="auto"/>
        </w:rPr>
        <w:t>Relocation Benefits</w:t>
      </w:r>
    </w:p>
    <w:p>
      <w:pPr>
        <w:spacing w:after="0" w:line="20" w:lineRule="exact"/>
        <w:rPr>
          <w:sz w:val="20"/>
          <w:szCs w:val="20"/>
          <w:color w:val="auto"/>
        </w:rPr>
      </w:pPr>
      <w:r>
        <w:rPr>
          <w:sz w:val="20"/>
          <w:szCs w:val="20"/>
          <w:color w:val="auto"/>
        </w:rPr>
        <w:br w:type="column"/>
      </w:r>
    </w:p>
    <w:p>
      <w:pPr>
        <w:jc w:val="both"/>
        <w:ind w:right="140"/>
        <w:spacing w:after="0" w:line="252" w:lineRule="auto"/>
        <w:rPr>
          <w:sz w:val="20"/>
          <w:szCs w:val="20"/>
          <w:color w:val="auto"/>
        </w:rPr>
      </w:pPr>
      <w:r>
        <w:rPr>
          <w:rFonts w:ascii="Arial" w:cs="Arial" w:eastAsia="Arial" w:hAnsi="Arial"/>
          <w:sz w:val="16"/>
          <w:szCs w:val="16"/>
          <w:color w:val="auto"/>
        </w:rPr>
        <w:t>We support charitable organizations for our employees through our matching gift program. The program for our executive officers provides that a gift or gifts by an executive officer and/or his or her spouse to one or more tax exempt 501(c)(3) charitable organizations located in the United States will be matched by us in an aggregate amount of up to $3,000 per year.</w:t>
      </w:r>
    </w:p>
    <w:p>
      <w:pPr>
        <w:spacing w:after="0" w:line="21" w:lineRule="exact"/>
        <w:rPr>
          <w:sz w:val="20"/>
          <w:szCs w:val="20"/>
          <w:color w:val="auto"/>
        </w:rPr>
      </w:pPr>
    </w:p>
    <w:p>
      <w:pPr>
        <w:jc w:val="both"/>
        <w:ind w:right="140"/>
        <w:spacing w:after="0" w:line="252" w:lineRule="auto"/>
        <w:rPr>
          <w:sz w:val="20"/>
          <w:szCs w:val="20"/>
          <w:color w:val="auto"/>
        </w:rPr>
      </w:pPr>
      <w:r>
        <w:rPr>
          <w:rFonts w:ascii="Arial" w:cs="Arial" w:eastAsia="Arial" w:hAnsi="Arial"/>
          <w:sz w:val="16"/>
          <w:szCs w:val="16"/>
          <w:color w:val="auto"/>
        </w:rPr>
        <w:t>We maintain a standard, market competitive relocation policy. Relocation expenses reimbursed and/or paid typically include: shipment of household goods, automobile shipment, home finding trip, temporary living, destination home purchase assistance, and a "gross-up" to help offset the tax impact of these expenses that are reimbursed and/or paid.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-998220</wp:posOffset>
            </wp:positionH>
            <wp:positionV relativeFrom="paragraph">
              <wp:posOffset>-367030</wp:posOffset>
            </wp:positionV>
            <wp:extent cx="6955790" cy="38100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6955790" cy="38100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1560" w:space="180"/>
            <w:col w:w="9500"/>
          </w:cols>
          <w:pgMar w:left="320" w:top="1145" w:right="339" w:bottom="1440" w:gutter="0" w:footer="0" w:header="0"/>
        </w:sectPr>
      </w:pPr>
    </w:p>
    <w:p>
      <w:pPr>
        <w:spacing w:after="0" w:line="5" w:lineRule="exact"/>
        <w:rPr>
          <w:sz w:val="20"/>
          <w:szCs w:val="20"/>
          <w:color w:val="auto"/>
        </w:rPr>
      </w:pPr>
    </w:p>
    <w:p>
      <w:pPr>
        <w:ind w:right="500" w:firstLine="388"/>
        <w:spacing w:after="0" w:line="262" w:lineRule="auto"/>
        <w:rPr>
          <w:sz w:val="20"/>
          <w:szCs w:val="20"/>
          <w:color w:val="auto"/>
        </w:rPr>
      </w:pPr>
      <w:r>
        <w:rPr>
          <w:rFonts w:ascii="Arial" w:cs="Arial" w:eastAsia="Arial" w:hAnsi="Arial"/>
          <w:sz w:val="18"/>
          <w:szCs w:val="18"/>
          <w:color w:val="auto"/>
        </w:rPr>
        <w:t>Specific amounts included in the fiscal 2024 "All Other Compensation" column of the Summary Compensation Table are in the table below.</w:t>
      </w:r>
    </w:p>
    <w:p>
      <w:pPr>
        <w:spacing w:after="0" w:line="99" w:lineRule="exact"/>
        <w:rPr>
          <w:sz w:val="20"/>
          <w:szCs w:val="20"/>
          <w:color w:val="auto"/>
        </w:rPr>
      </w:pPr>
    </w:p>
    <w:tbl>
      <w:tblPr>
        <w:tblLayout w:type="fixed"/>
        <w:tblInd w:w="420" w:type="dxa"/>
        <w:tblCellMar>
          <w:top w:w="0" w:type="dxa"/>
          <w:left w:w="0" w:type="dxa"/>
          <w:bottom w:w="0" w:type="dxa"/>
          <w:right w:w="0" w:type="dxa"/>
        </w:tblCellMar>
      </w:tblPr>
      <w:tr>
        <w:trPr>
          <w:trHeight w:val="215"/>
        </w:trPr>
        <w:tc>
          <w:tcPr>
            <w:tcW w:w="1420" w:type="dxa"/>
            <w:vAlign w:val="bottom"/>
            <w:shd w:val="clear" w:color="auto" w:fill="BF2115"/>
          </w:tcPr>
          <w:p>
            <w:pPr>
              <w:spacing w:after="0"/>
              <w:rPr>
                <w:sz w:val="18"/>
                <w:szCs w:val="18"/>
                <w:color w:val="auto"/>
              </w:rPr>
            </w:pPr>
          </w:p>
        </w:tc>
        <w:tc>
          <w:tcPr>
            <w:tcW w:w="1800" w:type="dxa"/>
            <w:vAlign w:val="bottom"/>
            <w:shd w:val="clear" w:color="auto" w:fill="BF2115"/>
          </w:tcPr>
          <w:p>
            <w:pPr>
              <w:jc w:val="center"/>
              <w:ind w:left="23"/>
              <w:spacing w:after="0"/>
              <w:rPr>
                <w:sz w:val="20"/>
                <w:szCs w:val="20"/>
                <w:color w:val="auto"/>
              </w:rPr>
            </w:pPr>
            <w:r>
              <w:rPr>
                <w:rFonts w:ascii="Arial" w:cs="Arial" w:eastAsia="Arial" w:hAnsi="Arial"/>
                <w:sz w:val="14"/>
                <w:szCs w:val="14"/>
                <w:b w:val="1"/>
                <w:bCs w:val="1"/>
                <w:color w:val="FFFFFF"/>
              </w:rPr>
              <w:t>Retirement Plan</w:t>
            </w:r>
          </w:p>
        </w:tc>
        <w:tc>
          <w:tcPr>
            <w:tcW w:w="1740" w:type="dxa"/>
            <w:vAlign w:val="bottom"/>
            <w:shd w:val="clear" w:color="auto" w:fill="BF2115"/>
          </w:tcPr>
          <w:p>
            <w:pPr>
              <w:jc w:val="center"/>
              <w:ind w:right="223"/>
              <w:spacing w:after="0"/>
              <w:rPr>
                <w:sz w:val="20"/>
                <w:szCs w:val="20"/>
                <w:color w:val="auto"/>
              </w:rPr>
            </w:pPr>
            <w:r>
              <w:rPr>
                <w:rFonts w:ascii="Arial" w:cs="Arial" w:eastAsia="Arial" w:hAnsi="Arial"/>
                <w:sz w:val="14"/>
                <w:szCs w:val="14"/>
                <w:b w:val="1"/>
                <w:bCs w:val="1"/>
                <w:color w:val="FFFFFF"/>
              </w:rPr>
              <w:t>Nonqualified Plan</w:t>
            </w:r>
          </w:p>
        </w:tc>
        <w:tc>
          <w:tcPr>
            <w:tcW w:w="1480" w:type="dxa"/>
            <w:vAlign w:val="bottom"/>
            <w:shd w:val="clear" w:color="auto" w:fill="BF2115"/>
          </w:tcPr>
          <w:p>
            <w:pPr>
              <w:jc w:val="center"/>
              <w:ind w:right="303"/>
              <w:spacing w:after="0"/>
              <w:rPr>
                <w:sz w:val="20"/>
                <w:szCs w:val="20"/>
                <w:color w:val="auto"/>
              </w:rPr>
            </w:pPr>
            <w:r>
              <w:rPr>
                <w:rFonts w:ascii="Arial" w:cs="Arial" w:eastAsia="Arial" w:hAnsi="Arial"/>
                <w:sz w:val="14"/>
                <w:szCs w:val="14"/>
                <w:b w:val="1"/>
                <w:bCs w:val="1"/>
                <w:color w:val="FFFFFF"/>
              </w:rPr>
              <w:t>Charitable</w:t>
            </w:r>
          </w:p>
        </w:tc>
        <w:tc>
          <w:tcPr>
            <w:tcW w:w="1360" w:type="dxa"/>
            <w:vAlign w:val="bottom"/>
            <w:vMerge w:val="restart"/>
            <w:shd w:val="clear" w:color="auto" w:fill="BF2115"/>
          </w:tcPr>
          <w:p>
            <w:pPr>
              <w:jc w:val="right"/>
              <w:ind w:right="282"/>
              <w:spacing w:after="0"/>
              <w:rPr>
                <w:sz w:val="20"/>
                <w:szCs w:val="20"/>
                <w:color w:val="auto"/>
              </w:rPr>
            </w:pPr>
            <w:r>
              <w:rPr>
                <w:rFonts w:ascii="Arial" w:cs="Arial" w:eastAsia="Arial" w:hAnsi="Arial"/>
                <w:sz w:val="14"/>
                <w:szCs w:val="14"/>
                <w:b w:val="1"/>
                <w:bCs w:val="1"/>
                <w:color w:val="FFFFFF"/>
              </w:rPr>
              <w:t>Perquisites</w:t>
            </w:r>
            <w:r>
              <w:rPr>
                <w:rFonts w:ascii="Arial" w:cs="Arial" w:eastAsia="Arial" w:hAnsi="Arial"/>
                <w:sz w:val="9"/>
                <w:szCs w:val="9"/>
                <w:b w:val="1"/>
                <w:bCs w:val="1"/>
                <w:color w:val="FFFFFF"/>
              </w:rPr>
              <w:t>4</w:t>
            </w:r>
          </w:p>
        </w:tc>
        <w:tc>
          <w:tcPr>
            <w:tcW w:w="1740" w:type="dxa"/>
            <w:vAlign w:val="bottom"/>
            <w:vMerge w:val="restart"/>
            <w:shd w:val="clear" w:color="auto" w:fill="BF2115"/>
          </w:tcPr>
          <w:p>
            <w:pPr>
              <w:jc w:val="right"/>
              <w:ind w:right="242"/>
              <w:spacing w:after="0"/>
              <w:rPr>
                <w:sz w:val="20"/>
                <w:szCs w:val="20"/>
                <w:color w:val="auto"/>
              </w:rPr>
            </w:pPr>
            <w:r>
              <w:rPr>
                <w:rFonts w:ascii="Arial" w:cs="Arial" w:eastAsia="Arial" w:hAnsi="Arial"/>
                <w:sz w:val="14"/>
                <w:szCs w:val="14"/>
                <w:b w:val="1"/>
                <w:bCs w:val="1"/>
                <w:color w:val="FFFFFF"/>
              </w:rPr>
              <w:t>Relocation Benefits</w:t>
            </w:r>
            <w:r>
              <w:rPr>
                <w:rFonts w:ascii="Arial" w:cs="Arial" w:eastAsia="Arial" w:hAnsi="Arial"/>
                <w:sz w:val="9"/>
                <w:szCs w:val="9"/>
                <w:b w:val="1"/>
                <w:bCs w:val="1"/>
                <w:color w:val="FFFFFF"/>
              </w:rPr>
              <w:t>5</w:t>
            </w:r>
          </w:p>
        </w:tc>
        <w:tc>
          <w:tcPr>
            <w:tcW w:w="860" w:type="dxa"/>
            <w:vAlign w:val="bottom"/>
            <w:shd w:val="clear" w:color="auto" w:fill="BF2115"/>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1420" w:type="dxa"/>
            <w:vAlign w:val="bottom"/>
            <w:shd w:val="clear" w:color="auto" w:fill="BF2115"/>
          </w:tcPr>
          <w:p>
            <w:pPr>
              <w:spacing w:after="0"/>
              <w:rPr>
                <w:sz w:val="15"/>
                <w:szCs w:val="15"/>
                <w:color w:val="auto"/>
              </w:rPr>
            </w:pPr>
          </w:p>
        </w:tc>
        <w:tc>
          <w:tcPr>
            <w:tcW w:w="1800" w:type="dxa"/>
            <w:vAlign w:val="bottom"/>
            <w:shd w:val="clear" w:color="auto" w:fill="BF2115"/>
          </w:tcPr>
          <w:p>
            <w:pPr>
              <w:jc w:val="center"/>
              <w:ind w:left="23"/>
              <w:spacing w:after="0" w:line="176" w:lineRule="exact"/>
              <w:rPr>
                <w:sz w:val="20"/>
                <w:szCs w:val="20"/>
                <w:color w:val="auto"/>
              </w:rPr>
            </w:pPr>
            <w:r>
              <w:rPr>
                <w:rFonts w:ascii="Arial" w:cs="Arial" w:eastAsia="Arial" w:hAnsi="Arial"/>
                <w:sz w:val="14"/>
                <w:szCs w:val="14"/>
                <w:b w:val="1"/>
                <w:bCs w:val="1"/>
                <w:color w:val="FFFFFF"/>
                <w:w w:val="99"/>
              </w:rPr>
              <w:t>Contributions</w:t>
            </w:r>
            <w:r>
              <w:rPr>
                <w:rFonts w:ascii="Arial" w:cs="Arial" w:eastAsia="Arial" w:hAnsi="Arial"/>
                <w:sz w:val="18"/>
                <w:szCs w:val="18"/>
                <w:b w:val="1"/>
                <w:bCs w:val="1"/>
                <w:color w:val="FFFFFF"/>
                <w:w w:val="99"/>
                <w:vertAlign w:val="superscript"/>
              </w:rPr>
              <w:t>1</w:t>
            </w:r>
          </w:p>
        </w:tc>
        <w:tc>
          <w:tcPr>
            <w:tcW w:w="1740" w:type="dxa"/>
            <w:vAlign w:val="bottom"/>
            <w:shd w:val="clear" w:color="auto" w:fill="BF2115"/>
          </w:tcPr>
          <w:p>
            <w:pPr>
              <w:jc w:val="center"/>
              <w:ind w:right="203"/>
              <w:spacing w:after="0" w:line="176" w:lineRule="exact"/>
              <w:rPr>
                <w:sz w:val="20"/>
                <w:szCs w:val="20"/>
                <w:color w:val="auto"/>
              </w:rPr>
            </w:pPr>
            <w:r>
              <w:rPr>
                <w:rFonts w:ascii="Arial" w:cs="Arial" w:eastAsia="Arial" w:hAnsi="Arial"/>
                <w:sz w:val="14"/>
                <w:szCs w:val="14"/>
                <w:b w:val="1"/>
                <w:bCs w:val="1"/>
                <w:color w:val="FFFFFF"/>
                <w:w w:val="99"/>
              </w:rPr>
              <w:t>Contributions</w:t>
            </w:r>
            <w:r>
              <w:rPr>
                <w:rFonts w:ascii="Arial" w:cs="Arial" w:eastAsia="Arial" w:hAnsi="Arial"/>
                <w:sz w:val="18"/>
                <w:szCs w:val="18"/>
                <w:b w:val="1"/>
                <w:bCs w:val="1"/>
                <w:color w:val="FFFFFF"/>
                <w:w w:val="99"/>
                <w:vertAlign w:val="superscript"/>
              </w:rPr>
              <w:t>2</w:t>
            </w:r>
          </w:p>
        </w:tc>
        <w:tc>
          <w:tcPr>
            <w:tcW w:w="1480" w:type="dxa"/>
            <w:vAlign w:val="bottom"/>
            <w:shd w:val="clear" w:color="auto" w:fill="BF2115"/>
          </w:tcPr>
          <w:p>
            <w:pPr>
              <w:jc w:val="center"/>
              <w:ind w:right="283"/>
              <w:spacing w:after="0" w:line="176" w:lineRule="exact"/>
              <w:rPr>
                <w:sz w:val="20"/>
                <w:szCs w:val="20"/>
                <w:color w:val="auto"/>
              </w:rPr>
            </w:pPr>
            <w:r>
              <w:rPr>
                <w:rFonts w:ascii="Arial" w:cs="Arial" w:eastAsia="Arial" w:hAnsi="Arial"/>
                <w:sz w:val="14"/>
                <w:szCs w:val="14"/>
                <w:b w:val="1"/>
                <w:bCs w:val="1"/>
                <w:color w:val="FFFFFF"/>
                <w:w w:val="95"/>
              </w:rPr>
              <w:t>Giving</w:t>
            </w:r>
            <w:r>
              <w:rPr>
                <w:rFonts w:ascii="Arial" w:cs="Arial" w:eastAsia="Arial" w:hAnsi="Arial"/>
                <w:sz w:val="18"/>
                <w:szCs w:val="18"/>
                <w:b w:val="1"/>
                <w:bCs w:val="1"/>
                <w:color w:val="FFFFFF"/>
                <w:w w:val="95"/>
                <w:vertAlign w:val="superscript"/>
              </w:rPr>
              <w:t>3</w:t>
            </w:r>
          </w:p>
        </w:tc>
        <w:tc>
          <w:tcPr>
            <w:tcW w:w="1360" w:type="dxa"/>
            <w:vAlign w:val="bottom"/>
            <w:vMerge w:val="continue"/>
            <w:shd w:val="clear" w:color="auto" w:fill="BF2115"/>
          </w:tcPr>
          <w:p>
            <w:pPr>
              <w:spacing w:after="0"/>
              <w:rPr>
                <w:sz w:val="15"/>
                <w:szCs w:val="15"/>
                <w:color w:val="auto"/>
              </w:rPr>
            </w:pPr>
          </w:p>
        </w:tc>
        <w:tc>
          <w:tcPr>
            <w:tcW w:w="1740" w:type="dxa"/>
            <w:vAlign w:val="bottom"/>
            <w:vMerge w:val="continue"/>
            <w:shd w:val="clear" w:color="auto" w:fill="BF2115"/>
          </w:tcPr>
          <w:p>
            <w:pPr>
              <w:spacing w:after="0"/>
              <w:rPr>
                <w:sz w:val="15"/>
                <w:szCs w:val="15"/>
                <w:color w:val="auto"/>
              </w:rPr>
            </w:pPr>
          </w:p>
        </w:tc>
        <w:tc>
          <w:tcPr>
            <w:tcW w:w="860" w:type="dxa"/>
            <w:vAlign w:val="bottom"/>
            <w:shd w:val="clear" w:color="auto" w:fill="BF2115"/>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1420" w:type="dxa"/>
            <w:vAlign w:val="bottom"/>
            <w:shd w:val="clear" w:color="auto" w:fill="BF2115"/>
          </w:tcPr>
          <w:p>
            <w:pPr>
              <w:ind w:left="20"/>
              <w:spacing w:after="0"/>
              <w:rPr>
                <w:sz w:val="20"/>
                <w:szCs w:val="20"/>
                <w:color w:val="auto"/>
              </w:rPr>
            </w:pPr>
            <w:r>
              <w:rPr>
                <w:rFonts w:ascii="Arial" w:cs="Arial" w:eastAsia="Arial" w:hAnsi="Arial"/>
                <w:sz w:val="14"/>
                <w:szCs w:val="14"/>
                <w:b w:val="1"/>
                <w:bCs w:val="1"/>
                <w:color w:val="FFFFFF"/>
              </w:rPr>
              <w:t>Name</w:t>
            </w:r>
          </w:p>
        </w:tc>
        <w:tc>
          <w:tcPr>
            <w:tcW w:w="1800" w:type="dxa"/>
            <w:vAlign w:val="bottom"/>
            <w:shd w:val="clear" w:color="auto" w:fill="BF2115"/>
          </w:tcPr>
          <w:p>
            <w:pPr>
              <w:jc w:val="center"/>
              <w:ind w:left="23"/>
              <w:spacing w:after="0"/>
              <w:rPr>
                <w:sz w:val="20"/>
                <w:szCs w:val="20"/>
                <w:color w:val="auto"/>
              </w:rPr>
            </w:pPr>
            <w:r>
              <w:rPr>
                <w:rFonts w:ascii="Arial" w:cs="Arial" w:eastAsia="Arial" w:hAnsi="Arial"/>
                <w:sz w:val="14"/>
                <w:szCs w:val="14"/>
                <w:b w:val="1"/>
                <w:bCs w:val="1"/>
                <w:color w:val="FFFFFF"/>
              </w:rPr>
              <w:t>($)</w:t>
            </w:r>
          </w:p>
        </w:tc>
        <w:tc>
          <w:tcPr>
            <w:tcW w:w="1740" w:type="dxa"/>
            <w:vAlign w:val="bottom"/>
            <w:shd w:val="clear" w:color="auto" w:fill="BF2115"/>
          </w:tcPr>
          <w:p>
            <w:pPr>
              <w:jc w:val="center"/>
              <w:ind w:right="203"/>
              <w:spacing w:after="0"/>
              <w:rPr>
                <w:sz w:val="20"/>
                <w:szCs w:val="20"/>
                <w:color w:val="auto"/>
              </w:rPr>
            </w:pPr>
            <w:r>
              <w:rPr>
                <w:rFonts w:ascii="Arial" w:cs="Arial" w:eastAsia="Arial" w:hAnsi="Arial"/>
                <w:sz w:val="14"/>
                <w:szCs w:val="14"/>
                <w:b w:val="1"/>
                <w:bCs w:val="1"/>
                <w:color w:val="FFFFFF"/>
              </w:rPr>
              <w:t>($)</w:t>
            </w:r>
          </w:p>
        </w:tc>
        <w:tc>
          <w:tcPr>
            <w:tcW w:w="1480" w:type="dxa"/>
            <w:vAlign w:val="bottom"/>
            <w:shd w:val="clear" w:color="auto" w:fill="BF2115"/>
          </w:tcPr>
          <w:p>
            <w:pPr>
              <w:jc w:val="center"/>
              <w:ind w:right="283"/>
              <w:spacing w:after="0"/>
              <w:rPr>
                <w:sz w:val="20"/>
                <w:szCs w:val="20"/>
                <w:color w:val="auto"/>
              </w:rPr>
            </w:pPr>
            <w:r>
              <w:rPr>
                <w:rFonts w:ascii="Arial" w:cs="Arial" w:eastAsia="Arial" w:hAnsi="Arial"/>
                <w:sz w:val="14"/>
                <w:szCs w:val="14"/>
                <w:b w:val="1"/>
                <w:bCs w:val="1"/>
                <w:color w:val="FFFFFF"/>
                <w:w w:val="93"/>
              </w:rPr>
              <w:t>($)</w:t>
            </w:r>
          </w:p>
        </w:tc>
        <w:tc>
          <w:tcPr>
            <w:tcW w:w="1360" w:type="dxa"/>
            <w:vAlign w:val="bottom"/>
            <w:shd w:val="clear" w:color="auto" w:fill="BF2115"/>
          </w:tcPr>
          <w:p>
            <w:pPr>
              <w:jc w:val="right"/>
              <w:ind w:right="602"/>
              <w:spacing w:after="0"/>
              <w:rPr>
                <w:sz w:val="20"/>
                <w:szCs w:val="20"/>
                <w:color w:val="auto"/>
              </w:rPr>
            </w:pPr>
            <w:r>
              <w:rPr>
                <w:rFonts w:ascii="Arial" w:cs="Arial" w:eastAsia="Arial" w:hAnsi="Arial"/>
                <w:sz w:val="14"/>
                <w:szCs w:val="14"/>
                <w:b w:val="1"/>
                <w:bCs w:val="1"/>
                <w:color w:val="FFFFFF"/>
              </w:rPr>
              <w:t>($)</w:t>
            </w:r>
          </w:p>
        </w:tc>
        <w:tc>
          <w:tcPr>
            <w:tcW w:w="1740" w:type="dxa"/>
            <w:vAlign w:val="bottom"/>
            <w:shd w:val="clear" w:color="auto" w:fill="BF2115"/>
          </w:tcPr>
          <w:p>
            <w:pPr>
              <w:jc w:val="right"/>
              <w:ind w:right="842"/>
              <w:spacing w:after="0"/>
              <w:rPr>
                <w:sz w:val="20"/>
                <w:szCs w:val="20"/>
                <w:color w:val="auto"/>
              </w:rPr>
            </w:pPr>
            <w:r>
              <w:rPr>
                <w:rFonts w:ascii="Arial" w:cs="Arial" w:eastAsia="Arial" w:hAnsi="Arial"/>
                <w:sz w:val="14"/>
                <w:szCs w:val="14"/>
                <w:b w:val="1"/>
                <w:bCs w:val="1"/>
                <w:color w:val="FFFFFF"/>
              </w:rPr>
              <w:t>($)</w:t>
            </w:r>
          </w:p>
        </w:tc>
        <w:tc>
          <w:tcPr>
            <w:tcW w:w="860" w:type="dxa"/>
            <w:vAlign w:val="bottom"/>
            <w:shd w:val="clear" w:color="auto" w:fill="BF2115"/>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1420" w:type="dxa"/>
            <w:vAlign w:val="bottom"/>
          </w:tcPr>
          <w:p>
            <w:pPr>
              <w:ind w:left="20"/>
              <w:spacing w:after="0"/>
              <w:rPr>
                <w:sz w:val="20"/>
                <w:szCs w:val="20"/>
                <w:color w:val="auto"/>
              </w:rPr>
            </w:pPr>
            <w:r>
              <w:rPr>
                <w:rFonts w:ascii="Arial" w:cs="Arial" w:eastAsia="Arial" w:hAnsi="Arial"/>
                <w:sz w:val="16"/>
                <w:szCs w:val="16"/>
                <w:color w:val="auto"/>
              </w:rPr>
              <w:t>Mr. Olson</w:t>
            </w:r>
          </w:p>
        </w:tc>
        <w:tc>
          <w:tcPr>
            <w:tcW w:w="1800" w:type="dxa"/>
            <w:vAlign w:val="bottom"/>
          </w:tcPr>
          <w:p>
            <w:pPr>
              <w:jc w:val="right"/>
              <w:ind w:right="43"/>
              <w:spacing w:after="0"/>
              <w:rPr>
                <w:sz w:val="20"/>
                <w:szCs w:val="20"/>
                <w:color w:val="auto"/>
              </w:rPr>
            </w:pPr>
            <w:r>
              <w:rPr>
                <w:rFonts w:ascii="Arial" w:cs="Arial" w:eastAsia="Arial" w:hAnsi="Arial"/>
                <w:sz w:val="16"/>
                <w:szCs w:val="16"/>
                <w:color w:val="auto"/>
              </w:rPr>
              <w:t>20,544</w:t>
            </w:r>
          </w:p>
        </w:tc>
        <w:tc>
          <w:tcPr>
            <w:tcW w:w="1740" w:type="dxa"/>
            <w:vAlign w:val="bottom"/>
          </w:tcPr>
          <w:p>
            <w:pPr>
              <w:jc w:val="right"/>
              <w:ind w:right="143"/>
              <w:spacing w:after="0"/>
              <w:rPr>
                <w:sz w:val="20"/>
                <w:szCs w:val="20"/>
                <w:color w:val="auto"/>
              </w:rPr>
            </w:pPr>
            <w:r>
              <w:rPr>
                <w:rFonts w:ascii="Arial" w:cs="Arial" w:eastAsia="Arial" w:hAnsi="Arial"/>
                <w:sz w:val="16"/>
                <w:szCs w:val="16"/>
                <w:color w:val="auto"/>
              </w:rPr>
              <w:t>92,612</w:t>
            </w:r>
          </w:p>
        </w:tc>
        <w:tc>
          <w:tcPr>
            <w:tcW w:w="1480" w:type="dxa"/>
            <w:vAlign w:val="bottom"/>
          </w:tcPr>
          <w:p>
            <w:pPr>
              <w:jc w:val="right"/>
              <w:ind w:right="103"/>
              <w:spacing w:after="0"/>
              <w:rPr>
                <w:sz w:val="20"/>
                <w:szCs w:val="20"/>
                <w:color w:val="auto"/>
              </w:rPr>
            </w:pPr>
            <w:r>
              <w:rPr>
                <w:rFonts w:ascii="Arial" w:cs="Arial" w:eastAsia="Arial" w:hAnsi="Arial"/>
                <w:sz w:val="16"/>
                <w:szCs w:val="16"/>
                <w:color w:val="auto"/>
              </w:rPr>
              <w:t>0</w:t>
            </w:r>
          </w:p>
        </w:tc>
        <w:tc>
          <w:tcPr>
            <w:tcW w:w="1360" w:type="dxa"/>
            <w:vAlign w:val="bottom"/>
          </w:tcPr>
          <w:p>
            <w:pPr>
              <w:jc w:val="right"/>
              <w:spacing w:after="0"/>
              <w:rPr>
                <w:sz w:val="20"/>
                <w:szCs w:val="20"/>
                <w:color w:val="auto"/>
              </w:rPr>
            </w:pPr>
            <w:r>
              <w:rPr>
                <w:rFonts w:ascii="Arial" w:cs="Arial" w:eastAsia="Arial" w:hAnsi="Arial"/>
                <w:sz w:val="16"/>
                <w:szCs w:val="16"/>
                <w:color w:val="auto"/>
              </w:rPr>
              <w:t>15,974</w:t>
            </w:r>
          </w:p>
        </w:tc>
        <w:tc>
          <w:tcPr>
            <w:tcW w:w="1740" w:type="dxa"/>
            <w:vAlign w:val="bottom"/>
          </w:tcPr>
          <w:p>
            <w:pPr>
              <w:jc w:val="right"/>
              <w:ind w:right="202"/>
              <w:spacing w:after="0"/>
              <w:rPr>
                <w:sz w:val="20"/>
                <w:szCs w:val="20"/>
                <w:color w:val="auto"/>
              </w:rPr>
            </w:pPr>
            <w:r>
              <w:rPr>
                <w:rFonts w:ascii="Arial" w:cs="Arial" w:eastAsia="Arial" w:hAnsi="Arial"/>
                <w:sz w:val="16"/>
                <w:szCs w:val="16"/>
                <w:color w:val="auto"/>
              </w:rPr>
              <w:t>0</w:t>
            </w:r>
          </w:p>
        </w:tc>
        <w:tc>
          <w:tcPr>
            <w:tcW w:w="860" w:type="dxa"/>
            <w:vAlign w:val="bottom"/>
          </w:tcPr>
          <w:p>
            <w:pPr>
              <w:jc w:val="right"/>
              <w:spacing w:after="0"/>
              <w:rPr>
                <w:sz w:val="20"/>
                <w:szCs w:val="20"/>
                <w:color w:val="auto"/>
              </w:rPr>
            </w:pPr>
            <w:r>
              <w:rPr>
                <w:rFonts w:ascii="Arial" w:cs="Arial" w:eastAsia="Arial" w:hAnsi="Arial"/>
                <w:sz w:val="16"/>
                <w:szCs w:val="16"/>
                <w:color w:val="auto"/>
              </w:rPr>
              <w:t>129,130</w:t>
            </w:r>
          </w:p>
        </w:tc>
        <w:tc>
          <w:tcPr>
            <w:tcW w:w="0" w:type="dxa"/>
            <w:vAlign w:val="bottom"/>
          </w:tcPr>
          <w:p>
            <w:pPr>
              <w:spacing w:after="0"/>
              <w:rPr>
                <w:sz w:val="1"/>
                <w:szCs w:val="1"/>
                <w:color w:val="auto"/>
              </w:rPr>
            </w:pPr>
          </w:p>
        </w:tc>
      </w:tr>
      <w:tr>
        <w:trPr>
          <w:trHeight w:val="29"/>
        </w:trPr>
        <w:tc>
          <w:tcPr>
            <w:tcW w:w="142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74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142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6"/>
                <w:szCs w:val="16"/>
                <w:color w:val="auto"/>
              </w:rPr>
              <w:t>Ms. Drake</w:t>
            </w:r>
          </w:p>
        </w:tc>
        <w:tc>
          <w:tcPr>
            <w:tcW w:w="1800" w:type="dxa"/>
            <w:vAlign w:val="bottom"/>
            <w:tcBorders>
              <w:bottom w:val="single" w:sz="8" w:color="DBDBDB"/>
            </w:tcBorders>
            <w:shd w:val="clear" w:color="auto" w:fill="DBDBDB"/>
          </w:tcPr>
          <w:p>
            <w:pPr>
              <w:jc w:val="right"/>
              <w:ind w:right="43"/>
              <w:spacing w:after="0"/>
              <w:rPr>
                <w:sz w:val="20"/>
                <w:szCs w:val="20"/>
                <w:color w:val="auto"/>
              </w:rPr>
            </w:pPr>
            <w:r>
              <w:rPr>
                <w:rFonts w:ascii="Arial" w:cs="Arial" w:eastAsia="Arial" w:hAnsi="Arial"/>
                <w:sz w:val="16"/>
                <w:szCs w:val="16"/>
                <w:color w:val="auto"/>
              </w:rPr>
              <w:t>20,544</w:t>
            </w:r>
          </w:p>
        </w:tc>
        <w:tc>
          <w:tcPr>
            <w:tcW w:w="1740" w:type="dxa"/>
            <w:vAlign w:val="bottom"/>
            <w:tcBorders>
              <w:bottom w:val="single" w:sz="8" w:color="DBDBDB"/>
            </w:tcBorders>
            <w:shd w:val="clear" w:color="auto" w:fill="DBDBDB"/>
          </w:tcPr>
          <w:p>
            <w:pPr>
              <w:jc w:val="right"/>
              <w:ind w:right="143"/>
              <w:spacing w:after="0"/>
              <w:rPr>
                <w:sz w:val="20"/>
                <w:szCs w:val="20"/>
                <w:color w:val="auto"/>
              </w:rPr>
            </w:pPr>
            <w:r>
              <w:rPr>
                <w:rFonts w:ascii="Arial" w:cs="Arial" w:eastAsia="Arial" w:hAnsi="Arial"/>
                <w:sz w:val="16"/>
                <w:szCs w:val="16"/>
                <w:color w:val="auto"/>
              </w:rPr>
              <w:t>23,898</w:t>
            </w:r>
          </w:p>
        </w:tc>
        <w:tc>
          <w:tcPr>
            <w:tcW w:w="1480" w:type="dxa"/>
            <w:vAlign w:val="bottom"/>
            <w:tcBorders>
              <w:bottom w:val="single" w:sz="8" w:color="DBDBDB"/>
            </w:tcBorders>
            <w:shd w:val="clear" w:color="auto" w:fill="DBDBDB"/>
          </w:tcPr>
          <w:p>
            <w:pPr>
              <w:jc w:val="right"/>
              <w:ind w:right="103"/>
              <w:spacing w:after="0"/>
              <w:rPr>
                <w:sz w:val="20"/>
                <w:szCs w:val="20"/>
                <w:color w:val="auto"/>
              </w:rPr>
            </w:pPr>
            <w:r>
              <w:rPr>
                <w:rFonts w:ascii="Arial" w:cs="Arial" w:eastAsia="Arial" w:hAnsi="Arial"/>
                <w:sz w:val="16"/>
                <w:szCs w:val="16"/>
                <w:color w:val="auto"/>
              </w:rPr>
              <w:t>1,500</w:t>
            </w:r>
          </w:p>
        </w:tc>
        <w:tc>
          <w:tcPr>
            <w:tcW w:w="136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6"/>
                <w:szCs w:val="16"/>
                <w:color w:val="auto"/>
              </w:rPr>
              <w:t>22,171</w:t>
            </w:r>
          </w:p>
        </w:tc>
        <w:tc>
          <w:tcPr>
            <w:tcW w:w="1740" w:type="dxa"/>
            <w:vAlign w:val="bottom"/>
            <w:tcBorders>
              <w:bottom w:val="single" w:sz="8" w:color="DBDBDB"/>
            </w:tcBorders>
            <w:shd w:val="clear" w:color="auto" w:fill="DBDBDB"/>
          </w:tcPr>
          <w:p>
            <w:pPr>
              <w:jc w:val="right"/>
              <w:ind w:right="202"/>
              <w:spacing w:after="0"/>
              <w:rPr>
                <w:sz w:val="20"/>
                <w:szCs w:val="20"/>
                <w:color w:val="auto"/>
              </w:rPr>
            </w:pPr>
            <w:r>
              <w:rPr>
                <w:rFonts w:ascii="Arial" w:cs="Arial" w:eastAsia="Arial" w:hAnsi="Arial"/>
                <w:sz w:val="16"/>
                <w:szCs w:val="16"/>
                <w:color w:val="auto"/>
              </w:rPr>
              <w:t>0</w:t>
            </w:r>
          </w:p>
        </w:tc>
        <w:tc>
          <w:tcPr>
            <w:tcW w:w="86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6"/>
                <w:szCs w:val="16"/>
                <w:color w:val="auto"/>
              </w:rPr>
              <w:t>68,113</w:t>
            </w:r>
          </w:p>
        </w:tc>
        <w:tc>
          <w:tcPr>
            <w:tcW w:w="0" w:type="dxa"/>
            <w:vAlign w:val="bottom"/>
          </w:tcPr>
          <w:p>
            <w:pPr>
              <w:spacing w:after="0"/>
              <w:rPr>
                <w:sz w:val="1"/>
                <w:szCs w:val="1"/>
                <w:color w:val="auto"/>
              </w:rPr>
            </w:pPr>
          </w:p>
        </w:tc>
      </w:tr>
      <w:tr>
        <w:trPr>
          <w:trHeight w:val="211"/>
        </w:trPr>
        <w:tc>
          <w:tcPr>
            <w:tcW w:w="1420" w:type="dxa"/>
            <w:vAlign w:val="bottom"/>
          </w:tcPr>
          <w:p>
            <w:pPr>
              <w:ind w:left="20"/>
              <w:spacing w:after="0"/>
              <w:rPr>
                <w:sz w:val="20"/>
                <w:szCs w:val="20"/>
                <w:color w:val="auto"/>
              </w:rPr>
            </w:pPr>
            <w:r>
              <w:rPr>
                <w:rFonts w:ascii="Arial" w:cs="Arial" w:eastAsia="Arial" w:hAnsi="Arial"/>
                <w:sz w:val="16"/>
                <w:szCs w:val="16"/>
                <w:color w:val="auto"/>
              </w:rPr>
              <w:t>Mr. Carpenter</w:t>
            </w:r>
          </w:p>
        </w:tc>
        <w:tc>
          <w:tcPr>
            <w:tcW w:w="1800" w:type="dxa"/>
            <w:vAlign w:val="bottom"/>
          </w:tcPr>
          <w:p>
            <w:pPr>
              <w:jc w:val="right"/>
              <w:ind w:right="43"/>
              <w:spacing w:after="0"/>
              <w:rPr>
                <w:sz w:val="20"/>
                <w:szCs w:val="20"/>
                <w:color w:val="auto"/>
              </w:rPr>
            </w:pPr>
            <w:r>
              <w:rPr>
                <w:rFonts w:ascii="Arial" w:cs="Arial" w:eastAsia="Arial" w:hAnsi="Arial"/>
                <w:sz w:val="16"/>
                <w:szCs w:val="16"/>
                <w:color w:val="auto"/>
              </w:rPr>
              <w:t>20,544</w:t>
            </w:r>
          </w:p>
        </w:tc>
        <w:tc>
          <w:tcPr>
            <w:tcW w:w="1740" w:type="dxa"/>
            <w:vAlign w:val="bottom"/>
          </w:tcPr>
          <w:p>
            <w:pPr>
              <w:jc w:val="right"/>
              <w:ind w:right="143"/>
              <w:spacing w:after="0"/>
              <w:rPr>
                <w:sz w:val="20"/>
                <w:szCs w:val="20"/>
                <w:color w:val="auto"/>
              </w:rPr>
            </w:pPr>
            <w:r>
              <w:rPr>
                <w:rFonts w:ascii="Arial" w:cs="Arial" w:eastAsia="Arial" w:hAnsi="Arial"/>
                <w:sz w:val="16"/>
                <w:szCs w:val="16"/>
                <w:color w:val="auto"/>
              </w:rPr>
              <w:t>18,115</w:t>
            </w:r>
          </w:p>
        </w:tc>
        <w:tc>
          <w:tcPr>
            <w:tcW w:w="1480" w:type="dxa"/>
            <w:vAlign w:val="bottom"/>
          </w:tcPr>
          <w:p>
            <w:pPr>
              <w:jc w:val="right"/>
              <w:ind w:right="103"/>
              <w:spacing w:after="0"/>
              <w:rPr>
                <w:sz w:val="20"/>
                <w:szCs w:val="20"/>
                <w:color w:val="auto"/>
              </w:rPr>
            </w:pPr>
            <w:r>
              <w:rPr>
                <w:rFonts w:ascii="Arial" w:cs="Arial" w:eastAsia="Arial" w:hAnsi="Arial"/>
                <w:sz w:val="16"/>
                <w:szCs w:val="16"/>
                <w:color w:val="auto"/>
              </w:rPr>
              <w:t>0</w:t>
            </w:r>
          </w:p>
        </w:tc>
        <w:tc>
          <w:tcPr>
            <w:tcW w:w="1360" w:type="dxa"/>
            <w:vAlign w:val="bottom"/>
          </w:tcPr>
          <w:p>
            <w:pPr>
              <w:jc w:val="right"/>
              <w:spacing w:after="0"/>
              <w:rPr>
                <w:sz w:val="20"/>
                <w:szCs w:val="20"/>
                <w:color w:val="auto"/>
              </w:rPr>
            </w:pPr>
            <w:r>
              <w:rPr>
                <w:rFonts w:ascii="Arial" w:cs="Arial" w:eastAsia="Arial" w:hAnsi="Arial"/>
                <w:sz w:val="16"/>
                <w:szCs w:val="16"/>
                <w:color w:val="auto"/>
              </w:rPr>
              <w:t>38,397</w:t>
            </w:r>
          </w:p>
        </w:tc>
        <w:tc>
          <w:tcPr>
            <w:tcW w:w="1740" w:type="dxa"/>
            <w:vAlign w:val="bottom"/>
          </w:tcPr>
          <w:p>
            <w:pPr>
              <w:jc w:val="right"/>
              <w:ind w:right="202"/>
              <w:spacing w:after="0"/>
              <w:rPr>
                <w:sz w:val="20"/>
                <w:szCs w:val="20"/>
                <w:color w:val="auto"/>
              </w:rPr>
            </w:pPr>
            <w:r>
              <w:rPr>
                <w:rFonts w:ascii="Arial" w:cs="Arial" w:eastAsia="Arial" w:hAnsi="Arial"/>
                <w:sz w:val="16"/>
                <w:szCs w:val="16"/>
                <w:color w:val="auto"/>
              </w:rPr>
              <w:t>0</w:t>
            </w:r>
          </w:p>
        </w:tc>
        <w:tc>
          <w:tcPr>
            <w:tcW w:w="860" w:type="dxa"/>
            <w:vAlign w:val="bottom"/>
          </w:tcPr>
          <w:p>
            <w:pPr>
              <w:jc w:val="right"/>
              <w:spacing w:after="0"/>
              <w:rPr>
                <w:sz w:val="20"/>
                <w:szCs w:val="20"/>
                <w:color w:val="auto"/>
              </w:rPr>
            </w:pPr>
            <w:r>
              <w:rPr>
                <w:rFonts w:ascii="Arial" w:cs="Arial" w:eastAsia="Arial" w:hAnsi="Arial"/>
                <w:sz w:val="16"/>
                <w:szCs w:val="16"/>
                <w:color w:val="auto"/>
              </w:rPr>
              <w:t>77,056</w:t>
            </w:r>
          </w:p>
        </w:tc>
        <w:tc>
          <w:tcPr>
            <w:tcW w:w="0" w:type="dxa"/>
            <w:vAlign w:val="bottom"/>
          </w:tcPr>
          <w:p>
            <w:pPr>
              <w:spacing w:after="0"/>
              <w:rPr>
                <w:sz w:val="1"/>
                <w:szCs w:val="1"/>
                <w:color w:val="auto"/>
              </w:rPr>
            </w:pPr>
          </w:p>
        </w:tc>
      </w:tr>
      <w:tr>
        <w:trPr>
          <w:trHeight w:val="29"/>
        </w:trPr>
        <w:tc>
          <w:tcPr>
            <w:tcW w:w="142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74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142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6"/>
                <w:szCs w:val="16"/>
                <w:color w:val="auto"/>
              </w:rPr>
              <w:t>Ms. Dahl</w:t>
            </w:r>
          </w:p>
        </w:tc>
        <w:tc>
          <w:tcPr>
            <w:tcW w:w="1800" w:type="dxa"/>
            <w:vAlign w:val="bottom"/>
            <w:tcBorders>
              <w:bottom w:val="single" w:sz="8" w:color="DBDBDB"/>
            </w:tcBorders>
            <w:shd w:val="clear" w:color="auto" w:fill="DBDBDB"/>
          </w:tcPr>
          <w:p>
            <w:pPr>
              <w:jc w:val="right"/>
              <w:ind w:right="43"/>
              <w:spacing w:after="0"/>
              <w:rPr>
                <w:sz w:val="20"/>
                <w:szCs w:val="20"/>
                <w:color w:val="auto"/>
              </w:rPr>
            </w:pPr>
            <w:r>
              <w:rPr>
                <w:rFonts w:ascii="Arial" w:cs="Arial" w:eastAsia="Arial" w:hAnsi="Arial"/>
                <w:sz w:val="16"/>
                <w:szCs w:val="16"/>
                <w:color w:val="auto"/>
              </w:rPr>
              <w:t>20,544</w:t>
            </w:r>
          </w:p>
        </w:tc>
        <w:tc>
          <w:tcPr>
            <w:tcW w:w="1740" w:type="dxa"/>
            <w:vAlign w:val="bottom"/>
            <w:tcBorders>
              <w:bottom w:val="single" w:sz="8" w:color="DBDBDB"/>
            </w:tcBorders>
            <w:shd w:val="clear" w:color="auto" w:fill="DBDBDB"/>
          </w:tcPr>
          <w:p>
            <w:pPr>
              <w:jc w:val="right"/>
              <w:ind w:right="143"/>
              <w:spacing w:after="0"/>
              <w:rPr>
                <w:sz w:val="20"/>
                <w:szCs w:val="20"/>
                <w:color w:val="auto"/>
              </w:rPr>
            </w:pPr>
            <w:r>
              <w:rPr>
                <w:rFonts w:ascii="Arial" w:cs="Arial" w:eastAsia="Arial" w:hAnsi="Arial"/>
                <w:sz w:val="16"/>
                <w:szCs w:val="16"/>
                <w:color w:val="auto"/>
              </w:rPr>
              <w:t>30,334</w:t>
            </w:r>
          </w:p>
        </w:tc>
        <w:tc>
          <w:tcPr>
            <w:tcW w:w="1480" w:type="dxa"/>
            <w:vAlign w:val="bottom"/>
            <w:tcBorders>
              <w:bottom w:val="single" w:sz="8" w:color="DBDBDB"/>
            </w:tcBorders>
            <w:shd w:val="clear" w:color="auto" w:fill="DBDBDB"/>
          </w:tcPr>
          <w:p>
            <w:pPr>
              <w:jc w:val="right"/>
              <w:ind w:right="103"/>
              <w:spacing w:after="0"/>
              <w:rPr>
                <w:sz w:val="20"/>
                <w:szCs w:val="20"/>
                <w:color w:val="auto"/>
              </w:rPr>
            </w:pPr>
            <w:r>
              <w:rPr>
                <w:rFonts w:ascii="Arial" w:cs="Arial" w:eastAsia="Arial" w:hAnsi="Arial"/>
                <w:sz w:val="16"/>
                <w:szCs w:val="16"/>
                <w:color w:val="auto"/>
              </w:rPr>
              <w:t>3,000</w:t>
            </w:r>
          </w:p>
        </w:tc>
        <w:tc>
          <w:tcPr>
            <w:tcW w:w="136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6"/>
                <w:szCs w:val="16"/>
                <w:color w:val="auto"/>
              </w:rPr>
              <w:t>35,794</w:t>
            </w:r>
          </w:p>
        </w:tc>
        <w:tc>
          <w:tcPr>
            <w:tcW w:w="1740" w:type="dxa"/>
            <w:vAlign w:val="bottom"/>
            <w:tcBorders>
              <w:bottom w:val="single" w:sz="8" w:color="DBDBDB"/>
            </w:tcBorders>
            <w:shd w:val="clear" w:color="auto" w:fill="DBDBDB"/>
          </w:tcPr>
          <w:p>
            <w:pPr>
              <w:jc w:val="right"/>
              <w:ind w:right="202"/>
              <w:spacing w:after="0"/>
              <w:rPr>
                <w:sz w:val="20"/>
                <w:szCs w:val="20"/>
                <w:color w:val="auto"/>
              </w:rPr>
            </w:pPr>
            <w:r>
              <w:rPr>
                <w:rFonts w:ascii="Arial" w:cs="Arial" w:eastAsia="Arial" w:hAnsi="Arial"/>
                <w:sz w:val="16"/>
                <w:szCs w:val="16"/>
                <w:color w:val="auto"/>
              </w:rPr>
              <w:t>0</w:t>
            </w:r>
          </w:p>
        </w:tc>
        <w:tc>
          <w:tcPr>
            <w:tcW w:w="86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6"/>
                <w:szCs w:val="16"/>
                <w:color w:val="auto"/>
              </w:rPr>
              <w:t>89,672</w:t>
            </w:r>
          </w:p>
        </w:tc>
        <w:tc>
          <w:tcPr>
            <w:tcW w:w="0" w:type="dxa"/>
            <w:vAlign w:val="bottom"/>
          </w:tcPr>
          <w:p>
            <w:pPr>
              <w:spacing w:after="0"/>
              <w:rPr>
                <w:sz w:val="1"/>
                <w:szCs w:val="1"/>
                <w:color w:val="auto"/>
              </w:rPr>
            </w:pPr>
          </w:p>
        </w:tc>
      </w:tr>
      <w:tr>
        <w:trPr>
          <w:trHeight w:val="211"/>
        </w:trPr>
        <w:tc>
          <w:tcPr>
            <w:tcW w:w="1420" w:type="dxa"/>
            <w:vAlign w:val="bottom"/>
          </w:tcPr>
          <w:p>
            <w:pPr>
              <w:ind w:left="20"/>
              <w:spacing w:after="0"/>
              <w:rPr>
                <w:sz w:val="20"/>
                <w:szCs w:val="20"/>
                <w:color w:val="auto"/>
              </w:rPr>
            </w:pPr>
            <w:r>
              <w:rPr>
                <w:rFonts w:ascii="Arial" w:cs="Arial" w:eastAsia="Arial" w:hAnsi="Arial"/>
                <w:sz w:val="16"/>
                <w:szCs w:val="16"/>
                <w:color w:val="auto"/>
              </w:rPr>
              <w:t>Ms. Totsky</w:t>
            </w:r>
          </w:p>
        </w:tc>
        <w:tc>
          <w:tcPr>
            <w:tcW w:w="1800" w:type="dxa"/>
            <w:vAlign w:val="bottom"/>
          </w:tcPr>
          <w:p>
            <w:pPr>
              <w:jc w:val="right"/>
              <w:ind w:right="43"/>
              <w:spacing w:after="0"/>
              <w:rPr>
                <w:sz w:val="20"/>
                <w:szCs w:val="20"/>
                <w:color w:val="auto"/>
              </w:rPr>
            </w:pPr>
            <w:r>
              <w:rPr>
                <w:rFonts w:ascii="Arial" w:cs="Arial" w:eastAsia="Arial" w:hAnsi="Arial"/>
                <w:sz w:val="16"/>
                <w:szCs w:val="16"/>
                <w:color w:val="auto"/>
              </w:rPr>
              <w:t>19,190</w:t>
            </w:r>
          </w:p>
        </w:tc>
        <w:tc>
          <w:tcPr>
            <w:tcW w:w="1740" w:type="dxa"/>
            <w:vAlign w:val="bottom"/>
          </w:tcPr>
          <w:p>
            <w:pPr>
              <w:jc w:val="right"/>
              <w:ind w:right="143"/>
              <w:spacing w:after="0"/>
              <w:rPr>
                <w:sz w:val="20"/>
                <w:szCs w:val="20"/>
                <w:color w:val="auto"/>
              </w:rPr>
            </w:pPr>
            <w:r>
              <w:rPr>
                <w:rFonts w:ascii="Arial" w:cs="Arial" w:eastAsia="Arial" w:hAnsi="Arial"/>
                <w:sz w:val="16"/>
                <w:szCs w:val="16"/>
                <w:color w:val="auto"/>
              </w:rPr>
              <w:t>18,411</w:t>
            </w:r>
          </w:p>
        </w:tc>
        <w:tc>
          <w:tcPr>
            <w:tcW w:w="1480" w:type="dxa"/>
            <w:vAlign w:val="bottom"/>
          </w:tcPr>
          <w:p>
            <w:pPr>
              <w:jc w:val="right"/>
              <w:ind w:right="103"/>
              <w:spacing w:after="0"/>
              <w:rPr>
                <w:sz w:val="20"/>
                <w:szCs w:val="20"/>
                <w:color w:val="auto"/>
              </w:rPr>
            </w:pPr>
            <w:r>
              <w:rPr>
                <w:rFonts w:ascii="Arial" w:cs="Arial" w:eastAsia="Arial" w:hAnsi="Arial"/>
                <w:sz w:val="16"/>
                <w:szCs w:val="16"/>
                <w:color w:val="auto"/>
              </w:rPr>
              <w:t>0</w:t>
            </w:r>
          </w:p>
        </w:tc>
        <w:tc>
          <w:tcPr>
            <w:tcW w:w="1360" w:type="dxa"/>
            <w:vAlign w:val="bottom"/>
          </w:tcPr>
          <w:p>
            <w:pPr>
              <w:jc w:val="right"/>
              <w:spacing w:after="0"/>
              <w:rPr>
                <w:sz w:val="20"/>
                <w:szCs w:val="20"/>
                <w:color w:val="auto"/>
              </w:rPr>
            </w:pPr>
            <w:r>
              <w:rPr>
                <w:rFonts w:ascii="Arial" w:cs="Arial" w:eastAsia="Arial" w:hAnsi="Arial"/>
                <w:sz w:val="16"/>
                <w:szCs w:val="16"/>
                <w:color w:val="auto"/>
              </w:rPr>
              <w:t>39,402</w:t>
            </w:r>
          </w:p>
        </w:tc>
        <w:tc>
          <w:tcPr>
            <w:tcW w:w="1740" w:type="dxa"/>
            <w:vAlign w:val="bottom"/>
          </w:tcPr>
          <w:p>
            <w:pPr>
              <w:jc w:val="right"/>
              <w:ind w:right="202"/>
              <w:spacing w:after="0"/>
              <w:rPr>
                <w:sz w:val="20"/>
                <w:szCs w:val="20"/>
                <w:color w:val="auto"/>
              </w:rPr>
            </w:pPr>
            <w:r>
              <w:rPr>
                <w:rFonts w:ascii="Arial" w:cs="Arial" w:eastAsia="Arial" w:hAnsi="Arial"/>
                <w:sz w:val="16"/>
                <w:szCs w:val="16"/>
                <w:color w:val="auto"/>
              </w:rPr>
              <w:t>239</w:t>
            </w:r>
          </w:p>
        </w:tc>
        <w:tc>
          <w:tcPr>
            <w:tcW w:w="860" w:type="dxa"/>
            <w:vAlign w:val="bottom"/>
          </w:tcPr>
          <w:p>
            <w:pPr>
              <w:jc w:val="right"/>
              <w:spacing w:after="0"/>
              <w:rPr>
                <w:sz w:val="20"/>
                <w:szCs w:val="20"/>
                <w:color w:val="auto"/>
              </w:rPr>
            </w:pPr>
            <w:r>
              <w:rPr>
                <w:rFonts w:ascii="Arial" w:cs="Arial" w:eastAsia="Arial" w:hAnsi="Arial"/>
                <w:sz w:val="16"/>
                <w:szCs w:val="16"/>
                <w:color w:val="auto"/>
              </w:rPr>
              <w:t>77,242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137160</wp:posOffset>
            </wp:positionV>
            <wp:extent cx="1991360"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1991360" cy="8255"/>
                    </a:xfrm>
                    <a:prstGeom prst="rect">
                      <a:avLst/>
                    </a:prstGeom>
                    <a:noFill/>
                  </pic:spPr>
                </pic:pic>
              </a:graphicData>
            </a:graphic>
          </wp:anchor>
        </w:drawing>
      </w:r>
    </w:p>
    <w:p>
      <w:pPr>
        <w:spacing w:after="0" w:line="326" w:lineRule="exact"/>
        <w:rPr>
          <w:sz w:val="20"/>
          <w:szCs w:val="20"/>
          <w:color w:val="auto"/>
        </w:rPr>
      </w:pPr>
    </w:p>
    <w:p>
      <w:pPr>
        <w:ind w:left="320" w:hanging="313"/>
        <w:spacing w:after="0"/>
        <w:tabs>
          <w:tab w:leader="none" w:pos="320" w:val="left"/>
        </w:tabs>
        <w:numPr>
          <w:ilvl w:val="0"/>
          <w:numId w:val="66"/>
        </w:numPr>
        <w:rPr>
          <w:rFonts w:ascii="Arial" w:cs="Arial" w:eastAsia="Arial" w:hAnsi="Arial"/>
          <w:sz w:val="18"/>
          <w:szCs w:val="18"/>
          <w:color w:val="auto"/>
        </w:rPr>
      </w:pPr>
      <w:r>
        <w:rPr>
          <w:rFonts w:ascii="Arial" w:cs="Arial" w:eastAsia="Arial" w:hAnsi="Arial"/>
          <w:sz w:val="18"/>
          <w:szCs w:val="18"/>
          <w:color w:val="auto"/>
        </w:rPr>
        <w:t>Amounts reported represent Company matching contributions and a discretionary investment fund contribution.</w:t>
      </w:r>
    </w:p>
    <w:p>
      <w:pPr>
        <w:spacing w:after="0" w:line="33" w:lineRule="exact"/>
        <w:rPr>
          <w:rFonts w:ascii="Arial" w:cs="Arial" w:eastAsia="Arial" w:hAnsi="Arial"/>
          <w:sz w:val="18"/>
          <w:szCs w:val="18"/>
          <w:color w:val="auto"/>
        </w:rPr>
      </w:pPr>
    </w:p>
    <w:p>
      <w:pPr>
        <w:ind w:left="320" w:hanging="313"/>
        <w:spacing w:after="0"/>
        <w:tabs>
          <w:tab w:leader="none" w:pos="320" w:val="left"/>
        </w:tabs>
        <w:numPr>
          <w:ilvl w:val="0"/>
          <w:numId w:val="66"/>
        </w:numPr>
        <w:rPr>
          <w:rFonts w:ascii="Arial" w:cs="Arial" w:eastAsia="Arial" w:hAnsi="Arial"/>
          <w:sz w:val="18"/>
          <w:szCs w:val="18"/>
          <w:color w:val="auto"/>
        </w:rPr>
      </w:pPr>
      <w:r>
        <w:rPr>
          <w:rFonts w:ascii="Arial" w:cs="Arial" w:eastAsia="Arial" w:hAnsi="Arial"/>
          <w:sz w:val="18"/>
          <w:szCs w:val="18"/>
          <w:color w:val="auto"/>
        </w:rPr>
        <w:t>Amounts reported represent Company contributions to the Supplemental Benefit Plan.</w:t>
      </w:r>
    </w:p>
    <w:p>
      <w:pPr>
        <w:spacing w:after="0" w:line="46" w:lineRule="exact"/>
        <w:rPr>
          <w:rFonts w:ascii="Arial" w:cs="Arial" w:eastAsia="Arial" w:hAnsi="Arial"/>
          <w:sz w:val="18"/>
          <w:szCs w:val="18"/>
          <w:color w:val="auto"/>
        </w:rPr>
      </w:pPr>
    </w:p>
    <w:p>
      <w:pPr>
        <w:ind w:left="320" w:hanging="313"/>
        <w:spacing w:after="0"/>
        <w:tabs>
          <w:tab w:leader="none" w:pos="320" w:val="left"/>
        </w:tabs>
        <w:numPr>
          <w:ilvl w:val="0"/>
          <w:numId w:val="66"/>
        </w:numPr>
        <w:rPr>
          <w:rFonts w:ascii="Arial" w:cs="Arial" w:eastAsia="Arial" w:hAnsi="Arial"/>
          <w:sz w:val="18"/>
          <w:szCs w:val="18"/>
          <w:color w:val="auto"/>
        </w:rPr>
      </w:pPr>
      <w:r>
        <w:rPr>
          <w:rFonts w:ascii="Arial" w:cs="Arial" w:eastAsia="Arial" w:hAnsi="Arial"/>
          <w:sz w:val="18"/>
          <w:szCs w:val="18"/>
          <w:color w:val="auto"/>
        </w:rPr>
        <w:t>Amounts reported represent matching contributions for charitable donations made by our executive officers.</w:t>
      </w:r>
    </w:p>
    <w:p>
      <w:pPr>
        <w:spacing w:after="0" w:line="46" w:lineRule="exact"/>
        <w:rPr>
          <w:rFonts w:ascii="Arial" w:cs="Arial" w:eastAsia="Arial" w:hAnsi="Arial"/>
          <w:sz w:val="18"/>
          <w:szCs w:val="18"/>
          <w:color w:val="auto"/>
        </w:rPr>
      </w:pPr>
    </w:p>
    <w:p>
      <w:pPr>
        <w:jc w:val="both"/>
        <w:ind w:left="320" w:hanging="313"/>
        <w:spacing w:after="0" w:line="237" w:lineRule="auto"/>
        <w:tabs>
          <w:tab w:leader="none" w:pos="308" w:val="left"/>
        </w:tabs>
        <w:numPr>
          <w:ilvl w:val="0"/>
          <w:numId w:val="66"/>
        </w:numPr>
        <w:rPr>
          <w:rFonts w:ascii="Arial" w:cs="Arial" w:eastAsia="Arial" w:hAnsi="Arial"/>
          <w:sz w:val="18"/>
          <w:szCs w:val="18"/>
          <w:color w:val="auto"/>
        </w:rPr>
      </w:pPr>
      <w:r>
        <w:rPr>
          <w:rFonts w:ascii="Arial" w:cs="Arial" w:eastAsia="Arial" w:hAnsi="Arial"/>
          <w:sz w:val="18"/>
          <w:szCs w:val="18"/>
          <w:color w:val="auto"/>
        </w:rPr>
        <w:t>Amounts reported represent Company paid amounts for automobile lease plus reportable income for personal use of the automobile; Company paid amounts for financial planning expenses and executive physical expenses; value of Company products received for personal use; and incremental travel costs paid by the Company for spouses of our executive officers in connection with certain off-site, business-related travel.</w:t>
      </w:r>
    </w:p>
    <w:p>
      <w:pPr>
        <w:spacing w:after="0" w:line="9" w:lineRule="exact"/>
        <w:rPr>
          <w:rFonts w:ascii="Arial" w:cs="Arial" w:eastAsia="Arial" w:hAnsi="Arial"/>
          <w:sz w:val="18"/>
          <w:szCs w:val="18"/>
          <w:color w:val="auto"/>
        </w:rPr>
      </w:pPr>
    </w:p>
    <w:p>
      <w:pPr>
        <w:ind w:left="320" w:hanging="313"/>
        <w:spacing w:after="0"/>
        <w:tabs>
          <w:tab w:leader="none" w:pos="320" w:val="left"/>
        </w:tabs>
        <w:numPr>
          <w:ilvl w:val="0"/>
          <w:numId w:val="66"/>
        </w:numPr>
        <w:rPr>
          <w:rFonts w:ascii="Arial" w:cs="Arial" w:eastAsia="Arial" w:hAnsi="Arial"/>
          <w:sz w:val="18"/>
          <w:szCs w:val="18"/>
          <w:color w:val="auto"/>
        </w:rPr>
      </w:pPr>
      <w:r>
        <w:rPr>
          <w:rFonts w:ascii="Arial" w:cs="Arial" w:eastAsia="Arial" w:hAnsi="Arial"/>
          <w:sz w:val="18"/>
          <w:szCs w:val="18"/>
          <w:color w:val="auto"/>
        </w:rPr>
        <w:t>Amount reported represents company-paid relocation expenses.</w:t>
      </w:r>
    </w:p>
    <w:p>
      <w:pPr>
        <w:spacing w:after="0" w:line="107" w:lineRule="exact"/>
        <w:rPr>
          <w:sz w:val="20"/>
          <w:szCs w:val="20"/>
          <w:color w:val="auto"/>
        </w:rPr>
      </w:pPr>
    </w:p>
    <w:p>
      <w:pPr>
        <w:spacing w:after="0"/>
        <w:rPr>
          <w:sz w:val="20"/>
          <w:szCs w:val="20"/>
          <w:color w:val="auto"/>
        </w:rPr>
      </w:pPr>
      <w:r>
        <w:rPr>
          <w:rFonts w:ascii="Arial" w:cs="Arial" w:eastAsia="Arial" w:hAnsi="Arial"/>
          <w:sz w:val="20"/>
          <w:szCs w:val="20"/>
          <w:b w:val="1"/>
          <w:bCs w:val="1"/>
          <w:color w:val="C00000"/>
        </w:rPr>
        <w:t>Grants of Plan-Based Awards for Fiscal 2024</w:t>
      </w:r>
    </w:p>
    <w:p>
      <w:pPr>
        <w:spacing w:after="0" w:line="97" w:lineRule="exact"/>
        <w:rPr>
          <w:sz w:val="20"/>
          <w:szCs w:val="20"/>
          <w:color w:val="auto"/>
        </w:rPr>
      </w:pPr>
    </w:p>
    <w:p>
      <w:pPr>
        <w:ind w:firstLine="320"/>
        <w:spacing w:after="0" w:line="233" w:lineRule="auto"/>
        <w:rPr>
          <w:sz w:val="20"/>
          <w:szCs w:val="20"/>
          <w:color w:val="auto"/>
        </w:rPr>
      </w:pPr>
      <w:r>
        <w:rPr>
          <w:rFonts w:ascii="Arial" w:cs="Arial" w:eastAsia="Arial" w:hAnsi="Arial"/>
          <w:sz w:val="18"/>
          <w:szCs w:val="18"/>
          <w:color w:val="auto"/>
        </w:rPr>
        <w:t>During fiscal 2024, plan-based awards granted to our NEOs included annual cash incentive awards, performance share awards, stock options awards, and in the case of one of our NEOs, restricted stock unit awards. The following table summarizes all plan-based awards</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granted to our NEOs during fiscal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79375</wp:posOffset>
            </wp:positionV>
            <wp:extent cx="7159625" cy="425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145" w:right="339" w:bottom="1440" w:gutter="0" w:footer="0" w:header="0"/>
          <w:type w:val="continuous"/>
        </w:sectPr>
      </w:pPr>
    </w:p>
    <w:bookmarkStart w:id="62" w:name="page63"/>
    <w:bookmarkEnd w:id="62"/>
    <w:tbl>
      <w:tblPr>
        <w:tblLayout w:type="fixed"/>
        <w:tblInd w:w="0" w:type="dxa"/>
        <w:tblCellMar>
          <w:top w:w="0" w:type="dxa"/>
          <w:left w:w="0" w:type="dxa"/>
          <w:bottom w:w="0" w:type="dxa"/>
          <w:right w:w="0" w:type="dxa"/>
        </w:tblCellMar>
      </w:tblPr>
      <w:tr>
        <w:trPr>
          <w:trHeight w:val="160"/>
        </w:trPr>
        <w:tc>
          <w:tcPr>
            <w:tcW w:w="1680" w:type="dxa"/>
            <w:vAlign w:val="bottom"/>
            <w:shd w:val="clear" w:color="auto" w:fill="BF2115"/>
          </w:tcPr>
          <w:p>
            <w:pPr>
              <w:spacing w:after="0"/>
              <w:rPr>
                <w:sz w:val="13"/>
                <w:szCs w:val="13"/>
                <w:color w:val="auto"/>
              </w:rPr>
            </w:pPr>
          </w:p>
        </w:tc>
        <w:tc>
          <w:tcPr>
            <w:tcW w:w="760" w:type="dxa"/>
            <w:vAlign w:val="bottom"/>
            <w:shd w:val="clear" w:color="auto" w:fill="BF2115"/>
          </w:tcPr>
          <w:p>
            <w:pPr>
              <w:spacing w:after="0"/>
              <w:rPr>
                <w:sz w:val="13"/>
                <w:szCs w:val="13"/>
                <w:color w:val="auto"/>
              </w:rPr>
            </w:pPr>
          </w:p>
        </w:tc>
        <w:tc>
          <w:tcPr>
            <w:tcW w:w="720" w:type="dxa"/>
            <w:vAlign w:val="bottom"/>
            <w:shd w:val="clear" w:color="auto" w:fill="BF2115"/>
          </w:tcPr>
          <w:p>
            <w:pPr>
              <w:spacing w:after="0"/>
              <w:rPr>
                <w:sz w:val="13"/>
                <w:szCs w:val="13"/>
                <w:color w:val="auto"/>
              </w:rPr>
            </w:pPr>
          </w:p>
        </w:tc>
        <w:tc>
          <w:tcPr>
            <w:tcW w:w="800" w:type="dxa"/>
            <w:vAlign w:val="bottom"/>
            <w:shd w:val="clear" w:color="auto" w:fill="BF2115"/>
          </w:tcPr>
          <w:p>
            <w:pPr>
              <w:spacing w:after="0"/>
              <w:rPr>
                <w:sz w:val="13"/>
                <w:szCs w:val="13"/>
                <w:color w:val="auto"/>
              </w:rPr>
            </w:pPr>
          </w:p>
        </w:tc>
        <w:tc>
          <w:tcPr>
            <w:tcW w:w="840" w:type="dxa"/>
            <w:vAlign w:val="bottom"/>
            <w:shd w:val="clear" w:color="auto" w:fill="BF2115"/>
          </w:tcPr>
          <w:p>
            <w:pPr>
              <w:spacing w:after="0"/>
              <w:rPr>
                <w:sz w:val="13"/>
                <w:szCs w:val="13"/>
                <w:color w:val="auto"/>
              </w:rPr>
            </w:pPr>
          </w:p>
        </w:tc>
        <w:tc>
          <w:tcPr>
            <w:tcW w:w="780" w:type="dxa"/>
            <w:vAlign w:val="bottom"/>
            <w:shd w:val="clear" w:color="auto" w:fill="BF2115"/>
          </w:tcPr>
          <w:p>
            <w:pPr>
              <w:spacing w:after="0"/>
              <w:rPr>
                <w:sz w:val="13"/>
                <w:szCs w:val="13"/>
                <w:color w:val="auto"/>
              </w:rPr>
            </w:pPr>
          </w:p>
        </w:tc>
        <w:tc>
          <w:tcPr>
            <w:tcW w:w="760" w:type="dxa"/>
            <w:vAlign w:val="bottom"/>
            <w:shd w:val="clear" w:color="auto" w:fill="BF2115"/>
          </w:tcPr>
          <w:p>
            <w:pPr>
              <w:spacing w:after="0"/>
              <w:rPr>
                <w:sz w:val="13"/>
                <w:szCs w:val="13"/>
                <w:color w:val="auto"/>
              </w:rPr>
            </w:pPr>
          </w:p>
        </w:tc>
        <w:tc>
          <w:tcPr>
            <w:tcW w:w="680" w:type="dxa"/>
            <w:vAlign w:val="bottom"/>
            <w:shd w:val="clear" w:color="auto" w:fill="BF2115"/>
          </w:tcPr>
          <w:p>
            <w:pPr>
              <w:spacing w:after="0"/>
              <w:rPr>
                <w:sz w:val="13"/>
                <w:szCs w:val="13"/>
                <w:color w:val="auto"/>
              </w:rPr>
            </w:pPr>
          </w:p>
        </w:tc>
        <w:tc>
          <w:tcPr>
            <w:tcW w:w="740" w:type="dxa"/>
            <w:vAlign w:val="bottom"/>
            <w:shd w:val="clear" w:color="auto" w:fill="BF2115"/>
          </w:tcPr>
          <w:p>
            <w:pPr>
              <w:spacing w:after="0"/>
              <w:rPr>
                <w:sz w:val="13"/>
                <w:szCs w:val="13"/>
                <w:color w:val="auto"/>
              </w:rPr>
            </w:pPr>
          </w:p>
        </w:tc>
        <w:tc>
          <w:tcPr>
            <w:tcW w:w="780" w:type="dxa"/>
            <w:vAlign w:val="bottom"/>
            <w:shd w:val="clear" w:color="auto" w:fill="BF2115"/>
          </w:tcPr>
          <w:p>
            <w:pPr>
              <w:jc w:val="center"/>
              <w:ind w:right="46"/>
              <w:spacing w:after="0"/>
              <w:rPr>
                <w:sz w:val="20"/>
                <w:szCs w:val="20"/>
                <w:color w:val="auto"/>
              </w:rPr>
            </w:pPr>
            <w:r>
              <w:rPr>
                <w:rFonts w:ascii="Arial" w:cs="Arial" w:eastAsia="Arial" w:hAnsi="Arial"/>
                <w:sz w:val="11"/>
                <w:szCs w:val="11"/>
                <w:b w:val="1"/>
                <w:bCs w:val="1"/>
                <w:color w:val="FFFFFF"/>
                <w:w w:val="94"/>
              </w:rPr>
              <w:t>All Other</w:t>
            </w:r>
          </w:p>
        </w:tc>
        <w:tc>
          <w:tcPr>
            <w:tcW w:w="920" w:type="dxa"/>
            <w:vAlign w:val="bottom"/>
            <w:shd w:val="clear" w:color="auto" w:fill="BF2115"/>
          </w:tcPr>
          <w:p>
            <w:pPr>
              <w:jc w:val="center"/>
              <w:ind w:right="85"/>
              <w:spacing w:after="0"/>
              <w:rPr>
                <w:sz w:val="20"/>
                <w:szCs w:val="20"/>
                <w:color w:val="auto"/>
              </w:rPr>
            </w:pPr>
            <w:r>
              <w:rPr>
                <w:rFonts w:ascii="Arial" w:cs="Arial" w:eastAsia="Arial" w:hAnsi="Arial"/>
                <w:sz w:val="11"/>
                <w:szCs w:val="11"/>
                <w:b w:val="1"/>
                <w:bCs w:val="1"/>
                <w:color w:val="FFFFFF"/>
                <w:w w:val="98"/>
              </w:rPr>
              <w:t>All Other</w:t>
            </w:r>
          </w:p>
        </w:tc>
        <w:tc>
          <w:tcPr>
            <w:tcW w:w="760" w:type="dxa"/>
            <w:vAlign w:val="bottom"/>
            <w:shd w:val="clear" w:color="auto" w:fill="BF2115"/>
          </w:tcPr>
          <w:p>
            <w:pPr>
              <w:spacing w:after="0"/>
              <w:rPr>
                <w:sz w:val="13"/>
                <w:szCs w:val="13"/>
                <w:color w:val="auto"/>
              </w:rPr>
            </w:pPr>
          </w:p>
        </w:tc>
        <w:tc>
          <w:tcPr>
            <w:tcW w:w="720" w:type="dxa"/>
            <w:vAlign w:val="bottom"/>
            <w:shd w:val="clear" w:color="auto" w:fill="BF2115"/>
          </w:tcPr>
          <w:p>
            <w:pPr>
              <w:spacing w:after="0"/>
              <w:rPr>
                <w:sz w:val="13"/>
                <w:szCs w:val="13"/>
                <w:color w:val="auto"/>
              </w:rPr>
            </w:pPr>
          </w:p>
        </w:tc>
      </w:tr>
      <w:tr>
        <w:trPr>
          <w:trHeight w:val="133"/>
        </w:trPr>
        <w:tc>
          <w:tcPr>
            <w:tcW w:w="1680" w:type="dxa"/>
            <w:vAlign w:val="bottom"/>
            <w:shd w:val="clear" w:color="auto" w:fill="BF2115"/>
          </w:tcPr>
          <w:p>
            <w:pPr>
              <w:spacing w:after="0"/>
              <w:rPr>
                <w:sz w:val="11"/>
                <w:szCs w:val="11"/>
                <w:color w:val="auto"/>
              </w:rPr>
            </w:pPr>
          </w:p>
        </w:tc>
        <w:tc>
          <w:tcPr>
            <w:tcW w:w="760" w:type="dxa"/>
            <w:vAlign w:val="bottom"/>
            <w:shd w:val="clear" w:color="auto" w:fill="BF2115"/>
          </w:tcPr>
          <w:p>
            <w:pPr>
              <w:spacing w:after="0"/>
              <w:rPr>
                <w:sz w:val="11"/>
                <w:szCs w:val="11"/>
                <w:color w:val="auto"/>
              </w:rPr>
            </w:pPr>
          </w:p>
        </w:tc>
        <w:tc>
          <w:tcPr>
            <w:tcW w:w="720" w:type="dxa"/>
            <w:vAlign w:val="bottom"/>
            <w:shd w:val="clear" w:color="auto" w:fill="BF2115"/>
          </w:tcPr>
          <w:p>
            <w:pPr>
              <w:spacing w:after="0"/>
              <w:rPr>
                <w:sz w:val="11"/>
                <w:szCs w:val="11"/>
                <w:color w:val="auto"/>
              </w:rPr>
            </w:pPr>
          </w:p>
        </w:tc>
        <w:tc>
          <w:tcPr>
            <w:tcW w:w="800" w:type="dxa"/>
            <w:vAlign w:val="bottom"/>
            <w:shd w:val="clear" w:color="auto" w:fill="BF2115"/>
          </w:tcPr>
          <w:p>
            <w:pPr>
              <w:spacing w:after="0"/>
              <w:rPr>
                <w:sz w:val="11"/>
                <w:szCs w:val="11"/>
                <w:color w:val="auto"/>
              </w:rPr>
            </w:pPr>
          </w:p>
        </w:tc>
        <w:tc>
          <w:tcPr>
            <w:tcW w:w="840" w:type="dxa"/>
            <w:vAlign w:val="bottom"/>
            <w:shd w:val="clear" w:color="auto" w:fill="BF2115"/>
          </w:tcPr>
          <w:p>
            <w:pPr>
              <w:spacing w:after="0"/>
              <w:rPr>
                <w:sz w:val="11"/>
                <w:szCs w:val="11"/>
                <w:color w:val="auto"/>
              </w:rPr>
            </w:pPr>
          </w:p>
        </w:tc>
        <w:tc>
          <w:tcPr>
            <w:tcW w:w="780" w:type="dxa"/>
            <w:vAlign w:val="bottom"/>
            <w:shd w:val="clear" w:color="auto" w:fill="BF2115"/>
          </w:tcPr>
          <w:p>
            <w:pPr>
              <w:spacing w:after="0"/>
              <w:rPr>
                <w:sz w:val="11"/>
                <w:szCs w:val="11"/>
                <w:color w:val="auto"/>
              </w:rPr>
            </w:pPr>
          </w:p>
        </w:tc>
        <w:tc>
          <w:tcPr>
            <w:tcW w:w="760" w:type="dxa"/>
            <w:vAlign w:val="bottom"/>
            <w:shd w:val="clear" w:color="auto" w:fill="BF2115"/>
          </w:tcPr>
          <w:p>
            <w:pPr>
              <w:spacing w:after="0"/>
              <w:rPr>
                <w:sz w:val="11"/>
                <w:szCs w:val="11"/>
                <w:color w:val="auto"/>
              </w:rPr>
            </w:pPr>
          </w:p>
        </w:tc>
        <w:tc>
          <w:tcPr>
            <w:tcW w:w="680" w:type="dxa"/>
            <w:vAlign w:val="bottom"/>
            <w:shd w:val="clear" w:color="auto" w:fill="BF2115"/>
          </w:tcPr>
          <w:p>
            <w:pPr>
              <w:spacing w:after="0"/>
              <w:rPr>
                <w:sz w:val="11"/>
                <w:szCs w:val="11"/>
                <w:color w:val="auto"/>
              </w:rPr>
            </w:pPr>
          </w:p>
        </w:tc>
        <w:tc>
          <w:tcPr>
            <w:tcW w:w="740" w:type="dxa"/>
            <w:vAlign w:val="bottom"/>
            <w:shd w:val="clear" w:color="auto" w:fill="BF2115"/>
          </w:tcPr>
          <w:p>
            <w:pPr>
              <w:spacing w:after="0"/>
              <w:rPr>
                <w:sz w:val="11"/>
                <w:szCs w:val="11"/>
                <w:color w:val="auto"/>
              </w:rPr>
            </w:pPr>
          </w:p>
        </w:tc>
        <w:tc>
          <w:tcPr>
            <w:tcW w:w="780" w:type="dxa"/>
            <w:vAlign w:val="bottom"/>
            <w:shd w:val="clear" w:color="auto" w:fill="BF2115"/>
          </w:tcPr>
          <w:p>
            <w:pPr>
              <w:jc w:val="center"/>
              <w:ind w:right="46"/>
              <w:spacing w:after="0"/>
              <w:rPr>
                <w:sz w:val="20"/>
                <w:szCs w:val="20"/>
                <w:color w:val="auto"/>
              </w:rPr>
            </w:pPr>
            <w:r>
              <w:rPr>
                <w:rFonts w:ascii="Arial" w:cs="Arial" w:eastAsia="Arial" w:hAnsi="Arial"/>
                <w:sz w:val="11"/>
                <w:szCs w:val="11"/>
                <w:b w:val="1"/>
                <w:bCs w:val="1"/>
                <w:color w:val="FFFFFF"/>
                <w:w w:val="93"/>
              </w:rPr>
              <w:t>Stock</w:t>
            </w:r>
          </w:p>
        </w:tc>
        <w:tc>
          <w:tcPr>
            <w:tcW w:w="920" w:type="dxa"/>
            <w:vAlign w:val="bottom"/>
            <w:shd w:val="clear" w:color="auto" w:fill="BF2115"/>
          </w:tcPr>
          <w:p>
            <w:pPr>
              <w:jc w:val="center"/>
              <w:ind w:right="85"/>
              <w:spacing w:after="0"/>
              <w:rPr>
                <w:sz w:val="20"/>
                <w:szCs w:val="20"/>
                <w:color w:val="auto"/>
              </w:rPr>
            </w:pPr>
            <w:r>
              <w:rPr>
                <w:rFonts w:ascii="Arial" w:cs="Arial" w:eastAsia="Arial" w:hAnsi="Arial"/>
                <w:sz w:val="11"/>
                <w:szCs w:val="11"/>
                <w:b w:val="1"/>
                <w:bCs w:val="1"/>
                <w:color w:val="FFFFFF"/>
                <w:w w:val="95"/>
              </w:rPr>
              <w:t>Option</w:t>
            </w:r>
          </w:p>
        </w:tc>
        <w:tc>
          <w:tcPr>
            <w:tcW w:w="760" w:type="dxa"/>
            <w:vAlign w:val="bottom"/>
            <w:shd w:val="clear" w:color="auto" w:fill="BF2115"/>
          </w:tcPr>
          <w:p>
            <w:pPr>
              <w:spacing w:after="0"/>
              <w:rPr>
                <w:sz w:val="11"/>
                <w:szCs w:val="11"/>
                <w:color w:val="auto"/>
              </w:rPr>
            </w:pPr>
          </w:p>
        </w:tc>
        <w:tc>
          <w:tcPr>
            <w:tcW w:w="720" w:type="dxa"/>
            <w:vAlign w:val="bottom"/>
            <w:shd w:val="clear" w:color="auto" w:fill="BF2115"/>
          </w:tcPr>
          <w:p>
            <w:pPr>
              <w:jc w:val="center"/>
              <w:spacing w:after="0"/>
              <w:rPr>
                <w:sz w:val="20"/>
                <w:szCs w:val="20"/>
                <w:color w:val="auto"/>
              </w:rPr>
            </w:pPr>
            <w:r>
              <w:rPr>
                <w:rFonts w:ascii="Arial" w:cs="Arial" w:eastAsia="Arial" w:hAnsi="Arial"/>
                <w:sz w:val="11"/>
                <w:szCs w:val="11"/>
                <w:b w:val="1"/>
                <w:bCs w:val="1"/>
                <w:color w:val="FFFFFF"/>
                <w:w w:val="95"/>
              </w:rPr>
              <w:t>Grant</w:t>
            </w:r>
          </w:p>
        </w:tc>
      </w:tr>
      <w:tr>
        <w:trPr>
          <w:trHeight w:val="133"/>
        </w:trPr>
        <w:tc>
          <w:tcPr>
            <w:tcW w:w="1680" w:type="dxa"/>
            <w:vAlign w:val="bottom"/>
            <w:shd w:val="clear" w:color="auto" w:fill="BF2115"/>
          </w:tcPr>
          <w:p>
            <w:pPr>
              <w:spacing w:after="0"/>
              <w:rPr>
                <w:sz w:val="11"/>
                <w:szCs w:val="11"/>
                <w:color w:val="auto"/>
              </w:rPr>
            </w:pPr>
          </w:p>
        </w:tc>
        <w:tc>
          <w:tcPr>
            <w:tcW w:w="760" w:type="dxa"/>
            <w:vAlign w:val="bottom"/>
            <w:shd w:val="clear" w:color="auto" w:fill="BF2115"/>
          </w:tcPr>
          <w:p>
            <w:pPr>
              <w:spacing w:after="0"/>
              <w:rPr>
                <w:sz w:val="11"/>
                <w:szCs w:val="11"/>
                <w:color w:val="auto"/>
              </w:rPr>
            </w:pPr>
          </w:p>
        </w:tc>
        <w:tc>
          <w:tcPr>
            <w:tcW w:w="720" w:type="dxa"/>
            <w:vAlign w:val="bottom"/>
            <w:shd w:val="clear" w:color="auto" w:fill="BF2115"/>
          </w:tcPr>
          <w:p>
            <w:pPr>
              <w:spacing w:after="0"/>
              <w:rPr>
                <w:sz w:val="11"/>
                <w:szCs w:val="11"/>
                <w:color w:val="auto"/>
              </w:rPr>
            </w:pPr>
          </w:p>
        </w:tc>
        <w:tc>
          <w:tcPr>
            <w:tcW w:w="800" w:type="dxa"/>
            <w:vAlign w:val="bottom"/>
            <w:shd w:val="clear" w:color="auto" w:fill="BF2115"/>
          </w:tcPr>
          <w:p>
            <w:pPr>
              <w:spacing w:after="0"/>
              <w:rPr>
                <w:sz w:val="11"/>
                <w:szCs w:val="11"/>
                <w:color w:val="auto"/>
              </w:rPr>
            </w:pPr>
          </w:p>
        </w:tc>
        <w:tc>
          <w:tcPr>
            <w:tcW w:w="840" w:type="dxa"/>
            <w:vAlign w:val="bottom"/>
            <w:shd w:val="clear" w:color="auto" w:fill="BF2115"/>
          </w:tcPr>
          <w:p>
            <w:pPr>
              <w:spacing w:after="0"/>
              <w:rPr>
                <w:sz w:val="11"/>
                <w:szCs w:val="11"/>
                <w:color w:val="auto"/>
              </w:rPr>
            </w:pPr>
          </w:p>
        </w:tc>
        <w:tc>
          <w:tcPr>
            <w:tcW w:w="780" w:type="dxa"/>
            <w:vAlign w:val="bottom"/>
            <w:shd w:val="clear" w:color="auto" w:fill="BF2115"/>
          </w:tcPr>
          <w:p>
            <w:pPr>
              <w:spacing w:after="0"/>
              <w:rPr>
                <w:sz w:val="11"/>
                <w:szCs w:val="11"/>
                <w:color w:val="auto"/>
              </w:rPr>
            </w:pPr>
          </w:p>
        </w:tc>
        <w:tc>
          <w:tcPr>
            <w:tcW w:w="760" w:type="dxa"/>
            <w:vAlign w:val="bottom"/>
            <w:shd w:val="clear" w:color="auto" w:fill="BF2115"/>
          </w:tcPr>
          <w:p>
            <w:pPr>
              <w:spacing w:after="0"/>
              <w:rPr>
                <w:sz w:val="11"/>
                <w:szCs w:val="11"/>
                <w:color w:val="auto"/>
              </w:rPr>
            </w:pPr>
          </w:p>
        </w:tc>
        <w:tc>
          <w:tcPr>
            <w:tcW w:w="680" w:type="dxa"/>
            <w:vAlign w:val="bottom"/>
            <w:shd w:val="clear" w:color="auto" w:fill="BF2115"/>
          </w:tcPr>
          <w:p>
            <w:pPr>
              <w:spacing w:after="0"/>
              <w:rPr>
                <w:sz w:val="11"/>
                <w:szCs w:val="11"/>
                <w:color w:val="auto"/>
              </w:rPr>
            </w:pPr>
          </w:p>
        </w:tc>
        <w:tc>
          <w:tcPr>
            <w:tcW w:w="740" w:type="dxa"/>
            <w:vAlign w:val="bottom"/>
            <w:shd w:val="clear" w:color="auto" w:fill="BF2115"/>
          </w:tcPr>
          <w:p>
            <w:pPr>
              <w:spacing w:after="0"/>
              <w:rPr>
                <w:sz w:val="11"/>
                <w:szCs w:val="11"/>
                <w:color w:val="auto"/>
              </w:rPr>
            </w:pPr>
          </w:p>
        </w:tc>
        <w:tc>
          <w:tcPr>
            <w:tcW w:w="780" w:type="dxa"/>
            <w:vAlign w:val="bottom"/>
            <w:shd w:val="clear" w:color="auto" w:fill="BF2115"/>
          </w:tcPr>
          <w:p>
            <w:pPr>
              <w:jc w:val="center"/>
              <w:ind w:right="66"/>
              <w:spacing w:after="0"/>
              <w:rPr>
                <w:sz w:val="20"/>
                <w:szCs w:val="20"/>
                <w:color w:val="auto"/>
              </w:rPr>
            </w:pPr>
            <w:r>
              <w:rPr>
                <w:rFonts w:ascii="Arial" w:cs="Arial" w:eastAsia="Arial" w:hAnsi="Arial"/>
                <w:sz w:val="11"/>
                <w:szCs w:val="11"/>
                <w:b w:val="1"/>
                <w:bCs w:val="1"/>
                <w:color w:val="FFFFFF"/>
                <w:w w:val="96"/>
              </w:rPr>
              <w:t>Awards:</w:t>
            </w:r>
          </w:p>
        </w:tc>
        <w:tc>
          <w:tcPr>
            <w:tcW w:w="920" w:type="dxa"/>
            <w:vAlign w:val="bottom"/>
            <w:shd w:val="clear" w:color="auto" w:fill="BF2115"/>
          </w:tcPr>
          <w:p>
            <w:pPr>
              <w:jc w:val="center"/>
              <w:ind w:right="85"/>
              <w:spacing w:after="0"/>
              <w:rPr>
                <w:sz w:val="20"/>
                <w:szCs w:val="20"/>
                <w:color w:val="auto"/>
              </w:rPr>
            </w:pPr>
            <w:r>
              <w:rPr>
                <w:rFonts w:ascii="Arial" w:cs="Arial" w:eastAsia="Arial" w:hAnsi="Arial"/>
                <w:sz w:val="11"/>
                <w:szCs w:val="11"/>
                <w:b w:val="1"/>
                <w:bCs w:val="1"/>
                <w:color w:val="FFFFFF"/>
                <w:w w:val="96"/>
              </w:rPr>
              <w:t>Awards:</w:t>
            </w:r>
          </w:p>
        </w:tc>
        <w:tc>
          <w:tcPr>
            <w:tcW w:w="760" w:type="dxa"/>
            <w:vAlign w:val="bottom"/>
            <w:shd w:val="clear" w:color="auto" w:fill="BF2115"/>
          </w:tcPr>
          <w:p>
            <w:pPr>
              <w:jc w:val="center"/>
              <w:ind w:right="104"/>
              <w:spacing w:after="0"/>
              <w:rPr>
                <w:sz w:val="20"/>
                <w:szCs w:val="20"/>
                <w:color w:val="auto"/>
              </w:rPr>
            </w:pPr>
            <w:r>
              <w:rPr>
                <w:rFonts w:ascii="Arial" w:cs="Arial" w:eastAsia="Arial" w:hAnsi="Arial"/>
                <w:sz w:val="11"/>
                <w:szCs w:val="11"/>
                <w:b w:val="1"/>
                <w:bCs w:val="1"/>
                <w:color w:val="FFFFFF"/>
                <w:w w:val="97"/>
              </w:rPr>
              <w:t>Exercise</w:t>
            </w:r>
          </w:p>
        </w:tc>
        <w:tc>
          <w:tcPr>
            <w:tcW w:w="720" w:type="dxa"/>
            <w:vAlign w:val="bottom"/>
            <w:shd w:val="clear" w:color="auto" w:fill="BF2115"/>
          </w:tcPr>
          <w:p>
            <w:pPr>
              <w:jc w:val="center"/>
              <w:ind w:right="4"/>
              <w:spacing w:after="0"/>
              <w:rPr>
                <w:sz w:val="20"/>
                <w:szCs w:val="20"/>
                <w:color w:val="auto"/>
              </w:rPr>
            </w:pPr>
            <w:r>
              <w:rPr>
                <w:rFonts w:ascii="Arial" w:cs="Arial" w:eastAsia="Arial" w:hAnsi="Arial"/>
                <w:sz w:val="11"/>
                <w:szCs w:val="11"/>
                <w:b w:val="1"/>
                <w:bCs w:val="1"/>
                <w:color w:val="FFFFFF"/>
                <w:w w:val="97"/>
              </w:rPr>
              <w:t>Date Fair</w:t>
            </w:r>
          </w:p>
        </w:tc>
      </w:tr>
      <w:tr>
        <w:trPr>
          <w:trHeight w:val="133"/>
        </w:trPr>
        <w:tc>
          <w:tcPr>
            <w:tcW w:w="1680" w:type="dxa"/>
            <w:vAlign w:val="bottom"/>
            <w:shd w:val="clear" w:color="auto" w:fill="BF2115"/>
          </w:tcPr>
          <w:p>
            <w:pPr>
              <w:spacing w:after="0"/>
              <w:rPr>
                <w:sz w:val="11"/>
                <w:szCs w:val="11"/>
                <w:color w:val="auto"/>
              </w:rPr>
            </w:pPr>
          </w:p>
        </w:tc>
        <w:tc>
          <w:tcPr>
            <w:tcW w:w="760" w:type="dxa"/>
            <w:vAlign w:val="bottom"/>
            <w:shd w:val="clear" w:color="auto" w:fill="BF2115"/>
          </w:tcPr>
          <w:p>
            <w:pPr>
              <w:spacing w:after="0"/>
              <w:rPr>
                <w:sz w:val="11"/>
                <w:szCs w:val="11"/>
                <w:color w:val="auto"/>
              </w:rPr>
            </w:pPr>
          </w:p>
        </w:tc>
        <w:tc>
          <w:tcPr>
            <w:tcW w:w="720" w:type="dxa"/>
            <w:vAlign w:val="bottom"/>
            <w:shd w:val="clear" w:color="auto" w:fill="BF2115"/>
          </w:tcPr>
          <w:p>
            <w:pPr>
              <w:spacing w:after="0"/>
              <w:rPr>
                <w:sz w:val="11"/>
                <w:szCs w:val="11"/>
                <w:color w:val="auto"/>
              </w:rPr>
            </w:pPr>
          </w:p>
        </w:tc>
        <w:tc>
          <w:tcPr>
            <w:tcW w:w="2420" w:type="dxa"/>
            <w:vAlign w:val="bottom"/>
            <w:gridSpan w:val="3"/>
            <w:shd w:val="clear" w:color="auto" w:fill="BF2115"/>
          </w:tcPr>
          <w:p>
            <w:pPr>
              <w:jc w:val="center"/>
              <w:ind w:right="3"/>
              <w:spacing w:after="0"/>
              <w:rPr>
                <w:sz w:val="20"/>
                <w:szCs w:val="20"/>
                <w:color w:val="auto"/>
              </w:rPr>
            </w:pPr>
            <w:r>
              <w:rPr>
                <w:rFonts w:ascii="Arial" w:cs="Arial" w:eastAsia="Arial" w:hAnsi="Arial"/>
                <w:sz w:val="11"/>
                <w:szCs w:val="11"/>
                <w:b w:val="1"/>
                <w:bCs w:val="1"/>
                <w:color w:val="FFFFFF"/>
                <w:w w:val="97"/>
              </w:rPr>
              <w:t>Estimated Future Payouts</w:t>
            </w:r>
          </w:p>
        </w:tc>
        <w:tc>
          <w:tcPr>
            <w:tcW w:w="2180" w:type="dxa"/>
            <w:vAlign w:val="bottom"/>
            <w:gridSpan w:val="3"/>
            <w:shd w:val="clear" w:color="auto" w:fill="BF2115"/>
          </w:tcPr>
          <w:p>
            <w:pPr>
              <w:jc w:val="center"/>
              <w:ind w:right="63"/>
              <w:spacing w:after="0"/>
              <w:rPr>
                <w:sz w:val="20"/>
                <w:szCs w:val="20"/>
                <w:color w:val="auto"/>
              </w:rPr>
            </w:pPr>
            <w:r>
              <w:rPr>
                <w:rFonts w:ascii="Arial" w:cs="Arial" w:eastAsia="Arial" w:hAnsi="Arial"/>
                <w:sz w:val="11"/>
                <w:szCs w:val="11"/>
                <w:b w:val="1"/>
                <w:bCs w:val="1"/>
                <w:color w:val="FFFFFF"/>
                <w:w w:val="95"/>
              </w:rPr>
              <w:t>Estimated Future Payouts</w:t>
            </w:r>
          </w:p>
        </w:tc>
        <w:tc>
          <w:tcPr>
            <w:tcW w:w="780" w:type="dxa"/>
            <w:vAlign w:val="bottom"/>
            <w:shd w:val="clear" w:color="auto" w:fill="BF2115"/>
          </w:tcPr>
          <w:p>
            <w:pPr>
              <w:jc w:val="center"/>
              <w:ind w:right="46"/>
              <w:spacing w:after="0"/>
              <w:rPr>
                <w:sz w:val="20"/>
                <w:szCs w:val="20"/>
                <w:color w:val="auto"/>
              </w:rPr>
            </w:pPr>
            <w:r>
              <w:rPr>
                <w:rFonts w:ascii="Arial" w:cs="Arial" w:eastAsia="Arial" w:hAnsi="Arial"/>
                <w:sz w:val="11"/>
                <w:szCs w:val="11"/>
                <w:b w:val="1"/>
                <w:bCs w:val="1"/>
                <w:color w:val="FFFFFF"/>
                <w:w w:val="94"/>
              </w:rPr>
              <w:t>Number of</w:t>
            </w:r>
          </w:p>
        </w:tc>
        <w:tc>
          <w:tcPr>
            <w:tcW w:w="920" w:type="dxa"/>
            <w:vAlign w:val="bottom"/>
            <w:shd w:val="clear" w:color="auto" w:fill="BF2115"/>
          </w:tcPr>
          <w:p>
            <w:pPr>
              <w:jc w:val="center"/>
              <w:ind w:right="85"/>
              <w:spacing w:after="0"/>
              <w:rPr>
                <w:sz w:val="20"/>
                <w:szCs w:val="20"/>
                <w:color w:val="auto"/>
              </w:rPr>
            </w:pPr>
            <w:r>
              <w:rPr>
                <w:rFonts w:ascii="Arial" w:cs="Arial" w:eastAsia="Arial" w:hAnsi="Arial"/>
                <w:sz w:val="11"/>
                <w:szCs w:val="11"/>
                <w:b w:val="1"/>
                <w:bCs w:val="1"/>
                <w:color w:val="FFFFFF"/>
                <w:w w:val="98"/>
              </w:rPr>
              <w:t>Number of</w:t>
            </w:r>
          </w:p>
        </w:tc>
        <w:tc>
          <w:tcPr>
            <w:tcW w:w="760" w:type="dxa"/>
            <w:vAlign w:val="bottom"/>
            <w:shd w:val="clear" w:color="auto" w:fill="BF2115"/>
          </w:tcPr>
          <w:p>
            <w:pPr>
              <w:jc w:val="center"/>
              <w:ind w:right="84"/>
              <w:spacing w:after="0"/>
              <w:rPr>
                <w:sz w:val="20"/>
                <w:szCs w:val="20"/>
                <w:color w:val="auto"/>
              </w:rPr>
            </w:pPr>
            <w:r>
              <w:rPr>
                <w:rFonts w:ascii="Arial" w:cs="Arial" w:eastAsia="Arial" w:hAnsi="Arial"/>
                <w:sz w:val="11"/>
                <w:szCs w:val="11"/>
                <w:b w:val="1"/>
                <w:bCs w:val="1"/>
                <w:color w:val="FFFFFF"/>
                <w:w w:val="94"/>
              </w:rPr>
              <w:t>or Base</w:t>
            </w:r>
          </w:p>
        </w:tc>
        <w:tc>
          <w:tcPr>
            <w:tcW w:w="720" w:type="dxa"/>
            <w:vAlign w:val="bottom"/>
            <w:shd w:val="clear" w:color="auto" w:fill="BF2115"/>
          </w:tcPr>
          <w:p>
            <w:pPr>
              <w:jc w:val="center"/>
              <w:ind w:right="4"/>
              <w:spacing w:after="0"/>
              <w:rPr>
                <w:sz w:val="20"/>
                <w:szCs w:val="20"/>
                <w:color w:val="auto"/>
              </w:rPr>
            </w:pPr>
            <w:r>
              <w:rPr>
                <w:rFonts w:ascii="Arial" w:cs="Arial" w:eastAsia="Arial" w:hAnsi="Arial"/>
                <w:sz w:val="11"/>
                <w:szCs w:val="11"/>
                <w:b w:val="1"/>
                <w:bCs w:val="1"/>
                <w:color w:val="FFFFFF"/>
                <w:w w:val="98"/>
              </w:rPr>
              <w:t>Value of</w:t>
            </w:r>
          </w:p>
        </w:tc>
      </w:tr>
      <w:tr>
        <w:trPr>
          <w:trHeight w:val="133"/>
        </w:trPr>
        <w:tc>
          <w:tcPr>
            <w:tcW w:w="1680" w:type="dxa"/>
            <w:vAlign w:val="bottom"/>
            <w:shd w:val="clear" w:color="auto" w:fill="BF2115"/>
          </w:tcPr>
          <w:p>
            <w:pPr>
              <w:spacing w:after="0"/>
              <w:rPr>
                <w:sz w:val="11"/>
                <w:szCs w:val="11"/>
                <w:color w:val="auto"/>
              </w:rPr>
            </w:pPr>
          </w:p>
        </w:tc>
        <w:tc>
          <w:tcPr>
            <w:tcW w:w="760" w:type="dxa"/>
            <w:vAlign w:val="bottom"/>
            <w:shd w:val="clear" w:color="auto" w:fill="BF2115"/>
          </w:tcPr>
          <w:p>
            <w:pPr>
              <w:spacing w:after="0"/>
              <w:rPr>
                <w:sz w:val="11"/>
                <w:szCs w:val="11"/>
                <w:color w:val="auto"/>
              </w:rPr>
            </w:pPr>
          </w:p>
        </w:tc>
        <w:tc>
          <w:tcPr>
            <w:tcW w:w="720" w:type="dxa"/>
            <w:vAlign w:val="bottom"/>
            <w:shd w:val="clear" w:color="auto" w:fill="BF2115"/>
          </w:tcPr>
          <w:p>
            <w:pPr>
              <w:spacing w:after="0"/>
              <w:rPr>
                <w:sz w:val="11"/>
                <w:szCs w:val="11"/>
                <w:color w:val="auto"/>
              </w:rPr>
            </w:pPr>
          </w:p>
        </w:tc>
        <w:tc>
          <w:tcPr>
            <w:tcW w:w="2420" w:type="dxa"/>
            <w:vAlign w:val="bottom"/>
            <w:gridSpan w:val="3"/>
            <w:shd w:val="clear" w:color="auto" w:fill="BF2115"/>
          </w:tcPr>
          <w:p>
            <w:pPr>
              <w:jc w:val="center"/>
              <w:ind w:right="3"/>
              <w:spacing w:after="0"/>
              <w:rPr>
                <w:sz w:val="20"/>
                <w:szCs w:val="20"/>
                <w:color w:val="auto"/>
              </w:rPr>
            </w:pPr>
            <w:r>
              <w:rPr>
                <w:rFonts w:ascii="Arial" w:cs="Arial" w:eastAsia="Arial" w:hAnsi="Arial"/>
                <w:sz w:val="11"/>
                <w:szCs w:val="11"/>
                <w:b w:val="1"/>
                <w:bCs w:val="1"/>
                <w:color w:val="FFFFFF"/>
                <w:w w:val="97"/>
              </w:rPr>
              <w:t>Under Non-Equity Incentive</w:t>
            </w:r>
          </w:p>
        </w:tc>
        <w:tc>
          <w:tcPr>
            <w:tcW w:w="2180" w:type="dxa"/>
            <w:vAlign w:val="bottom"/>
            <w:gridSpan w:val="3"/>
            <w:shd w:val="clear" w:color="auto" w:fill="BF2115"/>
          </w:tcPr>
          <w:p>
            <w:pPr>
              <w:jc w:val="center"/>
              <w:ind w:right="63"/>
              <w:spacing w:after="0"/>
              <w:rPr>
                <w:sz w:val="20"/>
                <w:szCs w:val="20"/>
                <w:color w:val="auto"/>
              </w:rPr>
            </w:pPr>
            <w:r>
              <w:rPr>
                <w:rFonts w:ascii="Arial" w:cs="Arial" w:eastAsia="Arial" w:hAnsi="Arial"/>
                <w:sz w:val="11"/>
                <w:szCs w:val="11"/>
                <w:b w:val="1"/>
                <w:bCs w:val="1"/>
                <w:color w:val="FFFFFF"/>
                <w:w w:val="97"/>
              </w:rPr>
              <w:t>Under Equity Incentive Plan</w:t>
            </w:r>
          </w:p>
        </w:tc>
        <w:tc>
          <w:tcPr>
            <w:tcW w:w="780" w:type="dxa"/>
            <w:vAlign w:val="bottom"/>
            <w:shd w:val="clear" w:color="auto" w:fill="BF2115"/>
          </w:tcPr>
          <w:p>
            <w:pPr>
              <w:jc w:val="center"/>
              <w:ind w:right="46"/>
              <w:spacing w:after="0"/>
              <w:rPr>
                <w:sz w:val="20"/>
                <w:szCs w:val="20"/>
                <w:color w:val="auto"/>
              </w:rPr>
            </w:pPr>
            <w:r>
              <w:rPr>
                <w:rFonts w:ascii="Arial" w:cs="Arial" w:eastAsia="Arial" w:hAnsi="Arial"/>
                <w:sz w:val="11"/>
                <w:szCs w:val="11"/>
                <w:b w:val="1"/>
                <w:bCs w:val="1"/>
                <w:color w:val="FFFFFF"/>
                <w:w w:val="95"/>
              </w:rPr>
              <w:t>Shares of</w:t>
            </w:r>
          </w:p>
        </w:tc>
        <w:tc>
          <w:tcPr>
            <w:tcW w:w="920" w:type="dxa"/>
            <w:vAlign w:val="bottom"/>
            <w:shd w:val="clear" w:color="auto" w:fill="BF2115"/>
          </w:tcPr>
          <w:p>
            <w:pPr>
              <w:jc w:val="center"/>
              <w:ind w:right="85"/>
              <w:spacing w:after="0"/>
              <w:rPr>
                <w:sz w:val="20"/>
                <w:szCs w:val="20"/>
                <w:color w:val="auto"/>
              </w:rPr>
            </w:pPr>
            <w:r>
              <w:rPr>
                <w:rFonts w:ascii="Arial" w:cs="Arial" w:eastAsia="Arial" w:hAnsi="Arial"/>
                <w:sz w:val="11"/>
                <w:szCs w:val="11"/>
                <w:b w:val="1"/>
                <w:bCs w:val="1"/>
                <w:color w:val="FFFFFF"/>
                <w:w w:val="94"/>
              </w:rPr>
              <w:t>Securities</w:t>
            </w:r>
          </w:p>
        </w:tc>
        <w:tc>
          <w:tcPr>
            <w:tcW w:w="760" w:type="dxa"/>
            <w:vAlign w:val="bottom"/>
            <w:shd w:val="clear" w:color="auto" w:fill="BF2115"/>
          </w:tcPr>
          <w:p>
            <w:pPr>
              <w:jc w:val="center"/>
              <w:ind w:right="84"/>
              <w:spacing w:after="0"/>
              <w:rPr>
                <w:sz w:val="20"/>
                <w:szCs w:val="20"/>
                <w:color w:val="auto"/>
              </w:rPr>
            </w:pPr>
            <w:r>
              <w:rPr>
                <w:rFonts w:ascii="Arial" w:cs="Arial" w:eastAsia="Arial" w:hAnsi="Arial"/>
                <w:sz w:val="11"/>
                <w:szCs w:val="11"/>
                <w:b w:val="1"/>
                <w:bCs w:val="1"/>
                <w:color w:val="FFFFFF"/>
                <w:w w:val="94"/>
              </w:rPr>
              <w:t>Price of</w:t>
            </w:r>
          </w:p>
        </w:tc>
        <w:tc>
          <w:tcPr>
            <w:tcW w:w="720" w:type="dxa"/>
            <w:vAlign w:val="bottom"/>
            <w:shd w:val="clear" w:color="auto" w:fill="BF2115"/>
          </w:tcPr>
          <w:p>
            <w:pPr>
              <w:jc w:val="center"/>
              <w:ind w:right="4"/>
              <w:spacing w:after="0"/>
              <w:rPr>
                <w:sz w:val="20"/>
                <w:szCs w:val="20"/>
                <w:color w:val="auto"/>
              </w:rPr>
            </w:pPr>
            <w:r>
              <w:rPr>
                <w:rFonts w:ascii="Arial" w:cs="Arial" w:eastAsia="Arial" w:hAnsi="Arial"/>
                <w:sz w:val="11"/>
                <w:szCs w:val="11"/>
                <w:b w:val="1"/>
                <w:bCs w:val="1"/>
                <w:color w:val="FFFFFF"/>
                <w:w w:val="95"/>
              </w:rPr>
              <w:t>Stock and</w:t>
            </w:r>
          </w:p>
        </w:tc>
      </w:tr>
      <w:tr>
        <w:trPr>
          <w:trHeight w:val="160"/>
        </w:trPr>
        <w:tc>
          <w:tcPr>
            <w:tcW w:w="1680" w:type="dxa"/>
            <w:vAlign w:val="bottom"/>
            <w:shd w:val="clear" w:color="auto" w:fill="BF2115"/>
          </w:tcPr>
          <w:p>
            <w:pPr>
              <w:spacing w:after="0"/>
              <w:rPr>
                <w:sz w:val="13"/>
                <w:szCs w:val="13"/>
                <w:color w:val="auto"/>
              </w:rPr>
            </w:pPr>
          </w:p>
        </w:tc>
        <w:tc>
          <w:tcPr>
            <w:tcW w:w="760" w:type="dxa"/>
            <w:vAlign w:val="bottom"/>
            <w:shd w:val="clear" w:color="auto" w:fill="BF2115"/>
          </w:tcPr>
          <w:p>
            <w:pPr>
              <w:spacing w:after="0"/>
              <w:rPr>
                <w:sz w:val="13"/>
                <w:szCs w:val="13"/>
                <w:color w:val="auto"/>
              </w:rPr>
            </w:pPr>
          </w:p>
        </w:tc>
        <w:tc>
          <w:tcPr>
            <w:tcW w:w="720" w:type="dxa"/>
            <w:vAlign w:val="bottom"/>
            <w:shd w:val="clear" w:color="auto" w:fill="BF2115"/>
          </w:tcPr>
          <w:p>
            <w:pPr>
              <w:spacing w:after="0"/>
              <w:rPr>
                <w:sz w:val="13"/>
                <w:szCs w:val="13"/>
                <w:color w:val="auto"/>
              </w:rPr>
            </w:pPr>
          </w:p>
        </w:tc>
        <w:tc>
          <w:tcPr>
            <w:tcW w:w="800" w:type="dxa"/>
            <w:vAlign w:val="bottom"/>
            <w:shd w:val="clear" w:color="auto" w:fill="BF2115"/>
          </w:tcPr>
          <w:p>
            <w:pPr>
              <w:spacing w:after="0"/>
              <w:rPr>
                <w:sz w:val="13"/>
                <w:szCs w:val="13"/>
                <w:color w:val="auto"/>
              </w:rPr>
            </w:pPr>
          </w:p>
        </w:tc>
        <w:tc>
          <w:tcPr>
            <w:tcW w:w="840" w:type="dxa"/>
            <w:vAlign w:val="bottom"/>
            <w:shd w:val="clear" w:color="auto" w:fill="BF2115"/>
          </w:tcPr>
          <w:p>
            <w:pPr>
              <w:jc w:val="center"/>
              <w:ind w:right="24"/>
              <w:spacing w:after="0"/>
              <w:rPr>
                <w:sz w:val="20"/>
                <w:szCs w:val="20"/>
                <w:color w:val="auto"/>
              </w:rPr>
            </w:pPr>
            <w:r>
              <w:rPr>
                <w:rFonts w:ascii="Arial" w:cs="Arial" w:eastAsia="Arial" w:hAnsi="Arial"/>
                <w:sz w:val="11"/>
                <w:szCs w:val="11"/>
                <w:b w:val="1"/>
                <w:bCs w:val="1"/>
                <w:color w:val="FFFFFF"/>
                <w:w w:val="97"/>
              </w:rPr>
              <w:t>Plan Awards</w:t>
            </w:r>
            <w:r>
              <w:rPr>
                <w:rFonts w:ascii="Arial" w:cs="Arial" w:eastAsia="Arial" w:hAnsi="Arial"/>
                <w:sz w:val="6"/>
                <w:szCs w:val="6"/>
                <w:b w:val="1"/>
                <w:bCs w:val="1"/>
                <w:color w:val="FFFFFF"/>
                <w:w w:val="97"/>
              </w:rPr>
              <w:t>1</w:t>
            </w:r>
          </w:p>
        </w:tc>
        <w:tc>
          <w:tcPr>
            <w:tcW w:w="780" w:type="dxa"/>
            <w:vAlign w:val="bottom"/>
            <w:shd w:val="clear" w:color="auto" w:fill="BF2115"/>
          </w:tcPr>
          <w:p>
            <w:pPr>
              <w:spacing w:after="0"/>
              <w:rPr>
                <w:sz w:val="13"/>
                <w:szCs w:val="13"/>
                <w:color w:val="auto"/>
              </w:rPr>
            </w:pPr>
          </w:p>
        </w:tc>
        <w:tc>
          <w:tcPr>
            <w:tcW w:w="760" w:type="dxa"/>
            <w:vAlign w:val="bottom"/>
            <w:shd w:val="clear" w:color="auto" w:fill="BF2115"/>
          </w:tcPr>
          <w:p>
            <w:pPr>
              <w:spacing w:after="0"/>
              <w:rPr>
                <w:sz w:val="13"/>
                <w:szCs w:val="13"/>
                <w:color w:val="auto"/>
              </w:rPr>
            </w:pPr>
          </w:p>
        </w:tc>
        <w:tc>
          <w:tcPr>
            <w:tcW w:w="680" w:type="dxa"/>
            <w:vAlign w:val="bottom"/>
            <w:shd w:val="clear" w:color="auto" w:fill="BF2115"/>
          </w:tcPr>
          <w:p>
            <w:pPr>
              <w:jc w:val="center"/>
              <w:ind w:right="84"/>
              <w:spacing w:after="0"/>
              <w:rPr>
                <w:sz w:val="20"/>
                <w:szCs w:val="20"/>
                <w:color w:val="auto"/>
              </w:rPr>
            </w:pPr>
            <w:r>
              <w:rPr>
                <w:rFonts w:ascii="Arial" w:cs="Arial" w:eastAsia="Arial" w:hAnsi="Arial"/>
                <w:sz w:val="11"/>
                <w:szCs w:val="11"/>
                <w:b w:val="1"/>
                <w:bCs w:val="1"/>
                <w:color w:val="FFFFFF"/>
                <w:w w:val="97"/>
              </w:rPr>
              <w:t>Awards</w:t>
            </w:r>
            <w:r>
              <w:rPr>
                <w:rFonts w:ascii="Arial" w:cs="Arial" w:eastAsia="Arial" w:hAnsi="Arial"/>
                <w:sz w:val="6"/>
                <w:szCs w:val="6"/>
                <w:b w:val="1"/>
                <w:bCs w:val="1"/>
                <w:color w:val="FFFFFF"/>
                <w:w w:val="97"/>
              </w:rPr>
              <w:t>2</w:t>
            </w:r>
          </w:p>
        </w:tc>
        <w:tc>
          <w:tcPr>
            <w:tcW w:w="740" w:type="dxa"/>
            <w:vAlign w:val="bottom"/>
            <w:shd w:val="clear" w:color="auto" w:fill="BF2115"/>
          </w:tcPr>
          <w:p>
            <w:pPr>
              <w:spacing w:after="0"/>
              <w:rPr>
                <w:sz w:val="13"/>
                <w:szCs w:val="13"/>
                <w:color w:val="auto"/>
              </w:rPr>
            </w:pPr>
          </w:p>
        </w:tc>
        <w:tc>
          <w:tcPr>
            <w:tcW w:w="780" w:type="dxa"/>
            <w:vAlign w:val="bottom"/>
            <w:shd w:val="clear" w:color="auto" w:fill="BF2115"/>
          </w:tcPr>
          <w:p>
            <w:pPr>
              <w:jc w:val="center"/>
              <w:ind w:right="46"/>
              <w:spacing w:after="0"/>
              <w:rPr>
                <w:sz w:val="20"/>
                <w:szCs w:val="20"/>
                <w:color w:val="auto"/>
              </w:rPr>
            </w:pPr>
            <w:r>
              <w:rPr>
                <w:rFonts w:ascii="Arial" w:cs="Arial" w:eastAsia="Arial" w:hAnsi="Arial"/>
                <w:sz w:val="11"/>
                <w:szCs w:val="11"/>
                <w:b w:val="1"/>
                <w:bCs w:val="1"/>
                <w:color w:val="FFFFFF"/>
                <w:w w:val="99"/>
              </w:rPr>
              <w:t>Stock or</w:t>
            </w:r>
          </w:p>
        </w:tc>
        <w:tc>
          <w:tcPr>
            <w:tcW w:w="920" w:type="dxa"/>
            <w:vAlign w:val="bottom"/>
            <w:shd w:val="clear" w:color="auto" w:fill="BF2115"/>
          </w:tcPr>
          <w:p>
            <w:pPr>
              <w:jc w:val="center"/>
              <w:ind w:right="65"/>
              <w:spacing w:after="0"/>
              <w:rPr>
                <w:sz w:val="20"/>
                <w:szCs w:val="20"/>
                <w:color w:val="auto"/>
              </w:rPr>
            </w:pPr>
            <w:r>
              <w:rPr>
                <w:rFonts w:ascii="Arial" w:cs="Arial" w:eastAsia="Arial" w:hAnsi="Arial"/>
                <w:sz w:val="11"/>
                <w:szCs w:val="11"/>
                <w:b w:val="1"/>
                <w:bCs w:val="1"/>
                <w:color w:val="FFFFFF"/>
                <w:w w:val="97"/>
              </w:rPr>
              <w:t>Underlying</w:t>
            </w:r>
          </w:p>
        </w:tc>
        <w:tc>
          <w:tcPr>
            <w:tcW w:w="760" w:type="dxa"/>
            <w:vAlign w:val="bottom"/>
            <w:shd w:val="clear" w:color="auto" w:fill="BF2115"/>
          </w:tcPr>
          <w:p>
            <w:pPr>
              <w:jc w:val="center"/>
              <w:ind w:right="84"/>
              <w:spacing w:after="0"/>
              <w:rPr>
                <w:sz w:val="20"/>
                <w:szCs w:val="20"/>
                <w:color w:val="auto"/>
              </w:rPr>
            </w:pPr>
            <w:r>
              <w:rPr>
                <w:rFonts w:ascii="Arial" w:cs="Arial" w:eastAsia="Arial" w:hAnsi="Arial"/>
                <w:sz w:val="11"/>
                <w:szCs w:val="11"/>
                <w:b w:val="1"/>
                <w:bCs w:val="1"/>
                <w:color w:val="FFFFFF"/>
                <w:w w:val="95"/>
              </w:rPr>
              <w:t>Option</w:t>
            </w:r>
          </w:p>
        </w:tc>
        <w:tc>
          <w:tcPr>
            <w:tcW w:w="720" w:type="dxa"/>
            <w:vAlign w:val="bottom"/>
            <w:shd w:val="clear" w:color="auto" w:fill="BF2115"/>
          </w:tcPr>
          <w:p>
            <w:pPr>
              <w:jc w:val="center"/>
              <w:ind w:right="4"/>
              <w:spacing w:after="0"/>
              <w:rPr>
                <w:sz w:val="20"/>
                <w:szCs w:val="20"/>
                <w:color w:val="auto"/>
              </w:rPr>
            </w:pPr>
            <w:r>
              <w:rPr>
                <w:rFonts w:ascii="Arial" w:cs="Arial" w:eastAsia="Arial" w:hAnsi="Arial"/>
                <w:sz w:val="11"/>
                <w:szCs w:val="11"/>
                <w:b w:val="1"/>
                <w:bCs w:val="1"/>
                <w:color w:val="FFFFFF"/>
                <w:w w:val="95"/>
              </w:rPr>
              <w:t>Option</w:t>
            </w:r>
          </w:p>
        </w:tc>
      </w:tr>
      <w:tr>
        <w:trPr>
          <w:trHeight w:val="187"/>
        </w:trPr>
        <w:tc>
          <w:tcPr>
            <w:tcW w:w="1680" w:type="dxa"/>
            <w:vAlign w:val="bottom"/>
            <w:shd w:val="clear" w:color="auto" w:fill="BF2115"/>
          </w:tcPr>
          <w:p>
            <w:pPr>
              <w:spacing w:after="0"/>
              <w:rPr>
                <w:sz w:val="16"/>
                <w:szCs w:val="16"/>
                <w:color w:val="auto"/>
              </w:rPr>
            </w:pPr>
          </w:p>
        </w:tc>
        <w:tc>
          <w:tcPr>
            <w:tcW w:w="760" w:type="dxa"/>
            <w:vAlign w:val="bottom"/>
            <w:shd w:val="clear" w:color="auto" w:fill="BF2115"/>
          </w:tcPr>
          <w:p>
            <w:pPr>
              <w:jc w:val="center"/>
              <w:spacing w:after="0"/>
              <w:rPr>
                <w:sz w:val="20"/>
                <w:szCs w:val="20"/>
                <w:color w:val="auto"/>
              </w:rPr>
            </w:pPr>
            <w:r>
              <w:rPr>
                <w:rFonts w:ascii="Arial" w:cs="Arial" w:eastAsia="Arial" w:hAnsi="Arial"/>
                <w:sz w:val="11"/>
                <w:szCs w:val="11"/>
                <w:b w:val="1"/>
                <w:bCs w:val="1"/>
                <w:color w:val="FFFFFF"/>
                <w:w w:val="95"/>
              </w:rPr>
              <w:t>Grant</w:t>
            </w:r>
          </w:p>
        </w:tc>
        <w:tc>
          <w:tcPr>
            <w:tcW w:w="720" w:type="dxa"/>
            <w:vAlign w:val="bottom"/>
            <w:shd w:val="clear" w:color="auto" w:fill="BF2115"/>
          </w:tcPr>
          <w:p>
            <w:pPr>
              <w:jc w:val="center"/>
              <w:spacing w:after="0"/>
              <w:rPr>
                <w:sz w:val="20"/>
                <w:szCs w:val="20"/>
                <w:color w:val="auto"/>
              </w:rPr>
            </w:pPr>
            <w:r>
              <w:rPr>
                <w:rFonts w:ascii="Arial" w:cs="Arial" w:eastAsia="Arial" w:hAnsi="Arial"/>
                <w:sz w:val="11"/>
                <w:szCs w:val="11"/>
                <w:b w:val="1"/>
                <w:bCs w:val="1"/>
                <w:color w:val="FFFFFF"/>
                <w:w w:val="96"/>
              </w:rPr>
              <w:t>Approval</w:t>
            </w:r>
          </w:p>
        </w:tc>
        <w:tc>
          <w:tcPr>
            <w:tcW w:w="800" w:type="dxa"/>
            <w:vAlign w:val="bottom"/>
            <w:shd w:val="clear" w:color="auto" w:fill="BF2115"/>
          </w:tcPr>
          <w:p>
            <w:pPr>
              <w:jc w:val="right"/>
              <w:ind w:right="104"/>
              <w:spacing w:after="0"/>
              <w:rPr>
                <w:sz w:val="20"/>
                <w:szCs w:val="20"/>
                <w:color w:val="auto"/>
              </w:rPr>
            </w:pPr>
            <w:r>
              <w:rPr>
                <w:rFonts w:ascii="Arial" w:cs="Arial" w:eastAsia="Arial" w:hAnsi="Arial"/>
                <w:sz w:val="11"/>
                <w:szCs w:val="11"/>
                <w:b w:val="1"/>
                <w:bCs w:val="1"/>
                <w:color w:val="FFFFFF"/>
              </w:rPr>
              <w:t>Threshold</w:t>
            </w:r>
          </w:p>
        </w:tc>
        <w:tc>
          <w:tcPr>
            <w:tcW w:w="840" w:type="dxa"/>
            <w:vAlign w:val="bottom"/>
            <w:shd w:val="clear" w:color="auto" w:fill="BF2115"/>
          </w:tcPr>
          <w:p>
            <w:pPr>
              <w:jc w:val="center"/>
              <w:ind w:right="24"/>
              <w:spacing w:after="0"/>
              <w:rPr>
                <w:sz w:val="20"/>
                <w:szCs w:val="20"/>
                <w:color w:val="auto"/>
              </w:rPr>
            </w:pPr>
            <w:r>
              <w:rPr>
                <w:rFonts w:ascii="Arial" w:cs="Arial" w:eastAsia="Arial" w:hAnsi="Arial"/>
                <w:sz w:val="11"/>
                <w:szCs w:val="11"/>
                <w:b w:val="1"/>
                <w:bCs w:val="1"/>
                <w:color w:val="FFFFFF"/>
                <w:w w:val="95"/>
              </w:rPr>
              <w:t>Target</w:t>
            </w:r>
          </w:p>
        </w:tc>
        <w:tc>
          <w:tcPr>
            <w:tcW w:w="780" w:type="dxa"/>
            <w:vAlign w:val="bottom"/>
            <w:shd w:val="clear" w:color="auto" w:fill="BF2115"/>
          </w:tcPr>
          <w:p>
            <w:pPr>
              <w:jc w:val="right"/>
              <w:ind w:right="163"/>
              <w:spacing w:after="0"/>
              <w:rPr>
                <w:sz w:val="20"/>
                <w:szCs w:val="20"/>
                <w:color w:val="auto"/>
              </w:rPr>
            </w:pPr>
            <w:r>
              <w:rPr>
                <w:rFonts w:ascii="Arial" w:cs="Arial" w:eastAsia="Arial" w:hAnsi="Arial"/>
                <w:sz w:val="11"/>
                <w:szCs w:val="11"/>
                <w:b w:val="1"/>
                <w:bCs w:val="1"/>
                <w:color w:val="FFFFFF"/>
              </w:rPr>
              <w:t>Maximum</w:t>
            </w:r>
          </w:p>
        </w:tc>
        <w:tc>
          <w:tcPr>
            <w:tcW w:w="760" w:type="dxa"/>
            <w:vAlign w:val="bottom"/>
            <w:shd w:val="clear" w:color="auto" w:fill="BF2115"/>
          </w:tcPr>
          <w:p>
            <w:pPr>
              <w:jc w:val="right"/>
              <w:ind w:right="124"/>
              <w:spacing w:after="0"/>
              <w:rPr>
                <w:sz w:val="20"/>
                <w:szCs w:val="20"/>
                <w:color w:val="auto"/>
              </w:rPr>
            </w:pPr>
            <w:r>
              <w:rPr>
                <w:rFonts w:ascii="Arial" w:cs="Arial" w:eastAsia="Arial" w:hAnsi="Arial"/>
                <w:sz w:val="11"/>
                <w:szCs w:val="11"/>
                <w:b w:val="1"/>
                <w:bCs w:val="1"/>
                <w:color w:val="FFFFFF"/>
              </w:rPr>
              <w:t>Threshold</w:t>
            </w:r>
          </w:p>
        </w:tc>
        <w:tc>
          <w:tcPr>
            <w:tcW w:w="680" w:type="dxa"/>
            <w:vAlign w:val="bottom"/>
            <w:shd w:val="clear" w:color="auto" w:fill="BF2115"/>
          </w:tcPr>
          <w:p>
            <w:pPr>
              <w:jc w:val="right"/>
              <w:ind w:right="164"/>
              <w:spacing w:after="0"/>
              <w:rPr>
                <w:sz w:val="20"/>
                <w:szCs w:val="20"/>
                <w:color w:val="auto"/>
              </w:rPr>
            </w:pPr>
            <w:r>
              <w:rPr>
                <w:rFonts w:ascii="Arial" w:cs="Arial" w:eastAsia="Arial" w:hAnsi="Arial"/>
                <w:sz w:val="11"/>
                <w:szCs w:val="11"/>
                <w:b w:val="1"/>
                <w:bCs w:val="1"/>
                <w:color w:val="FFFFFF"/>
              </w:rPr>
              <w:t>Target</w:t>
            </w:r>
          </w:p>
        </w:tc>
        <w:tc>
          <w:tcPr>
            <w:tcW w:w="740" w:type="dxa"/>
            <w:vAlign w:val="bottom"/>
            <w:shd w:val="clear" w:color="auto" w:fill="BF2115"/>
          </w:tcPr>
          <w:p>
            <w:pPr>
              <w:jc w:val="right"/>
              <w:ind w:right="123"/>
              <w:spacing w:after="0"/>
              <w:rPr>
                <w:sz w:val="20"/>
                <w:szCs w:val="20"/>
                <w:color w:val="auto"/>
              </w:rPr>
            </w:pPr>
            <w:r>
              <w:rPr>
                <w:rFonts w:ascii="Arial" w:cs="Arial" w:eastAsia="Arial" w:hAnsi="Arial"/>
                <w:sz w:val="11"/>
                <w:szCs w:val="11"/>
                <w:b w:val="1"/>
                <w:bCs w:val="1"/>
                <w:color w:val="FFFFFF"/>
              </w:rPr>
              <w:t>Maximum</w:t>
            </w:r>
          </w:p>
        </w:tc>
        <w:tc>
          <w:tcPr>
            <w:tcW w:w="780" w:type="dxa"/>
            <w:vAlign w:val="bottom"/>
            <w:shd w:val="clear" w:color="auto" w:fill="BF2115"/>
          </w:tcPr>
          <w:p>
            <w:pPr>
              <w:jc w:val="center"/>
              <w:ind w:right="46"/>
              <w:spacing w:after="0"/>
              <w:rPr>
                <w:sz w:val="20"/>
                <w:szCs w:val="20"/>
                <w:color w:val="auto"/>
              </w:rPr>
            </w:pPr>
            <w:r>
              <w:rPr>
                <w:rFonts w:ascii="Arial" w:cs="Arial" w:eastAsia="Arial" w:hAnsi="Arial"/>
                <w:sz w:val="11"/>
                <w:szCs w:val="11"/>
                <w:b w:val="1"/>
                <w:bCs w:val="1"/>
                <w:color w:val="FFFFFF"/>
                <w:w w:val="98"/>
              </w:rPr>
              <w:t>Units</w:t>
            </w:r>
            <w:r>
              <w:rPr>
                <w:rFonts w:ascii="Arial" w:cs="Arial" w:eastAsia="Arial" w:hAnsi="Arial"/>
                <w:sz w:val="13"/>
                <w:szCs w:val="13"/>
                <w:b w:val="1"/>
                <w:bCs w:val="1"/>
                <w:color w:val="FFFFFF"/>
                <w:w w:val="98"/>
                <w:vertAlign w:val="superscript"/>
              </w:rPr>
              <w:t>3</w:t>
            </w:r>
          </w:p>
        </w:tc>
        <w:tc>
          <w:tcPr>
            <w:tcW w:w="920" w:type="dxa"/>
            <w:vAlign w:val="bottom"/>
            <w:shd w:val="clear" w:color="auto" w:fill="BF2115"/>
          </w:tcPr>
          <w:p>
            <w:pPr>
              <w:jc w:val="center"/>
              <w:ind w:right="65"/>
              <w:spacing w:after="0"/>
              <w:rPr>
                <w:sz w:val="20"/>
                <w:szCs w:val="20"/>
                <w:color w:val="auto"/>
              </w:rPr>
            </w:pPr>
            <w:r>
              <w:rPr>
                <w:rFonts w:ascii="Arial" w:cs="Arial" w:eastAsia="Arial" w:hAnsi="Arial"/>
                <w:sz w:val="11"/>
                <w:szCs w:val="11"/>
                <w:b w:val="1"/>
                <w:bCs w:val="1"/>
                <w:color w:val="FFFFFF"/>
                <w:w w:val="94"/>
              </w:rPr>
              <w:t>Options</w:t>
            </w:r>
            <w:r>
              <w:rPr>
                <w:rFonts w:ascii="Arial" w:cs="Arial" w:eastAsia="Arial" w:hAnsi="Arial"/>
                <w:sz w:val="13"/>
                <w:szCs w:val="13"/>
                <w:b w:val="1"/>
                <w:bCs w:val="1"/>
                <w:color w:val="FFFFFF"/>
                <w:w w:val="94"/>
                <w:vertAlign w:val="superscript"/>
              </w:rPr>
              <w:t>4</w:t>
            </w:r>
          </w:p>
        </w:tc>
        <w:tc>
          <w:tcPr>
            <w:tcW w:w="760" w:type="dxa"/>
            <w:vAlign w:val="bottom"/>
            <w:shd w:val="clear" w:color="auto" w:fill="BF2115"/>
          </w:tcPr>
          <w:p>
            <w:pPr>
              <w:jc w:val="center"/>
              <w:ind w:right="84"/>
              <w:spacing w:after="0"/>
              <w:rPr>
                <w:sz w:val="20"/>
                <w:szCs w:val="20"/>
                <w:color w:val="auto"/>
              </w:rPr>
            </w:pPr>
            <w:r>
              <w:rPr>
                <w:rFonts w:ascii="Arial" w:cs="Arial" w:eastAsia="Arial" w:hAnsi="Arial"/>
                <w:sz w:val="11"/>
                <w:szCs w:val="11"/>
                <w:b w:val="1"/>
                <w:bCs w:val="1"/>
                <w:color w:val="FFFFFF"/>
                <w:w w:val="94"/>
              </w:rPr>
              <w:t>Awards</w:t>
            </w:r>
            <w:r>
              <w:rPr>
                <w:rFonts w:ascii="Arial" w:cs="Arial" w:eastAsia="Arial" w:hAnsi="Arial"/>
                <w:sz w:val="13"/>
                <w:szCs w:val="13"/>
                <w:b w:val="1"/>
                <w:bCs w:val="1"/>
                <w:color w:val="FFFFFF"/>
                <w:w w:val="94"/>
                <w:vertAlign w:val="superscript"/>
              </w:rPr>
              <w:t>5</w:t>
            </w:r>
          </w:p>
        </w:tc>
        <w:tc>
          <w:tcPr>
            <w:tcW w:w="720" w:type="dxa"/>
            <w:vAlign w:val="bottom"/>
            <w:shd w:val="clear" w:color="auto" w:fill="BF2115"/>
          </w:tcPr>
          <w:p>
            <w:pPr>
              <w:jc w:val="center"/>
              <w:ind w:right="4"/>
              <w:spacing w:after="0"/>
              <w:rPr>
                <w:sz w:val="20"/>
                <w:szCs w:val="20"/>
                <w:color w:val="auto"/>
              </w:rPr>
            </w:pPr>
            <w:r>
              <w:rPr>
                <w:rFonts w:ascii="Arial" w:cs="Arial" w:eastAsia="Arial" w:hAnsi="Arial"/>
                <w:sz w:val="11"/>
                <w:szCs w:val="11"/>
                <w:b w:val="1"/>
                <w:bCs w:val="1"/>
                <w:color w:val="FFFFFF"/>
                <w:w w:val="94"/>
              </w:rPr>
              <w:t>Awards</w:t>
            </w:r>
            <w:r>
              <w:rPr>
                <w:rFonts w:ascii="Arial" w:cs="Arial" w:eastAsia="Arial" w:hAnsi="Arial"/>
                <w:sz w:val="13"/>
                <w:szCs w:val="13"/>
                <w:b w:val="1"/>
                <w:bCs w:val="1"/>
                <w:color w:val="FFFFFF"/>
                <w:w w:val="94"/>
                <w:vertAlign w:val="superscript"/>
              </w:rPr>
              <w:t>6</w:t>
            </w:r>
          </w:p>
        </w:tc>
      </w:tr>
      <w:tr>
        <w:trPr>
          <w:trHeight w:val="160"/>
        </w:trPr>
        <w:tc>
          <w:tcPr>
            <w:tcW w:w="1680" w:type="dxa"/>
            <w:vAlign w:val="bottom"/>
            <w:shd w:val="clear" w:color="auto" w:fill="BF2115"/>
          </w:tcPr>
          <w:p>
            <w:pPr>
              <w:ind w:left="20"/>
              <w:spacing w:after="0"/>
              <w:rPr>
                <w:sz w:val="20"/>
                <w:szCs w:val="20"/>
                <w:color w:val="auto"/>
              </w:rPr>
            </w:pPr>
            <w:r>
              <w:rPr>
                <w:rFonts w:ascii="Arial" w:cs="Arial" w:eastAsia="Arial" w:hAnsi="Arial"/>
                <w:sz w:val="11"/>
                <w:szCs w:val="11"/>
                <w:b w:val="1"/>
                <w:bCs w:val="1"/>
                <w:color w:val="FFFFFF"/>
              </w:rPr>
              <w:t>Name</w:t>
            </w:r>
          </w:p>
        </w:tc>
        <w:tc>
          <w:tcPr>
            <w:tcW w:w="760" w:type="dxa"/>
            <w:vAlign w:val="bottom"/>
            <w:shd w:val="clear" w:color="auto" w:fill="BF2115"/>
          </w:tcPr>
          <w:p>
            <w:pPr>
              <w:jc w:val="center"/>
              <w:spacing w:after="0"/>
              <w:rPr>
                <w:sz w:val="20"/>
                <w:szCs w:val="20"/>
                <w:color w:val="auto"/>
              </w:rPr>
            </w:pPr>
            <w:r>
              <w:rPr>
                <w:rFonts w:ascii="Arial" w:cs="Arial" w:eastAsia="Arial" w:hAnsi="Arial"/>
                <w:sz w:val="11"/>
                <w:szCs w:val="11"/>
                <w:b w:val="1"/>
                <w:bCs w:val="1"/>
                <w:color w:val="FFFFFF"/>
              </w:rPr>
              <w:t>Date</w:t>
            </w:r>
          </w:p>
        </w:tc>
        <w:tc>
          <w:tcPr>
            <w:tcW w:w="720" w:type="dxa"/>
            <w:vAlign w:val="bottom"/>
            <w:shd w:val="clear" w:color="auto" w:fill="BF2115"/>
          </w:tcPr>
          <w:p>
            <w:pPr>
              <w:jc w:val="center"/>
              <w:spacing w:after="0"/>
              <w:rPr>
                <w:sz w:val="20"/>
                <w:szCs w:val="20"/>
                <w:color w:val="auto"/>
              </w:rPr>
            </w:pPr>
            <w:r>
              <w:rPr>
                <w:rFonts w:ascii="Arial" w:cs="Arial" w:eastAsia="Arial" w:hAnsi="Arial"/>
                <w:sz w:val="11"/>
                <w:szCs w:val="11"/>
                <w:b w:val="1"/>
                <w:bCs w:val="1"/>
                <w:color w:val="FFFFFF"/>
              </w:rPr>
              <w:t>Date</w:t>
            </w:r>
          </w:p>
        </w:tc>
        <w:tc>
          <w:tcPr>
            <w:tcW w:w="800" w:type="dxa"/>
            <w:vAlign w:val="bottom"/>
            <w:shd w:val="clear" w:color="auto" w:fill="BF2115"/>
          </w:tcPr>
          <w:p>
            <w:pPr>
              <w:jc w:val="right"/>
              <w:ind w:right="284"/>
              <w:spacing w:after="0"/>
              <w:rPr>
                <w:sz w:val="20"/>
                <w:szCs w:val="20"/>
                <w:color w:val="auto"/>
              </w:rPr>
            </w:pPr>
            <w:r>
              <w:rPr>
                <w:rFonts w:ascii="Arial" w:cs="Arial" w:eastAsia="Arial" w:hAnsi="Arial"/>
                <w:sz w:val="11"/>
                <w:szCs w:val="11"/>
                <w:b w:val="1"/>
                <w:bCs w:val="1"/>
                <w:color w:val="FFFFFF"/>
              </w:rPr>
              <w:t>($)</w:t>
            </w:r>
          </w:p>
        </w:tc>
        <w:tc>
          <w:tcPr>
            <w:tcW w:w="840" w:type="dxa"/>
            <w:vAlign w:val="bottom"/>
            <w:shd w:val="clear" w:color="auto" w:fill="BF2115"/>
          </w:tcPr>
          <w:p>
            <w:pPr>
              <w:jc w:val="center"/>
              <w:ind w:right="24"/>
              <w:spacing w:after="0"/>
              <w:rPr>
                <w:sz w:val="20"/>
                <w:szCs w:val="20"/>
                <w:color w:val="auto"/>
              </w:rPr>
            </w:pPr>
            <w:r>
              <w:rPr>
                <w:rFonts w:ascii="Arial" w:cs="Arial" w:eastAsia="Arial" w:hAnsi="Arial"/>
                <w:sz w:val="11"/>
                <w:szCs w:val="11"/>
                <w:b w:val="1"/>
                <w:bCs w:val="1"/>
                <w:color w:val="FFFFFF"/>
                <w:w w:val="88"/>
              </w:rPr>
              <w:t>($)</w:t>
            </w:r>
          </w:p>
        </w:tc>
        <w:tc>
          <w:tcPr>
            <w:tcW w:w="780" w:type="dxa"/>
            <w:vAlign w:val="bottom"/>
            <w:shd w:val="clear" w:color="auto" w:fill="BF2115"/>
          </w:tcPr>
          <w:p>
            <w:pPr>
              <w:jc w:val="right"/>
              <w:ind w:right="343"/>
              <w:spacing w:after="0"/>
              <w:rPr>
                <w:sz w:val="20"/>
                <w:szCs w:val="20"/>
                <w:color w:val="auto"/>
              </w:rPr>
            </w:pPr>
            <w:r>
              <w:rPr>
                <w:rFonts w:ascii="Arial" w:cs="Arial" w:eastAsia="Arial" w:hAnsi="Arial"/>
                <w:sz w:val="11"/>
                <w:szCs w:val="11"/>
                <w:b w:val="1"/>
                <w:bCs w:val="1"/>
                <w:color w:val="FFFFFF"/>
              </w:rPr>
              <w:t>($)</w:t>
            </w:r>
          </w:p>
        </w:tc>
        <w:tc>
          <w:tcPr>
            <w:tcW w:w="760" w:type="dxa"/>
            <w:vAlign w:val="bottom"/>
            <w:shd w:val="clear" w:color="auto" w:fill="BF2115"/>
          </w:tcPr>
          <w:p>
            <w:pPr>
              <w:jc w:val="right"/>
              <w:ind w:right="304"/>
              <w:spacing w:after="0"/>
              <w:rPr>
                <w:sz w:val="20"/>
                <w:szCs w:val="20"/>
                <w:color w:val="auto"/>
              </w:rPr>
            </w:pPr>
            <w:r>
              <w:rPr>
                <w:rFonts w:ascii="Arial" w:cs="Arial" w:eastAsia="Arial" w:hAnsi="Arial"/>
                <w:sz w:val="11"/>
                <w:szCs w:val="11"/>
                <w:b w:val="1"/>
                <w:bCs w:val="1"/>
                <w:color w:val="FFFFFF"/>
              </w:rPr>
              <w:t>(#)</w:t>
            </w:r>
          </w:p>
        </w:tc>
        <w:tc>
          <w:tcPr>
            <w:tcW w:w="680" w:type="dxa"/>
            <w:vAlign w:val="bottom"/>
            <w:shd w:val="clear" w:color="auto" w:fill="BF2115"/>
          </w:tcPr>
          <w:p>
            <w:pPr>
              <w:jc w:val="right"/>
              <w:ind w:right="264"/>
              <w:spacing w:after="0"/>
              <w:rPr>
                <w:sz w:val="20"/>
                <w:szCs w:val="20"/>
                <w:color w:val="auto"/>
              </w:rPr>
            </w:pPr>
            <w:r>
              <w:rPr>
                <w:rFonts w:ascii="Arial" w:cs="Arial" w:eastAsia="Arial" w:hAnsi="Arial"/>
                <w:sz w:val="11"/>
                <w:szCs w:val="11"/>
                <w:b w:val="1"/>
                <w:bCs w:val="1"/>
                <w:color w:val="FFFFFF"/>
              </w:rPr>
              <w:t>(#)</w:t>
            </w:r>
          </w:p>
        </w:tc>
        <w:tc>
          <w:tcPr>
            <w:tcW w:w="740" w:type="dxa"/>
            <w:vAlign w:val="bottom"/>
            <w:shd w:val="clear" w:color="auto" w:fill="BF2115"/>
          </w:tcPr>
          <w:p>
            <w:pPr>
              <w:jc w:val="right"/>
              <w:ind w:right="303"/>
              <w:spacing w:after="0"/>
              <w:rPr>
                <w:sz w:val="20"/>
                <w:szCs w:val="20"/>
                <w:color w:val="auto"/>
              </w:rPr>
            </w:pPr>
            <w:r>
              <w:rPr>
                <w:rFonts w:ascii="Arial" w:cs="Arial" w:eastAsia="Arial" w:hAnsi="Arial"/>
                <w:sz w:val="11"/>
                <w:szCs w:val="11"/>
                <w:b w:val="1"/>
                <w:bCs w:val="1"/>
                <w:color w:val="FFFFFF"/>
              </w:rPr>
              <w:t>(#)</w:t>
            </w:r>
          </w:p>
        </w:tc>
        <w:tc>
          <w:tcPr>
            <w:tcW w:w="780" w:type="dxa"/>
            <w:vAlign w:val="bottom"/>
            <w:shd w:val="clear" w:color="auto" w:fill="BF2115"/>
          </w:tcPr>
          <w:p>
            <w:pPr>
              <w:jc w:val="center"/>
              <w:ind w:right="46"/>
              <w:spacing w:after="0"/>
              <w:rPr>
                <w:sz w:val="20"/>
                <w:szCs w:val="20"/>
                <w:color w:val="auto"/>
              </w:rPr>
            </w:pPr>
            <w:r>
              <w:rPr>
                <w:rFonts w:ascii="Arial" w:cs="Arial" w:eastAsia="Arial" w:hAnsi="Arial"/>
                <w:sz w:val="11"/>
                <w:szCs w:val="11"/>
                <w:b w:val="1"/>
                <w:bCs w:val="1"/>
                <w:color w:val="FFFFFF"/>
                <w:w w:val="88"/>
              </w:rPr>
              <w:t>(#)</w:t>
            </w:r>
          </w:p>
        </w:tc>
        <w:tc>
          <w:tcPr>
            <w:tcW w:w="920" w:type="dxa"/>
            <w:vAlign w:val="bottom"/>
            <w:shd w:val="clear" w:color="auto" w:fill="BF2115"/>
          </w:tcPr>
          <w:p>
            <w:pPr>
              <w:jc w:val="center"/>
              <w:ind w:right="85"/>
              <w:spacing w:after="0"/>
              <w:rPr>
                <w:sz w:val="20"/>
                <w:szCs w:val="20"/>
                <w:color w:val="auto"/>
              </w:rPr>
            </w:pPr>
            <w:r>
              <w:rPr>
                <w:rFonts w:ascii="Arial" w:cs="Arial" w:eastAsia="Arial" w:hAnsi="Arial"/>
                <w:sz w:val="11"/>
                <w:szCs w:val="11"/>
                <w:b w:val="1"/>
                <w:bCs w:val="1"/>
                <w:color w:val="FFFFFF"/>
              </w:rPr>
              <w:t>(#)</w:t>
            </w:r>
          </w:p>
        </w:tc>
        <w:tc>
          <w:tcPr>
            <w:tcW w:w="760" w:type="dxa"/>
            <w:vAlign w:val="bottom"/>
            <w:shd w:val="clear" w:color="auto" w:fill="BF2115"/>
          </w:tcPr>
          <w:p>
            <w:pPr>
              <w:jc w:val="center"/>
              <w:ind w:right="84"/>
              <w:spacing w:after="0"/>
              <w:rPr>
                <w:sz w:val="20"/>
                <w:szCs w:val="20"/>
                <w:color w:val="auto"/>
              </w:rPr>
            </w:pPr>
            <w:r>
              <w:rPr>
                <w:rFonts w:ascii="Arial" w:cs="Arial" w:eastAsia="Arial" w:hAnsi="Arial"/>
                <w:sz w:val="11"/>
                <w:szCs w:val="11"/>
                <w:b w:val="1"/>
                <w:bCs w:val="1"/>
                <w:color w:val="FFFFFF"/>
                <w:w w:val="98"/>
              </w:rPr>
              <w:t>($/Sh)</w:t>
            </w:r>
          </w:p>
        </w:tc>
        <w:tc>
          <w:tcPr>
            <w:tcW w:w="720" w:type="dxa"/>
            <w:vAlign w:val="bottom"/>
            <w:shd w:val="clear" w:color="auto" w:fill="BF2115"/>
          </w:tcPr>
          <w:p>
            <w:pPr>
              <w:jc w:val="center"/>
              <w:ind w:right="4"/>
              <w:spacing w:after="0"/>
              <w:rPr>
                <w:sz w:val="20"/>
                <w:szCs w:val="20"/>
                <w:color w:val="auto"/>
              </w:rPr>
            </w:pPr>
            <w:r>
              <w:rPr>
                <w:rFonts w:ascii="Arial" w:cs="Arial" w:eastAsia="Arial" w:hAnsi="Arial"/>
                <w:sz w:val="11"/>
                <w:szCs w:val="11"/>
                <w:b w:val="1"/>
                <w:bCs w:val="1"/>
                <w:color w:val="FFFFFF"/>
              </w:rPr>
              <w:t>($)</w:t>
            </w:r>
          </w:p>
        </w:tc>
      </w:tr>
      <w:tr>
        <w:trPr>
          <w:trHeight w:val="156"/>
        </w:trPr>
        <w:tc>
          <w:tcPr>
            <w:tcW w:w="1680" w:type="dxa"/>
            <w:vAlign w:val="bottom"/>
          </w:tcPr>
          <w:p>
            <w:pPr>
              <w:ind w:left="20"/>
              <w:spacing w:after="0"/>
              <w:rPr>
                <w:sz w:val="20"/>
                <w:szCs w:val="20"/>
                <w:color w:val="auto"/>
              </w:rPr>
            </w:pPr>
            <w:r>
              <w:rPr>
                <w:rFonts w:ascii="Arial" w:cs="Arial" w:eastAsia="Arial" w:hAnsi="Arial"/>
                <w:sz w:val="12"/>
                <w:szCs w:val="12"/>
                <w:color w:val="auto"/>
              </w:rPr>
              <w:t>Richard M. Olson</w:t>
            </w:r>
          </w:p>
        </w:tc>
        <w:tc>
          <w:tcPr>
            <w:tcW w:w="7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20" w:type="dxa"/>
            <w:vAlign w:val="bottom"/>
          </w:tcPr>
          <w:p>
            <w:pPr>
              <w:spacing w:after="0"/>
              <w:rPr>
                <w:sz w:val="13"/>
                <w:szCs w:val="13"/>
                <w:color w:val="auto"/>
              </w:rPr>
            </w:pPr>
          </w:p>
        </w:tc>
      </w:tr>
      <w:tr>
        <w:trPr>
          <w:trHeight w:val="187"/>
        </w:trPr>
        <w:tc>
          <w:tcPr>
            <w:tcW w:w="1680" w:type="dxa"/>
            <w:vAlign w:val="bottom"/>
          </w:tcPr>
          <w:p>
            <w:pPr>
              <w:ind w:left="140"/>
              <w:spacing w:after="0"/>
              <w:rPr>
                <w:sz w:val="20"/>
                <w:szCs w:val="20"/>
                <w:color w:val="auto"/>
              </w:rPr>
            </w:pPr>
            <w:r>
              <w:rPr>
                <w:rFonts w:ascii="Arial" w:cs="Arial" w:eastAsia="Arial" w:hAnsi="Arial"/>
                <w:sz w:val="12"/>
                <w:szCs w:val="12"/>
                <w:color w:val="auto"/>
              </w:rPr>
              <w:t>Annual Cash Incentive</w:t>
            </w:r>
          </w:p>
        </w:tc>
        <w:tc>
          <w:tcPr>
            <w:tcW w:w="7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2"/>
                <w:szCs w:val="12"/>
                <w:color w:val="auto"/>
              </w:rPr>
              <w:t>610,797</w:t>
            </w:r>
          </w:p>
        </w:tc>
        <w:tc>
          <w:tcPr>
            <w:tcW w:w="840" w:type="dxa"/>
            <w:vAlign w:val="bottom"/>
          </w:tcPr>
          <w:p>
            <w:pPr>
              <w:jc w:val="right"/>
              <w:ind w:right="24"/>
              <w:spacing w:after="0"/>
              <w:rPr>
                <w:sz w:val="20"/>
                <w:szCs w:val="20"/>
                <w:color w:val="auto"/>
              </w:rPr>
            </w:pPr>
            <w:r>
              <w:rPr>
                <w:rFonts w:ascii="Arial" w:cs="Arial" w:eastAsia="Arial" w:hAnsi="Arial"/>
                <w:sz w:val="12"/>
                <w:szCs w:val="12"/>
                <w:color w:val="auto"/>
              </w:rPr>
              <w:t>1,526,992</w:t>
            </w:r>
          </w:p>
        </w:tc>
        <w:tc>
          <w:tcPr>
            <w:tcW w:w="780" w:type="dxa"/>
            <w:vAlign w:val="bottom"/>
          </w:tcPr>
          <w:p>
            <w:pPr>
              <w:jc w:val="right"/>
              <w:ind w:right="23"/>
              <w:spacing w:after="0"/>
              <w:rPr>
                <w:sz w:val="20"/>
                <w:szCs w:val="20"/>
                <w:color w:val="auto"/>
              </w:rPr>
            </w:pPr>
            <w:r>
              <w:rPr>
                <w:rFonts w:ascii="Arial" w:cs="Arial" w:eastAsia="Arial" w:hAnsi="Arial"/>
                <w:sz w:val="12"/>
                <w:szCs w:val="12"/>
                <w:color w:val="auto"/>
              </w:rPr>
              <w:t>3,053,983</w:t>
            </w:r>
          </w:p>
        </w:tc>
        <w:tc>
          <w:tcPr>
            <w:tcW w:w="7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20" w:type="dxa"/>
            <w:vAlign w:val="bottom"/>
          </w:tcPr>
          <w:p>
            <w:pPr>
              <w:spacing w:after="0"/>
              <w:rPr>
                <w:sz w:val="16"/>
                <w:szCs w:val="16"/>
                <w:color w:val="auto"/>
              </w:rPr>
            </w:pPr>
          </w:p>
        </w:tc>
      </w:tr>
      <w:tr>
        <w:trPr>
          <w:trHeight w:val="187"/>
        </w:trPr>
        <w:tc>
          <w:tcPr>
            <w:tcW w:w="1680" w:type="dxa"/>
            <w:vAlign w:val="bottom"/>
          </w:tcPr>
          <w:p>
            <w:pPr>
              <w:ind w:left="140"/>
              <w:spacing w:after="0"/>
              <w:rPr>
                <w:sz w:val="20"/>
                <w:szCs w:val="20"/>
                <w:color w:val="auto"/>
              </w:rPr>
            </w:pPr>
            <w:r>
              <w:rPr>
                <w:rFonts w:ascii="Arial" w:cs="Arial" w:eastAsia="Arial" w:hAnsi="Arial"/>
                <w:sz w:val="12"/>
                <w:szCs w:val="12"/>
                <w:color w:val="auto"/>
              </w:rPr>
              <w:t>Performance Shares</w:t>
            </w:r>
          </w:p>
        </w:tc>
        <w:tc>
          <w:tcPr>
            <w:tcW w:w="760" w:type="dxa"/>
            <w:vAlign w:val="bottom"/>
          </w:tcPr>
          <w:p>
            <w:pPr>
              <w:jc w:val="center"/>
              <w:spacing w:after="0"/>
              <w:rPr>
                <w:sz w:val="20"/>
                <w:szCs w:val="20"/>
                <w:color w:val="auto"/>
              </w:rPr>
            </w:pPr>
            <w:r>
              <w:rPr>
                <w:rFonts w:ascii="Arial" w:cs="Arial" w:eastAsia="Arial" w:hAnsi="Arial"/>
                <w:sz w:val="12"/>
                <w:szCs w:val="12"/>
                <w:color w:val="auto"/>
                <w:w w:val="94"/>
              </w:rPr>
              <w:t>12/26/23</w:t>
            </w:r>
          </w:p>
        </w:tc>
        <w:tc>
          <w:tcPr>
            <w:tcW w:w="720" w:type="dxa"/>
            <w:vAlign w:val="bottom"/>
          </w:tcPr>
          <w:p>
            <w:pPr>
              <w:jc w:val="center"/>
              <w:spacing w:after="0"/>
              <w:rPr>
                <w:sz w:val="20"/>
                <w:szCs w:val="20"/>
                <w:color w:val="auto"/>
              </w:rPr>
            </w:pPr>
            <w:r>
              <w:rPr>
                <w:rFonts w:ascii="Arial" w:cs="Arial" w:eastAsia="Arial" w:hAnsi="Arial"/>
                <w:sz w:val="12"/>
                <w:szCs w:val="12"/>
                <w:color w:val="auto"/>
                <w:w w:val="94"/>
              </w:rPr>
              <w:t>12/12/23</w:t>
            </w:r>
          </w:p>
        </w:tc>
        <w:tc>
          <w:tcPr>
            <w:tcW w:w="8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60" w:type="dxa"/>
            <w:vAlign w:val="bottom"/>
          </w:tcPr>
          <w:p>
            <w:pPr>
              <w:jc w:val="right"/>
              <w:ind w:right="4"/>
              <w:spacing w:after="0"/>
              <w:rPr>
                <w:sz w:val="20"/>
                <w:szCs w:val="20"/>
                <w:color w:val="auto"/>
              </w:rPr>
            </w:pPr>
            <w:r>
              <w:rPr>
                <w:rFonts w:ascii="Arial" w:cs="Arial" w:eastAsia="Arial" w:hAnsi="Arial"/>
                <w:sz w:val="12"/>
                <w:szCs w:val="12"/>
                <w:color w:val="auto"/>
              </w:rPr>
              <w:t>12,880</w:t>
            </w:r>
          </w:p>
        </w:tc>
        <w:tc>
          <w:tcPr>
            <w:tcW w:w="680" w:type="dxa"/>
            <w:vAlign w:val="bottom"/>
          </w:tcPr>
          <w:p>
            <w:pPr>
              <w:jc w:val="right"/>
              <w:ind w:right="24"/>
              <w:spacing w:after="0"/>
              <w:rPr>
                <w:sz w:val="20"/>
                <w:szCs w:val="20"/>
                <w:color w:val="auto"/>
              </w:rPr>
            </w:pPr>
            <w:r>
              <w:rPr>
                <w:rFonts w:ascii="Arial" w:cs="Arial" w:eastAsia="Arial" w:hAnsi="Arial"/>
                <w:sz w:val="12"/>
                <w:szCs w:val="12"/>
                <w:color w:val="auto"/>
              </w:rPr>
              <w:t>32,200</w:t>
            </w:r>
          </w:p>
        </w:tc>
        <w:tc>
          <w:tcPr>
            <w:tcW w:w="740" w:type="dxa"/>
            <w:vAlign w:val="bottom"/>
          </w:tcPr>
          <w:p>
            <w:pPr>
              <w:jc w:val="right"/>
              <w:ind w:right="23"/>
              <w:spacing w:after="0"/>
              <w:rPr>
                <w:sz w:val="20"/>
                <w:szCs w:val="20"/>
                <w:color w:val="auto"/>
              </w:rPr>
            </w:pPr>
            <w:r>
              <w:rPr>
                <w:rFonts w:ascii="Arial" w:cs="Arial" w:eastAsia="Arial" w:hAnsi="Arial"/>
                <w:sz w:val="12"/>
                <w:szCs w:val="12"/>
                <w:color w:val="auto"/>
              </w:rPr>
              <w:t>64,400</w:t>
            </w:r>
          </w:p>
        </w:tc>
        <w:tc>
          <w:tcPr>
            <w:tcW w:w="7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2"/>
                <w:szCs w:val="12"/>
                <w:color w:val="auto"/>
              </w:rPr>
              <w:t>3,207,120</w:t>
            </w:r>
          </w:p>
        </w:tc>
      </w:tr>
      <w:tr>
        <w:trPr>
          <w:trHeight w:val="187"/>
        </w:trPr>
        <w:tc>
          <w:tcPr>
            <w:tcW w:w="1680" w:type="dxa"/>
            <w:vAlign w:val="bottom"/>
          </w:tcPr>
          <w:p>
            <w:pPr>
              <w:ind w:left="140"/>
              <w:spacing w:after="0"/>
              <w:rPr>
                <w:sz w:val="20"/>
                <w:szCs w:val="20"/>
                <w:color w:val="auto"/>
              </w:rPr>
            </w:pPr>
            <w:r>
              <w:rPr>
                <w:rFonts w:ascii="Arial" w:cs="Arial" w:eastAsia="Arial" w:hAnsi="Arial"/>
                <w:sz w:val="12"/>
                <w:szCs w:val="12"/>
                <w:color w:val="auto"/>
              </w:rPr>
              <w:t>Stock Options</w:t>
            </w:r>
          </w:p>
        </w:tc>
        <w:tc>
          <w:tcPr>
            <w:tcW w:w="760" w:type="dxa"/>
            <w:vAlign w:val="bottom"/>
          </w:tcPr>
          <w:p>
            <w:pPr>
              <w:jc w:val="center"/>
              <w:spacing w:after="0"/>
              <w:rPr>
                <w:sz w:val="20"/>
                <w:szCs w:val="20"/>
                <w:color w:val="auto"/>
              </w:rPr>
            </w:pPr>
            <w:r>
              <w:rPr>
                <w:rFonts w:ascii="Arial" w:cs="Arial" w:eastAsia="Arial" w:hAnsi="Arial"/>
                <w:sz w:val="12"/>
                <w:szCs w:val="12"/>
                <w:color w:val="auto"/>
                <w:w w:val="94"/>
              </w:rPr>
              <w:t>12/26/23</w:t>
            </w:r>
          </w:p>
        </w:tc>
        <w:tc>
          <w:tcPr>
            <w:tcW w:w="720" w:type="dxa"/>
            <w:vAlign w:val="bottom"/>
          </w:tcPr>
          <w:p>
            <w:pPr>
              <w:jc w:val="center"/>
              <w:spacing w:after="0"/>
              <w:rPr>
                <w:sz w:val="20"/>
                <w:szCs w:val="20"/>
                <w:color w:val="auto"/>
              </w:rPr>
            </w:pPr>
            <w:r>
              <w:rPr>
                <w:rFonts w:ascii="Arial" w:cs="Arial" w:eastAsia="Arial" w:hAnsi="Arial"/>
                <w:sz w:val="12"/>
                <w:szCs w:val="12"/>
                <w:color w:val="auto"/>
                <w:w w:val="94"/>
              </w:rPr>
              <w:t>12/12/23</w:t>
            </w:r>
          </w:p>
        </w:tc>
        <w:tc>
          <w:tcPr>
            <w:tcW w:w="8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920" w:type="dxa"/>
            <w:vAlign w:val="bottom"/>
          </w:tcPr>
          <w:p>
            <w:pPr>
              <w:jc w:val="right"/>
              <w:ind w:right="45"/>
              <w:spacing w:after="0"/>
              <w:rPr>
                <w:sz w:val="20"/>
                <w:szCs w:val="20"/>
                <w:color w:val="auto"/>
              </w:rPr>
            </w:pPr>
            <w:r>
              <w:rPr>
                <w:rFonts w:ascii="Arial" w:cs="Arial" w:eastAsia="Arial" w:hAnsi="Arial"/>
                <w:sz w:val="12"/>
                <w:szCs w:val="12"/>
                <w:color w:val="auto"/>
              </w:rPr>
              <w:t>101,300</w:t>
            </w:r>
          </w:p>
        </w:tc>
        <w:tc>
          <w:tcPr>
            <w:tcW w:w="760" w:type="dxa"/>
            <w:vAlign w:val="bottom"/>
          </w:tcPr>
          <w:p>
            <w:pPr>
              <w:jc w:val="right"/>
              <w:ind w:right="24"/>
              <w:spacing w:after="0"/>
              <w:rPr>
                <w:sz w:val="20"/>
                <w:szCs w:val="20"/>
                <w:color w:val="auto"/>
              </w:rPr>
            </w:pPr>
            <w:r>
              <w:rPr>
                <w:rFonts w:ascii="Arial" w:cs="Arial" w:eastAsia="Arial" w:hAnsi="Arial"/>
                <w:sz w:val="12"/>
                <w:szCs w:val="12"/>
                <w:color w:val="auto"/>
              </w:rPr>
              <w:t>99.60</w:t>
            </w:r>
          </w:p>
        </w:tc>
        <w:tc>
          <w:tcPr>
            <w:tcW w:w="720" w:type="dxa"/>
            <w:vAlign w:val="bottom"/>
          </w:tcPr>
          <w:p>
            <w:pPr>
              <w:jc w:val="right"/>
              <w:spacing w:after="0"/>
              <w:rPr>
                <w:sz w:val="20"/>
                <w:szCs w:val="20"/>
                <w:color w:val="auto"/>
              </w:rPr>
            </w:pPr>
            <w:r>
              <w:rPr>
                <w:rFonts w:ascii="Arial" w:cs="Arial" w:eastAsia="Arial" w:hAnsi="Arial"/>
                <w:sz w:val="12"/>
                <w:szCs w:val="12"/>
                <w:color w:val="auto"/>
              </w:rPr>
              <w:t>3,162,586</w:t>
            </w:r>
          </w:p>
        </w:tc>
      </w:tr>
      <w:tr>
        <w:trPr>
          <w:trHeight w:val="31"/>
        </w:trPr>
        <w:tc>
          <w:tcPr>
            <w:tcW w:w="1680" w:type="dxa"/>
            <w:vAlign w:val="bottom"/>
          </w:tcPr>
          <w:p>
            <w:pPr>
              <w:spacing w:after="0"/>
              <w:rPr>
                <w:sz w:val="2"/>
                <w:szCs w:val="2"/>
                <w:color w:val="auto"/>
              </w:rPr>
            </w:pPr>
          </w:p>
        </w:tc>
        <w:tc>
          <w:tcPr>
            <w:tcW w:w="76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0" w:type="dxa"/>
            <w:vAlign w:val="bottom"/>
          </w:tcPr>
          <w:p>
            <w:pPr>
              <w:spacing w:after="0"/>
              <w:rPr>
                <w:sz w:val="2"/>
                <w:szCs w:val="2"/>
                <w:color w:val="auto"/>
              </w:rPr>
            </w:pPr>
          </w:p>
        </w:tc>
        <w:tc>
          <w:tcPr>
            <w:tcW w:w="840" w:type="dxa"/>
            <w:vAlign w:val="bottom"/>
          </w:tcPr>
          <w:p>
            <w:pPr>
              <w:spacing w:after="0"/>
              <w:rPr>
                <w:sz w:val="2"/>
                <w:szCs w:val="2"/>
                <w:color w:val="auto"/>
              </w:rPr>
            </w:pPr>
          </w:p>
        </w:tc>
        <w:tc>
          <w:tcPr>
            <w:tcW w:w="780" w:type="dxa"/>
            <w:vAlign w:val="bottom"/>
          </w:tcPr>
          <w:p>
            <w:pPr>
              <w:spacing w:after="0"/>
              <w:rPr>
                <w:sz w:val="2"/>
                <w:szCs w:val="2"/>
                <w:color w:val="auto"/>
              </w:rPr>
            </w:pPr>
          </w:p>
        </w:tc>
        <w:tc>
          <w:tcPr>
            <w:tcW w:w="760" w:type="dxa"/>
            <w:vAlign w:val="bottom"/>
          </w:tcPr>
          <w:p>
            <w:pPr>
              <w:spacing w:after="0"/>
              <w:rPr>
                <w:sz w:val="2"/>
                <w:szCs w:val="2"/>
                <w:color w:val="auto"/>
              </w:rPr>
            </w:pPr>
          </w:p>
        </w:tc>
        <w:tc>
          <w:tcPr>
            <w:tcW w:w="680" w:type="dxa"/>
            <w:vAlign w:val="bottom"/>
          </w:tcPr>
          <w:p>
            <w:pPr>
              <w:spacing w:after="0"/>
              <w:rPr>
                <w:sz w:val="2"/>
                <w:szCs w:val="2"/>
                <w:color w:val="auto"/>
              </w:rPr>
            </w:pPr>
          </w:p>
        </w:tc>
        <w:tc>
          <w:tcPr>
            <w:tcW w:w="740" w:type="dxa"/>
            <w:vAlign w:val="bottom"/>
          </w:tcPr>
          <w:p>
            <w:pPr>
              <w:spacing w:after="0"/>
              <w:rPr>
                <w:sz w:val="2"/>
                <w:szCs w:val="2"/>
                <w:color w:val="auto"/>
              </w:rPr>
            </w:pPr>
          </w:p>
        </w:tc>
        <w:tc>
          <w:tcPr>
            <w:tcW w:w="780" w:type="dxa"/>
            <w:vAlign w:val="bottom"/>
          </w:tcPr>
          <w:p>
            <w:pPr>
              <w:spacing w:after="0"/>
              <w:rPr>
                <w:sz w:val="2"/>
                <w:szCs w:val="2"/>
                <w:color w:val="auto"/>
              </w:rPr>
            </w:pPr>
          </w:p>
        </w:tc>
        <w:tc>
          <w:tcPr>
            <w:tcW w:w="920" w:type="dxa"/>
            <w:vAlign w:val="bottom"/>
          </w:tcPr>
          <w:p>
            <w:pPr>
              <w:spacing w:after="0"/>
              <w:rPr>
                <w:sz w:val="2"/>
                <w:szCs w:val="2"/>
                <w:color w:val="auto"/>
              </w:rPr>
            </w:pPr>
          </w:p>
        </w:tc>
        <w:tc>
          <w:tcPr>
            <w:tcW w:w="76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156"/>
        </w:trPr>
        <w:tc>
          <w:tcPr>
            <w:tcW w:w="1680" w:type="dxa"/>
            <w:vAlign w:val="bottom"/>
            <w:shd w:val="clear" w:color="auto" w:fill="DBDBDB"/>
          </w:tcPr>
          <w:p>
            <w:pPr>
              <w:ind w:left="20"/>
              <w:spacing w:after="0"/>
              <w:rPr>
                <w:sz w:val="20"/>
                <w:szCs w:val="20"/>
                <w:color w:val="auto"/>
              </w:rPr>
            </w:pPr>
            <w:r>
              <w:rPr>
                <w:rFonts w:ascii="Arial" w:cs="Arial" w:eastAsia="Arial" w:hAnsi="Arial"/>
                <w:sz w:val="12"/>
                <w:szCs w:val="12"/>
                <w:color w:val="auto"/>
              </w:rPr>
              <w:t>Angela C. Drake</w:t>
            </w:r>
          </w:p>
        </w:tc>
        <w:tc>
          <w:tcPr>
            <w:tcW w:w="760" w:type="dxa"/>
            <w:vAlign w:val="bottom"/>
            <w:shd w:val="clear" w:color="auto" w:fill="DBDBDB"/>
          </w:tcPr>
          <w:p>
            <w:pPr>
              <w:spacing w:after="0"/>
              <w:rPr>
                <w:sz w:val="13"/>
                <w:szCs w:val="13"/>
                <w:color w:val="auto"/>
              </w:rPr>
            </w:pPr>
          </w:p>
        </w:tc>
        <w:tc>
          <w:tcPr>
            <w:tcW w:w="720" w:type="dxa"/>
            <w:vAlign w:val="bottom"/>
            <w:shd w:val="clear" w:color="auto" w:fill="DBDBDB"/>
          </w:tcPr>
          <w:p>
            <w:pPr>
              <w:spacing w:after="0"/>
              <w:rPr>
                <w:sz w:val="13"/>
                <w:szCs w:val="13"/>
                <w:color w:val="auto"/>
              </w:rPr>
            </w:pPr>
          </w:p>
        </w:tc>
        <w:tc>
          <w:tcPr>
            <w:tcW w:w="800" w:type="dxa"/>
            <w:vAlign w:val="bottom"/>
            <w:shd w:val="clear" w:color="auto" w:fill="DBDBDB"/>
          </w:tcPr>
          <w:p>
            <w:pPr>
              <w:spacing w:after="0"/>
              <w:rPr>
                <w:sz w:val="13"/>
                <w:szCs w:val="13"/>
                <w:color w:val="auto"/>
              </w:rPr>
            </w:pPr>
          </w:p>
        </w:tc>
        <w:tc>
          <w:tcPr>
            <w:tcW w:w="840" w:type="dxa"/>
            <w:vAlign w:val="bottom"/>
            <w:shd w:val="clear" w:color="auto" w:fill="DBDBDB"/>
          </w:tcPr>
          <w:p>
            <w:pPr>
              <w:spacing w:after="0"/>
              <w:rPr>
                <w:sz w:val="13"/>
                <w:szCs w:val="13"/>
                <w:color w:val="auto"/>
              </w:rPr>
            </w:pPr>
          </w:p>
        </w:tc>
        <w:tc>
          <w:tcPr>
            <w:tcW w:w="780" w:type="dxa"/>
            <w:vAlign w:val="bottom"/>
            <w:shd w:val="clear" w:color="auto" w:fill="DBDBDB"/>
          </w:tcPr>
          <w:p>
            <w:pPr>
              <w:spacing w:after="0"/>
              <w:rPr>
                <w:sz w:val="13"/>
                <w:szCs w:val="13"/>
                <w:color w:val="auto"/>
              </w:rPr>
            </w:pPr>
          </w:p>
        </w:tc>
        <w:tc>
          <w:tcPr>
            <w:tcW w:w="760" w:type="dxa"/>
            <w:vAlign w:val="bottom"/>
            <w:shd w:val="clear" w:color="auto" w:fill="DBDBDB"/>
          </w:tcPr>
          <w:p>
            <w:pPr>
              <w:spacing w:after="0"/>
              <w:rPr>
                <w:sz w:val="13"/>
                <w:szCs w:val="13"/>
                <w:color w:val="auto"/>
              </w:rPr>
            </w:pPr>
          </w:p>
        </w:tc>
        <w:tc>
          <w:tcPr>
            <w:tcW w:w="680" w:type="dxa"/>
            <w:vAlign w:val="bottom"/>
            <w:shd w:val="clear" w:color="auto" w:fill="DBDBDB"/>
          </w:tcPr>
          <w:p>
            <w:pPr>
              <w:spacing w:after="0"/>
              <w:rPr>
                <w:sz w:val="13"/>
                <w:szCs w:val="13"/>
                <w:color w:val="auto"/>
              </w:rPr>
            </w:pPr>
          </w:p>
        </w:tc>
        <w:tc>
          <w:tcPr>
            <w:tcW w:w="740" w:type="dxa"/>
            <w:vAlign w:val="bottom"/>
            <w:shd w:val="clear" w:color="auto" w:fill="DBDBDB"/>
          </w:tcPr>
          <w:p>
            <w:pPr>
              <w:spacing w:after="0"/>
              <w:rPr>
                <w:sz w:val="13"/>
                <w:szCs w:val="13"/>
                <w:color w:val="auto"/>
              </w:rPr>
            </w:pPr>
          </w:p>
        </w:tc>
        <w:tc>
          <w:tcPr>
            <w:tcW w:w="780" w:type="dxa"/>
            <w:vAlign w:val="bottom"/>
            <w:shd w:val="clear" w:color="auto" w:fill="DBDBDB"/>
          </w:tcPr>
          <w:p>
            <w:pPr>
              <w:spacing w:after="0"/>
              <w:rPr>
                <w:sz w:val="13"/>
                <w:szCs w:val="13"/>
                <w:color w:val="auto"/>
              </w:rPr>
            </w:pPr>
          </w:p>
        </w:tc>
        <w:tc>
          <w:tcPr>
            <w:tcW w:w="920" w:type="dxa"/>
            <w:vAlign w:val="bottom"/>
            <w:shd w:val="clear" w:color="auto" w:fill="DBDBDB"/>
          </w:tcPr>
          <w:p>
            <w:pPr>
              <w:spacing w:after="0"/>
              <w:rPr>
                <w:sz w:val="13"/>
                <w:szCs w:val="13"/>
                <w:color w:val="auto"/>
              </w:rPr>
            </w:pPr>
          </w:p>
        </w:tc>
        <w:tc>
          <w:tcPr>
            <w:tcW w:w="760" w:type="dxa"/>
            <w:vAlign w:val="bottom"/>
            <w:shd w:val="clear" w:color="auto" w:fill="DBDBDB"/>
          </w:tcPr>
          <w:p>
            <w:pPr>
              <w:spacing w:after="0"/>
              <w:rPr>
                <w:sz w:val="13"/>
                <w:szCs w:val="13"/>
                <w:color w:val="auto"/>
              </w:rPr>
            </w:pPr>
          </w:p>
        </w:tc>
        <w:tc>
          <w:tcPr>
            <w:tcW w:w="720" w:type="dxa"/>
            <w:vAlign w:val="bottom"/>
            <w:shd w:val="clear" w:color="auto" w:fill="DBDBDB"/>
          </w:tcPr>
          <w:p>
            <w:pPr>
              <w:spacing w:after="0"/>
              <w:rPr>
                <w:sz w:val="13"/>
                <w:szCs w:val="13"/>
                <w:color w:val="auto"/>
              </w:rPr>
            </w:pPr>
          </w:p>
        </w:tc>
      </w:tr>
      <w:tr>
        <w:trPr>
          <w:trHeight w:val="187"/>
        </w:trPr>
        <w:tc>
          <w:tcPr>
            <w:tcW w:w="1680" w:type="dxa"/>
            <w:vAlign w:val="bottom"/>
            <w:shd w:val="clear" w:color="auto" w:fill="DBDBDB"/>
          </w:tcPr>
          <w:p>
            <w:pPr>
              <w:ind w:left="140"/>
              <w:spacing w:after="0"/>
              <w:rPr>
                <w:sz w:val="20"/>
                <w:szCs w:val="20"/>
                <w:color w:val="auto"/>
              </w:rPr>
            </w:pPr>
            <w:r>
              <w:rPr>
                <w:rFonts w:ascii="Arial" w:cs="Arial" w:eastAsia="Arial" w:hAnsi="Arial"/>
                <w:sz w:val="12"/>
                <w:szCs w:val="12"/>
                <w:color w:val="auto"/>
              </w:rPr>
              <w:t>Annual Cash Incentive</w:t>
            </w:r>
          </w:p>
        </w:tc>
        <w:tc>
          <w:tcPr>
            <w:tcW w:w="760" w:type="dxa"/>
            <w:vAlign w:val="bottom"/>
            <w:shd w:val="clear" w:color="auto" w:fill="DBDBDB"/>
          </w:tcPr>
          <w:p>
            <w:pPr>
              <w:spacing w:after="0"/>
              <w:rPr>
                <w:sz w:val="16"/>
                <w:szCs w:val="16"/>
                <w:color w:val="auto"/>
              </w:rPr>
            </w:pPr>
          </w:p>
        </w:tc>
        <w:tc>
          <w:tcPr>
            <w:tcW w:w="720" w:type="dxa"/>
            <w:vAlign w:val="bottom"/>
            <w:shd w:val="clear" w:color="auto" w:fill="DBDBDB"/>
          </w:tcPr>
          <w:p>
            <w:pPr>
              <w:spacing w:after="0"/>
              <w:rPr>
                <w:sz w:val="16"/>
                <w:szCs w:val="16"/>
                <w:color w:val="auto"/>
              </w:rPr>
            </w:pPr>
          </w:p>
        </w:tc>
        <w:tc>
          <w:tcPr>
            <w:tcW w:w="800" w:type="dxa"/>
            <w:vAlign w:val="bottom"/>
            <w:shd w:val="clear" w:color="auto" w:fill="DBDBDB"/>
          </w:tcPr>
          <w:p>
            <w:pPr>
              <w:jc w:val="right"/>
              <w:spacing w:after="0"/>
              <w:rPr>
                <w:sz w:val="20"/>
                <w:szCs w:val="20"/>
                <w:color w:val="auto"/>
              </w:rPr>
            </w:pPr>
            <w:r>
              <w:rPr>
                <w:rFonts w:ascii="Arial" w:cs="Arial" w:eastAsia="Arial" w:hAnsi="Arial"/>
                <w:sz w:val="12"/>
                <w:szCs w:val="12"/>
                <w:color w:val="auto"/>
              </w:rPr>
              <w:t>162,348</w:t>
            </w:r>
          </w:p>
        </w:tc>
        <w:tc>
          <w:tcPr>
            <w:tcW w:w="840" w:type="dxa"/>
            <w:vAlign w:val="bottom"/>
            <w:shd w:val="clear" w:color="auto" w:fill="DBDBDB"/>
          </w:tcPr>
          <w:p>
            <w:pPr>
              <w:jc w:val="right"/>
              <w:ind w:right="64"/>
              <w:spacing w:after="0"/>
              <w:rPr>
                <w:sz w:val="20"/>
                <w:szCs w:val="20"/>
                <w:color w:val="auto"/>
              </w:rPr>
            </w:pPr>
            <w:r>
              <w:rPr>
                <w:rFonts w:ascii="Arial" w:cs="Arial" w:eastAsia="Arial" w:hAnsi="Arial"/>
                <w:sz w:val="12"/>
                <w:szCs w:val="12"/>
                <w:color w:val="auto"/>
              </w:rPr>
              <w:t>405,869</w:t>
            </w:r>
          </w:p>
        </w:tc>
        <w:tc>
          <w:tcPr>
            <w:tcW w:w="780" w:type="dxa"/>
            <w:vAlign w:val="bottom"/>
            <w:shd w:val="clear" w:color="auto" w:fill="DBDBDB"/>
          </w:tcPr>
          <w:p>
            <w:pPr>
              <w:jc w:val="right"/>
              <w:ind w:right="23"/>
              <w:spacing w:after="0"/>
              <w:rPr>
                <w:sz w:val="20"/>
                <w:szCs w:val="20"/>
                <w:color w:val="auto"/>
              </w:rPr>
            </w:pPr>
            <w:r>
              <w:rPr>
                <w:rFonts w:ascii="Arial" w:cs="Arial" w:eastAsia="Arial" w:hAnsi="Arial"/>
                <w:sz w:val="12"/>
                <w:szCs w:val="12"/>
                <w:color w:val="auto"/>
              </w:rPr>
              <w:t>811,738</w:t>
            </w:r>
          </w:p>
        </w:tc>
        <w:tc>
          <w:tcPr>
            <w:tcW w:w="760" w:type="dxa"/>
            <w:vAlign w:val="bottom"/>
            <w:shd w:val="clear" w:color="auto" w:fill="DBDBDB"/>
          </w:tcPr>
          <w:p>
            <w:pPr>
              <w:spacing w:after="0"/>
              <w:rPr>
                <w:sz w:val="16"/>
                <w:szCs w:val="16"/>
                <w:color w:val="auto"/>
              </w:rPr>
            </w:pPr>
          </w:p>
        </w:tc>
        <w:tc>
          <w:tcPr>
            <w:tcW w:w="680" w:type="dxa"/>
            <w:vAlign w:val="bottom"/>
            <w:shd w:val="clear" w:color="auto" w:fill="DBDBDB"/>
          </w:tcPr>
          <w:p>
            <w:pPr>
              <w:spacing w:after="0"/>
              <w:rPr>
                <w:sz w:val="16"/>
                <w:szCs w:val="16"/>
                <w:color w:val="auto"/>
              </w:rPr>
            </w:pPr>
          </w:p>
        </w:tc>
        <w:tc>
          <w:tcPr>
            <w:tcW w:w="740" w:type="dxa"/>
            <w:vAlign w:val="bottom"/>
            <w:shd w:val="clear" w:color="auto" w:fill="DBDBDB"/>
          </w:tcPr>
          <w:p>
            <w:pPr>
              <w:spacing w:after="0"/>
              <w:rPr>
                <w:sz w:val="16"/>
                <w:szCs w:val="16"/>
                <w:color w:val="auto"/>
              </w:rPr>
            </w:pPr>
          </w:p>
        </w:tc>
        <w:tc>
          <w:tcPr>
            <w:tcW w:w="780" w:type="dxa"/>
            <w:vAlign w:val="bottom"/>
            <w:shd w:val="clear" w:color="auto" w:fill="DBDBDB"/>
          </w:tcPr>
          <w:p>
            <w:pPr>
              <w:spacing w:after="0"/>
              <w:rPr>
                <w:sz w:val="16"/>
                <w:szCs w:val="16"/>
                <w:color w:val="auto"/>
              </w:rPr>
            </w:pPr>
          </w:p>
        </w:tc>
        <w:tc>
          <w:tcPr>
            <w:tcW w:w="920" w:type="dxa"/>
            <w:vAlign w:val="bottom"/>
            <w:shd w:val="clear" w:color="auto" w:fill="DBDBDB"/>
          </w:tcPr>
          <w:p>
            <w:pPr>
              <w:spacing w:after="0"/>
              <w:rPr>
                <w:sz w:val="16"/>
                <w:szCs w:val="16"/>
                <w:color w:val="auto"/>
              </w:rPr>
            </w:pPr>
          </w:p>
        </w:tc>
        <w:tc>
          <w:tcPr>
            <w:tcW w:w="760" w:type="dxa"/>
            <w:vAlign w:val="bottom"/>
            <w:shd w:val="clear" w:color="auto" w:fill="DBDBDB"/>
          </w:tcPr>
          <w:p>
            <w:pPr>
              <w:spacing w:after="0"/>
              <w:rPr>
                <w:sz w:val="16"/>
                <w:szCs w:val="16"/>
                <w:color w:val="auto"/>
              </w:rPr>
            </w:pPr>
          </w:p>
        </w:tc>
        <w:tc>
          <w:tcPr>
            <w:tcW w:w="720" w:type="dxa"/>
            <w:vAlign w:val="bottom"/>
            <w:shd w:val="clear" w:color="auto" w:fill="DBDBDB"/>
          </w:tcPr>
          <w:p>
            <w:pPr>
              <w:spacing w:after="0"/>
              <w:rPr>
                <w:sz w:val="16"/>
                <w:szCs w:val="16"/>
                <w:color w:val="auto"/>
              </w:rPr>
            </w:pPr>
          </w:p>
        </w:tc>
      </w:tr>
      <w:tr>
        <w:trPr>
          <w:trHeight w:val="187"/>
        </w:trPr>
        <w:tc>
          <w:tcPr>
            <w:tcW w:w="1680" w:type="dxa"/>
            <w:vAlign w:val="bottom"/>
            <w:shd w:val="clear" w:color="auto" w:fill="DBDBDB"/>
          </w:tcPr>
          <w:p>
            <w:pPr>
              <w:ind w:left="140"/>
              <w:spacing w:after="0"/>
              <w:rPr>
                <w:sz w:val="20"/>
                <w:szCs w:val="20"/>
                <w:color w:val="auto"/>
              </w:rPr>
            </w:pPr>
            <w:r>
              <w:rPr>
                <w:rFonts w:ascii="Arial" w:cs="Arial" w:eastAsia="Arial" w:hAnsi="Arial"/>
                <w:sz w:val="12"/>
                <w:szCs w:val="12"/>
                <w:color w:val="auto"/>
              </w:rPr>
              <w:t>Performance Shares</w:t>
            </w:r>
          </w:p>
        </w:tc>
        <w:tc>
          <w:tcPr>
            <w:tcW w:w="760" w:type="dxa"/>
            <w:vAlign w:val="bottom"/>
            <w:shd w:val="clear" w:color="auto" w:fill="DBDBDB"/>
          </w:tcPr>
          <w:p>
            <w:pPr>
              <w:jc w:val="center"/>
              <w:spacing w:after="0"/>
              <w:rPr>
                <w:sz w:val="20"/>
                <w:szCs w:val="20"/>
                <w:color w:val="auto"/>
              </w:rPr>
            </w:pPr>
            <w:r>
              <w:rPr>
                <w:rFonts w:ascii="Arial" w:cs="Arial" w:eastAsia="Arial" w:hAnsi="Arial"/>
                <w:sz w:val="12"/>
                <w:szCs w:val="12"/>
                <w:color w:val="auto"/>
                <w:w w:val="94"/>
              </w:rPr>
              <w:t>12/26/23</w:t>
            </w:r>
          </w:p>
        </w:tc>
        <w:tc>
          <w:tcPr>
            <w:tcW w:w="720" w:type="dxa"/>
            <w:vAlign w:val="bottom"/>
            <w:shd w:val="clear" w:color="auto" w:fill="DBDBDB"/>
          </w:tcPr>
          <w:p>
            <w:pPr>
              <w:jc w:val="center"/>
              <w:spacing w:after="0"/>
              <w:rPr>
                <w:sz w:val="20"/>
                <w:szCs w:val="20"/>
                <w:color w:val="auto"/>
              </w:rPr>
            </w:pPr>
            <w:r>
              <w:rPr>
                <w:rFonts w:ascii="Arial" w:cs="Arial" w:eastAsia="Arial" w:hAnsi="Arial"/>
                <w:sz w:val="12"/>
                <w:szCs w:val="12"/>
                <w:color w:val="auto"/>
                <w:w w:val="94"/>
              </w:rPr>
              <w:t>12/12/23</w:t>
            </w:r>
          </w:p>
        </w:tc>
        <w:tc>
          <w:tcPr>
            <w:tcW w:w="800" w:type="dxa"/>
            <w:vAlign w:val="bottom"/>
            <w:shd w:val="clear" w:color="auto" w:fill="DBDBDB"/>
          </w:tcPr>
          <w:p>
            <w:pPr>
              <w:spacing w:after="0"/>
              <w:rPr>
                <w:sz w:val="16"/>
                <w:szCs w:val="16"/>
                <w:color w:val="auto"/>
              </w:rPr>
            </w:pPr>
          </w:p>
        </w:tc>
        <w:tc>
          <w:tcPr>
            <w:tcW w:w="840" w:type="dxa"/>
            <w:vAlign w:val="bottom"/>
            <w:shd w:val="clear" w:color="auto" w:fill="DBDBDB"/>
          </w:tcPr>
          <w:p>
            <w:pPr>
              <w:spacing w:after="0"/>
              <w:rPr>
                <w:sz w:val="16"/>
                <w:szCs w:val="16"/>
                <w:color w:val="auto"/>
              </w:rPr>
            </w:pPr>
          </w:p>
        </w:tc>
        <w:tc>
          <w:tcPr>
            <w:tcW w:w="780" w:type="dxa"/>
            <w:vAlign w:val="bottom"/>
            <w:shd w:val="clear" w:color="auto" w:fill="DBDBDB"/>
          </w:tcPr>
          <w:p>
            <w:pPr>
              <w:spacing w:after="0"/>
              <w:rPr>
                <w:sz w:val="16"/>
                <w:szCs w:val="16"/>
                <w:color w:val="auto"/>
              </w:rPr>
            </w:pPr>
          </w:p>
        </w:tc>
        <w:tc>
          <w:tcPr>
            <w:tcW w:w="760" w:type="dxa"/>
            <w:vAlign w:val="bottom"/>
            <w:shd w:val="clear" w:color="auto" w:fill="DBDBDB"/>
          </w:tcPr>
          <w:p>
            <w:pPr>
              <w:jc w:val="right"/>
              <w:ind w:right="4"/>
              <w:spacing w:after="0"/>
              <w:rPr>
                <w:sz w:val="20"/>
                <w:szCs w:val="20"/>
                <w:color w:val="auto"/>
              </w:rPr>
            </w:pPr>
            <w:r>
              <w:rPr>
                <w:rFonts w:ascii="Arial" w:cs="Arial" w:eastAsia="Arial" w:hAnsi="Arial"/>
                <w:sz w:val="12"/>
                <w:szCs w:val="12"/>
                <w:color w:val="auto"/>
              </w:rPr>
              <w:t>3,000</w:t>
            </w:r>
          </w:p>
        </w:tc>
        <w:tc>
          <w:tcPr>
            <w:tcW w:w="680" w:type="dxa"/>
            <w:vAlign w:val="bottom"/>
            <w:shd w:val="clear" w:color="auto" w:fill="DBDBDB"/>
          </w:tcPr>
          <w:p>
            <w:pPr>
              <w:jc w:val="right"/>
              <w:ind w:right="64"/>
              <w:spacing w:after="0"/>
              <w:rPr>
                <w:sz w:val="20"/>
                <w:szCs w:val="20"/>
                <w:color w:val="auto"/>
              </w:rPr>
            </w:pPr>
            <w:r>
              <w:rPr>
                <w:rFonts w:ascii="Arial" w:cs="Arial" w:eastAsia="Arial" w:hAnsi="Arial"/>
                <w:sz w:val="12"/>
                <w:szCs w:val="12"/>
                <w:color w:val="auto"/>
              </w:rPr>
              <w:t>7,500</w:t>
            </w:r>
          </w:p>
        </w:tc>
        <w:tc>
          <w:tcPr>
            <w:tcW w:w="740" w:type="dxa"/>
            <w:vAlign w:val="bottom"/>
            <w:shd w:val="clear" w:color="auto" w:fill="DBDBDB"/>
          </w:tcPr>
          <w:p>
            <w:pPr>
              <w:jc w:val="right"/>
              <w:ind w:right="23"/>
              <w:spacing w:after="0"/>
              <w:rPr>
                <w:sz w:val="20"/>
                <w:szCs w:val="20"/>
                <w:color w:val="auto"/>
              </w:rPr>
            </w:pPr>
            <w:r>
              <w:rPr>
                <w:rFonts w:ascii="Arial" w:cs="Arial" w:eastAsia="Arial" w:hAnsi="Arial"/>
                <w:sz w:val="12"/>
                <w:szCs w:val="12"/>
                <w:color w:val="auto"/>
              </w:rPr>
              <w:t>15,000</w:t>
            </w:r>
          </w:p>
        </w:tc>
        <w:tc>
          <w:tcPr>
            <w:tcW w:w="780" w:type="dxa"/>
            <w:vAlign w:val="bottom"/>
            <w:shd w:val="clear" w:color="auto" w:fill="DBDBDB"/>
          </w:tcPr>
          <w:p>
            <w:pPr>
              <w:spacing w:after="0"/>
              <w:rPr>
                <w:sz w:val="16"/>
                <w:szCs w:val="16"/>
                <w:color w:val="auto"/>
              </w:rPr>
            </w:pPr>
          </w:p>
        </w:tc>
        <w:tc>
          <w:tcPr>
            <w:tcW w:w="920" w:type="dxa"/>
            <w:vAlign w:val="bottom"/>
            <w:shd w:val="clear" w:color="auto" w:fill="DBDBDB"/>
          </w:tcPr>
          <w:p>
            <w:pPr>
              <w:spacing w:after="0"/>
              <w:rPr>
                <w:sz w:val="16"/>
                <w:szCs w:val="16"/>
                <w:color w:val="auto"/>
              </w:rPr>
            </w:pPr>
          </w:p>
        </w:tc>
        <w:tc>
          <w:tcPr>
            <w:tcW w:w="760" w:type="dxa"/>
            <w:vAlign w:val="bottom"/>
            <w:shd w:val="clear" w:color="auto" w:fill="DBDBDB"/>
          </w:tcPr>
          <w:p>
            <w:pPr>
              <w:spacing w:after="0"/>
              <w:rPr>
                <w:sz w:val="16"/>
                <w:szCs w:val="16"/>
                <w:color w:val="auto"/>
              </w:rPr>
            </w:pPr>
          </w:p>
        </w:tc>
        <w:tc>
          <w:tcPr>
            <w:tcW w:w="720" w:type="dxa"/>
            <w:vAlign w:val="bottom"/>
            <w:shd w:val="clear" w:color="auto" w:fill="DBDBDB"/>
          </w:tcPr>
          <w:p>
            <w:pPr>
              <w:jc w:val="right"/>
              <w:spacing w:after="0"/>
              <w:rPr>
                <w:sz w:val="20"/>
                <w:szCs w:val="20"/>
                <w:color w:val="auto"/>
              </w:rPr>
            </w:pPr>
            <w:r>
              <w:rPr>
                <w:rFonts w:ascii="Arial" w:cs="Arial" w:eastAsia="Arial" w:hAnsi="Arial"/>
                <w:sz w:val="12"/>
                <w:szCs w:val="12"/>
                <w:color w:val="auto"/>
              </w:rPr>
              <w:t>747,000</w:t>
            </w:r>
          </w:p>
        </w:tc>
      </w:tr>
      <w:tr>
        <w:trPr>
          <w:trHeight w:val="198"/>
        </w:trPr>
        <w:tc>
          <w:tcPr>
            <w:tcW w:w="1680" w:type="dxa"/>
            <w:vAlign w:val="bottom"/>
            <w:tcBorders>
              <w:bottom w:val="single" w:sz="8" w:color="DBDBDB"/>
            </w:tcBorders>
            <w:shd w:val="clear" w:color="auto" w:fill="DBDBDB"/>
          </w:tcPr>
          <w:p>
            <w:pPr>
              <w:ind w:left="140"/>
              <w:spacing w:after="0"/>
              <w:rPr>
                <w:sz w:val="20"/>
                <w:szCs w:val="20"/>
                <w:color w:val="auto"/>
              </w:rPr>
            </w:pPr>
            <w:r>
              <w:rPr>
                <w:rFonts w:ascii="Arial" w:cs="Arial" w:eastAsia="Arial" w:hAnsi="Arial"/>
                <w:sz w:val="12"/>
                <w:szCs w:val="12"/>
                <w:color w:val="auto"/>
              </w:rPr>
              <w:t>Stock Options</w:t>
            </w:r>
          </w:p>
        </w:tc>
        <w:tc>
          <w:tcPr>
            <w:tcW w:w="760" w:type="dxa"/>
            <w:vAlign w:val="bottom"/>
            <w:tcBorders>
              <w:bottom w:val="single" w:sz="8" w:color="DBDBDB"/>
            </w:tcBorders>
            <w:shd w:val="clear" w:color="auto" w:fill="DBDBDB"/>
          </w:tcPr>
          <w:p>
            <w:pPr>
              <w:jc w:val="center"/>
              <w:spacing w:after="0"/>
              <w:rPr>
                <w:sz w:val="20"/>
                <w:szCs w:val="20"/>
                <w:color w:val="auto"/>
              </w:rPr>
            </w:pPr>
            <w:r>
              <w:rPr>
                <w:rFonts w:ascii="Arial" w:cs="Arial" w:eastAsia="Arial" w:hAnsi="Arial"/>
                <w:sz w:val="12"/>
                <w:szCs w:val="12"/>
                <w:color w:val="auto"/>
                <w:w w:val="94"/>
              </w:rPr>
              <w:t>12/26/23</w:t>
            </w:r>
          </w:p>
        </w:tc>
        <w:tc>
          <w:tcPr>
            <w:tcW w:w="720" w:type="dxa"/>
            <w:vAlign w:val="bottom"/>
            <w:tcBorders>
              <w:bottom w:val="single" w:sz="8" w:color="DBDBDB"/>
            </w:tcBorders>
            <w:shd w:val="clear" w:color="auto" w:fill="DBDBDB"/>
          </w:tcPr>
          <w:p>
            <w:pPr>
              <w:jc w:val="center"/>
              <w:spacing w:after="0"/>
              <w:rPr>
                <w:sz w:val="20"/>
                <w:szCs w:val="20"/>
                <w:color w:val="auto"/>
              </w:rPr>
            </w:pPr>
            <w:r>
              <w:rPr>
                <w:rFonts w:ascii="Arial" w:cs="Arial" w:eastAsia="Arial" w:hAnsi="Arial"/>
                <w:sz w:val="12"/>
                <w:szCs w:val="12"/>
                <w:color w:val="auto"/>
                <w:w w:val="94"/>
              </w:rPr>
              <w:t>12/12/23</w:t>
            </w:r>
          </w:p>
        </w:tc>
        <w:tc>
          <w:tcPr>
            <w:tcW w:w="800" w:type="dxa"/>
            <w:vAlign w:val="bottom"/>
            <w:tcBorders>
              <w:bottom w:val="single" w:sz="8" w:color="DBDBDB"/>
            </w:tcBorders>
            <w:shd w:val="clear" w:color="auto" w:fill="DBDBDB"/>
          </w:tcPr>
          <w:p>
            <w:pPr>
              <w:spacing w:after="0"/>
              <w:rPr>
                <w:sz w:val="17"/>
                <w:szCs w:val="17"/>
                <w:color w:val="auto"/>
              </w:rPr>
            </w:pPr>
          </w:p>
        </w:tc>
        <w:tc>
          <w:tcPr>
            <w:tcW w:w="840" w:type="dxa"/>
            <w:vAlign w:val="bottom"/>
            <w:tcBorders>
              <w:bottom w:val="single" w:sz="8" w:color="DBDBDB"/>
            </w:tcBorders>
            <w:shd w:val="clear" w:color="auto" w:fill="DBDBDB"/>
          </w:tcPr>
          <w:p>
            <w:pPr>
              <w:spacing w:after="0"/>
              <w:rPr>
                <w:sz w:val="17"/>
                <w:szCs w:val="17"/>
                <w:color w:val="auto"/>
              </w:rPr>
            </w:pPr>
          </w:p>
        </w:tc>
        <w:tc>
          <w:tcPr>
            <w:tcW w:w="780" w:type="dxa"/>
            <w:vAlign w:val="bottom"/>
            <w:tcBorders>
              <w:bottom w:val="single" w:sz="8" w:color="DBDBDB"/>
            </w:tcBorders>
            <w:shd w:val="clear" w:color="auto" w:fill="DBDBDB"/>
          </w:tcPr>
          <w:p>
            <w:pPr>
              <w:spacing w:after="0"/>
              <w:rPr>
                <w:sz w:val="17"/>
                <w:szCs w:val="17"/>
                <w:color w:val="auto"/>
              </w:rPr>
            </w:pPr>
          </w:p>
        </w:tc>
        <w:tc>
          <w:tcPr>
            <w:tcW w:w="760" w:type="dxa"/>
            <w:vAlign w:val="bottom"/>
            <w:tcBorders>
              <w:bottom w:val="single" w:sz="8" w:color="DBDBDB"/>
            </w:tcBorders>
            <w:shd w:val="clear" w:color="auto" w:fill="DBDBDB"/>
          </w:tcPr>
          <w:p>
            <w:pPr>
              <w:spacing w:after="0"/>
              <w:rPr>
                <w:sz w:val="17"/>
                <w:szCs w:val="17"/>
                <w:color w:val="auto"/>
              </w:rPr>
            </w:pPr>
          </w:p>
        </w:tc>
        <w:tc>
          <w:tcPr>
            <w:tcW w:w="680" w:type="dxa"/>
            <w:vAlign w:val="bottom"/>
            <w:tcBorders>
              <w:bottom w:val="single" w:sz="8" w:color="DBDBDB"/>
            </w:tcBorders>
            <w:shd w:val="clear" w:color="auto" w:fill="DBDBDB"/>
          </w:tcPr>
          <w:p>
            <w:pPr>
              <w:spacing w:after="0"/>
              <w:rPr>
                <w:sz w:val="17"/>
                <w:szCs w:val="17"/>
                <w:color w:val="auto"/>
              </w:rPr>
            </w:pPr>
          </w:p>
        </w:tc>
        <w:tc>
          <w:tcPr>
            <w:tcW w:w="740" w:type="dxa"/>
            <w:vAlign w:val="bottom"/>
            <w:tcBorders>
              <w:bottom w:val="single" w:sz="8" w:color="DBDBDB"/>
            </w:tcBorders>
            <w:shd w:val="clear" w:color="auto" w:fill="DBDBDB"/>
          </w:tcPr>
          <w:p>
            <w:pPr>
              <w:spacing w:after="0"/>
              <w:rPr>
                <w:sz w:val="17"/>
                <w:szCs w:val="17"/>
                <w:color w:val="auto"/>
              </w:rPr>
            </w:pPr>
          </w:p>
        </w:tc>
        <w:tc>
          <w:tcPr>
            <w:tcW w:w="780" w:type="dxa"/>
            <w:vAlign w:val="bottom"/>
            <w:tcBorders>
              <w:bottom w:val="single" w:sz="8" w:color="DBDBDB"/>
            </w:tcBorders>
            <w:shd w:val="clear" w:color="auto" w:fill="DBDBDB"/>
          </w:tcPr>
          <w:p>
            <w:pPr>
              <w:spacing w:after="0"/>
              <w:rPr>
                <w:sz w:val="17"/>
                <w:szCs w:val="17"/>
                <w:color w:val="auto"/>
              </w:rPr>
            </w:pPr>
          </w:p>
        </w:tc>
        <w:tc>
          <w:tcPr>
            <w:tcW w:w="920" w:type="dxa"/>
            <w:vAlign w:val="bottom"/>
            <w:tcBorders>
              <w:bottom w:val="single" w:sz="8" w:color="DBDBDB"/>
            </w:tcBorders>
            <w:shd w:val="clear" w:color="auto" w:fill="DBDBDB"/>
          </w:tcPr>
          <w:p>
            <w:pPr>
              <w:jc w:val="right"/>
              <w:ind w:right="85"/>
              <w:spacing w:after="0"/>
              <w:rPr>
                <w:sz w:val="20"/>
                <w:szCs w:val="20"/>
                <w:color w:val="auto"/>
              </w:rPr>
            </w:pPr>
            <w:r>
              <w:rPr>
                <w:rFonts w:ascii="Arial" w:cs="Arial" w:eastAsia="Arial" w:hAnsi="Arial"/>
                <w:sz w:val="12"/>
                <w:szCs w:val="12"/>
                <w:color w:val="auto"/>
              </w:rPr>
              <w:t>23,600</w:t>
            </w:r>
          </w:p>
        </w:tc>
        <w:tc>
          <w:tcPr>
            <w:tcW w:w="760" w:type="dxa"/>
            <w:vAlign w:val="bottom"/>
            <w:tcBorders>
              <w:bottom w:val="single" w:sz="8" w:color="DBDBDB"/>
            </w:tcBorders>
            <w:shd w:val="clear" w:color="auto" w:fill="DBDBDB"/>
          </w:tcPr>
          <w:p>
            <w:pPr>
              <w:jc w:val="right"/>
              <w:ind w:right="24"/>
              <w:spacing w:after="0"/>
              <w:rPr>
                <w:sz w:val="20"/>
                <w:szCs w:val="20"/>
                <w:color w:val="auto"/>
              </w:rPr>
            </w:pPr>
            <w:r>
              <w:rPr>
                <w:rFonts w:ascii="Arial" w:cs="Arial" w:eastAsia="Arial" w:hAnsi="Arial"/>
                <w:sz w:val="12"/>
                <w:szCs w:val="12"/>
                <w:color w:val="auto"/>
              </w:rPr>
              <w:t>99.60</w:t>
            </w:r>
          </w:p>
        </w:tc>
        <w:tc>
          <w:tcPr>
            <w:tcW w:w="72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2"/>
                <w:szCs w:val="12"/>
                <w:color w:val="auto"/>
              </w:rPr>
              <w:t>736,792</w:t>
            </w:r>
          </w:p>
        </w:tc>
      </w:tr>
      <w:tr>
        <w:trPr>
          <w:trHeight w:val="156"/>
        </w:trPr>
        <w:tc>
          <w:tcPr>
            <w:tcW w:w="1680" w:type="dxa"/>
            <w:vAlign w:val="bottom"/>
          </w:tcPr>
          <w:p>
            <w:pPr>
              <w:ind w:left="20"/>
              <w:spacing w:after="0"/>
              <w:rPr>
                <w:sz w:val="20"/>
                <w:szCs w:val="20"/>
                <w:color w:val="auto"/>
              </w:rPr>
            </w:pPr>
            <w:r>
              <w:rPr>
                <w:rFonts w:ascii="Arial" w:cs="Arial" w:eastAsia="Arial" w:hAnsi="Arial"/>
                <w:sz w:val="12"/>
                <w:szCs w:val="12"/>
                <w:color w:val="auto"/>
              </w:rPr>
              <w:t>Kevin N. Carpenter</w:t>
            </w:r>
          </w:p>
        </w:tc>
        <w:tc>
          <w:tcPr>
            <w:tcW w:w="7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20" w:type="dxa"/>
            <w:vAlign w:val="bottom"/>
          </w:tcPr>
          <w:p>
            <w:pPr>
              <w:spacing w:after="0"/>
              <w:rPr>
                <w:sz w:val="13"/>
                <w:szCs w:val="13"/>
                <w:color w:val="auto"/>
              </w:rPr>
            </w:pPr>
          </w:p>
        </w:tc>
      </w:tr>
      <w:tr>
        <w:trPr>
          <w:trHeight w:val="187"/>
        </w:trPr>
        <w:tc>
          <w:tcPr>
            <w:tcW w:w="1680" w:type="dxa"/>
            <w:vAlign w:val="bottom"/>
          </w:tcPr>
          <w:p>
            <w:pPr>
              <w:ind w:left="140"/>
              <w:spacing w:after="0"/>
              <w:rPr>
                <w:sz w:val="20"/>
                <w:szCs w:val="20"/>
                <w:color w:val="auto"/>
              </w:rPr>
            </w:pPr>
            <w:r>
              <w:rPr>
                <w:rFonts w:ascii="Arial" w:cs="Arial" w:eastAsia="Arial" w:hAnsi="Arial"/>
                <w:sz w:val="12"/>
                <w:szCs w:val="12"/>
                <w:color w:val="auto"/>
              </w:rPr>
              <w:t>Annual Cash Incentive</w:t>
            </w:r>
          </w:p>
        </w:tc>
        <w:tc>
          <w:tcPr>
            <w:tcW w:w="7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2"/>
                <w:szCs w:val="12"/>
                <w:color w:val="auto"/>
              </w:rPr>
              <w:t>130,787</w:t>
            </w:r>
          </w:p>
        </w:tc>
        <w:tc>
          <w:tcPr>
            <w:tcW w:w="840" w:type="dxa"/>
            <w:vAlign w:val="bottom"/>
          </w:tcPr>
          <w:p>
            <w:pPr>
              <w:jc w:val="right"/>
              <w:ind w:right="24"/>
              <w:spacing w:after="0"/>
              <w:rPr>
                <w:sz w:val="20"/>
                <w:szCs w:val="20"/>
                <w:color w:val="auto"/>
              </w:rPr>
            </w:pPr>
            <w:r>
              <w:rPr>
                <w:rFonts w:ascii="Arial" w:cs="Arial" w:eastAsia="Arial" w:hAnsi="Arial"/>
                <w:sz w:val="12"/>
                <w:szCs w:val="12"/>
                <w:color w:val="auto"/>
              </w:rPr>
              <w:t>326,966</w:t>
            </w:r>
          </w:p>
        </w:tc>
        <w:tc>
          <w:tcPr>
            <w:tcW w:w="780" w:type="dxa"/>
            <w:vAlign w:val="bottom"/>
          </w:tcPr>
          <w:p>
            <w:pPr>
              <w:jc w:val="right"/>
              <w:ind w:right="23"/>
              <w:spacing w:after="0"/>
              <w:rPr>
                <w:sz w:val="20"/>
                <w:szCs w:val="20"/>
                <w:color w:val="auto"/>
              </w:rPr>
            </w:pPr>
            <w:r>
              <w:rPr>
                <w:rFonts w:ascii="Arial" w:cs="Arial" w:eastAsia="Arial" w:hAnsi="Arial"/>
                <w:sz w:val="12"/>
                <w:szCs w:val="12"/>
                <w:color w:val="auto"/>
              </w:rPr>
              <w:t>653,933</w:t>
            </w:r>
          </w:p>
        </w:tc>
        <w:tc>
          <w:tcPr>
            <w:tcW w:w="7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20" w:type="dxa"/>
            <w:vAlign w:val="bottom"/>
          </w:tcPr>
          <w:p>
            <w:pPr>
              <w:spacing w:after="0"/>
              <w:rPr>
                <w:sz w:val="16"/>
                <w:szCs w:val="16"/>
                <w:color w:val="auto"/>
              </w:rPr>
            </w:pPr>
          </w:p>
        </w:tc>
      </w:tr>
      <w:tr>
        <w:trPr>
          <w:trHeight w:val="187"/>
        </w:trPr>
        <w:tc>
          <w:tcPr>
            <w:tcW w:w="1680" w:type="dxa"/>
            <w:vAlign w:val="bottom"/>
          </w:tcPr>
          <w:p>
            <w:pPr>
              <w:ind w:left="140"/>
              <w:spacing w:after="0"/>
              <w:rPr>
                <w:sz w:val="20"/>
                <w:szCs w:val="20"/>
                <w:color w:val="auto"/>
              </w:rPr>
            </w:pPr>
            <w:r>
              <w:rPr>
                <w:rFonts w:ascii="Arial" w:cs="Arial" w:eastAsia="Arial" w:hAnsi="Arial"/>
                <w:sz w:val="12"/>
                <w:szCs w:val="12"/>
                <w:color w:val="auto"/>
              </w:rPr>
              <w:t>Performance Shares</w:t>
            </w:r>
          </w:p>
        </w:tc>
        <w:tc>
          <w:tcPr>
            <w:tcW w:w="760" w:type="dxa"/>
            <w:vAlign w:val="bottom"/>
          </w:tcPr>
          <w:p>
            <w:pPr>
              <w:jc w:val="center"/>
              <w:spacing w:after="0"/>
              <w:rPr>
                <w:sz w:val="20"/>
                <w:szCs w:val="20"/>
                <w:color w:val="auto"/>
              </w:rPr>
            </w:pPr>
            <w:r>
              <w:rPr>
                <w:rFonts w:ascii="Arial" w:cs="Arial" w:eastAsia="Arial" w:hAnsi="Arial"/>
                <w:sz w:val="12"/>
                <w:szCs w:val="12"/>
                <w:color w:val="auto"/>
                <w:w w:val="94"/>
              </w:rPr>
              <w:t>12/26/23</w:t>
            </w:r>
          </w:p>
        </w:tc>
        <w:tc>
          <w:tcPr>
            <w:tcW w:w="720" w:type="dxa"/>
            <w:vAlign w:val="bottom"/>
          </w:tcPr>
          <w:p>
            <w:pPr>
              <w:jc w:val="center"/>
              <w:spacing w:after="0"/>
              <w:rPr>
                <w:sz w:val="20"/>
                <w:szCs w:val="20"/>
                <w:color w:val="auto"/>
              </w:rPr>
            </w:pPr>
            <w:r>
              <w:rPr>
                <w:rFonts w:ascii="Arial" w:cs="Arial" w:eastAsia="Arial" w:hAnsi="Arial"/>
                <w:sz w:val="12"/>
                <w:szCs w:val="12"/>
                <w:color w:val="auto"/>
                <w:w w:val="94"/>
              </w:rPr>
              <w:t>12/12/23</w:t>
            </w:r>
          </w:p>
        </w:tc>
        <w:tc>
          <w:tcPr>
            <w:tcW w:w="8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60" w:type="dxa"/>
            <w:vAlign w:val="bottom"/>
          </w:tcPr>
          <w:p>
            <w:pPr>
              <w:jc w:val="right"/>
              <w:ind w:right="4"/>
              <w:spacing w:after="0"/>
              <w:rPr>
                <w:sz w:val="20"/>
                <w:szCs w:val="20"/>
                <w:color w:val="auto"/>
              </w:rPr>
            </w:pPr>
            <w:r>
              <w:rPr>
                <w:rFonts w:ascii="Arial" w:cs="Arial" w:eastAsia="Arial" w:hAnsi="Arial"/>
                <w:sz w:val="12"/>
                <w:szCs w:val="12"/>
                <w:color w:val="auto"/>
              </w:rPr>
              <w:t>1,440</w:t>
            </w:r>
          </w:p>
        </w:tc>
        <w:tc>
          <w:tcPr>
            <w:tcW w:w="680" w:type="dxa"/>
            <w:vAlign w:val="bottom"/>
          </w:tcPr>
          <w:p>
            <w:pPr>
              <w:jc w:val="right"/>
              <w:ind w:right="24"/>
              <w:spacing w:after="0"/>
              <w:rPr>
                <w:sz w:val="20"/>
                <w:szCs w:val="20"/>
                <w:color w:val="auto"/>
              </w:rPr>
            </w:pPr>
            <w:r>
              <w:rPr>
                <w:rFonts w:ascii="Arial" w:cs="Arial" w:eastAsia="Arial" w:hAnsi="Arial"/>
                <w:sz w:val="12"/>
                <w:szCs w:val="12"/>
                <w:color w:val="auto"/>
              </w:rPr>
              <w:t>3,600</w:t>
            </w:r>
          </w:p>
        </w:tc>
        <w:tc>
          <w:tcPr>
            <w:tcW w:w="740" w:type="dxa"/>
            <w:vAlign w:val="bottom"/>
          </w:tcPr>
          <w:p>
            <w:pPr>
              <w:jc w:val="right"/>
              <w:ind w:right="23"/>
              <w:spacing w:after="0"/>
              <w:rPr>
                <w:sz w:val="20"/>
                <w:szCs w:val="20"/>
                <w:color w:val="auto"/>
              </w:rPr>
            </w:pPr>
            <w:r>
              <w:rPr>
                <w:rFonts w:ascii="Arial" w:cs="Arial" w:eastAsia="Arial" w:hAnsi="Arial"/>
                <w:sz w:val="12"/>
                <w:szCs w:val="12"/>
                <w:color w:val="auto"/>
              </w:rPr>
              <w:t>7,200</w:t>
            </w:r>
          </w:p>
        </w:tc>
        <w:tc>
          <w:tcPr>
            <w:tcW w:w="7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2"/>
                <w:szCs w:val="12"/>
                <w:color w:val="auto"/>
              </w:rPr>
              <w:t>358,560</w:t>
            </w:r>
          </w:p>
        </w:tc>
      </w:tr>
      <w:tr>
        <w:trPr>
          <w:trHeight w:val="187"/>
        </w:trPr>
        <w:tc>
          <w:tcPr>
            <w:tcW w:w="1680" w:type="dxa"/>
            <w:vAlign w:val="bottom"/>
          </w:tcPr>
          <w:p>
            <w:pPr>
              <w:ind w:left="140"/>
              <w:spacing w:after="0"/>
              <w:rPr>
                <w:sz w:val="20"/>
                <w:szCs w:val="20"/>
                <w:color w:val="auto"/>
              </w:rPr>
            </w:pPr>
            <w:r>
              <w:rPr>
                <w:rFonts w:ascii="Arial" w:cs="Arial" w:eastAsia="Arial" w:hAnsi="Arial"/>
                <w:sz w:val="12"/>
                <w:szCs w:val="12"/>
                <w:color w:val="auto"/>
              </w:rPr>
              <w:t>Stock Options</w:t>
            </w:r>
          </w:p>
        </w:tc>
        <w:tc>
          <w:tcPr>
            <w:tcW w:w="760" w:type="dxa"/>
            <w:vAlign w:val="bottom"/>
          </w:tcPr>
          <w:p>
            <w:pPr>
              <w:jc w:val="center"/>
              <w:spacing w:after="0"/>
              <w:rPr>
                <w:sz w:val="20"/>
                <w:szCs w:val="20"/>
                <w:color w:val="auto"/>
              </w:rPr>
            </w:pPr>
            <w:r>
              <w:rPr>
                <w:rFonts w:ascii="Arial" w:cs="Arial" w:eastAsia="Arial" w:hAnsi="Arial"/>
                <w:sz w:val="12"/>
                <w:szCs w:val="12"/>
                <w:color w:val="auto"/>
                <w:w w:val="94"/>
              </w:rPr>
              <w:t>12/26/23</w:t>
            </w:r>
          </w:p>
        </w:tc>
        <w:tc>
          <w:tcPr>
            <w:tcW w:w="720" w:type="dxa"/>
            <w:vAlign w:val="bottom"/>
          </w:tcPr>
          <w:p>
            <w:pPr>
              <w:jc w:val="center"/>
              <w:spacing w:after="0"/>
              <w:rPr>
                <w:sz w:val="20"/>
                <w:szCs w:val="20"/>
                <w:color w:val="auto"/>
              </w:rPr>
            </w:pPr>
            <w:r>
              <w:rPr>
                <w:rFonts w:ascii="Arial" w:cs="Arial" w:eastAsia="Arial" w:hAnsi="Arial"/>
                <w:sz w:val="12"/>
                <w:szCs w:val="12"/>
                <w:color w:val="auto"/>
                <w:w w:val="94"/>
              </w:rPr>
              <w:t>12/12/23</w:t>
            </w:r>
          </w:p>
        </w:tc>
        <w:tc>
          <w:tcPr>
            <w:tcW w:w="8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920" w:type="dxa"/>
            <w:vAlign w:val="bottom"/>
          </w:tcPr>
          <w:p>
            <w:pPr>
              <w:jc w:val="right"/>
              <w:ind w:right="45"/>
              <w:spacing w:after="0"/>
              <w:rPr>
                <w:sz w:val="20"/>
                <w:szCs w:val="20"/>
                <w:color w:val="auto"/>
              </w:rPr>
            </w:pPr>
            <w:r>
              <w:rPr>
                <w:rFonts w:ascii="Arial" w:cs="Arial" w:eastAsia="Arial" w:hAnsi="Arial"/>
                <w:sz w:val="12"/>
                <w:szCs w:val="12"/>
                <w:color w:val="auto"/>
              </w:rPr>
              <w:t>11,400</w:t>
            </w:r>
          </w:p>
        </w:tc>
        <w:tc>
          <w:tcPr>
            <w:tcW w:w="760" w:type="dxa"/>
            <w:vAlign w:val="bottom"/>
          </w:tcPr>
          <w:p>
            <w:pPr>
              <w:jc w:val="right"/>
              <w:ind w:right="24"/>
              <w:spacing w:after="0"/>
              <w:rPr>
                <w:sz w:val="20"/>
                <w:szCs w:val="20"/>
                <w:color w:val="auto"/>
              </w:rPr>
            </w:pPr>
            <w:r>
              <w:rPr>
                <w:rFonts w:ascii="Arial" w:cs="Arial" w:eastAsia="Arial" w:hAnsi="Arial"/>
                <w:sz w:val="12"/>
                <w:szCs w:val="12"/>
                <w:color w:val="auto"/>
              </w:rPr>
              <w:t>99.60</w:t>
            </w:r>
          </w:p>
        </w:tc>
        <w:tc>
          <w:tcPr>
            <w:tcW w:w="720" w:type="dxa"/>
            <w:vAlign w:val="bottom"/>
          </w:tcPr>
          <w:p>
            <w:pPr>
              <w:jc w:val="right"/>
              <w:spacing w:after="0"/>
              <w:rPr>
                <w:sz w:val="20"/>
                <w:szCs w:val="20"/>
                <w:color w:val="auto"/>
              </w:rPr>
            </w:pPr>
            <w:r>
              <w:rPr>
                <w:rFonts w:ascii="Arial" w:cs="Arial" w:eastAsia="Arial" w:hAnsi="Arial"/>
                <w:sz w:val="12"/>
                <w:szCs w:val="12"/>
                <w:color w:val="auto"/>
              </w:rPr>
              <w:t>355,908</w:t>
            </w:r>
          </w:p>
        </w:tc>
      </w:tr>
      <w:tr>
        <w:trPr>
          <w:trHeight w:val="187"/>
        </w:trPr>
        <w:tc>
          <w:tcPr>
            <w:tcW w:w="1680" w:type="dxa"/>
            <w:vAlign w:val="bottom"/>
          </w:tcPr>
          <w:p>
            <w:pPr>
              <w:ind w:left="140"/>
              <w:spacing w:after="0"/>
              <w:rPr>
                <w:sz w:val="20"/>
                <w:szCs w:val="20"/>
                <w:color w:val="auto"/>
              </w:rPr>
            </w:pPr>
            <w:r>
              <w:rPr>
                <w:rFonts w:ascii="Arial" w:cs="Arial" w:eastAsia="Arial" w:hAnsi="Arial"/>
                <w:sz w:val="12"/>
                <w:szCs w:val="12"/>
                <w:color w:val="auto"/>
              </w:rPr>
              <w:t>Restricted Stock Units</w:t>
            </w:r>
          </w:p>
        </w:tc>
        <w:tc>
          <w:tcPr>
            <w:tcW w:w="760" w:type="dxa"/>
            <w:vAlign w:val="bottom"/>
          </w:tcPr>
          <w:p>
            <w:pPr>
              <w:jc w:val="center"/>
              <w:spacing w:after="0"/>
              <w:rPr>
                <w:sz w:val="20"/>
                <w:szCs w:val="20"/>
                <w:color w:val="auto"/>
              </w:rPr>
            </w:pPr>
            <w:r>
              <w:rPr>
                <w:rFonts w:ascii="Arial" w:cs="Arial" w:eastAsia="Arial" w:hAnsi="Arial"/>
                <w:sz w:val="12"/>
                <w:szCs w:val="12"/>
                <w:color w:val="auto"/>
                <w:w w:val="94"/>
              </w:rPr>
              <w:t>01/23/24</w:t>
            </w:r>
          </w:p>
        </w:tc>
        <w:tc>
          <w:tcPr>
            <w:tcW w:w="720" w:type="dxa"/>
            <w:vAlign w:val="bottom"/>
          </w:tcPr>
          <w:p>
            <w:pPr>
              <w:jc w:val="center"/>
              <w:spacing w:after="0"/>
              <w:rPr>
                <w:sz w:val="20"/>
                <w:szCs w:val="20"/>
                <w:color w:val="auto"/>
              </w:rPr>
            </w:pPr>
            <w:r>
              <w:rPr>
                <w:rFonts w:ascii="Arial" w:cs="Arial" w:eastAsia="Arial" w:hAnsi="Arial"/>
                <w:sz w:val="12"/>
                <w:szCs w:val="12"/>
                <w:color w:val="auto"/>
                <w:w w:val="94"/>
              </w:rPr>
              <w:t>12/12/23</w:t>
            </w:r>
          </w:p>
        </w:tc>
        <w:tc>
          <w:tcPr>
            <w:tcW w:w="8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80" w:type="dxa"/>
            <w:vAlign w:val="bottom"/>
          </w:tcPr>
          <w:p>
            <w:pPr>
              <w:jc w:val="right"/>
              <w:ind w:right="46"/>
              <w:spacing w:after="0"/>
              <w:rPr>
                <w:sz w:val="20"/>
                <w:szCs w:val="20"/>
                <w:color w:val="auto"/>
              </w:rPr>
            </w:pPr>
            <w:r>
              <w:rPr>
                <w:rFonts w:ascii="Arial" w:cs="Arial" w:eastAsia="Arial" w:hAnsi="Arial"/>
                <w:sz w:val="12"/>
                <w:szCs w:val="12"/>
                <w:color w:val="auto"/>
              </w:rPr>
              <w:t>6,935</w:t>
            </w:r>
          </w:p>
        </w:tc>
        <w:tc>
          <w:tcPr>
            <w:tcW w:w="920" w:type="dxa"/>
            <w:vAlign w:val="bottom"/>
          </w:tcPr>
          <w:p>
            <w:pPr>
              <w:spacing w:after="0"/>
              <w:rPr>
                <w:sz w:val="16"/>
                <w:szCs w:val="16"/>
                <w:color w:val="auto"/>
              </w:rPr>
            </w:pPr>
          </w:p>
        </w:tc>
        <w:tc>
          <w:tcPr>
            <w:tcW w:w="760" w:type="dxa"/>
            <w:vAlign w:val="bottom"/>
          </w:tcPr>
          <w:p>
            <w:pPr>
              <w:jc w:val="right"/>
              <w:ind w:right="24"/>
              <w:spacing w:after="0"/>
              <w:rPr>
                <w:sz w:val="20"/>
                <w:szCs w:val="20"/>
                <w:color w:val="auto"/>
              </w:rPr>
            </w:pPr>
            <w:r>
              <w:rPr>
                <w:rFonts w:ascii="Arial" w:cs="Arial" w:eastAsia="Arial" w:hAnsi="Arial"/>
                <w:sz w:val="12"/>
                <w:szCs w:val="12"/>
                <w:color w:val="auto"/>
              </w:rPr>
              <w:t>93.72</w:t>
            </w:r>
          </w:p>
        </w:tc>
        <w:tc>
          <w:tcPr>
            <w:tcW w:w="720" w:type="dxa"/>
            <w:vAlign w:val="bottom"/>
          </w:tcPr>
          <w:p>
            <w:pPr>
              <w:jc w:val="right"/>
              <w:spacing w:after="0"/>
              <w:rPr>
                <w:sz w:val="20"/>
                <w:szCs w:val="20"/>
                <w:color w:val="auto"/>
              </w:rPr>
            </w:pPr>
            <w:r>
              <w:rPr>
                <w:rFonts w:ascii="Arial" w:cs="Arial" w:eastAsia="Arial" w:hAnsi="Arial"/>
                <w:sz w:val="12"/>
                <w:szCs w:val="12"/>
                <w:color w:val="auto"/>
              </w:rPr>
              <w:t>649,948</w:t>
            </w:r>
          </w:p>
        </w:tc>
      </w:tr>
      <w:tr>
        <w:trPr>
          <w:trHeight w:val="31"/>
        </w:trPr>
        <w:tc>
          <w:tcPr>
            <w:tcW w:w="1680" w:type="dxa"/>
            <w:vAlign w:val="bottom"/>
          </w:tcPr>
          <w:p>
            <w:pPr>
              <w:spacing w:after="0"/>
              <w:rPr>
                <w:sz w:val="2"/>
                <w:szCs w:val="2"/>
                <w:color w:val="auto"/>
              </w:rPr>
            </w:pPr>
          </w:p>
        </w:tc>
        <w:tc>
          <w:tcPr>
            <w:tcW w:w="76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0" w:type="dxa"/>
            <w:vAlign w:val="bottom"/>
          </w:tcPr>
          <w:p>
            <w:pPr>
              <w:spacing w:after="0"/>
              <w:rPr>
                <w:sz w:val="2"/>
                <w:szCs w:val="2"/>
                <w:color w:val="auto"/>
              </w:rPr>
            </w:pPr>
          </w:p>
        </w:tc>
        <w:tc>
          <w:tcPr>
            <w:tcW w:w="840" w:type="dxa"/>
            <w:vAlign w:val="bottom"/>
          </w:tcPr>
          <w:p>
            <w:pPr>
              <w:spacing w:after="0"/>
              <w:rPr>
                <w:sz w:val="2"/>
                <w:szCs w:val="2"/>
                <w:color w:val="auto"/>
              </w:rPr>
            </w:pPr>
          </w:p>
        </w:tc>
        <w:tc>
          <w:tcPr>
            <w:tcW w:w="780" w:type="dxa"/>
            <w:vAlign w:val="bottom"/>
          </w:tcPr>
          <w:p>
            <w:pPr>
              <w:spacing w:after="0"/>
              <w:rPr>
                <w:sz w:val="2"/>
                <w:szCs w:val="2"/>
                <w:color w:val="auto"/>
              </w:rPr>
            </w:pPr>
          </w:p>
        </w:tc>
        <w:tc>
          <w:tcPr>
            <w:tcW w:w="760" w:type="dxa"/>
            <w:vAlign w:val="bottom"/>
          </w:tcPr>
          <w:p>
            <w:pPr>
              <w:spacing w:after="0"/>
              <w:rPr>
                <w:sz w:val="2"/>
                <w:szCs w:val="2"/>
                <w:color w:val="auto"/>
              </w:rPr>
            </w:pPr>
          </w:p>
        </w:tc>
        <w:tc>
          <w:tcPr>
            <w:tcW w:w="680" w:type="dxa"/>
            <w:vAlign w:val="bottom"/>
          </w:tcPr>
          <w:p>
            <w:pPr>
              <w:spacing w:after="0"/>
              <w:rPr>
                <w:sz w:val="2"/>
                <w:szCs w:val="2"/>
                <w:color w:val="auto"/>
              </w:rPr>
            </w:pPr>
          </w:p>
        </w:tc>
        <w:tc>
          <w:tcPr>
            <w:tcW w:w="740" w:type="dxa"/>
            <w:vAlign w:val="bottom"/>
          </w:tcPr>
          <w:p>
            <w:pPr>
              <w:spacing w:after="0"/>
              <w:rPr>
                <w:sz w:val="2"/>
                <w:szCs w:val="2"/>
                <w:color w:val="auto"/>
              </w:rPr>
            </w:pPr>
          </w:p>
        </w:tc>
        <w:tc>
          <w:tcPr>
            <w:tcW w:w="780" w:type="dxa"/>
            <w:vAlign w:val="bottom"/>
          </w:tcPr>
          <w:p>
            <w:pPr>
              <w:spacing w:after="0"/>
              <w:rPr>
                <w:sz w:val="2"/>
                <w:szCs w:val="2"/>
                <w:color w:val="auto"/>
              </w:rPr>
            </w:pPr>
          </w:p>
        </w:tc>
        <w:tc>
          <w:tcPr>
            <w:tcW w:w="920" w:type="dxa"/>
            <w:vAlign w:val="bottom"/>
          </w:tcPr>
          <w:p>
            <w:pPr>
              <w:spacing w:after="0"/>
              <w:rPr>
                <w:sz w:val="2"/>
                <w:szCs w:val="2"/>
                <w:color w:val="auto"/>
              </w:rPr>
            </w:pPr>
          </w:p>
        </w:tc>
        <w:tc>
          <w:tcPr>
            <w:tcW w:w="76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156"/>
        </w:trPr>
        <w:tc>
          <w:tcPr>
            <w:tcW w:w="1680" w:type="dxa"/>
            <w:vAlign w:val="bottom"/>
            <w:shd w:val="clear" w:color="auto" w:fill="DBDBDB"/>
          </w:tcPr>
          <w:p>
            <w:pPr>
              <w:ind w:left="20"/>
              <w:spacing w:after="0"/>
              <w:rPr>
                <w:sz w:val="20"/>
                <w:szCs w:val="20"/>
                <w:color w:val="auto"/>
              </w:rPr>
            </w:pPr>
            <w:r>
              <w:rPr>
                <w:rFonts w:ascii="Arial" w:cs="Arial" w:eastAsia="Arial" w:hAnsi="Arial"/>
                <w:sz w:val="12"/>
                <w:szCs w:val="12"/>
                <w:color w:val="auto"/>
              </w:rPr>
              <w:t>Amy E. Dahl</w:t>
            </w:r>
          </w:p>
        </w:tc>
        <w:tc>
          <w:tcPr>
            <w:tcW w:w="760" w:type="dxa"/>
            <w:vAlign w:val="bottom"/>
            <w:shd w:val="clear" w:color="auto" w:fill="DBDBDB"/>
          </w:tcPr>
          <w:p>
            <w:pPr>
              <w:spacing w:after="0"/>
              <w:rPr>
                <w:sz w:val="13"/>
                <w:szCs w:val="13"/>
                <w:color w:val="auto"/>
              </w:rPr>
            </w:pPr>
          </w:p>
        </w:tc>
        <w:tc>
          <w:tcPr>
            <w:tcW w:w="720" w:type="dxa"/>
            <w:vAlign w:val="bottom"/>
            <w:shd w:val="clear" w:color="auto" w:fill="DBDBDB"/>
          </w:tcPr>
          <w:p>
            <w:pPr>
              <w:spacing w:after="0"/>
              <w:rPr>
                <w:sz w:val="13"/>
                <w:szCs w:val="13"/>
                <w:color w:val="auto"/>
              </w:rPr>
            </w:pPr>
          </w:p>
        </w:tc>
        <w:tc>
          <w:tcPr>
            <w:tcW w:w="800" w:type="dxa"/>
            <w:vAlign w:val="bottom"/>
            <w:shd w:val="clear" w:color="auto" w:fill="DBDBDB"/>
          </w:tcPr>
          <w:p>
            <w:pPr>
              <w:spacing w:after="0"/>
              <w:rPr>
                <w:sz w:val="13"/>
                <w:szCs w:val="13"/>
                <w:color w:val="auto"/>
              </w:rPr>
            </w:pPr>
          </w:p>
        </w:tc>
        <w:tc>
          <w:tcPr>
            <w:tcW w:w="840" w:type="dxa"/>
            <w:vAlign w:val="bottom"/>
            <w:shd w:val="clear" w:color="auto" w:fill="DBDBDB"/>
          </w:tcPr>
          <w:p>
            <w:pPr>
              <w:spacing w:after="0"/>
              <w:rPr>
                <w:sz w:val="13"/>
                <w:szCs w:val="13"/>
                <w:color w:val="auto"/>
              </w:rPr>
            </w:pPr>
          </w:p>
        </w:tc>
        <w:tc>
          <w:tcPr>
            <w:tcW w:w="780" w:type="dxa"/>
            <w:vAlign w:val="bottom"/>
            <w:shd w:val="clear" w:color="auto" w:fill="DBDBDB"/>
          </w:tcPr>
          <w:p>
            <w:pPr>
              <w:spacing w:after="0"/>
              <w:rPr>
                <w:sz w:val="13"/>
                <w:szCs w:val="13"/>
                <w:color w:val="auto"/>
              </w:rPr>
            </w:pPr>
          </w:p>
        </w:tc>
        <w:tc>
          <w:tcPr>
            <w:tcW w:w="760" w:type="dxa"/>
            <w:vAlign w:val="bottom"/>
            <w:shd w:val="clear" w:color="auto" w:fill="DBDBDB"/>
          </w:tcPr>
          <w:p>
            <w:pPr>
              <w:spacing w:after="0"/>
              <w:rPr>
                <w:sz w:val="13"/>
                <w:szCs w:val="13"/>
                <w:color w:val="auto"/>
              </w:rPr>
            </w:pPr>
          </w:p>
        </w:tc>
        <w:tc>
          <w:tcPr>
            <w:tcW w:w="680" w:type="dxa"/>
            <w:vAlign w:val="bottom"/>
            <w:shd w:val="clear" w:color="auto" w:fill="DBDBDB"/>
          </w:tcPr>
          <w:p>
            <w:pPr>
              <w:spacing w:after="0"/>
              <w:rPr>
                <w:sz w:val="13"/>
                <w:szCs w:val="13"/>
                <w:color w:val="auto"/>
              </w:rPr>
            </w:pPr>
          </w:p>
        </w:tc>
        <w:tc>
          <w:tcPr>
            <w:tcW w:w="740" w:type="dxa"/>
            <w:vAlign w:val="bottom"/>
            <w:shd w:val="clear" w:color="auto" w:fill="DBDBDB"/>
          </w:tcPr>
          <w:p>
            <w:pPr>
              <w:spacing w:after="0"/>
              <w:rPr>
                <w:sz w:val="13"/>
                <w:szCs w:val="13"/>
                <w:color w:val="auto"/>
              </w:rPr>
            </w:pPr>
          </w:p>
        </w:tc>
        <w:tc>
          <w:tcPr>
            <w:tcW w:w="780" w:type="dxa"/>
            <w:vAlign w:val="bottom"/>
            <w:shd w:val="clear" w:color="auto" w:fill="DBDBDB"/>
          </w:tcPr>
          <w:p>
            <w:pPr>
              <w:spacing w:after="0"/>
              <w:rPr>
                <w:sz w:val="13"/>
                <w:szCs w:val="13"/>
                <w:color w:val="auto"/>
              </w:rPr>
            </w:pPr>
          </w:p>
        </w:tc>
        <w:tc>
          <w:tcPr>
            <w:tcW w:w="920" w:type="dxa"/>
            <w:vAlign w:val="bottom"/>
            <w:shd w:val="clear" w:color="auto" w:fill="DBDBDB"/>
          </w:tcPr>
          <w:p>
            <w:pPr>
              <w:spacing w:after="0"/>
              <w:rPr>
                <w:sz w:val="13"/>
                <w:szCs w:val="13"/>
                <w:color w:val="auto"/>
              </w:rPr>
            </w:pPr>
          </w:p>
        </w:tc>
        <w:tc>
          <w:tcPr>
            <w:tcW w:w="760" w:type="dxa"/>
            <w:vAlign w:val="bottom"/>
            <w:shd w:val="clear" w:color="auto" w:fill="DBDBDB"/>
          </w:tcPr>
          <w:p>
            <w:pPr>
              <w:spacing w:after="0"/>
              <w:rPr>
                <w:sz w:val="13"/>
                <w:szCs w:val="13"/>
                <w:color w:val="auto"/>
              </w:rPr>
            </w:pPr>
          </w:p>
        </w:tc>
        <w:tc>
          <w:tcPr>
            <w:tcW w:w="720" w:type="dxa"/>
            <w:vAlign w:val="bottom"/>
            <w:shd w:val="clear" w:color="auto" w:fill="DBDBDB"/>
          </w:tcPr>
          <w:p>
            <w:pPr>
              <w:spacing w:after="0"/>
              <w:rPr>
                <w:sz w:val="13"/>
                <w:szCs w:val="13"/>
                <w:color w:val="auto"/>
              </w:rPr>
            </w:pPr>
          </w:p>
        </w:tc>
      </w:tr>
      <w:tr>
        <w:trPr>
          <w:trHeight w:val="187"/>
        </w:trPr>
        <w:tc>
          <w:tcPr>
            <w:tcW w:w="1680" w:type="dxa"/>
            <w:vAlign w:val="bottom"/>
            <w:shd w:val="clear" w:color="auto" w:fill="DBDBDB"/>
          </w:tcPr>
          <w:p>
            <w:pPr>
              <w:ind w:left="140"/>
              <w:spacing w:after="0"/>
              <w:rPr>
                <w:sz w:val="20"/>
                <w:szCs w:val="20"/>
                <w:color w:val="auto"/>
              </w:rPr>
            </w:pPr>
            <w:r>
              <w:rPr>
                <w:rFonts w:ascii="Arial" w:cs="Arial" w:eastAsia="Arial" w:hAnsi="Arial"/>
                <w:sz w:val="12"/>
                <w:szCs w:val="12"/>
                <w:color w:val="auto"/>
              </w:rPr>
              <w:t>Annual Cash Incentive</w:t>
            </w:r>
          </w:p>
        </w:tc>
        <w:tc>
          <w:tcPr>
            <w:tcW w:w="760" w:type="dxa"/>
            <w:vAlign w:val="bottom"/>
            <w:shd w:val="clear" w:color="auto" w:fill="DBDBDB"/>
          </w:tcPr>
          <w:p>
            <w:pPr>
              <w:spacing w:after="0"/>
              <w:rPr>
                <w:sz w:val="16"/>
                <w:szCs w:val="16"/>
                <w:color w:val="auto"/>
              </w:rPr>
            </w:pPr>
          </w:p>
        </w:tc>
        <w:tc>
          <w:tcPr>
            <w:tcW w:w="720" w:type="dxa"/>
            <w:vAlign w:val="bottom"/>
            <w:shd w:val="clear" w:color="auto" w:fill="DBDBDB"/>
          </w:tcPr>
          <w:p>
            <w:pPr>
              <w:spacing w:after="0"/>
              <w:rPr>
                <w:sz w:val="16"/>
                <w:szCs w:val="16"/>
                <w:color w:val="auto"/>
              </w:rPr>
            </w:pPr>
          </w:p>
        </w:tc>
        <w:tc>
          <w:tcPr>
            <w:tcW w:w="800" w:type="dxa"/>
            <w:vAlign w:val="bottom"/>
            <w:shd w:val="clear" w:color="auto" w:fill="DBDBDB"/>
          </w:tcPr>
          <w:p>
            <w:pPr>
              <w:jc w:val="right"/>
              <w:spacing w:after="0"/>
              <w:rPr>
                <w:sz w:val="20"/>
                <w:szCs w:val="20"/>
                <w:color w:val="auto"/>
              </w:rPr>
            </w:pPr>
            <w:r>
              <w:rPr>
                <w:rFonts w:ascii="Arial" w:cs="Arial" w:eastAsia="Arial" w:hAnsi="Arial"/>
                <w:sz w:val="12"/>
                <w:szCs w:val="12"/>
                <w:color w:val="auto"/>
              </w:rPr>
              <w:t>141,824</w:t>
            </w:r>
          </w:p>
        </w:tc>
        <w:tc>
          <w:tcPr>
            <w:tcW w:w="840" w:type="dxa"/>
            <w:vAlign w:val="bottom"/>
            <w:shd w:val="clear" w:color="auto" w:fill="DBDBDB"/>
          </w:tcPr>
          <w:p>
            <w:pPr>
              <w:jc w:val="right"/>
              <w:ind w:right="24"/>
              <w:spacing w:after="0"/>
              <w:rPr>
                <w:sz w:val="20"/>
                <w:szCs w:val="20"/>
                <w:color w:val="auto"/>
              </w:rPr>
            </w:pPr>
            <w:r>
              <w:rPr>
                <w:rFonts w:ascii="Arial" w:cs="Arial" w:eastAsia="Arial" w:hAnsi="Arial"/>
                <w:sz w:val="12"/>
                <w:szCs w:val="12"/>
                <w:color w:val="auto"/>
              </w:rPr>
              <w:t>354,560</w:t>
            </w:r>
          </w:p>
        </w:tc>
        <w:tc>
          <w:tcPr>
            <w:tcW w:w="780" w:type="dxa"/>
            <w:vAlign w:val="bottom"/>
            <w:shd w:val="clear" w:color="auto" w:fill="DBDBDB"/>
          </w:tcPr>
          <w:p>
            <w:pPr>
              <w:jc w:val="right"/>
              <w:ind w:right="23"/>
              <w:spacing w:after="0"/>
              <w:rPr>
                <w:sz w:val="20"/>
                <w:szCs w:val="20"/>
                <w:color w:val="auto"/>
              </w:rPr>
            </w:pPr>
            <w:r>
              <w:rPr>
                <w:rFonts w:ascii="Arial" w:cs="Arial" w:eastAsia="Arial" w:hAnsi="Arial"/>
                <w:sz w:val="12"/>
                <w:szCs w:val="12"/>
                <w:color w:val="auto"/>
              </w:rPr>
              <w:t>709,120</w:t>
            </w:r>
          </w:p>
        </w:tc>
        <w:tc>
          <w:tcPr>
            <w:tcW w:w="760" w:type="dxa"/>
            <w:vAlign w:val="bottom"/>
            <w:shd w:val="clear" w:color="auto" w:fill="DBDBDB"/>
          </w:tcPr>
          <w:p>
            <w:pPr>
              <w:spacing w:after="0"/>
              <w:rPr>
                <w:sz w:val="16"/>
                <w:szCs w:val="16"/>
                <w:color w:val="auto"/>
              </w:rPr>
            </w:pPr>
          </w:p>
        </w:tc>
        <w:tc>
          <w:tcPr>
            <w:tcW w:w="680" w:type="dxa"/>
            <w:vAlign w:val="bottom"/>
            <w:shd w:val="clear" w:color="auto" w:fill="DBDBDB"/>
          </w:tcPr>
          <w:p>
            <w:pPr>
              <w:spacing w:after="0"/>
              <w:rPr>
                <w:sz w:val="16"/>
                <w:szCs w:val="16"/>
                <w:color w:val="auto"/>
              </w:rPr>
            </w:pPr>
          </w:p>
        </w:tc>
        <w:tc>
          <w:tcPr>
            <w:tcW w:w="740" w:type="dxa"/>
            <w:vAlign w:val="bottom"/>
            <w:shd w:val="clear" w:color="auto" w:fill="DBDBDB"/>
          </w:tcPr>
          <w:p>
            <w:pPr>
              <w:spacing w:after="0"/>
              <w:rPr>
                <w:sz w:val="16"/>
                <w:szCs w:val="16"/>
                <w:color w:val="auto"/>
              </w:rPr>
            </w:pPr>
          </w:p>
        </w:tc>
        <w:tc>
          <w:tcPr>
            <w:tcW w:w="780" w:type="dxa"/>
            <w:vAlign w:val="bottom"/>
            <w:shd w:val="clear" w:color="auto" w:fill="DBDBDB"/>
          </w:tcPr>
          <w:p>
            <w:pPr>
              <w:spacing w:after="0"/>
              <w:rPr>
                <w:sz w:val="16"/>
                <w:szCs w:val="16"/>
                <w:color w:val="auto"/>
              </w:rPr>
            </w:pPr>
          </w:p>
        </w:tc>
        <w:tc>
          <w:tcPr>
            <w:tcW w:w="920" w:type="dxa"/>
            <w:vAlign w:val="bottom"/>
            <w:shd w:val="clear" w:color="auto" w:fill="DBDBDB"/>
          </w:tcPr>
          <w:p>
            <w:pPr>
              <w:spacing w:after="0"/>
              <w:rPr>
                <w:sz w:val="16"/>
                <w:szCs w:val="16"/>
                <w:color w:val="auto"/>
              </w:rPr>
            </w:pPr>
          </w:p>
        </w:tc>
        <w:tc>
          <w:tcPr>
            <w:tcW w:w="760" w:type="dxa"/>
            <w:vAlign w:val="bottom"/>
            <w:shd w:val="clear" w:color="auto" w:fill="DBDBDB"/>
          </w:tcPr>
          <w:p>
            <w:pPr>
              <w:spacing w:after="0"/>
              <w:rPr>
                <w:sz w:val="16"/>
                <w:szCs w:val="16"/>
                <w:color w:val="auto"/>
              </w:rPr>
            </w:pPr>
          </w:p>
        </w:tc>
        <w:tc>
          <w:tcPr>
            <w:tcW w:w="720" w:type="dxa"/>
            <w:vAlign w:val="bottom"/>
            <w:shd w:val="clear" w:color="auto" w:fill="DBDBDB"/>
          </w:tcPr>
          <w:p>
            <w:pPr>
              <w:spacing w:after="0"/>
              <w:rPr>
                <w:sz w:val="16"/>
                <w:szCs w:val="16"/>
                <w:color w:val="auto"/>
              </w:rPr>
            </w:pPr>
          </w:p>
        </w:tc>
      </w:tr>
      <w:tr>
        <w:trPr>
          <w:trHeight w:val="187"/>
        </w:trPr>
        <w:tc>
          <w:tcPr>
            <w:tcW w:w="1680" w:type="dxa"/>
            <w:vAlign w:val="bottom"/>
            <w:shd w:val="clear" w:color="auto" w:fill="DBDBDB"/>
          </w:tcPr>
          <w:p>
            <w:pPr>
              <w:ind w:left="140"/>
              <w:spacing w:after="0"/>
              <w:rPr>
                <w:sz w:val="20"/>
                <w:szCs w:val="20"/>
                <w:color w:val="auto"/>
              </w:rPr>
            </w:pPr>
            <w:r>
              <w:rPr>
                <w:rFonts w:ascii="Arial" w:cs="Arial" w:eastAsia="Arial" w:hAnsi="Arial"/>
                <w:sz w:val="12"/>
                <w:szCs w:val="12"/>
                <w:color w:val="auto"/>
              </w:rPr>
              <w:t>Performance Shares</w:t>
            </w:r>
          </w:p>
        </w:tc>
        <w:tc>
          <w:tcPr>
            <w:tcW w:w="760" w:type="dxa"/>
            <w:vAlign w:val="bottom"/>
            <w:shd w:val="clear" w:color="auto" w:fill="DBDBDB"/>
          </w:tcPr>
          <w:p>
            <w:pPr>
              <w:jc w:val="center"/>
              <w:spacing w:after="0"/>
              <w:rPr>
                <w:sz w:val="20"/>
                <w:szCs w:val="20"/>
                <w:color w:val="auto"/>
              </w:rPr>
            </w:pPr>
            <w:r>
              <w:rPr>
                <w:rFonts w:ascii="Arial" w:cs="Arial" w:eastAsia="Arial" w:hAnsi="Arial"/>
                <w:sz w:val="12"/>
                <w:szCs w:val="12"/>
                <w:color w:val="auto"/>
                <w:w w:val="94"/>
              </w:rPr>
              <w:t>12/26/23</w:t>
            </w:r>
          </w:p>
        </w:tc>
        <w:tc>
          <w:tcPr>
            <w:tcW w:w="720" w:type="dxa"/>
            <w:vAlign w:val="bottom"/>
            <w:shd w:val="clear" w:color="auto" w:fill="DBDBDB"/>
          </w:tcPr>
          <w:p>
            <w:pPr>
              <w:jc w:val="center"/>
              <w:spacing w:after="0"/>
              <w:rPr>
                <w:sz w:val="20"/>
                <w:szCs w:val="20"/>
                <w:color w:val="auto"/>
              </w:rPr>
            </w:pPr>
            <w:r>
              <w:rPr>
                <w:rFonts w:ascii="Arial" w:cs="Arial" w:eastAsia="Arial" w:hAnsi="Arial"/>
                <w:sz w:val="12"/>
                <w:szCs w:val="12"/>
                <w:color w:val="auto"/>
                <w:w w:val="94"/>
              </w:rPr>
              <w:t>12/12/23</w:t>
            </w:r>
          </w:p>
        </w:tc>
        <w:tc>
          <w:tcPr>
            <w:tcW w:w="800" w:type="dxa"/>
            <w:vAlign w:val="bottom"/>
            <w:shd w:val="clear" w:color="auto" w:fill="DBDBDB"/>
          </w:tcPr>
          <w:p>
            <w:pPr>
              <w:spacing w:after="0"/>
              <w:rPr>
                <w:sz w:val="16"/>
                <w:szCs w:val="16"/>
                <w:color w:val="auto"/>
              </w:rPr>
            </w:pPr>
          </w:p>
        </w:tc>
        <w:tc>
          <w:tcPr>
            <w:tcW w:w="840" w:type="dxa"/>
            <w:vAlign w:val="bottom"/>
            <w:shd w:val="clear" w:color="auto" w:fill="DBDBDB"/>
          </w:tcPr>
          <w:p>
            <w:pPr>
              <w:spacing w:after="0"/>
              <w:rPr>
                <w:sz w:val="16"/>
                <w:szCs w:val="16"/>
                <w:color w:val="auto"/>
              </w:rPr>
            </w:pPr>
          </w:p>
        </w:tc>
        <w:tc>
          <w:tcPr>
            <w:tcW w:w="780" w:type="dxa"/>
            <w:vAlign w:val="bottom"/>
            <w:shd w:val="clear" w:color="auto" w:fill="DBDBDB"/>
          </w:tcPr>
          <w:p>
            <w:pPr>
              <w:spacing w:after="0"/>
              <w:rPr>
                <w:sz w:val="16"/>
                <w:szCs w:val="16"/>
                <w:color w:val="auto"/>
              </w:rPr>
            </w:pPr>
          </w:p>
        </w:tc>
        <w:tc>
          <w:tcPr>
            <w:tcW w:w="760" w:type="dxa"/>
            <w:vAlign w:val="bottom"/>
            <w:shd w:val="clear" w:color="auto" w:fill="DBDBDB"/>
          </w:tcPr>
          <w:p>
            <w:pPr>
              <w:jc w:val="right"/>
              <w:ind w:right="4"/>
              <w:spacing w:after="0"/>
              <w:rPr>
                <w:sz w:val="20"/>
                <w:szCs w:val="20"/>
                <w:color w:val="auto"/>
              </w:rPr>
            </w:pPr>
            <w:r>
              <w:rPr>
                <w:rFonts w:ascii="Arial" w:cs="Arial" w:eastAsia="Arial" w:hAnsi="Arial"/>
                <w:sz w:val="12"/>
                <w:szCs w:val="12"/>
                <w:color w:val="auto"/>
              </w:rPr>
              <w:t>1,840</w:t>
            </w:r>
          </w:p>
        </w:tc>
        <w:tc>
          <w:tcPr>
            <w:tcW w:w="680" w:type="dxa"/>
            <w:vAlign w:val="bottom"/>
            <w:shd w:val="clear" w:color="auto" w:fill="DBDBDB"/>
          </w:tcPr>
          <w:p>
            <w:pPr>
              <w:jc w:val="right"/>
              <w:ind w:right="24"/>
              <w:spacing w:after="0"/>
              <w:rPr>
                <w:sz w:val="20"/>
                <w:szCs w:val="20"/>
                <w:color w:val="auto"/>
              </w:rPr>
            </w:pPr>
            <w:r>
              <w:rPr>
                <w:rFonts w:ascii="Arial" w:cs="Arial" w:eastAsia="Arial" w:hAnsi="Arial"/>
                <w:sz w:val="12"/>
                <w:szCs w:val="12"/>
                <w:color w:val="auto"/>
              </w:rPr>
              <w:t>4,600</w:t>
            </w:r>
          </w:p>
        </w:tc>
        <w:tc>
          <w:tcPr>
            <w:tcW w:w="740" w:type="dxa"/>
            <w:vAlign w:val="bottom"/>
            <w:shd w:val="clear" w:color="auto" w:fill="DBDBDB"/>
          </w:tcPr>
          <w:p>
            <w:pPr>
              <w:jc w:val="right"/>
              <w:ind w:right="23"/>
              <w:spacing w:after="0"/>
              <w:rPr>
                <w:sz w:val="20"/>
                <w:szCs w:val="20"/>
                <w:color w:val="auto"/>
              </w:rPr>
            </w:pPr>
            <w:r>
              <w:rPr>
                <w:rFonts w:ascii="Arial" w:cs="Arial" w:eastAsia="Arial" w:hAnsi="Arial"/>
                <w:sz w:val="12"/>
                <w:szCs w:val="12"/>
                <w:color w:val="auto"/>
              </w:rPr>
              <w:t>9,200</w:t>
            </w:r>
          </w:p>
        </w:tc>
        <w:tc>
          <w:tcPr>
            <w:tcW w:w="780" w:type="dxa"/>
            <w:vAlign w:val="bottom"/>
            <w:shd w:val="clear" w:color="auto" w:fill="DBDBDB"/>
          </w:tcPr>
          <w:p>
            <w:pPr>
              <w:spacing w:after="0"/>
              <w:rPr>
                <w:sz w:val="16"/>
                <w:szCs w:val="16"/>
                <w:color w:val="auto"/>
              </w:rPr>
            </w:pPr>
          </w:p>
        </w:tc>
        <w:tc>
          <w:tcPr>
            <w:tcW w:w="920" w:type="dxa"/>
            <w:vAlign w:val="bottom"/>
            <w:shd w:val="clear" w:color="auto" w:fill="DBDBDB"/>
          </w:tcPr>
          <w:p>
            <w:pPr>
              <w:spacing w:after="0"/>
              <w:rPr>
                <w:sz w:val="16"/>
                <w:szCs w:val="16"/>
                <w:color w:val="auto"/>
              </w:rPr>
            </w:pPr>
          </w:p>
        </w:tc>
        <w:tc>
          <w:tcPr>
            <w:tcW w:w="760" w:type="dxa"/>
            <w:vAlign w:val="bottom"/>
            <w:shd w:val="clear" w:color="auto" w:fill="DBDBDB"/>
          </w:tcPr>
          <w:p>
            <w:pPr>
              <w:spacing w:after="0"/>
              <w:rPr>
                <w:sz w:val="16"/>
                <w:szCs w:val="16"/>
                <w:color w:val="auto"/>
              </w:rPr>
            </w:pPr>
          </w:p>
        </w:tc>
        <w:tc>
          <w:tcPr>
            <w:tcW w:w="720" w:type="dxa"/>
            <w:vAlign w:val="bottom"/>
            <w:shd w:val="clear" w:color="auto" w:fill="DBDBDB"/>
          </w:tcPr>
          <w:p>
            <w:pPr>
              <w:jc w:val="right"/>
              <w:spacing w:after="0"/>
              <w:rPr>
                <w:sz w:val="20"/>
                <w:szCs w:val="20"/>
                <w:color w:val="auto"/>
              </w:rPr>
            </w:pPr>
            <w:r>
              <w:rPr>
                <w:rFonts w:ascii="Arial" w:cs="Arial" w:eastAsia="Arial" w:hAnsi="Arial"/>
                <w:sz w:val="12"/>
                <w:szCs w:val="12"/>
                <w:color w:val="auto"/>
              </w:rPr>
              <w:t>458,160</w:t>
            </w:r>
          </w:p>
        </w:tc>
      </w:tr>
      <w:tr>
        <w:trPr>
          <w:trHeight w:val="198"/>
        </w:trPr>
        <w:tc>
          <w:tcPr>
            <w:tcW w:w="1680" w:type="dxa"/>
            <w:vAlign w:val="bottom"/>
            <w:tcBorders>
              <w:bottom w:val="single" w:sz="8" w:color="DBDBDB"/>
            </w:tcBorders>
            <w:shd w:val="clear" w:color="auto" w:fill="DBDBDB"/>
          </w:tcPr>
          <w:p>
            <w:pPr>
              <w:ind w:left="140"/>
              <w:spacing w:after="0"/>
              <w:rPr>
                <w:sz w:val="20"/>
                <w:szCs w:val="20"/>
                <w:color w:val="auto"/>
              </w:rPr>
            </w:pPr>
            <w:r>
              <w:rPr>
                <w:rFonts w:ascii="Arial" w:cs="Arial" w:eastAsia="Arial" w:hAnsi="Arial"/>
                <w:sz w:val="12"/>
                <w:szCs w:val="12"/>
                <w:color w:val="auto"/>
              </w:rPr>
              <w:t>Stock Options</w:t>
            </w:r>
          </w:p>
        </w:tc>
        <w:tc>
          <w:tcPr>
            <w:tcW w:w="760" w:type="dxa"/>
            <w:vAlign w:val="bottom"/>
            <w:tcBorders>
              <w:bottom w:val="single" w:sz="8" w:color="DBDBDB"/>
            </w:tcBorders>
            <w:shd w:val="clear" w:color="auto" w:fill="DBDBDB"/>
          </w:tcPr>
          <w:p>
            <w:pPr>
              <w:jc w:val="center"/>
              <w:spacing w:after="0"/>
              <w:rPr>
                <w:sz w:val="20"/>
                <w:szCs w:val="20"/>
                <w:color w:val="auto"/>
              </w:rPr>
            </w:pPr>
            <w:r>
              <w:rPr>
                <w:rFonts w:ascii="Arial" w:cs="Arial" w:eastAsia="Arial" w:hAnsi="Arial"/>
                <w:sz w:val="12"/>
                <w:szCs w:val="12"/>
                <w:color w:val="auto"/>
                <w:w w:val="94"/>
              </w:rPr>
              <w:t>12/26/23</w:t>
            </w:r>
          </w:p>
        </w:tc>
        <w:tc>
          <w:tcPr>
            <w:tcW w:w="720" w:type="dxa"/>
            <w:vAlign w:val="bottom"/>
            <w:tcBorders>
              <w:bottom w:val="single" w:sz="8" w:color="DBDBDB"/>
            </w:tcBorders>
            <w:shd w:val="clear" w:color="auto" w:fill="DBDBDB"/>
          </w:tcPr>
          <w:p>
            <w:pPr>
              <w:jc w:val="center"/>
              <w:spacing w:after="0"/>
              <w:rPr>
                <w:sz w:val="20"/>
                <w:szCs w:val="20"/>
                <w:color w:val="auto"/>
              </w:rPr>
            </w:pPr>
            <w:r>
              <w:rPr>
                <w:rFonts w:ascii="Arial" w:cs="Arial" w:eastAsia="Arial" w:hAnsi="Arial"/>
                <w:sz w:val="12"/>
                <w:szCs w:val="12"/>
                <w:color w:val="auto"/>
                <w:w w:val="94"/>
              </w:rPr>
              <w:t>12/12/23</w:t>
            </w:r>
          </w:p>
        </w:tc>
        <w:tc>
          <w:tcPr>
            <w:tcW w:w="800" w:type="dxa"/>
            <w:vAlign w:val="bottom"/>
            <w:tcBorders>
              <w:bottom w:val="single" w:sz="8" w:color="DBDBDB"/>
            </w:tcBorders>
            <w:shd w:val="clear" w:color="auto" w:fill="DBDBDB"/>
          </w:tcPr>
          <w:p>
            <w:pPr>
              <w:spacing w:after="0"/>
              <w:rPr>
                <w:sz w:val="17"/>
                <w:szCs w:val="17"/>
                <w:color w:val="auto"/>
              </w:rPr>
            </w:pPr>
          </w:p>
        </w:tc>
        <w:tc>
          <w:tcPr>
            <w:tcW w:w="840" w:type="dxa"/>
            <w:vAlign w:val="bottom"/>
            <w:tcBorders>
              <w:bottom w:val="single" w:sz="8" w:color="DBDBDB"/>
            </w:tcBorders>
            <w:shd w:val="clear" w:color="auto" w:fill="DBDBDB"/>
          </w:tcPr>
          <w:p>
            <w:pPr>
              <w:spacing w:after="0"/>
              <w:rPr>
                <w:sz w:val="17"/>
                <w:szCs w:val="17"/>
                <w:color w:val="auto"/>
              </w:rPr>
            </w:pPr>
          </w:p>
        </w:tc>
        <w:tc>
          <w:tcPr>
            <w:tcW w:w="780" w:type="dxa"/>
            <w:vAlign w:val="bottom"/>
            <w:tcBorders>
              <w:bottom w:val="single" w:sz="8" w:color="DBDBDB"/>
            </w:tcBorders>
            <w:shd w:val="clear" w:color="auto" w:fill="DBDBDB"/>
          </w:tcPr>
          <w:p>
            <w:pPr>
              <w:spacing w:after="0"/>
              <w:rPr>
                <w:sz w:val="17"/>
                <w:szCs w:val="17"/>
                <w:color w:val="auto"/>
              </w:rPr>
            </w:pPr>
          </w:p>
        </w:tc>
        <w:tc>
          <w:tcPr>
            <w:tcW w:w="760" w:type="dxa"/>
            <w:vAlign w:val="bottom"/>
            <w:tcBorders>
              <w:bottom w:val="single" w:sz="8" w:color="DBDBDB"/>
            </w:tcBorders>
            <w:shd w:val="clear" w:color="auto" w:fill="DBDBDB"/>
          </w:tcPr>
          <w:p>
            <w:pPr>
              <w:spacing w:after="0"/>
              <w:rPr>
                <w:sz w:val="17"/>
                <w:szCs w:val="17"/>
                <w:color w:val="auto"/>
              </w:rPr>
            </w:pPr>
          </w:p>
        </w:tc>
        <w:tc>
          <w:tcPr>
            <w:tcW w:w="680" w:type="dxa"/>
            <w:vAlign w:val="bottom"/>
            <w:tcBorders>
              <w:bottom w:val="single" w:sz="8" w:color="DBDBDB"/>
            </w:tcBorders>
            <w:shd w:val="clear" w:color="auto" w:fill="DBDBDB"/>
          </w:tcPr>
          <w:p>
            <w:pPr>
              <w:spacing w:after="0"/>
              <w:rPr>
                <w:sz w:val="17"/>
                <w:szCs w:val="17"/>
                <w:color w:val="auto"/>
              </w:rPr>
            </w:pPr>
          </w:p>
        </w:tc>
        <w:tc>
          <w:tcPr>
            <w:tcW w:w="740" w:type="dxa"/>
            <w:vAlign w:val="bottom"/>
            <w:tcBorders>
              <w:bottom w:val="single" w:sz="8" w:color="DBDBDB"/>
            </w:tcBorders>
            <w:shd w:val="clear" w:color="auto" w:fill="DBDBDB"/>
          </w:tcPr>
          <w:p>
            <w:pPr>
              <w:spacing w:after="0"/>
              <w:rPr>
                <w:sz w:val="17"/>
                <w:szCs w:val="17"/>
                <w:color w:val="auto"/>
              </w:rPr>
            </w:pPr>
          </w:p>
        </w:tc>
        <w:tc>
          <w:tcPr>
            <w:tcW w:w="780" w:type="dxa"/>
            <w:vAlign w:val="bottom"/>
            <w:tcBorders>
              <w:bottom w:val="single" w:sz="8" w:color="DBDBDB"/>
            </w:tcBorders>
            <w:shd w:val="clear" w:color="auto" w:fill="DBDBDB"/>
          </w:tcPr>
          <w:p>
            <w:pPr>
              <w:spacing w:after="0"/>
              <w:rPr>
                <w:sz w:val="17"/>
                <w:szCs w:val="17"/>
                <w:color w:val="auto"/>
              </w:rPr>
            </w:pPr>
          </w:p>
        </w:tc>
        <w:tc>
          <w:tcPr>
            <w:tcW w:w="920" w:type="dxa"/>
            <w:vAlign w:val="bottom"/>
            <w:tcBorders>
              <w:bottom w:val="single" w:sz="8" w:color="DBDBDB"/>
            </w:tcBorders>
            <w:shd w:val="clear" w:color="auto" w:fill="DBDBDB"/>
          </w:tcPr>
          <w:p>
            <w:pPr>
              <w:jc w:val="right"/>
              <w:ind w:right="45"/>
              <w:spacing w:after="0"/>
              <w:rPr>
                <w:sz w:val="20"/>
                <w:szCs w:val="20"/>
                <w:color w:val="auto"/>
              </w:rPr>
            </w:pPr>
            <w:r>
              <w:rPr>
                <w:rFonts w:ascii="Arial" w:cs="Arial" w:eastAsia="Arial" w:hAnsi="Arial"/>
                <w:sz w:val="12"/>
                <w:szCs w:val="12"/>
                <w:color w:val="auto"/>
              </w:rPr>
              <w:t>14,300</w:t>
            </w:r>
          </w:p>
        </w:tc>
        <w:tc>
          <w:tcPr>
            <w:tcW w:w="760" w:type="dxa"/>
            <w:vAlign w:val="bottom"/>
            <w:tcBorders>
              <w:bottom w:val="single" w:sz="8" w:color="DBDBDB"/>
            </w:tcBorders>
            <w:shd w:val="clear" w:color="auto" w:fill="DBDBDB"/>
          </w:tcPr>
          <w:p>
            <w:pPr>
              <w:jc w:val="right"/>
              <w:ind w:right="24"/>
              <w:spacing w:after="0"/>
              <w:rPr>
                <w:sz w:val="20"/>
                <w:szCs w:val="20"/>
                <w:color w:val="auto"/>
              </w:rPr>
            </w:pPr>
            <w:r>
              <w:rPr>
                <w:rFonts w:ascii="Arial" w:cs="Arial" w:eastAsia="Arial" w:hAnsi="Arial"/>
                <w:sz w:val="12"/>
                <w:szCs w:val="12"/>
                <w:color w:val="auto"/>
              </w:rPr>
              <w:t>99.60</w:t>
            </w:r>
          </w:p>
        </w:tc>
        <w:tc>
          <w:tcPr>
            <w:tcW w:w="72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2"/>
                <w:szCs w:val="12"/>
                <w:color w:val="auto"/>
              </w:rPr>
              <w:t>446,446</w:t>
            </w:r>
          </w:p>
        </w:tc>
      </w:tr>
      <w:tr>
        <w:trPr>
          <w:trHeight w:val="156"/>
        </w:trPr>
        <w:tc>
          <w:tcPr>
            <w:tcW w:w="1680" w:type="dxa"/>
            <w:vAlign w:val="bottom"/>
          </w:tcPr>
          <w:p>
            <w:pPr>
              <w:ind w:left="20"/>
              <w:spacing w:after="0"/>
              <w:rPr>
                <w:sz w:val="20"/>
                <w:szCs w:val="20"/>
                <w:color w:val="auto"/>
              </w:rPr>
            </w:pPr>
            <w:r>
              <w:rPr>
                <w:rFonts w:ascii="Arial" w:cs="Arial" w:eastAsia="Arial" w:hAnsi="Arial"/>
                <w:sz w:val="12"/>
                <w:szCs w:val="12"/>
                <w:color w:val="auto"/>
              </w:rPr>
              <w:t>Joanna M. Totsky</w:t>
            </w:r>
          </w:p>
        </w:tc>
        <w:tc>
          <w:tcPr>
            <w:tcW w:w="7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20" w:type="dxa"/>
            <w:vAlign w:val="bottom"/>
          </w:tcPr>
          <w:p>
            <w:pPr>
              <w:spacing w:after="0"/>
              <w:rPr>
                <w:sz w:val="13"/>
                <w:szCs w:val="13"/>
                <w:color w:val="auto"/>
              </w:rPr>
            </w:pPr>
          </w:p>
        </w:tc>
      </w:tr>
      <w:tr>
        <w:trPr>
          <w:trHeight w:val="187"/>
        </w:trPr>
        <w:tc>
          <w:tcPr>
            <w:tcW w:w="1680" w:type="dxa"/>
            <w:vAlign w:val="bottom"/>
          </w:tcPr>
          <w:p>
            <w:pPr>
              <w:ind w:left="140"/>
              <w:spacing w:after="0"/>
              <w:rPr>
                <w:sz w:val="20"/>
                <w:szCs w:val="20"/>
                <w:color w:val="auto"/>
              </w:rPr>
            </w:pPr>
            <w:r>
              <w:rPr>
                <w:rFonts w:ascii="Arial" w:cs="Arial" w:eastAsia="Arial" w:hAnsi="Arial"/>
                <w:sz w:val="12"/>
                <w:szCs w:val="12"/>
                <w:color w:val="auto"/>
              </w:rPr>
              <w:t>Annual Cash Incentive</w:t>
            </w:r>
          </w:p>
        </w:tc>
        <w:tc>
          <w:tcPr>
            <w:tcW w:w="7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2"/>
                <w:szCs w:val="12"/>
                <w:color w:val="auto"/>
              </w:rPr>
              <w:t>146,763</w:t>
            </w:r>
          </w:p>
        </w:tc>
        <w:tc>
          <w:tcPr>
            <w:tcW w:w="840" w:type="dxa"/>
            <w:vAlign w:val="bottom"/>
          </w:tcPr>
          <w:p>
            <w:pPr>
              <w:jc w:val="right"/>
              <w:ind w:right="24"/>
              <w:spacing w:after="0"/>
              <w:rPr>
                <w:sz w:val="20"/>
                <w:szCs w:val="20"/>
                <w:color w:val="auto"/>
              </w:rPr>
            </w:pPr>
            <w:r>
              <w:rPr>
                <w:rFonts w:ascii="Arial" w:cs="Arial" w:eastAsia="Arial" w:hAnsi="Arial"/>
                <w:sz w:val="12"/>
                <w:szCs w:val="12"/>
                <w:color w:val="auto"/>
              </w:rPr>
              <w:t>366,908</w:t>
            </w:r>
          </w:p>
        </w:tc>
        <w:tc>
          <w:tcPr>
            <w:tcW w:w="780" w:type="dxa"/>
            <w:vAlign w:val="bottom"/>
          </w:tcPr>
          <w:p>
            <w:pPr>
              <w:jc w:val="right"/>
              <w:ind w:right="23"/>
              <w:spacing w:after="0"/>
              <w:rPr>
                <w:sz w:val="20"/>
                <w:szCs w:val="20"/>
                <w:color w:val="auto"/>
              </w:rPr>
            </w:pPr>
            <w:r>
              <w:rPr>
                <w:rFonts w:ascii="Arial" w:cs="Arial" w:eastAsia="Arial" w:hAnsi="Arial"/>
                <w:sz w:val="12"/>
                <w:szCs w:val="12"/>
                <w:color w:val="auto"/>
              </w:rPr>
              <w:t>733,816</w:t>
            </w:r>
          </w:p>
        </w:tc>
        <w:tc>
          <w:tcPr>
            <w:tcW w:w="7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20" w:type="dxa"/>
            <w:vAlign w:val="bottom"/>
          </w:tcPr>
          <w:p>
            <w:pPr>
              <w:spacing w:after="0"/>
              <w:rPr>
                <w:sz w:val="16"/>
                <w:szCs w:val="16"/>
                <w:color w:val="auto"/>
              </w:rPr>
            </w:pPr>
          </w:p>
        </w:tc>
      </w:tr>
      <w:tr>
        <w:trPr>
          <w:trHeight w:val="187"/>
        </w:trPr>
        <w:tc>
          <w:tcPr>
            <w:tcW w:w="1680" w:type="dxa"/>
            <w:vAlign w:val="bottom"/>
          </w:tcPr>
          <w:p>
            <w:pPr>
              <w:ind w:left="140"/>
              <w:spacing w:after="0"/>
              <w:rPr>
                <w:sz w:val="20"/>
                <w:szCs w:val="20"/>
                <w:color w:val="auto"/>
              </w:rPr>
            </w:pPr>
            <w:r>
              <w:rPr>
                <w:rFonts w:ascii="Arial" w:cs="Arial" w:eastAsia="Arial" w:hAnsi="Arial"/>
                <w:sz w:val="12"/>
                <w:szCs w:val="12"/>
                <w:color w:val="auto"/>
              </w:rPr>
              <w:t>Performance Shares</w:t>
            </w:r>
          </w:p>
        </w:tc>
        <w:tc>
          <w:tcPr>
            <w:tcW w:w="760" w:type="dxa"/>
            <w:vAlign w:val="bottom"/>
          </w:tcPr>
          <w:p>
            <w:pPr>
              <w:jc w:val="center"/>
              <w:spacing w:after="0"/>
              <w:rPr>
                <w:sz w:val="20"/>
                <w:szCs w:val="20"/>
                <w:color w:val="auto"/>
              </w:rPr>
            </w:pPr>
            <w:r>
              <w:rPr>
                <w:rFonts w:ascii="Arial" w:cs="Arial" w:eastAsia="Arial" w:hAnsi="Arial"/>
                <w:sz w:val="12"/>
                <w:szCs w:val="12"/>
                <w:color w:val="auto"/>
                <w:w w:val="94"/>
              </w:rPr>
              <w:t>12/26/23</w:t>
            </w:r>
          </w:p>
        </w:tc>
        <w:tc>
          <w:tcPr>
            <w:tcW w:w="720" w:type="dxa"/>
            <w:vAlign w:val="bottom"/>
          </w:tcPr>
          <w:p>
            <w:pPr>
              <w:jc w:val="center"/>
              <w:spacing w:after="0"/>
              <w:rPr>
                <w:sz w:val="20"/>
                <w:szCs w:val="20"/>
                <w:color w:val="auto"/>
              </w:rPr>
            </w:pPr>
            <w:r>
              <w:rPr>
                <w:rFonts w:ascii="Arial" w:cs="Arial" w:eastAsia="Arial" w:hAnsi="Arial"/>
                <w:sz w:val="12"/>
                <w:szCs w:val="12"/>
                <w:color w:val="auto"/>
                <w:w w:val="94"/>
              </w:rPr>
              <w:t>12/12/23</w:t>
            </w:r>
          </w:p>
        </w:tc>
        <w:tc>
          <w:tcPr>
            <w:tcW w:w="8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60" w:type="dxa"/>
            <w:vAlign w:val="bottom"/>
          </w:tcPr>
          <w:p>
            <w:pPr>
              <w:jc w:val="right"/>
              <w:ind w:right="4"/>
              <w:spacing w:after="0"/>
              <w:rPr>
                <w:sz w:val="20"/>
                <w:szCs w:val="20"/>
                <w:color w:val="auto"/>
              </w:rPr>
            </w:pPr>
            <w:r>
              <w:rPr>
                <w:rFonts w:ascii="Arial" w:cs="Arial" w:eastAsia="Arial" w:hAnsi="Arial"/>
                <w:sz w:val="12"/>
                <w:szCs w:val="12"/>
                <w:color w:val="auto"/>
              </w:rPr>
              <w:t>1,760</w:t>
            </w:r>
          </w:p>
        </w:tc>
        <w:tc>
          <w:tcPr>
            <w:tcW w:w="680" w:type="dxa"/>
            <w:vAlign w:val="bottom"/>
          </w:tcPr>
          <w:p>
            <w:pPr>
              <w:jc w:val="right"/>
              <w:ind w:right="24"/>
              <w:spacing w:after="0"/>
              <w:rPr>
                <w:sz w:val="20"/>
                <w:szCs w:val="20"/>
                <w:color w:val="auto"/>
              </w:rPr>
            </w:pPr>
            <w:r>
              <w:rPr>
                <w:rFonts w:ascii="Arial" w:cs="Arial" w:eastAsia="Arial" w:hAnsi="Arial"/>
                <w:sz w:val="12"/>
                <w:szCs w:val="12"/>
                <w:color w:val="auto"/>
              </w:rPr>
              <w:t>4,400</w:t>
            </w:r>
          </w:p>
        </w:tc>
        <w:tc>
          <w:tcPr>
            <w:tcW w:w="740" w:type="dxa"/>
            <w:vAlign w:val="bottom"/>
          </w:tcPr>
          <w:p>
            <w:pPr>
              <w:jc w:val="right"/>
              <w:ind w:right="23"/>
              <w:spacing w:after="0"/>
              <w:rPr>
                <w:sz w:val="20"/>
                <w:szCs w:val="20"/>
                <w:color w:val="auto"/>
              </w:rPr>
            </w:pPr>
            <w:r>
              <w:rPr>
                <w:rFonts w:ascii="Arial" w:cs="Arial" w:eastAsia="Arial" w:hAnsi="Arial"/>
                <w:sz w:val="12"/>
                <w:szCs w:val="12"/>
                <w:color w:val="auto"/>
              </w:rPr>
              <w:t>8,800</w:t>
            </w:r>
          </w:p>
        </w:tc>
        <w:tc>
          <w:tcPr>
            <w:tcW w:w="7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2"/>
                <w:szCs w:val="12"/>
                <w:color w:val="auto"/>
              </w:rPr>
              <w:t>438,240</w:t>
            </w:r>
          </w:p>
        </w:tc>
      </w:tr>
      <w:tr>
        <w:trPr>
          <w:trHeight w:val="187"/>
        </w:trPr>
        <w:tc>
          <w:tcPr>
            <w:tcW w:w="1680" w:type="dxa"/>
            <w:vAlign w:val="bottom"/>
          </w:tcPr>
          <w:p>
            <w:pPr>
              <w:ind w:left="140"/>
              <w:spacing w:after="0"/>
              <w:rPr>
                <w:sz w:val="20"/>
                <w:szCs w:val="20"/>
                <w:color w:val="auto"/>
              </w:rPr>
            </w:pPr>
            <w:r>
              <w:rPr>
                <w:rFonts w:ascii="Arial" w:cs="Arial" w:eastAsia="Arial" w:hAnsi="Arial"/>
                <w:sz w:val="12"/>
                <w:szCs w:val="12"/>
                <w:color w:val="auto"/>
              </w:rPr>
              <w:t>Stock Options</w:t>
            </w:r>
          </w:p>
        </w:tc>
        <w:tc>
          <w:tcPr>
            <w:tcW w:w="760" w:type="dxa"/>
            <w:vAlign w:val="bottom"/>
          </w:tcPr>
          <w:p>
            <w:pPr>
              <w:jc w:val="center"/>
              <w:spacing w:after="0"/>
              <w:rPr>
                <w:sz w:val="20"/>
                <w:szCs w:val="20"/>
                <w:color w:val="auto"/>
              </w:rPr>
            </w:pPr>
            <w:r>
              <w:rPr>
                <w:rFonts w:ascii="Arial" w:cs="Arial" w:eastAsia="Arial" w:hAnsi="Arial"/>
                <w:sz w:val="12"/>
                <w:szCs w:val="12"/>
                <w:color w:val="auto"/>
                <w:w w:val="94"/>
              </w:rPr>
              <w:t>12/26/23</w:t>
            </w:r>
          </w:p>
        </w:tc>
        <w:tc>
          <w:tcPr>
            <w:tcW w:w="720" w:type="dxa"/>
            <w:vAlign w:val="bottom"/>
          </w:tcPr>
          <w:p>
            <w:pPr>
              <w:jc w:val="center"/>
              <w:spacing w:after="0"/>
              <w:rPr>
                <w:sz w:val="20"/>
                <w:szCs w:val="20"/>
                <w:color w:val="auto"/>
              </w:rPr>
            </w:pPr>
            <w:r>
              <w:rPr>
                <w:rFonts w:ascii="Arial" w:cs="Arial" w:eastAsia="Arial" w:hAnsi="Arial"/>
                <w:sz w:val="12"/>
                <w:szCs w:val="12"/>
                <w:color w:val="auto"/>
                <w:w w:val="94"/>
              </w:rPr>
              <w:t>12/12/23</w:t>
            </w:r>
          </w:p>
        </w:tc>
        <w:tc>
          <w:tcPr>
            <w:tcW w:w="8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920" w:type="dxa"/>
            <w:vAlign w:val="bottom"/>
          </w:tcPr>
          <w:p>
            <w:pPr>
              <w:jc w:val="right"/>
              <w:ind w:right="85"/>
              <w:spacing w:after="0"/>
              <w:rPr>
                <w:sz w:val="20"/>
                <w:szCs w:val="20"/>
                <w:color w:val="auto"/>
              </w:rPr>
            </w:pPr>
            <w:r>
              <w:rPr>
                <w:rFonts w:ascii="Arial" w:cs="Arial" w:eastAsia="Arial" w:hAnsi="Arial"/>
                <w:sz w:val="12"/>
                <w:szCs w:val="12"/>
                <w:color w:val="auto"/>
              </w:rPr>
              <w:t>14,000</w:t>
            </w:r>
          </w:p>
        </w:tc>
        <w:tc>
          <w:tcPr>
            <w:tcW w:w="760" w:type="dxa"/>
            <w:vAlign w:val="bottom"/>
          </w:tcPr>
          <w:p>
            <w:pPr>
              <w:jc w:val="right"/>
              <w:ind w:right="24"/>
              <w:spacing w:after="0"/>
              <w:rPr>
                <w:sz w:val="20"/>
                <w:szCs w:val="20"/>
                <w:color w:val="auto"/>
              </w:rPr>
            </w:pPr>
            <w:r>
              <w:rPr>
                <w:rFonts w:ascii="Arial" w:cs="Arial" w:eastAsia="Arial" w:hAnsi="Arial"/>
                <w:sz w:val="12"/>
                <w:szCs w:val="12"/>
                <w:color w:val="auto"/>
              </w:rPr>
              <w:t>99.60</w:t>
            </w:r>
          </w:p>
        </w:tc>
        <w:tc>
          <w:tcPr>
            <w:tcW w:w="720" w:type="dxa"/>
            <w:vAlign w:val="bottom"/>
          </w:tcPr>
          <w:p>
            <w:pPr>
              <w:jc w:val="right"/>
              <w:spacing w:after="0"/>
              <w:rPr>
                <w:sz w:val="20"/>
                <w:szCs w:val="20"/>
                <w:color w:val="auto"/>
              </w:rPr>
            </w:pPr>
            <w:r>
              <w:rPr>
                <w:rFonts w:ascii="Arial" w:cs="Arial" w:eastAsia="Arial" w:hAnsi="Arial"/>
                <w:sz w:val="12"/>
                <w:szCs w:val="12"/>
                <w:color w:val="auto"/>
              </w:rPr>
              <w:t>437,080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2004060</wp:posOffset>
            </wp:positionH>
            <wp:positionV relativeFrom="paragraph">
              <wp:posOffset>-2682875</wp:posOffset>
            </wp:positionV>
            <wp:extent cx="2889250"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2889250" cy="825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138430</wp:posOffset>
            </wp:positionV>
            <wp:extent cx="1991360"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1991360" cy="8255"/>
                    </a:xfrm>
                    <a:prstGeom prst="rect">
                      <a:avLst/>
                    </a:prstGeom>
                    <a:noFill/>
                  </pic:spPr>
                </pic:pic>
              </a:graphicData>
            </a:graphic>
          </wp:anchor>
        </w:drawing>
      </w:r>
    </w:p>
    <w:p>
      <w:pPr>
        <w:spacing w:after="0" w:line="314" w:lineRule="exact"/>
        <w:rPr>
          <w:sz w:val="20"/>
          <w:szCs w:val="20"/>
          <w:color w:val="auto"/>
        </w:rPr>
      </w:pPr>
    </w:p>
    <w:p>
      <w:pPr>
        <w:ind w:left="320" w:hanging="313"/>
        <w:spacing w:after="0" w:line="262" w:lineRule="auto"/>
        <w:tabs>
          <w:tab w:leader="none" w:pos="308" w:val="left"/>
        </w:tabs>
        <w:numPr>
          <w:ilvl w:val="0"/>
          <w:numId w:val="67"/>
        </w:numPr>
        <w:rPr>
          <w:rFonts w:ascii="Arial" w:cs="Arial" w:eastAsia="Arial" w:hAnsi="Arial"/>
          <w:sz w:val="18"/>
          <w:szCs w:val="18"/>
          <w:color w:val="auto"/>
        </w:rPr>
      </w:pPr>
      <w:r>
        <w:rPr>
          <w:rFonts w:ascii="Arial" w:cs="Arial" w:eastAsia="Arial" w:hAnsi="Arial"/>
          <w:sz w:val="18"/>
          <w:szCs w:val="18"/>
          <w:color w:val="auto"/>
        </w:rPr>
        <w:t>Amounts reported represent the range of payouts of annual cash incentive awards for fiscal 2024. Actual payout amounts for fiscal 2024 are included in the Summary Compensation Table in the Non-Equity Incentive Plan Compensation column.</w:t>
      </w:r>
    </w:p>
    <w:p>
      <w:pPr>
        <w:spacing w:after="0" w:line="1" w:lineRule="exact"/>
        <w:rPr>
          <w:rFonts w:ascii="Arial" w:cs="Arial" w:eastAsia="Arial" w:hAnsi="Arial"/>
          <w:sz w:val="18"/>
          <w:szCs w:val="18"/>
          <w:color w:val="auto"/>
        </w:rPr>
      </w:pPr>
    </w:p>
    <w:p>
      <w:pPr>
        <w:jc w:val="both"/>
        <w:ind w:left="320" w:hanging="313"/>
        <w:spacing w:after="0" w:line="239" w:lineRule="auto"/>
        <w:tabs>
          <w:tab w:leader="none" w:pos="308" w:val="left"/>
        </w:tabs>
        <w:numPr>
          <w:ilvl w:val="0"/>
          <w:numId w:val="67"/>
        </w:numPr>
        <w:rPr>
          <w:rFonts w:ascii="Arial" w:cs="Arial" w:eastAsia="Arial" w:hAnsi="Arial"/>
          <w:sz w:val="18"/>
          <w:szCs w:val="18"/>
          <w:color w:val="auto"/>
        </w:rPr>
      </w:pPr>
      <w:r>
        <w:rPr>
          <w:rFonts w:ascii="Arial" w:cs="Arial" w:eastAsia="Arial" w:hAnsi="Arial"/>
          <w:sz w:val="18"/>
          <w:szCs w:val="18"/>
          <w:color w:val="auto"/>
        </w:rPr>
        <w:t>Amounts reported represent the range of performance share award payouts for the fiscal 2024 to fiscal 2026 performance period. Information regarding the performance share awards is set forth within the Compensation Discussion and Analysis under Long-Term Incentives—Performance Share Awards.</w:t>
      </w:r>
    </w:p>
    <w:p>
      <w:pPr>
        <w:spacing w:after="0" w:line="22" w:lineRule="exact"/>
        <w:rPr>
          <w:rFonts w:ascii="Arial" w:cs="Arial" w:eastAsia="Arial" w:hAnsi="Arial"/>
          <w:sz w:val="18"/>
          <w:szCs w:val="18"/>
          <w:color w:val="auto"/>
        </w:rPr>
      </w:pPr>
    </w:p>
    <w:p>
      <w:pPr>
        <w:ind w:left="320" w:hanging="313"/>
        <w:spacing w:after="0"/>
        <w:tabs>
          <w:tab w:leader="none" w:pos="320" w:val="left"/>
        </w:tabs>
        <w:numPr>
          <w:ilvl w:val="0"/>
          <w:numId w:val="67"/>
        </w:numPr>
        <w:rPr>
          <w:rFonts w:ascii="Arial" w:cs="Arial" w:eastAsia="Arial" w:hAnsi="Arial"/>
          <w:sz w:val="18"/>
          <w:szCs w:val="18"/>
          <w:color w:val="auto"/>
        </w:rPr>
      </w:pPr>
      <w:r>
        <w:rPr>
          <w:rFonts w:ascii="Arial" w:cs="Arial" w:eastAsia="Arial" w:hAnsi="Arial"/>
          <w:sz w:val="18"/>
          <w:szCs w:val="18"/>
          <w:color w:val="auto"/>
        </w:rPr>
        <w:t>Amount reported represents a restricted stock unit award granted for retention purposes.</w:t>
      </w:r>
    </w:p>
    <w:p>
      <w:pPr>
        <w:spacing w:after="0" w:line="33" w:lineRule="exact"/>
        <w:rPr>
          <w:rFonts w:ascii="Arial" w:cs="Arial" w:eastAsia="Arial" w:hAnsi="Arial"/>
          <w:sz w:val="18"/>
          <w:szCs w:val="18"/>
          <w:color w:val="auto"/>
        </w:rPr>
      </w:pPr>
    </w:p>
    <w:p>
      <w:pPr>
        <w:ind w:left="320" w:hanging="313"/>
        <w:spacing w:after="0" w:line="262" w:lineRule="auto"/>
        <w:tabs>
          <w:tab w:leader="none" w:pos="308" w:val="left"/>
        </w:tabs>
        <w:numPr>
          <w:ilvl w:val="0"/>
          <w:numId w:val="67"/>
        </w:numPr>
        <w:rPr>
          <w:rFonts w:ascii="Arial" w:cs="Arial" w:eastAsia="Arial" w:hAnsi="Arial"/>
          <w:sz w:val="18"/>
          <w:szCs w:val="18"/>
          <w:color w:val="auto"/>
        </w:rPr>
      </w:pPr>
      <w:r>
        <w:rPr>
          <w:rFonts w:ascii="Arial" w:cs="Arial" w:eastAsia="Arial" w:hAnsi="Arial"/>
          <w:sz w:val="18"/>
          <w:szCs w:val="18"/>
          <w:color w:val="auto"/>
        </w:rPr>
        <w:t>Amounts reported represent stock options granted during fiscal 2024, all of which were granted on December 26, 2023, have a ten-year term and vest in three equal installments on each of the first, second and third year anniversaries of the grant date.</w:t>
      </w:r>
    </w:p>
    <w:p>
      <w:pPr>
        <w:spacing w:after="0" w:line="1" w:lineRule="exact"/>
        <w:rPr>
          <w:rFonts w:ascii="Arial" w:cs="Arial" w:eastAsia="Arial" w:hAnsi="Arial"/>
          <w:sz w:val="18"/>
          <w:szCs w:val="18"/>
          <w:color w:val="auto"/>
        </w:rPr>
      </w:pPr>
    </w:p>
    <w:p>
      <w:pPr>
        <w:ind w:left="320" w:hanging="313"/>
        <w:spacing w:after="0" w:line="246" w:lineRule="auto"/>
        <w:tabs>
          <w:tab w:leader="none" w:pos="308" w:val="left"/>
        </w:tabs>
        <w:numPr>
          <w:ilvl w:val="0"/>
          <w:numId w:val="67"/>
        </w:numPr>
        <w:rPr>
          <w:rFonts w:ascii="Arial" w:cs="Arial" w:eastAsia="Arial" w:hAnsi="Arial"/>
          <w:sz w:val="18"/>
          <w:szCs w:val="18"/>
          <w:color w:val="auto"/>
        </w:rPr>
      </w:pPr>
      <w:r>
        <w:rPr>
          <w:rFonts w:ascii="Arial" w:cs="Arial" w:eastAsia="Arial" w:hAnsi="Arial"/>
          <w:sz w:val="18"/>
          <w:szCs w:val="18"/>
          <w:color w:val="auto"/>
        </w:rPr>
        <w:t>Amounts reported represent the exercise price of stock options granted during fiscal 2024, which equals the closing price of our common stock on December 26, 2023, of $90.60.</w:t>
      </w:r>
    </w:p>
    <w:p>
      <w:pPr>
        <w:spacing w:after="0" w:line="15" w:lineRule="exact"/>
        <w:rPr>
          <w:rFonts w:ascii="Arial" w:cs="Arial" w:eastAsia="Arial" w:hAnsi="Arial"/>
          <w:sz w:val="18"/>
          <w:szCs w:val="18"/>
          <w:color w:val="auto"/>
        </w:rPr>
      </w:pPr>
    </w:p>
    <w:p>
      <w:pPr>
        <w:jc w:val="both"/>
        <w:ind w:left="320" w:hanging="313"/>
        <w:spacing w:after="0" w:line="231" w:lineRule="auto"/>
        <w:tabs>
          <w:tab w:leader="none" w:pos="308" w:val="left"/>
        </w:tabs>
        <w:numPr>
          <w:ilvl w:val="0"/>
          <w:numId w:val="67"/>
        </w:numPr>
        <w:rPr>
          <w:rFonts w:ascii="Arial" w:cs="Arial" w:eastAsia="Arial" w:hAnsi="Arial"/>
          <w:sz w:val="18"/>
          <w:szCs w:val="18"/>
          <w:color w:val="auto"/>
        </w:rPr>
      </w:pPr>
      <w:r>
        <w:rPr>
          <w:rFonts w:ascii="Arial" w:cs="Arial" w:eastAsia="Arial" w:hAnsi="Arial"/>
          <w:sz w:val="18"/>
          <w:szCs w:val="18"/>
          <w:color w:val="auto"/>
        </w:rPr>
        <w:t>Amounts reported represent the grant date fair value of performance share awards at target granted for the fiscal 2024 to fiscal 2026 performance period and option awards for all NEOs, each as computed in accordance with FASB ASC Topic 718. The grant date fair value of the performance share awards is based on the closing price of our common stock on December 26, 2023, the grant date, of $99.60. These amounts are also set forth in the Summary Compensation Table in the Stock Awards column. The grant date fair value of the option awards is based on a Black-Scholes model valuation of $31.22 on the December 26, 2023 grant date. The grant date fair value of the restricted stock unit award granted to Mr. Carpenter is based on the closing price of our common stock on January 23, 2024, the grant date, of $93.72. These amounts are also set forth in the Summary Compensation Table in the Stock Awards column. The specific assumptions used in the valuation of the options are included in footnote 4 to the Summary Compensation Table. The option amounts are also set forth in the Summary Compensation Table in the Option Awards column.</w:t>
      </w:r>
    </w:p>
    <w:p>
      <w:pPr>
        <w:spacing w:after="0" w:line="215" w:lineRule="exact"/>
        <w:rPr>
          <w:sz w:val="20"/>
          <w:szCs w:val="20"/>
          <w:color w:val="auto"/>
        </w:rPr>
      </w:pPr>
    </w:p>
    <w:p>
      <w:pPr>
        <w:ind w:right="120"/>
        <w:spacing w:after="0" w:line="241" w:lineRule="auto"/>
        <w:rPr>
          <w:sz w:val="20"/>
          <w:szCs w:val="20"/>
          <w:color w:val="auto"/>
        </w:rPr>
      </w:pPr>
      <w:r>
        <w:rPr>
          <w:rFonts w:ascii="Arial" w:cs="Arial" w:eastAsia="Arial" w:hAnsi="Arial"/>
          <w:sz w:val="20"/>
          <w:szCs w:val="20"/>
          <w:b w:val="1"/>
          <w:bCs w:val="1"/>
          <w:color w:val="C00000"/>
        </w:rPr>
        <w:t>Policies and Practices Related to the Grant of Certain Equity Awards Close in Time to the Release of Material Nonpublic Information</w:t>
      </w:r>
    </w:p>
    <w:p>
      <w:pPr>
        <w:spacing w:after="0" w:line="1" w:lineRule="exact"/>
        <w:rPr>
          <w:sz w:val="20"/>
          <w:szCs w:val="20"/>
          <w:color w:val="auto"/>
        </w:rPr>
      </w:pPr>
    </w:p>
    <w:p>
      <w:pPr>
        <w:ind w:firstLine="388"/>
        <w:spacing w:after="0" w:line="234" w:lineRule="auto"/>
        <w:rPr>
          <w:sz w:val="20"/>
          <w:szCs w:val="20"/>
          <w:color w:val="auto"/>
        </w:rPr>
      </w:pPr>
      <w:r>
        <w:rPr>
          <w:rFonts w:ascii="Arial" w:cs="Arial" w:eastAsia="Arial" w:hAnsi="Arial"/>
          <w:sz w:val="18"/>
          <w:szCs w:val="18"/>
          <w:color w:val="242424"/>
        </w:rPr>
        <w:t>Our policy is to not grant stock options or similar awards in anticipation of the release of material nonpublic information that is likely to result in changes to the price of our common stock, such as a significant positive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154" w:right="339" w:bottom="1440" w:gutter="0" w:footer="0" w:header="0"/>
        </w:sectPr>
      </w:pPr>
    </w:p>
    <w:bookmarkStart w:id="63" w:name="page64"/>
    <w:bookmarkEnd w:id="63"/>
    <w:p>
      <w:pPr>
        <w:spacing w:after="0" w:line="255" w:lineRule="auto"/>
        <w:rPr>
          <w:sz w:val="20"/>
          <w:szCs w:val="20"/>
          <w:color w:val="auto"/>
        </w:rPr>
      </w:pPr>
      <w:r>
        <w:rPr>
          <w:rFonts w:ascii="Arial" w:cs="Arial" w:eastAsia="Arial" w:hAnsi="Arial"/>
          <w:sz w:val="17"/>
          <w:szCs w:val="17"/>
          <w:color w:val="242424"/>
        </w:rPr>
        <w:t>negative earnings announcement, and not time the public release of such information based on stock option grant dates. In addition, it is our policy to not grant stock options or similar awards during periods in which there is material nonpublic information about our company, including</w:t>
      </w:r>
    </w:p>
    <w:p>
      <w:pPr>
        <w:spacing w:after="0" w:line="1" w:lineRule="exact"/>
        <w:rPr>
          <w:sz w:val="20"/>
          <w:szCs w:val="20"/>
          <w:color w:val="auto"/>
        </w:rPr>
      </w:pPr>
    </w:p>
    <w:p>
      <w:pPr>
        <w:jc w:val="both"/>
        <w:ind w:firstLine="7"/>
        <w:spacing w:after="0" w:line="232" w:lineRule="auto"/>
        <w:tabs>
          <w:tab w:leader="none" w:pos="217" w:val="left"/>
        </w:tabs>
        <w:numPr>
          <w:ilvl w:val="0"/>
          <w:numId w:val="68"/>
        </w:numPr>
        <w:rPr>
          <w:rFonts w:ascii="Arial" w:cs="Arial" w:eastAsia="Arial" w:hAnsi="Arial"/>
          <w:sz w:val="18"/>
          <w:szCs w:val="18"/>
          <w:color w:val="242424"/>
        </w:rPr>
      </w:pPr>
      <w:r>
        <w:rPr>
          <w:rFonts w:ascii="Arial" w:cs="Arial" w:eastAsia="Arial" w:hAnsi="Arial"/>
          <w:sz w:val="18"/>
          <w:szCs w:val="18"/>
          <w:color w:val="242424"/>
        </w:rPr>
        <w:t>during “blackout” periods or outside a “trading window” established in connection with the public release of earnings information under our insider trading policy or (ii) at any time during the four business days prior to or the one business day following the filing of our periodic reports or the filing or furnishing of a Form 8-K that discloses material nonpublic information. With respect to our annual equity grants, the Compensation &amp; Human Resources Committee typically approves such grants at its regular meeting held in December of each year. If the Committee’s meeting is held before the filing of our annual report on Form 10-K for the recently completed fiscal year, then such equity grants will typically be granted effective as of the fourth trading day following the filing of our annual report on Form 10-K for such recently completed fiscal year (with the first day being the filing date), and any options granted will have a per share exercise price equal to the closing price of our common stock on the grant date. Although the Committee may decide, in its sole discretion, to deviate from this equity grant timing depending upon facts and circumstances (i.e., a pending material business development), we did not deviate from this timing during fiscal 2024 or time the disclosure of material nonpublic information for the purpose of affecting the value of executive compensation.</w:t>
      </w: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Arial" w:cs="Arial" w:eastAsia="Arial" w:hAnsi="Arial"/>
          <w:sz w:val="20"/>
          <w:szCs w:val="20"/>
          <w:b w:val="1"/>
          <w:bCs w:val="1"/>
          <w:color w:val="C00000"/>
        </w:rPr>
        <w:t>Outstanding Equity Awards at Fiscal Year-End for 2024</w:t>
      </w:r>
    </w:p>
    <w:p>
      <w:pPr>
        <w:spacing w:after="0" w:line="110" w:lineRule="exact"/>
        <w:rPr>
          <w:sz w:val="20"/>
          <w:szCs w:val="20"/>
          <w:color w:val="auto"/>
        </w:rPr>
      </w:pPr>
    </w:p>
    <w:p>
      <w:pPr>
        <w:jc w:val="both"/>
        <w:ind w:firstLine="388"/>
        <w:spacing w:after="0" w:line="254" w:lineRule="auto"/>
        <w:rPr>
          <w:sz w:val="20"/>
          <w:szCs w:val="20"/>
          <w:color w:val="auto"/>
        </w:rPr>
      </w:pPr>
      <w:r>
        <w:rPr>
          <w:rFonts w:ascii="Arial" w:cs="Arial" w:eastAsia="Arial" w:hAnsi="Arial"/>
          <w:sz w:val="18"/>
          <w:szCs w:val="18"/>
          <w:color w:val="auto"/>
        </w:rPr>
        <w:t>The following table summarizes all outstanding equity awards previously granted to our NEOs that were outstanding on October 31, 2024, the last day of fiscal 2024. Specifically, it reflects exercisable and unexercisable stock options, unvested restricted stock unit awards and unvested performance share awards.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097" w:right="339" w:bottom="1440" w:gutter="0" w:footer="0" w:header="0"/>
        </w:sectPr>
      </w:pPr>
    </w:p>
    <w:bookmarkStart w:id="64" w:name="page65"/>
    <w:bookmarkEnd w:id="64"/>
    <w:tbl>
      <w:tblPr>
        <w:tblLayout w:type="fixed"/>
        <w:tblInd w:w="0" w:type="dxa"/>
        <w:tblCellMar>
          <w:top w:w="0" w:type="dxa"/>
          <w:left w:w="0" w:type="dxa"/>
          <w:bottom w:w="0" w:type="dxa"/>
          <w:right w:w="0" w:type="dxa"/>
        </w:tblCellMar>
      </w:tblPr>
      <w:tr>
        <w:trPr>
          <w:trHeight w:val="167"/>
        </w:trPr>
        <w:tc>
          <w:tcPr>
            <w:tcW w:w="2240" w:type="dxa"/>
            <w:vAlign w:val="bottom"/>
            <w:shd w:val="clear" w:color="auto" w:fill="BF2115"/>
          </w:tcPr>
          <w:p>
            <w:pPr>
              <w:spacing w:after="0"/>
              <w:rPr>
                <w:sz w:val="14"/>
                <w:szCs w:val="14"/>
                <w:color w:val="auto"/>
              </w:rPr>
            </w:pPr>
          </w:p>
        </w:tc>
        <w:tc>
          <w:tcPr>
            <w:tcW w:w="1160" w:type="dxa"/>
            <w:vAlign w:val="bottom"/>
            <w:shd w:val="clear" w:color="auto" w:fill="BF2115"/>
          </w:tcPr>
          <w:p>
            <w:pPr>
              <w:spacing w:after="0"/>
              <w:rPr>
                <w:sz w:val="14"/>
                <w:szCs w:val="14"/>
                <w:color w:val="auto"/>
              </w:rPr>
            </w:pPr>
          </w:p>
        </w:tc>
        <w:tc>
          <w:tcPr>
            <w:tcW w:w="2380" w:type="dxa"/>
            <w:vAlign w:val="bottom"/>
            <w:gridSpan w:val="2"/>
            <w:shd w:val="clear" w:color="auto" w:fill="BF2115"/>
          </w:tcPr>
          <w:p>
            <w:pPr>
              <w:jc w:val="right"/>
              <w:ind w:right="740"/>
              <w:spacing w:after="0"/>
              <w:rPr>
                <w:sz w:val="20"/>
                <w:szCs w:val="20"/>
                <w:color w:val="auto"/>
              </w:rPr>
            </w:pPr>
            <w:r>
              <w:rPr>
                <w:rFonts w:ascii="Arial" w:cs="Arial" w:eastAsia="Arial" w:hAnsi="Arial"/>
                <w:sz w:val="11"/>
                <w:szCs w:val="11"/>
                <w:b w:val="1"/>
                <w:bCs w:val="1"/>
                <w:color w:val="FFFFFF"/>
              </w:rPr>
              <w:t>Option Awards</w:t>
            </w:r>
          </w:p>
        </w:tc>
        <w:tc>
          <w:tcPr>
            <w:tcW w:w="1180" w:type="dxa"/>
            <w:vAlign w:val="bottom"/>
            <w:shd w:val="clear" w:color="auto" w:fill="BF2115"/>
          </w:tcPr>
          <w:p>
            <w:pPr>
              <w:spacing w:after="0"/>
              <w:rPr>
                <w:sz w:val="14"/>
                <w:szCs w:val="14"/>
                <w:color w:val="auto"/>
              </w:rPr>
            </w:pPr>
          </w:p>
        </w:tc>
        <w:tc>
          <w:tcPr>
            <w:tcW w:w="720" w:type="dxa"/>
            <w:vAlign w:val="bottom"/>
            <w:shd w:val="clear" w:color="auto" w:fill="BF2115"/>
          </w:tcPr>
          <w:p>
            <w:pPr>
              <w:spacing w:after="0"/>
              <w:rPr>
                <w:sz w:val="14"/>
                <w:szCs w:val="14"/>
                <w:color w:val="auto"/>
              </w:rPr>
            </w:pPr>
          </w:p>
        </w:tc>
        <w:tc>
          <w:tcPr>
            <w:tcW w:w="2380" w:type="dxa"/>
            <w:vAlign w:val="bottom"/>
            <w:gridSpan w:val="2"/>
            <w:shd w:val="clear" w:color="auto" w:fill="BF2115"/>
          </w:tcPr>
          <w:p>
            <w:pPr>
              <w:jc w:val="right"/>
              <w:ind w:right="544"/>
              <w:spacing w:after="0"/>
              <w:rPr>
                <w:sz w:val="20"/>
                <w:szCs w:val="20"/>
                <w:color w:val="auto"/>
              </w:rPr>
            </w:pPr>
            <w:r>
              <w:rPr>
                <w:rFonts w:ascii="Arial" w:cs="Arial" w:eastAsia="Arial" w:hAnsi="Arial"/>
                <w:sz w:val="11"/>
                <w:szCs w:val="11"/>
                <w:b w:val="1"/>
                <w:bCs w:val="1"/>
                <w:color w:val="FFFFFF"/>
              </w:rPr>
              <w:t>Stock Awards</w:t>
            </w:r>
          </w:p>
        </w:tc>
        <w:tc>
          <w:tcPr>
            <w:tcW w:w="1180" w:type="dxa"/>
            <w:vAlign w:val="bottom"/>
            <w:shd w:val="clear" w:color="auto" w:fill="BF2115"/>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2240" w:type="dxa"/>
            <w:vAlign w:val="bottom"/>
            <w:shd w:val="clear" w:color="auto" w:fill="BF2115"/>
          </w:tcPr>
          <w:p>
            <w:pPr>
              <w:spacing w:after="0"/>
              <w:rPr>
                <w:sz w:val="15"/>
                <w:szCs w:val="15"/>
                <w:color w:val="auto"/>
              </w:rPr>
            </w:pPr>
          </w:p>
        </w:tc>
        <w:tc>
          <w:tcPr>
            <w:tcW w:w="1160" w:type="dxa"/>
            <w:vAlign w:val="bottom"/>
            <w:shd w:val="clear" w:color="auto" w:fill="BF2115"/>
          </w:tcPr>
          <w:p>
            <w:pPr>
              <w:spacing w:after="0"/>
              <w:rPr>
                <w:sz w:val="15"/>
                <w:szCs w:val="15"/>
                <w:color w:val="auto"/>
              </w:rPr>
            </w:pPr>
          </w:p>
        </w:tc>
        <w:tc>
          <w:tcPr>
            <w:tcW w:w="1200" w:type="dxa"/>
            <w:vAlign w:val="bottom"/>
            <w:shd w:val="clear" w:color="auto" w:fill="BF2115"/>
          </w:tcPr>
          <w:p>
            <w:pPr>
              <w:spacing w:after="0"/>
              <w:rPr>
                <w:sz w:val="15"/>
                <w:szCs w:val="15"/>
                <w:color w:val="auto"/>
              </w:rPr>
            </w:pPr>
          </w:p>
        </w:tc>
        <w:tc>
          <w:tcPr>
            <w:tcW w:w="1180" w:type="dxa"/>
            <w:vAlign w:val="bottom"/>
            <w:shd w:val="clear" w:color="auto" w:fill="BF2115"/>
          </w:tcPr>
          <w:p>
            <w:pPr>
              <w:spacing w:after="0"/>
              <w:rPr>
                <w:sz w:val="15"/>
                <w:szCs w:val="15"/>
                <w:color w:val="auto"/>
              </w:rPr>
            </w:pPr>
          </w:p>
        </w:tc>
        <w:tc>
          <w:tcPr>
            <w:tcW w:w="1180" w:type="dxa"/>
            <w:vAlign w:val="bottom"/>
            <w:shd w:val="clear" w:color="auto" w:fill="BF2115"/>
          </w:tcPr>
          <w:p>
            <w:pPr>
              <w:spacing w:after="0"/>
              <w:rPr>
                <w:sz w:val="15"/>
                <w:szCs w:val="15"/>
                <w:color w:val="auto"/>
              </w:rPr>
            </w:pPr>
          </w:p>
        </w:tc>
        <w:tc>
          <w:tcPr>
            <w:tcW w:w="720" w:type="dxa"/>
            <w:vAlign w:val="bottom"/>
            <w:shd w:val="clear" w:color="auto" w:fill="BF2115"/>
          </w:tcPr>
          <w:p>
            <w:pPr>
              <w:spacing w:after="0"/>
              <w:rPr>
                <w:sz w:val="15"/>
                <w:szCs w:val="15"/>
                <w:color w:val="auto"/>
              </w:rPr>
            </w:pPr>
          </w:p>
        </w:tc>
        <w:tc>
          <w:tcPr>
            <w:tcW w:w="1180" w:type="dxa"/>
            <w:vAlign w:val="bottom"/>
            <w:shd w:val="clear" w:color="auto" w:fill="BF2115"/>
          </w:tcPr>
          <w:p>
            <w:pPr>
              <w:spacing w:after="0"/>
              <w:rPr>
                <w:sz w:val="15"/>
                <w:szCs w:val="15"/>
                <w:color w:val="auto"/>
              </w:rPr>
            </w:pPr>
          </w:p>
        </w:tc>
        <w:tc>
          <w:tcPr>
            <w:tcW w:w="1200" w:type="dxa"/>
            <w:vAlign w:val="bottom"/>
            <w:vMerge w:val="restart"/>
            <w:shd w:val="clear" w:color="auto" w:fill="BF2115"/>
          </w:tcPr>
          <w:p>
            <w:pPr>
              <w:jc w:val="center"/>
              <w:spacing w:after="0"/>
              <w:rPr>
                <w:sz w:val="20"/>
                <w:szCs w:val="20"/>
                <w:color w:val="auto"/>
              </w:rPr>
            </w:pPr>
            <w:r>
              <w:rPr>
                <w:rFonts w:ascii="Arial" w:cs="Arial" w:eastAsia="Arial" w:hAnsi="Arial"/>
                <w:sz w:val="11"/>
                <w:szCs w:val="11"/>
                <w:b w:val="1"/>
                <w:bCs w:val="1"/>
                <w:color w:val="FFFFFF"/>
                <w:w w:val="95"/>
              </w:rPr>
              <w:t>Equity</w:t>
            </w:r>
          </w:p>
        </w:tc>
        <w:tc>
          <w:tcPr>
            <w:tcW w:w="1180" w:type="dxa"/>
            <w:vAlign w:val="bottom"/>
            <w:shd w:val="clear" w:color="auto" w:fill="BF2115"/>
          </w:tcPr>
          <w:p>
            <w:pPr>
              <w:jc w:val="center"/>
              <w:spacing w:after="0"/>
              <w:rPr>
                <w:sz w:val="20"/>
                <w:szCs w:val="20"/>
                <w:color w:val="auto"/>
              </w:rPr>
            </w:pPr>
            <w:r>
              <w:rPr>
                <w:rFonts w:ascii="Arial" w:cs="Arial" w:eastAsia="Arial" w:hAnsi="Arial"/>
                <w:sz w:val="11"/>
                <w:szCs w:val="11"/>
                <w:b w:val="1"/>
                <w:bCs w:val="1"/>
                <w:color w:val="FFFFFF"/>
              </w:rPr>
              <w:t>Equity</w:t>
            </w:r>
          </w:p>
        </w:tc>
        <w:tc>
          <w:tcPr>
            <w:tcW w:w="0" w:type="dxa"/>
            <w:vAlign w:val="bottom"/>
          </w:tcPr>
          <w:p>
            <w:pPr>
              <w:spacing w:after="0"/>
              <w:rPr>
                <w:sz w:val="1"/>
                <w:szCs w:val="1"/>
                <w:color w:val="auto"/>
              </w:rPr>
            </w:pPr>
          </w:p>
        </w:tc>
      </w:tr>
      <w:tr>
        <w:trPr>
          <w:trHeight w:val="93"/>
        </w:trPr>
        <w:tc>
          <w:tcPr>
            <w:tcW w:w="2240" w:type="dxa"/>
            <w:vAlign w:val="bottom"/>
            <w:shd w:val="clear" w:color="auto" w:fill="BF2115"/>
          </w:tcPr>
          <w:p>
            <w:pPr>
              <w:spacing w:after="0"/>
              <w:rPr>
                <w:sz w:val="8"/>
                <w:szCs w:val="8"/>
                <w:color w:val="auto"/>
              </w:rPr>
            </w:pPr>
          </w:p>
        </w:tc>
        <w:tc>
          <w:tcPr>
            <w:tcW w:w="1160" w:type="dxa"/>
            <w:vAlign w:val="bottom"/>
            <w:shd w:val="clear" w:color="auto" w:fill="BF2115"/>
          </w:tcPr>
          <w:p>
            <w:pPr>
              <w:spacing w:after="0"/>
              <w:rPr>
                <w:sz w:val="8"/>
                <w:szCs w:val="8"/>
                <w:color w:val="auto"/>
              </w:rPr>
            </w:pPr>
          </w:p>
        </w:tc>
        <w:tc>
          <w:tcPr>
            <w:tcW w:w="1200" w:type="dxa"/>
            <w:vAlign w:val="bottom"/>
            <w:shd w:val="clear" w:color="auto" w:fill="BF2115"/>
          </w:tcPr>
          <w:p>
            <w:pPr>
              <w:spacing w:after="0"/>
              <w:rPr>
                <w:sz w:val="8"/>
                <w:szCs w:val="8"/>
                <w:color w:val="auto"/>
              </w:rPr>
            </w:pPr>
          </w:p>
        </w:tc>
        <w:tc>
          <w:tcPr>
            <w:tcW w:w="1180" w:type="dxa"/>
            <w:vAlign w:val="bottom"/>
            <w:shd w:val="clear" w:color="auto" w:fill="BF2115"/>
          </w:tcPr>
          <w:p>
            <w:pPr>
              <w:spacing w:after="0"/>
              <w:rPr>
                <w:sz w:val="8"/>
                <w:szCs w:val="8"/>
                <w:color w:val="auto"/>
              </w:rPr>
            </w:pPr>
          </w:p>
        </w:tc>
        <w:tc>
          <w:tcPr>
            <w:tcW w:w="1180" w:type="dxa"/>
            <w:vAlign w:val="bottom"/>
            <w:shd w:val="clear" w:color="auto" w:fill="BF2115"/>
          </w:tcPr>
          <w:p>
            <w:pPr>
              <w:spacing w:after="0"/>
              <w:rPr>
                <w:sz w:val="8"/>
                <w:szCs w:val="8"/>
                <w:color w:val="auto"/>
              </w:rPr>
            </w:pPr>
          </w:p>
        </w:tc>
        <w:tc>
          <w:tcPr>
            <w:tcW w:w="720" w:type="dxa"/>
            <w:vAlign w:val="bottom"/>
            <w:shd w:val="clear" w:color="auto" w:fill="BF2115"/>
          </w:tcPr>
          <w:p>
            <w:pPr>
              <w:spacing w:after="0"/>
              <w:rPr>
                <w:sz w:val="8"/>
                <w:szCs w:val="8"/>
                <w:color w:val="auto"/>
              </w:rPr>
            </w:pPr>
          </w:p>
        </w:tc>
        <w:tc>
          <w:tcPr>
            <w:tcW w:w="1180" w:type="dxa"/>
            <w:vAlign w:val="bottom"/>
            <w:shd w:val="clear" w:color="auto" w:fill="BF2115"/>
          </w:tcPr>
          <w:p>
            <w:pPr>
              <w:spacing w:after="0"/>
              <w:rPr>
                <w:sz w:val="8"/>
                <w:szCs w:val="8"/>
                <w:color w:val="auto"/>
              </w:rPr>
            </w:pPr>
          </w:p>
        </w:tc>
        <w:tc>
          <w:tcPr>
            <w:tcW w:w="1200" w:type="dxa"/>
            <w:vAlign w:val="bottom"/>
            <w:vMerge w:val="continue"/>
            <w:shd w:val="clear" w:color="auto" w:fill="BF2115"/>
          </w:tcPr>
          <w:p>
            <w:pPr>
              <w:spacing w:after="0"/>
              <w:rPr>
                <w:sz w:val="8"/>
                <w:szCs w:val="8"/>
                <w:color w:val="auto"/>
              </w:rPr>
            </w:pPr>
          </w:p>
        </w:tc>
        <w:tc>
          <w:tcPr>
            <w:tcW w:w="1180" w:type="dxa"/>
            <w:vAlign w:val="bottom"/>
            <w:vMerge w:val="restart"/>
            <w:shd w:val="clear" w:color="auto" w:fill="BF2115"/>
          </w:tcPr>
          <w:p>
            <w:pPr>
              <w:jc w:val="center"/>
              <w:spacing w:after="0"/>
              <w:rPr>
                <w:sz w:val="20"/>
                <w:szCs w:val="20"/>
                <w:color w:val="auto"/>
              </w:rPr>
            </w:pPr>
            <w:r>
              <w:rPr>
                <w:rFonts w:ascii="Arial" w:cs="Arial" w:eastAsia="Arial" w:hAnsi="Arial"/>
                <w:sz w:val="11"/>
                <w:szCs w:val="11"/>
                <w:b w:val="1"/>
                <w:bCs w:val="1"/>
                <w:color w:val="FFFFFF"/>
                <w:w w:val="96"/>
              </w:rPr>
              <w:t>Incentive</w:t>
            </w:r>
          </w:p>
        </w:tc>
        <w:tc>
          <w:tcPr>
            <w:tcW w:w="0" w:type="dxa"/>
            <w:vAlign w:val="bottom"/>
          </w:tcPr>
          <w:p>
            <w:pPr>
              <w:spacing w:after="0"/>
              <w:rPr>
                <w:sz w:val="1"/>
                <w:szCs w:val="1"/>
                <w:color w:val="auto"/>
              </w:rPr>
            </w:pPr>
          </w:p>
        </w:tc>
      </w:tr>
      <w:tr>
        <w:trPr>
          <w:trHeight w:val="40"/>
        </w:trPr>
        <w:tc>
          <w:tcPr>
            <w:tcW w:w="2240" w:type="dxa"/>
            <w:vAlign w:val="bottom"/>
            <w:shd w:val="clear" w:color="auto" w:fill="BF2115"/>
          </w:tcPr>
          <w:p>
            <w:pPr>
              <w:spacing w:after="0"/>
              <w:rPr>
                <w:sz w:val="3"/>
                <w:szCs w:val="3"/>
                <w:color w:val="auto"/>
              </w:rPr>
            </w:pPr>
          </w:p>
        </w:tc>
        <w:tc>
          <w:tcPr>
            <w:tcW w:w="1160" w:type="dxa"/>
            <w:vAlign w:val="bottom"/>
            <w:shd w:val="clear" w:color="auto" w:fill="BF2115"/>
          </w:tcPr>
          <w:p>
            <w:pPr>
              <w:spacing w:after="0"/>
              <w:rPr>
                <w:sz w:val="3"/>
                <w:szCs w:val="3"/>
                <w:color w:val="auto"/>
              </w:rPr>
            </w:pPr>
          </w:p>
        </w:tc>
        <w:tc>
          <w:tcPr>
            <w:tcW w:w="1200" w:type="dxa"/>
            <w:vAlign w:val="bottom"/>
            <w:shd w:val="clear" w:color="auto" w:fill="BF2115"/>
          </w:tcPr>
          <w:p>
            <w:pPr>
              <w:spacing w:after="0"/>
              <w:rPr>
                <w:sz w:val="3"/>
                <w:szCs w:val="3"/>
                <w:color w:val="auto"/>
              </w:rPr>
            </w:pPr>
          </w:p>
        </w:tc>
        <w:tc>
          <w:tcPr>
            <w:tcW w:w="1180" w:type="dxa"/>
            <w:vAlign w:val="bottom"/>
            <w:shd w:val="clear" w:color="auto" w:fill="BF2115"/>
          </w:tcPr>
          <w:p>
            <w:pPr>
              <w:spacing w:after="0"/>
              <w:rPr>
                <w:sz w:val="3"/>
                <w:szCs w:val="3"/>
                <w:color w:val="auto"/>
              </w:rPr>
            </w:pPr>
          </w:p>
        </w:tc>
        <w:tc>
          <w:tcPr>
            <w:tcW w:w="1180" w:type="dxa"/>
            <w:vAlign w:val="bottom"/>
            <w:shd w:val="clear" w:color="auto" w:fill="BF2115"/>
          </w:tcPr>
          <w:p>
            <w:pPr>
              <w:spacing w:after="0"/>
              <w:rPr>
                <w:sz w:val="3"/>
                <w:szCs w:val="3"/>
                <w:color w:val="auto"/>
              </w:rPr>
            </w:pPr>
          </w:p>
        </w:tc>
        <w:tc>
          <w:tcPr>
            <w:tcW w:w="720" w:type="dxa"/>
            <w:vAlign w:val="bottom"/>
            <w:shd w:val="clear" w:color="auto" w:fill="BF2115"/>
          </w:tcPr>
          <w:p>
            <w:pPr>
              <w:spacing w:after="0"/>
              <w:rPr>
                <w:sz w:val="3"/>
                <w:szCs w:val="3"/>
                <w:color w:val="auto"/>
              </w:rPr>
            </w:pPr>
          </w:p>
        </w:tc>
        <w:tc>
          <w:tcPr>
            <w:tcW w:w="1180" w:type="dxa"/>
            <w:vAlign w:val="bottom"/>
            <w:shd w:val="clear" w:color="auto" w:fill="BF2115"/>
          </w:tcPr>
          <w:p>
            <w:pPr>
              <w:spacing w:after="0"/>
              <w:rPr>
                <w:sz w:val="3"/>
                <w:szCs w:val="3"/>
                <w:color w:val="auto"/>
              </w:rPr>
            </w:pPr>
          </w:p>
        </w:tc>
        <w:tc>
          <w:tcPr>
            <w:tcW w:w="1200" w:type="dxa"/>
            <w:vAlign w:val="bottom"/>
            <w:vMerge w:val="restart"/>
            <w:shd w:val="clear" w:color="auto" w:fill="BF2115"/>
          </w:tcPr>
          <w:p>
            <w:pPr>
              <w:jc w:val="center"/>
              <w:spacing w:after="0"/>
              <w:rPr>
                <w:sz w:val="20"/>
                <w:szCs w:val="20"/>
                <w:color w:val="auto"/>
              </w:rPr>
            </w:pPr>
            <w:r>
              <w:rPr>
                <w:rFonts w:ascii="Arial" w:cs="Arial" w:eastAsia="Arial" w:hAnsi="Arial"/>
                <w:sz w:val="11"/>
                <w:szCs w:val="11"/>
                <w:b w:val="1"/>
                <w:bCs w:val="1"/>
                <w:color w:val="FFFFFF"/>
              </w:rPr>
              <w:t>Incentive</w:t>
            </w:r>
          </w:p>
        </w:tc>
        <w:tc>
          <w:tcPr>
            <w:tcW w:w="1180" w:type="dxa"/>
            <w:vAlign w:val="bottom"/>
            <w:vMerge w:val="continue"/>
            <w:shd w:val="clear" w:color="auto" w:fill="BF2115"/>
          </w:tcPr>
          <w:p>
            <w:pPr>
              <w:spacing w:after="0"/>
              <w:rPr>
                <w:sz w:val="3"/>
                <w:szCs w:val="3"/>
                <w:color w:val="auto"/>
              </w:rPr>
            </w:pPr>
          </w:p>
        </w:tc>
        <w:tc>
          <w:tcPr>
            <w:tcW w:w="0" w:type="dxa"/>
            <w:vAlign w:val="bottom"/>
          </w:tcPr>
          <w:p>
            <w:pPr>
              <w:spacing w:after="0"/>
              <w:rPr>
                <w:sz w:val="1"/>
                <w:szCs w:val="1"/>
                <w:color w:val="auto"/>
              </w:rPr>
            </w:pPr>
          </w:p>
        </w:tc>
      </w:tr>
      <w:tr>
        <w:trPr>
          <w:trHeight w:val="93"/>
        </w:trPr>
        <w:tc>
          <w:tcPr>
            <w:tcW w:w="2240" w:type="dxa"/>
            <w:vAlign w:val="bottom"/>
            <w:shd w:val="clear" w:color="auto" w:fill="BF2115"/>
          </w:tcPr>
          <w:p>
            <w:pPr>
              <w:spacing w:after="0"/>
              <w:rPr>
                <w:sz w:val="8"/>
                <w:szCs w:val="8"/>
                <w:color w:val="auto"/>
              </w:rPr>
            </w:pPr>
          </w:p>
        </w:tc>
        <w:tc>
          <w:tcPr>
            <w:tcW w:w="1160" w:type="dxa"/>
            <w:vAlign w:val="bottom"/>
            <w:shd w:val="clear" w:color="auto" w:fill="BF2115"/>
          </w:tcPr>
          <w:p>
            <w:pPr>
              <w:spacing w:after="0"/>
              <w:rPr>
                <w:sz w:val="8"/>
                <w:szCs w:val="8"/>
                <w:color w:val="auto"/>
              </w:rPr>
            </w:pPr>
          </w:p>
        </w:tc>
        <w:tc>
          <w:tcPr>
            <w:tcW w:w="1200" w:type="dxa"/>
            <w:vAlign w:val="bottom"/>
            <w:shd w:val="clear" w:color="auto" w:fill="BF2115"/>
          </w:tcPr>
          <w:p>
            <w:pPr>
              <w:spacing w:after="0"/>
              <w:rPr>
                <w:sz w:val="8"/>
                <w:szCs w:val="8"/>
                <w:color w:val="auto"/>
              </w:rPr>
            </w:pPr>
          </w:p>
        </w:tc>
        <w:tc>
          <w:tcPr>
            <w:tcW w:w="1180" w:type="dxa"/>
            <w:vAlign w:val="bottom"/>
            <w:shd w:val="clear" w:color="auto" w:fill="BF2115"/>
          </w:tcPr>
          <w:p>
            <w:pPr>
              <w:spacing w:after="0"/>
              <w:rPr>
                <w:sz w:val="8"/>
                <w:szCs w:val="8"/>
                <w:color w:val="auto"/>
              </w:rPr>
            </w:pPr>
          </w:p>
        </w:tc>
        <w:tc>
          <w:tcPr>
            <w:tcW w:w="1180" w:type="dxa"/>
            <w:vAlign w:val="bottom"/>
            <w:shd w:val="clear" w:color="auto" w:fill="BF2115"/>
          </w:tcPr>
          <w:p>
            <w:pPr>
              <w:spacing w:after="0"/>
              <w:rPr>
                <w:sz w:val="8"/>
                <w:szCs w:val="8"/>
                <w:color w:val="auto"/>
              </w:rPr>
            </w:pPr>
          </w:p>
        </w:tc>
        <w:tc>
          <w:tcPr>
            <w:tcW w:w="720" w:type="dxa"/>
            <w:vAlign w:val="bottom"/>
            <w:shd w:val="clear" w:color="auto" w:fill="BF2115"/>
          </w:tcPr>
          <w:p>
            <w:pPr>
              <w:spacing w:after="0"/>
              <w:rPr>
                <w:sz w:val="8"/>
                <w:szCs w:val="8"/>
                <w:color w:val="auto"/>
              </w:rPr>
            </w:pPr>
          </w:p>
        </w:tc>
        <w:tc>
          <w:tcPr>
            <w:tcW w:w="1180" w:type="dxa"/>
            <w:vAlign w:val="bottom"/>
            <w:shd w:val="clear" w:color="auto" w:fill="BF2115"/>
          </w:tcPr>
          <w:p>
            <w:pPr>
              <w:spacing w:after="0"/>
              <w:rPr>
                <w:sz w:val="8"/>
                <w:szCs w:val="8"/>
                <w:color w:val="auto"/>
              </w:rPr>
            </w:pPr>
          </w:p>
        </w:tc>
        <w:tc>
          <w:tcPr>
            <w:tcW w:w="1200" w:type="dxa"/>
            <w:vAlign w:val="bottom"/>
            <w:vMerge w:val="continue"/>
            <w:shd w:val="clear" w:color="auto" w:fill="BF2115"/>
          </w:tcPr>
          <w:p>
            <w:pPr>
              <w:spacing w:after="0"/>
              <w:rPr>
                <w:sz w:val="8"/>
                <w:szCs w:val="8"/>
                <w:color w:val="auto"/>
              </w:rPr>
            </w:pPr>
          </w:p>
        </w:tc>
        <w:tc>
          <w:tcPr>
            <w:tcW w:w="1180" w:type="dxa"/>
            <w:vAlign w:val="bottom"/>
            <w:vMerge w:val="restart"/>
            <w:shd w:val="clear" w:color="auto" w:fill="BF2115"/>
          </w:tcPr>
          <w:p>
            <w:pPr>
              <w:jc w:val="center"/>
              <w:spacing w:after="0"/>
              <w:rPr>
                <w:sz w:val="20"/>
                <w:szCs w:val="20"/>
                <w:color w:val="auto"/>
              </w:rPr>
            </w:pPr>
            <w:r>
              <w:rPr>
                <w:rFonts w:ascii="Arial" w:cs="Arial" w:eastAsia="Arial" w:hAnsi="Arial"/>
                <w:sz w:val="11"/>
                <w:szCs w:val="11"/>
                <w:b w:val="1"/>
                <w:bCs w:val="1"/>
                <w:color w:val="FFFFFF"/>
                <w:w w:val="94"/>
              </w:rPr>
              <w:t>Plan Awards:</w:t>
            </w:r>
          </w:p>
        </w:tc>
        <w:tc>
          <w:tcPr>
            <w:tcW w:w="0" w:type="dxa"/>
            <w:vAlign w:val="bottom"/>
          </w:tcPr>
          <w:p>
            <w:pPr>
              <w:spacing w:after="0"/>
              <w:rPr>
                <w:sz w:val="1"/>
                <w:szCs w:val="1"/>
                <w:color w:val="auto"/>
              </w:rPr>
            </w:pPr>
          </w:p>
        </w:tc>
      </w:tr>
      <w:tr>
        <w:trPr>
          <w:trHeight w:val="53"/>
        </w:trPr>
        <w:tc>
          <w:tcPr>
            <w:tcW w:w="2240" w:type="dxa"/>
            <w:vAlign w:val="bottom"/>
            <w:shd w:val="clear" w:color="auto" w:fill="BF2115"/>
          </w:tcPr>
          <w:p>
            <w:pPr>
              <w:spacing w:after="0"/>
              <w:rPr>
                <w:sz w:val="4"/>
                <w:szCs w:val="4"/>
                <w:color w:val="auto"/>
              </w:rPr>
            </w:pPr>
          </w:p>
        </w:tc>
        <w:tc>
          <w:tcPr>
            <w:tcW w:w="1160" w:type="dxa"/>
            <w:vAlign w:val="bottom"/>
            <w:shd w:val="clear" w:color="auto" w:fill="BF2115"/>
          </w:tcPr>
          <w:p>
            <w:pPr>
              <w:spacing w:after="0"/>
              <w:rPr>
                <w:sz w:val="4"/>
                <w:szCs w:val="4"/>
                <w:color w:val="auto"/>
              </w:rPr>
            </w:pPr>
          </w:p>
        </w:tc>
        <w:tc>
          <w:tcPr>
            <w:tcW w:w="1200" w:type="dxa"/>
            <w:vAlign w:val="bottom"/>
            <w:shd w:val="clear" w:color="auto" w:fill="BF2115"/>
          </w:tcPr>
          <w:p>
            <w:pPr>
              <w:spacing w:after="0"/>
              <w:rPr>
                <w:sz w:val="4"/>
                <w:szCs w:val="4"/>
                <w:color w:val="auto"/>
              </w:rPr>
            </w:pPr>
          </w:p>
        </w:tc>
        <w:tc>
          <w:tcPr>
            <w:tcW w:w="1180" w:type="dxa"/>
            <w:vAlign w:val="bottom"/>
            <w:shd w:val="clear" w:color="auto" w:fill="BF2115"/>
          </w:tcPr>
          <w:p>
            <w:pPr>
              <w:spacing w:after="0"/>
              <w:rPr>
                <w:sz w:val="4"/>
                <w:szCs w:val="4"/>
                <w:color w:val="auto"/>
              </w:rPr>
            </w:pPr>
          </w:p>
        </w:tc>
        <w:tc>
          <w:tcPr>
            <w:tcW w:w="1180" w:type="dxa"/>
            <w:vAlign w:val="bottom"/>
            <w:shd w:val="clear" w:color="auto" w:fill="BF2115"/>
          </w:tcPr>
          <w:p>
            <w:pPr>
              <w:spacing w:after="0"/>
              <w:rPr>
                <w:sz w:val="4"/>
                <w:szCs w:val="4"/>
                <w:color w:val="auto"/>
              </w:rPr>
            </w:pPr>
          </w:p>
        </w:tc>
        <w:tc>
          <w:tcPr>
            <w:tcW w:w="720" w:type="dxa"/>
            <w:vAlign w:val="bottom"/>
            <w:shd w:val="clear" w:color="auto" w:fill="BF2115"/>
          </w:tcPr>
          <w:p>
            <w:pPr>
              <w:spacing w:after="0"/>
              <w:rPr>
                <w:sz w:val="4"/>
                <w:szCs w:val="4"/>
                <w:color w:val="auto"/>
              </w:rPr>
            </w:pPr>
          </w:p>
        </w:tc>
        <w:tc>
          <w:tcPr>
            <w:tcW w:w="1180" w:type="dxa"/>
            <w:vAlign w:val="bottom"/>
            <w:vMerge w:val="restart"/>
            <w:shd w:val="clear" w:color="auto" w:fill="BF2115"/>
          </w:tcPr>
          <w:p>
            <w:pPr>
              <w:jc w:val="center"/>
              <w:spacing w:after="0"/>
              <w:rPr>
                <w:sz w:val="20"/>
                <w:szCs w:val="20"/>
                <w:color w:val="auto"/>
              </w:rPr>
            </w:pPr>
            <w:r>
              <w:rPr>
                <w:rFonts w:ascii="Arial" w:cs="Arial" w:eastAsia="Arial" w:hAnsi="Arial"/>
                <w:sz w:val="11"/>
                <w:szCs w:val="11"/>
                <w:b w:val="1"/>
                <w:bCs w:val="1"/>
                <w:color w:val="FFFFFF"/>
                <w:w w:val="95"/>
              </w:rPr>
              <w:t>Market</w:t>
            </w:r>
          </w:p>
        </w:tc>
        <w:tc>
          <w:tcPr>
            <w:tcW w:w="1200" w:type="dxa"/>
            <w:vAlign w:val="bottom"/>
            <w:vMerge w:val="restart"/>
            <w:shd w:val="clear" w:color="auto" w:fill="BF2115"/>
          </w:tcPr>
          <w:p>
            <w:pPr>
              <w:jc w:val="center"/>
              <w:spacing w:after="0"/>
              <w:rPr>
                <w:sz w:val="20"/>
                <w:szCs w:val="20"/>
                <w:color w:val="auto"/>
              </w:rPr>
            </w:pPr>
            <w:r>
              <w:rPr>
                <w:rFonts w:ascii="Arial" w:cs="Arial" w:eastAsia="Arial" w:hAnsi="Arial"/>
                <w:sz w:val="11"/>
                <w:szCs w:val="11"/>
                <w:b w:val="1"/>
                <w:bCs w:val="1"/>
                <w:color w:val="FFFFFF"/>
                <w:w w:val="97"/>
              </w:rPr>
              <w:t>Plan Awards:</w:t>
            </w:r>
          </w:p>
        </w:tc>
        <w:tc>
          <w:tcPr>
            <w:tcW w:w="1180" w:type="dxa"/>
            <w:vAlign w:val="bottom"/>
            <w:vMerge w:val="continue"/>
            <w:shd w:val="clear" w:color="auto" w:fill="BF2115"/>
          </w:tcPr>
          <w:p>
            <w:pPr>
              <w:spacing w:after="0"/>
              <w:rPr>
                <w:sz w:val="4"/>
                <w:szCs w:val="4"/>
                <w:color w:val="auto"/>
              </w:rPr>
            </w:pPr>
          </w:p>
        </w:tc>
        <w:tc>
          <w:tcPr>
            <w:tcW w:w="0" w:type="dxa"/>
            <w:vAlign w:val="bottom"/>
          </w:tcPr>
          <w:p>
            <w:pPr>
              <w:spacing w:after="0"/>
              <w:rPr>
                <w:sz w:val="1"/>
                <w:szCs w:val="1"/>
                <w:color w:val="auto"/>
              </w:rPr>
            </w:pPr>
          </w:p>
        </w:tc>
      </w:tr>
      <w:tr>
        <w:trPr>
          <w:trHeight w:val="80"/>
        </w:trPr>
        <w:tc>
          <w:tcPr>
            <w:tcW w:w="2240" w:type="dxa"/>
            <w:vAlign w:val="bottom"/>
            <w:shd w:val="clear" w:color="auto" w:fill="BF2115"/>
          </w:tcPr>
          <w:p>
            <w:pPr>
              <w:spacing w:after="0"/>
              <w:rPr>
                <w:sz w:val="6"/>
                <w:szCs w:val="6"/>
                <w:color w:val="auto"/>
              </w:rPr>
            </w:pPr>
          </w:p>
        </w:tc>
        <w:tc>
          <w:tcPr>
            <w:tcW w:w="1160" w:type="dxa"/>
            <w:vAlign w:val="bottom"/>
            <w:shd w:val="clear" w:color="auto" w:fill="BF2115"/>
          </w:tcPr>
          <w:p>
            <w:pPr>
              <w:spacing w:after="0"/>
              <w:rPr>
                <w:sz w:val="6"/>
                <w:szCs w:val="6"/>
                <w:color w:val="auto"/>
              </w:rPr>
            </w:pPr>
          </w:p>
        </w:tc>
        <w:tc>
          <w:tcPr>
            <w:tcW w:w="1200" w:type="dxa"/>
            <w:vAlign w:val="bottom"/>
            <w:shd w:val="clear" w:color="auto" w:fill="BF2115"/>
          </w:tcPr>
          <w:p>
            <w:pPr>
              <w:spacing w:after="0"/>
              <w:rPr>
                <w:sz w:val="6"/>
                <w:szCs w:val="6"/>
                <w:color w:val="auto"/>
              </w:rPr>
            </w:pPr>
          </w:p>
        </w:tc>
        <w:tc>
          <w:tcPr>
            <w:tcW w:w="1180" w:type="dxa"/>
            <w:vAlign w:val="bottom"/>
            <w:shd w:val="clear" w:color="auto" w:fill="BF2115"/>
          </w:tcPr>
          <w:p>
            <w:pPr>
              <w:spacing w:after="0"/>
              <w:rPr>
                <w:sz w:val="6"/>
                <w:szCs w:val="6"/>
                <w:color w:val="auto"/>
              </w:rPr>
            </w:pPr>
          </w:p>
        </w:tc>
        <w:tc>
          <w:tcPr>
            <w:tcW w:w="1180" w:type="dxa"/>
            <w:vAlign w:val="bottom"/>
            <w:shd w:val="clear" w:color="auto" w:fill="BF2115"/>
          </w:tcPr>
          <w:p>
            <w:pPr>
              <w:spacing w:after="0"/>
              <w:rPr>
                <w:sz w:val="6"/>
                <w:szCs w:val="6"/>
                <w:color w:val="auto"/>
              </w:rPr>
            </w:pPr>
          </w:p>
        </w:tc>
        <w:tc>
          <w:tcPr>
            <w:tcW w:w="720" w:type="dxa"/>
            <w:vAlign w:val="bottom"/>
            <w:shd w:val="clear" w:color="auto" w:fill="BF2115"/>
          </w:tcPr>
          <w:p>
            <w:pPr>
              <w:spacing w:after="0"/>
              <w:rPr>
                <w:sz w:val="6"/>
                <w:szCs w:val="6"/>
                <w:color w:val="auto"/>
              </w:rPr>
            </w:pPr>
          </w:p>
        </w:tc>
        <w:tc>
          <w:tcPr>
            <w:tcW w:w="1180" w:type="dxa"/>
            <w:vAlign w:val="bottom"/>
            <w:vMerge w:val="continue"/>
            <w:shd w:val="clear" w:color="auto" w:fill="BF2115"/>
          </w:tcPr>
          <w:p>
            <w:pPr>
              <w:spacing w:after="0"/>
              <w:rPr>
                <w:sz w:val="6"/>
                <w:szCs w:val="6"/>
                <w:color w:val="auto"/>
              </w:rPr>
            </w:pPr>
          </w:p>
        </w:tc>
        <w:tc>
          <w:tcPr>
            <w:tcW w:w="1200" w:type="dxa"/>
            <w:vAlign w:val="bottom"/>
            <w:vMerge w:val="continue"/>
            <w:shd w:val="clear" w:color="auto" w:fill="BF2115"/>
          </w:tcPr>
          <w:p>
            <w:pPr>
              <w:spacing w:after="0"/>
              <w:rPr>
                <w:sz w:val="6"/>
                <w:szCs w:val="6"/>
                <w:color w:val="auto"/>
              </w:rPr>
            </w:pPr>
          </w:p>
        </w:tc>
        <w:tc>
          <w:tcPr>
            <w:tcW w:w="1180" w:type="dxa"/>
            <w:vAlign w:val="bottom"/>
            <w:vMerge w:val="restart"/>
            <w:shd w:val="clear" w:color="auto" w:fill="BF2115"/>
          </w:tcPr>
          <w:p>
            <w:pPr>
              <w:jc w:val="center"/>
              <w:spacing w:after="0"/>
              <w:rPr>
                <w:sz w:val="20"/>
                <w:szCs w:val="20"/>
                <w:color w:val="auto"/>
              </w:rPr>
            </w:pPr>
            <w:r>
              <w:rPr>
                <w:rFonts w:ascii="Arial" w:cs="Arial" w:eastAsia="Arial" w:hAnsi="Arial"/>
                <w:sz w:val="11"/>
                <w:szCs w:val="11"/>
                <w:b w:val="1"/>
                <w:bCs w:val="1"/>
                <w:color w:val="FFFFFF"/>
                <w:w w:val="96"/>
              </w:rPr>
              <w:t>Market or</w:t>
            </w:r>
          </w:p>
        </w:tc>
        <w:tc>
          <w:tcPr>
            <w:tcW w:w="0" w:type="dxa"/>
            <w:vAlign w:val="bottom"/>
          </w:tcPr>
          <w:p>
            <w:pPr>
              <w:spacing w:after="0"/>
              <w:rPr>
                <w:sz w:val="1"/>
                <w:szCs w:val="1"/>
                <w:color w:val="auto"/>
              </w:rPr>
            </w:pPr>
          </w:p>
        </w:tc>
      </w:tr>
      <w:tr>
        <w:trPr>
          <w:trHeight w:val="53"/>
        </w:trPr>
        <w:tc>
          <w:tcPr>
            <w:tcW w:w="2240" w:type="dxa"/>
            <w:vAlign w:val="bottom"/>
            <w:shd w:val="clear" w:color="auto" w:fill="BF2115"/>
          </w:tcPr>
          <w:p>
            <w:pPr>
              <w:spacing w:after="0"/>
              <w:rPr>
                <w:sz w:val="4"/>
                <w:szCs w:val="4"/>
                <w:color w:val="auto"/>
              </w:rPr>
            </w:pPr>
          </w:p>
        </w:tc>
        <w:tc>
          <w:tcPr>
            <w:tcW w:w="1160" w:type="dxa"/>
            <w:vAlign w:val="bottom"/>
            <w:vMerge w:val="restart"/>
            <w:shd w:val="clear" w:color="auto" w:fill="BF2115"/>
          </w:tcPr>
          <w:p>
            <w:pPr>
              <w:jc w:val="center"/>
              <w:spacing w:after="0"/>
              <w:rPr>
                <w:sz w:val="20"/>
                <w:szCs w:val="20"/>
                <w:color w:val="auto"/>
              </w:rPr>
            </w:pPr>
            <w:r>
              <w:rPr>
                <w:rFonts w:ascii="Arial" w:cs="Arial" w:eastAsia="Arial" w:hAnsi="Arial"/>
                <w:sz w:val="11"/>
                <w:szCs w:val="11"/>
                <w:b w:val="1"/>
                <w:bCs w:val="1"/>
                <w:color w:val="FFFFFF"/>
                <w:w w:val="94"/>
              </w:rPr>
              <w:t>Number of</w:t>
            </w:r>
          </w:p>
        </w:tc>
        <w:tc>
          <w:tcPr>
            <w:tcW w:w="1200" w:type="dxa"/>
            <w:vAlign w:val="bottom"/>
            <w:vMerge w:val="restart"/>
            <w:shd w:val="clear" w:color="auto" w:fill="BF2115"/>
          </w:tcPr>
          <w:p>
            <w:pPr>
              <w:jc w:val="center"/>
              <w:spacing w:after="0"/>
              <w:rPr>
                <w:sz w:val="20"/>
                <w:szCs w:val="20"/>
                <w:color w:val="auto"/>
              </w:rPr>
            </w:pPr>
            <w:r>
              <w:rPr>
                <w:rFonts w:ascii="Arial" w:cs="Arial" w:eastAsia="Arial" w:hAnsi="Arial"/>
                <w:sz w:val="11"/>
                <w:szCs w:val="11"/>
                <w:b w:val="1"/>
                <w:bCs w:val="1"/>
                <w:color w:val="FFFFFF"/>
                <w:w w:val="94"/>
              </w:rPr>
              <w:t>Number of</w:t>
            </w:r>
          </w:p>
        </w:tc>
        <w:tc>
          <w:tcPr>
            <w:tcW w:w="1180" w:type="dxa"/>
            <w:vAlign w:val="bottom"/>
            <w:shd w:val="clear" w:color="auto" w:fill="BF2115"/>
          </w:tcPr>
          <w:p>
            <w:pPr>
              <w:spacing w:after="0"/>
              <w:rPr>
                <w:sz w:val="4"/>
                <w:szCs w:val="4"/>
                <w:color w:val="auto"/>
              </w:rPr>
            </w:pPr>
          </w:p>
        </w:tc>
        <w:tc>
          <w:tcPr>
            <w:tcW w:w="1180" w:type="dxa"/>
            <w:vAlign w:val="bottom"/>
            <w:shd w:val="clear" w:color="auto" w:fill="BF2115"/>
          </w:tcPr>
          <w:p>
            <w:pPr>
              <w:spacing w:after="0"/>
              <w:rPr>
                <w:sz w:val="4"/>
                <w:szCs w:val="4"/>
                <w:color w:val="auto"/>
              </w:rPr>
            </w:pPr>
          </w:p>
        </w:tc>
        <w:tc>
          <w:tcPr>
            <w:tcW w:w="720" w:type="dxa"/>
            <w:vAlign w:val="bottom"/>
            <w:shd w:val="clear" w:color="auto" w:fill="BF2115"/>
          </w:tcPr>
          <w:p>
            <w:pPr>
              <w:spacing w:after="0"/>
              <w:rPr>
                <w:sz w:val="4"/>
                <w:szCs w:val="4"/>
                <w:color w:val="auto"/>
              </w:rPr>
            </w:pPr>
          </w:p>
        </w:tc>
        <w:tc>
          <w:tcPr>
            <w:tcW w:w="1180" w:type="dxa"/>
            <w:vAlign w:val="bottom"/>
            <w:vMerge w:val="restart"/>
            <w:shd w:val="clear" w:color="auto" w:fill="BF2115"/>
          </w:tcPr>
          <w:p>
            <w:pPr>
              <w:jc w:val="center"/>
              <w:spacing w:after="0"/>
              <w:rPr>
                <w:sz w:val="20"/>
                <w:szCs w:val="20"/>
                <w:color w:val="auto"/>
              </w:rPr>
            </w:pPr>
            <w:r>
              <w:rPr>
                <w:rFonts w:ascii="Arial" w:cs="Arial" w:eastAsia="Arial" w:hAnsi="Arial"/>
                <w:sz w:val="11"/>
                <w:szCs w:val="11"/>
                <w:b w:val="1"/>
                <w:bCs w:val="1"/>
                <w:color w:val="FFFFFF"/>
                <w:w w:val="98"/>
              </w:rPr>
              <w:t>Value of</w:t>
            </w:r>
          </w:p>
        </w:tc>
        <w:tc>
          <w:tcPr>
            <w:tcW w:w="1200" w:type="dxa"/>
            <w:vAlign w:val="bottom"/>
            <w:vMerge w:val="restart"/>
            <w:shd w:val="clear" w:color="auto" w:fill="BF2115"/>
          </w:tcPr>
          <w:p>
            <w:pPr>
              <w:jc w:val="center"/>
              <w:spacing w:after="0"/>
              <w:rPr>
                <w:sz w:val="20"/>
                <w:szCs w:val="20"/>
                <w:color w:val="auto"/>
              </w:rPr>
            </w:pPr>
            <w:r>
              <w:rPr>
                <w:rFonts w:ascii="Arial" w:cs="Arial" w:eastAsia="Arial" w:hAnsi="Arial"/>
                <w:sz w:val="11"/>
                <w:szCs w:val="11"/>
                <w:b w:val="1"/>
                <w:bCs w:val="1"/>
                <w:color w:val="FFFFFF"/>
                <w:w w:val="94"/>
              </w:rPr>
              <w:t>Number of</w:t>
            </w:r>
          </w:p>
        </w:tc>
        <w:tc>
          <w:tcPr>
            <w:tcW w:w="1180" w:type="dxa"/>
            <w:vAlign w:val="bottom"/>
            <w:vMerge w:val="continue"/>
            <w:shd w:val="clear" w:color="auto" w:fill="BF2115"/>
          </w:tcPr>
          <w:p>
            <w:pPr>
              <w:spacing w:after="0"/>
              <w:rPr>
                <w:sz w:val="4"/>
                <w:szCs w:val="4"/>
                <w:color w:val="auto"/>
              </w:rPr>
            </w:pPr>
          </w:p>
        </w:tc>
        <w:tc>
          <w:tcPr>
            <w:tcW w:w="0" w:type="dxa"/>
            <w:vAlign w:val="bottom"/>
          </w:tcPr>
          <w:p>
            <w:pPr>
              <w:spacing w:after="0"/>
              <w:rPr>
                <w:sz w:val="1"/>
                <w:szCs w:val="1"/>
                <w:color w:val="auto"/>
              </w:rPr>
            </w:pPr>
          </w:p>
        </w:tc>
      </w:tr>
      <w:tr>
        <w:trPr>
          <w:trHeight w:val="80"/>
        </w:trPr>
        <w:tc>
          <w:tcPr>
            <w:tcW w:w="2240" w:type="dxa"/>
            <w:vAlign w:val="bottom"/>
            <w:shd w:val="clear" w:color="auto" w:fill="BF2115"/>
          </w:tcPr>
          <w:p>
            <w:pPr>
              <w:spacing w:after="0"/>
              <w:rPr>
                <w:sz w:val="6"/>
                <w:szCs w:val="6"/>
                <w:color w:val="auto"/>
              </w:rPr>
            </w:pPr>
          </w:p>
        </w:tc>
        <w:tc>
          <w:tcPr>
            <w:tcW w:w="1160" w:type="dxa"/>
            <w:vAlign w:val="bottom"/>
            <w:vMerge w:val="continue"/>
            <w:shd w:val="clear" w:color="auto" w:fill="BF2115"/>
          </w:tcPr>
          <w:p>
            <w:pPr>
              <w:spacing w:after="0"/>
              <w:rPr>
                <w:sz w:val="6"/>
                <w:szCs w:val="6"/>
                <w:color w:val="auto"/>
              </w:rPr>
            </w:pPr>
          </w:p>
        </w:tc>
        <w:tc>
          <w:tcPr>
            <w:tcW w:w="1200" w:type="dxa"/>
            <w:vAlign w:val="bottom"/>
            <w:vMerge w:val="continue"/>
            <w:shd w:val="clear" w:color="auto" w:fill="BF2115"/>
          </w:tcPr>
          <w:p>
            <w:pPr>
              <w:spacing w:after="0"/>
              <w:rPr>
                <w:sz w:val="6"/>
                <w:szCs w:val="6"/>
                <w:color w:val="auto"/>
              </w:rPr>
            </w:pPr>
          </w:p>
        </w:tc>
        <w:tc>
          <w:tcPr>
            <w:tcW w:w="1180" w:type="dxa"/>
            <w:vAlign w:val="bottom"/>
            <w:shd w:val="clear" w:color="auto" w:fill="BF2115"/>
          </w:tcPr>
          <w:p>
            <w:pPr>
              <w:spacing w:after="0"/>
              <w:rPr>
                <w:sz w:val="6"/>
                <w:szCs w:val="6"/>
                <w:color w:val="auto"/>
              </w:rPr>
            </w:pPr>
          </w:p>
        </w:tc>
        <w:tc>
          <w:tcPr>
            <w:tcW w:w="1180" w:type="dxa"/>
            <w:vAlign w:val="bottom"/>
            <w:shd w:val="clear" w:color="auto" w:fill="BF2115"/>
          </w:tcPr>
          <w:p>
            <w:pPr>
              <w:spacing w:after="0"/>
              <w:rPr>
                <w:sz w:val="6"/>
                <w:szCs w:val="6"/>
                <w:color w:val="auto"/>
              </w:rPr>
            </w:pPr>
          </w:p>
        </w:tc>
        <w:tc>
          <w:tcPr>
            <w:tcW w:w="720" w:type="dxa"/>
            <w:vAlign w:val="bottom"/>
            <w:shd w:val="clear" w:color="auto" w:fill="BF2115"/>
          </w:tcPr>
          <w:p>
            <w:pPr>
              <w:spacing w:after="0"/>
              <w:rPr>
                <w:sz w:val="6"/>
                <w:szCs w:val="6"/>
                <w:color w:val="auto"/>
              </w:rPr>
            </w:pPr>
          </w:p>
        </w:tc>
        <w:tc>
          <w:tcPr>
            <w:tcW w:w="1180" w:type="dxa"/>
            <w:vAlign w:val="bottom"/>
            <w:vMerge w:val="continue"/>
            <w:shd w:val="clear" w:color="auto" w:fill="BF2115"/>
          </w:tcPr>
          <w:p>
            <w:pPr>
              <w:spacing w:after="0"/>
              <w:rPr>
                <w:sz w:val="6"/>
                <w:szCs w:val="6"/>
                <w:color w:val="auto"/>
              </w:rPr>
            </w:pPr>
          </w:p>
        </w:tc>
        <w:tc>
          <w:tcPr>
            <w:tcW w:w="1200" w:type="dxa"/>
            <w:vAlign w:val="bottom"/>
            <w:vMerge w:val="continue"/>
            <w:shd w:val="clear" w:color="auto" w:fill="BF2115"/>
          </w:tcPr>
          <w:p>
            <w:pPr>
              <w:spacing w:after="0"/>
              <w:rPr>
                <w:sz w:val="6"/>
                <w:szCs w:val="6"/>
                <w:color w:val="auto"/>
              </w:rPr>
            </w:pPr>
          </w:p>
        </w:tc>
        <w:tc>
          <w:tcPr>
            <w:tcW w:w="1180" w:type="dxa"/>
            <w:vAlign w:val="bottom"/>
            <w:vMerge w:val="restart"/>
            <w:shd w:val="clear" w:color="auto" w:fill="BF2115"/>
          </w:tcPr>
          <w:p>
            <w:pPr>
              <w:jc w:val="center"/>
              <w:spacing w:after="0"/>
              <w:rPr>
                <w:sz w:val="20"/>
                <w:szCs w:val="20"/>
                <w:color w:val="auto"/>
              </w:rPr>
            </w:pPr>
            <w:r>
              <w:rPr>
                <w:rFonts w:ascii="Arial" w:cs="Arial" w:eastAsia="Arial" w:hAnsi="Arial"/>
                <w:sz w:val="11"/>
                <w:szCs w:val="11"/>
                <w:b w:val="1"/>
                <w:bCs w:val="1"/>
                <w:color w:val="FFFFFF"/>
                <w:w w:val="95"/>
              </w:rPr>
              <w:t>Payout Value</w:t>
            </w:r>
          </w:p>
        </w:tc>
        <w:tc>
          <w:tcPr>
            <w:tcW w:w="0" w:type="dxa"/>
            <w:vAlign w:val="bottom"/>
          </w:tcPr>
          <w:p>
            <w:pPr>
              <w:spacing w:after="0"/>
              <w:rPr>
                <w:sz w:val="1"/>
                <w:szCs w:val="1"/>
                <w:color w:val="auto"/>
              </w:rPr>
            </w:pPr>
          </w:p>
        </w:tc>
      </w:tr>
      <w:tr>
        <w:trPr>
          <w:trHeight w:val="53"/>
        </w:trPr>
        <w:tc>
          <w:tcPr>
            <w:tcW w:w="2240" w:type="dxa"/>
            <w:vAlign w:val="bottom"/>
            <w:shd w:val="clear" w:color="auto" w:fill="BF2115"/>
          </w:tcPr>
          <w:p>
            <w:pPr>
              <w:spacing w:after="0"/>
              <w:rPr>
                <w:sz w:val="4"/>
                <w:szCs w:val="4"/>
                <w:color w:val="auto"/>
              </w:rPr>
            </w:pPr>
          </w:p>
        </w:tc>
        <w:tc>
          <w:tcPr>
            <w:tcW w:w="1160" w:type="dxa"/>
            <w:vAlign w:val="bottom"/>
            <w:vMerge w:val="restart"/>
            <w:shd w:val="clear" w:color="auto" w:fill="BF2115"/>
          </w:tcPr>
          <w:p>
            <w:pPr>
              <w:jc w:val="center"/>
              <w:spacing w:after="0"/>
              <w:rPr>
                <w:sz w:val="20"/>
                <w:szCs w:val="20"/>
                <w:color w:val="auto"/>
              </w:rPr>
            </w:pPr>
            <w:r>
              <w:rPr>
                <w:rFonts w:ascii="Arial" w:cs="Arial" w:eastAsia="Arial" w:hAnsi="Arial"/>
                <w:sz w:val="11"/>
                <w:szCs w:val="11"/>
                <w:b w:val="1"/>
                <w:bCs w:val="1"/>
                <w:color w:val="FFFFFF"/>
                <w:w w:val="98"/>
              </w:rPr>
              <w:t>Securities</w:t>
            </w:r>
          </w:p>
        </w:tc>
        <w:tc>
          <w:tcPr>
            <w:tcW w:w="1200" w:type="dxa"/>
            <w:vAlign w:val="bottom"/>
            <w:vMerge w:val="restart"/>
            <w:shd w:val="clear" w:color="auto" w:fill="BF2115"/>
          </w:tcPr>
          <w:p>
            <w:pPr>
              <w:jc w:val="center"/>
              <w:spacing w:after="0"/>
              <w:rPr>
                <w:sz w:val="20"/>
                <w:szCs w:val="20"/>
                <w:color w:val="auto"/>
              </w:rPr>
            </w:pPr>
            <w:r>
              <w:rPr>
                <w:rFonts w:ascii="Arial" w:cs="Arial" w:eastAsia="Arial" w:hAnsi="Arial"/>
                <w:sz w:val="11"/>
                <w:szCs w:val="11"/>
                <w:b w:val="1"/>
                <w:bCs w:val="1"/>
                <w:color w:val="FFFFFF"/>
                <w:w w:val="98"/>
              </w:rPr>
              <w:t>Securities</w:t>
            </w:r>
          </w:p>
        </w:tc>
        <w:tc>
          <w:tcPr>
            <w:tcW w:w="1180" w:type="dxa"/>
            <w:vAlign w:val="bottom"/>
            <w:shd w:val="clear" w:color="auto" w:fill="BF2115"/>
          </w:tcPr>
          <w:p>
            <w:pPr>
              <w:spacing w:after="0"/>
              <w:rPr>
                <w:sz w:val="4"/>
                <w:szCs w:val="4"/>
                <w:color w:val="auto"/>
              </w:rPr>
            </w:pPr>
          </w:p>
        </w:tc>
        <w:tc>
          <w:tcPr>
            <w:tcW w:w="1180" w:type="dxa"/>
            <w:vAlign w:val="bottom"/>
            <w:shd w:val="clear" w:color="auto" w:fill="BF2115"/>
          </w:tcPr>
          <w:p>
            <w:pPr>
              <w:spacing w:after="0"/>
              <w:rPr>
                <w:sz w:val="4"/>
                <w:szCs w:val="4"/>
                <w:color w:val="auto"/>
              </w:rPr>
            </w:pPr>
          </w:p>
        </w:tc>
        <w:tc>
          <w:tcPr>
            <w:tcW w:w="720" w:type="dxa"/>
            <w:vAlign w:val="bottom"/>
            <w:vMerge w:val="restart"/>
            <w:shd w:val="clear" w:color="auto" w:fill="BF2115"/>
          </w:tcPr>
          <w:p>
            <w:pPr>
              <w:jc w:val="center"/>
              <w:spacing w:after="0"/>
              <w:rPr>
                <w:sz w:val="20"/>
                <w:szCs w:val="20"/>
                <w:color w:val="auto"/>
              </w:rPr>
            </w:pPr>
            <w:r>
              <w:rPr>
                <w:rFonts w:ascii="Arial" w:cs="Arial" w:eastAsia="Arial" w:hAnsi="Arial"/>
                <w:sz w:val="11"/>
                <w:szCs w:val="11"/>
                <w:b w:val="1"/>
                <w:bCs w:val="1"/>
                <w:color w:val="FFFFFF"/>
                <w:w w:val="94"/>
              </w:rPr>
              <w:t>Number of</w:t>
            </w:r>
          </w:p>
        </w:tc>
        <w:tc>
          <w:tcPr>
            <w:tcW w:w="1180" w:type="dxa"/>
            <w:vAlign w:val="bottom"/>
            <w:vMerge w:val="restart"/>
            <w:shd w:val="clear" w:color="auto" w:fill="BF2115"/>
          </w:tcPr>
          <w:p>
            <w:pPr>
              <w:jc w:val="center"/>
              <w:spacing w:after="0"/>
              <w:rPr>
                <w:sz w:val="20"/>
                <w:szCs w:val="20"/>
                <w:color w:val="auto"/>
              </w:rPr>
            </w:pPr>
            <w:r>
              <w:rPr>
                <w:rFonts w:ascii="Arial" w:cs="Arial" w:eastAsia="Arial" w:hAnsi="Arial"/>
                <w:sz w:val="11"/>
                <w:szCs w:val="11"/>
                <w:b w:val="1"/>
                <w:bCs w:val="1"/>
                <w:color w:val="FFFFFF"/>
                <w:w w:val="98"/>
              </w:rPr>
              <w:t>Shares or</w:t>
            </w:r>
          </w:p>
        </w:tc>
        <w:tc>
          <w:tcPr>
            <w:tcW w:w="1200" w:type="dxa"/>
            <w:vAlign w:val="bottom"/>
            <w:vMerge w:val="restart"/>
            <w:shd w:val="clear" w:color="auto" w:fill="BF2115"/>
          </w:tcPr>
          <w:p>
            <w:pPr>
              <w:jc w:val="center"/>
              <w:spacing w:after="0"/>
              <w:rPr>
                <w:sz w:val="20"/>
                <w:szCs w:val="20"/>
                <w:color w:val="auto"/>
              </w:rPr>
            </w:pPr>
            <w:r>
              <w:rPr>
                <w:rFonts w:ascii="Arial" w:cs="Arial" w:eastAsia="Arial" w:hAnsi="Arial"/>
                <w:sz w:val="11"/>
                <w:szCs w:val="11"/>
                <w:b w:val="1"/>
                <w:bCs w:val="1"/>
                <w:color w:val="FFFFFF"/>
                <w:w w:val="94"/>
              </w:rPr>
              <w:t>Unearned</w:t>
            </w:r>
          </w:p>
        </w:tc>
        <w:tc>
          <w:tcPr>
            <w:tcW w:w="1180" w:type="dxa"/>
            <w:vAlign w:val="bottom"/>
            <w:vMerge w:val="continue"/>
            <w:shd w:val="clear" w:color="auto" w:fill="BF2115"/>
          </w:tcPr>
          <w:p>
            <w:pPr>
              <w:spacing w:after="0"/>
              <w:rPr>
                <w:sz w:val="4"/>
                <w:szCs w:val="4"/>
                <w:color w:val="auto"/>
              </w:rPr>
            </w:pPr>
          </w:p>
        </w:tc>
        <w:tc>
          <w:tcPr>
            <w:tcW w:w="0" w:type="dxa"/>
            <w:vAlign w:val="bottom"/>
          </w:tcPr>
          <w:p>
            <w:pPr>
              <w:spacing w:after="0"/>
              <w:rPr>
                <w:sz w:val="1"/>
                <w:szCs w:val="1"/>
                <w:color w:val="auto"/>
              </w:rPr>
            </w:pPr>
          </w:p>
        </w:tc>
      </w:tr>
      <w:tr>
        <w:trPr>
          <w:trHeight w:val="93"/>
        </w:trPr>
        <w:tc>
          <w:tcPr>
            <w:tcW w:w="2240" w:type="dxa"/>
            <w:vAlign w:val="bottom"/>
            <w:shd w:val="clear" w:color="auto" w:fill="BF2115"/>
          </w:tcPr>
          <w:p>
            <w:pPr>
              <w:spacing w:after="0"/>
              <w:rPr>
                <w:sz w:val="8"/>
                <w:szCs w:val="8"/>
                <w:color w:val="auto"/>
              </w:rPr>
            </w:pPr>
          </w:p>
        </w:tc>
        <w:tc>
          <w:tcPr>
            <w:tcW w:w="1160" w:type="dxa"/>
            <w:vAlign w:val="bottom"/>
            <w:vMerge w:val="continue"/>
            <w:shd w:val="clear" w:color="auto" w:fill="BF2115"/>
          </w:tcPr>
          <w:p>
            <w:pPr>
              <w:spacing w:after="0"/>
              <w:rPr>
                <w:sz w:val="8"/>
                <w:szCs w:val="8"/>
                <w:color w:val="auto"/>
              </w:rPr>
            </w:pPr>
          </w:p>
        </w:tc>
        <w:tc>
          <w:tcPr>
            <w:tcW w:w="1200" w:type="dxa"/>
            <w:vAlign w:val="bottom"/>
            <w:vMerge w:val="continue"/>
            <w:shd w:val="clear" w:color="auto" w:fill="BF2115"/>
          </w:tcPr>
          <w:p>
            <w:pPr>
              <w:spacing w:after="0"/>
              <w:rPr>
                <w:sz w:val="8"/>
                <w:szCs w:val="8"/>
                <w:color w:val="auto"/>
              </w:rPr>
            </w:pPr>
          </w:p>
        </w:tc>
        <w:tc>
          <w:tcPr>
            <w:tcW w:w="1180" w:type="dxa"/>
            <w:vAlign w:val="bottom"/>
            <w:shd w:val="clear" w:color="auto" w:fill="BF2115"/>
          </w:tcPr>
          <w:p>
            <w:pPr>
              <w:spacing w:after="0"/>
              <w:rPr>
                <w:sz w:val="8"/>
                <w:szCs w:val="8"/>
                <w:color w:val="auto"/>
              </w:rPr>
            </w:pPr>
          </w:p>
        </w:tc>
        <w:tc>
          <w:tcPr>
            <w:tcW w:w="1180" w:type="dxa"/>
            <w:vAlign w:val="bottom"/>
            <w:shd w:val="clear" w:color="auto" w:fill="BF2115"/>
          </w:tcPr>
          <w:p>
            <w:pPr>
              <w:spacing w:after="0"/>
              <w:rPr>
                <w:sz w:val="8"/>
                <w:szCs w:val="8"/>
                <w:color w:val="auto"/>
              </w:rPr>
            </w:pPr>
          </w:p>
        </w:tc>
        <w:tc>
          <w:tcPr>
            <w:tcW w:w="720" w:type="dxa"/>
            <w:vAlign w:val="bottom"/>
            <w:vMerge w:val="continue"/>
            <w:shd w:val="clear" w:color="auto" w:fill="BF2115"/>
          </w:tcPr>
          <w:p>
            <w:pPr>
              <w:spacing w:after="0"/>
              <w:rPr>
                <w:sz w:val="8"/>
                <w:szCs w:val="8"/>
                <w:color w:val="auto"/>
              </w:rPr>
            </w:pPr>
          </w:p>
        </w:tc>
        <w:tc>
          <w:tcPr>
            <w:tcW w:w="1180" w:type="dxa"/>
            <w:vAlign w:val="bottom"/>
            <w:vMerge w:val="continue"/>
            <w:shd w:val="clear" w:color="auto" w:fill="BF2115"/>
          </w:tcPr>
          <w:p>
            <w:pPr>
              <w:spacing w:after="0"/>
              <w:rPr>
                <w:sz w:val="8"/>
                <w:szCs w:val="8"/>
                <w:color w:val="auto"/>
              </w:rPr>
            </w:pPr>
          </w:p>
        </w:tc>
        <w:tc>
          <w:tcPr>
            <w:tcW w:w="1200" w:type="dxa"/>
            <w:vAlign w:val="bottom"/>
            <w:vMerge w:val="continue"/>
            <w:shd w:val="clear" w:color="auto" w:fill="BF2115"/>
          </w:tcPr>
          <w:p>
            <w:pPr>
              <w:spacing w:after="0"/>
              <w:rPr>
                <w:sz w:val="8"/>
                <w:szCs w:val="8"/>
                <w:color w:val="auto"/>
              </w:rPr>
            </w:pPr>
          </w:p>
        </w:tc>
        <w:tc>
          <w:tcPr>
            <w:tcW w:w="1180" w:type="dxa"/>
            <w:vAlign w:val="bottom"/>
            <w:vMerge w:val="restart"/>
            <w:shd w:val="clear" w:color="auto" w:fill="BF2115"/>
          </w:tcPr>
          <w:p>
            <w:pPr>
              <w:jc w:val="center"/>
              <w:spacing w:after="0"/>
              <w:rPr>
                <w:sz w:val="20"/>
                <w:szCs w:val="20"/>
                <w:color w:val="auto"/>
              </w:rPr>
            </w:pPr>
            <w:r>
              <w:rPr>
                <w:rFonts w:ascii="Arial" w:cs="Arial" w:eastAsia="Arial" w:hAnsi="Arial"/>
                <w:sz w:val="11"/>
                <w:szCs w:val="11"/>
                <w:b w:val="1"/>
                <w:bCs w:val="1"/>
                <w:color w:val="FFFFFF"/>
                <w:w w:val="96"/>
              </w:rPr>
              <w:t>of Unearned</w:t>
            </w:r>
          </w:p>
        </w:tc>
        <w:tc>
          <w:tcPr>
            <w:tcW w:w="0" w:type="dxa"/>
            <w:vAlign w:val="bottom"/>
          </w:tcPr>
          <w:p>
            <w:pPr>
              <w:spacing w:after="0"/>
              <w:rPr>
                <w:sz w:val="1"/>
                <w:szCs w:val="1"/>
                <w:color w:val="auto"/>
              </w:rPr>
            </w:pPr>
          </w:p>
        </w:tc>
      </w:tr>
      <w:tr>
        <w:trPr>
          <w:trHeight w:val="40"/>
        </w:trPr>
        <w:tc>
          <w:tcPr>
            <w:tcW w:w="2240" w:type="dxa"/>
            <w:vAlign w:val="bottom"/>
            <w:shd w:val="clear" w:color="auto" w:fill="BF2115"/>
          </w:tcPr>
          <w:p>
            <w:pPr>
              <w:spacing w:after="0"/>
              <w:rPr>
                <w:sz w:val="3"/>
                <w:szCs w:val="3"/>
                <w:color w:val="auto"/>
              </w:rPr>
            </w:pPr>
          </w:p>
        </w:tc>
        <w:tc>
          <w:tcPr>
            <w:tcW w:w="1160" w:type="dxa"/>
            <w:vAlign w:val="bottom"/>
            <w:vMerge w:val="restart"/>
            <w:shd w:val="clear" w:color="auto" w:fill="BF2115"/>
          </w:tcPr>
          <w:p>
            <w:pPr>
              <w:jc w:val="center"/>
              <w:spacing w:after="0"/>
              <w:rPr>
                <w:sz w:val="20"/>
                <w:szCs w:val="20"/>
                <w:color w:val="auto"/>
              </w:rPr>
            </w:pPr>
            <w:r>
              <w:rPr>
                <w:rFonts w:ascii="Arial" w:cs="Arial" w:eastAsia="Arial" w:hAnsi="Arial"/>
                <w:sz w:val="11"/>
                <w:szCs w:val="11"/>
                <w:b w:val="1"/>
                <w:bCs w:val="1"/>
                <w:color w:val="FFFFFF"/>
                <w:w w:val="97"/>
              </w:rPr>
              <w:t>Underlying</w:t>
            </w:r>
          </w:p>
        </w:tc>
        <w:tc>
          <w:tcPr>
            <w:tcW w:w="1200" w:type="dxa"/>
            <w:vAlign w:val="bottom"/>
            <w:vMerge w:val="restart"/>
            <w:shd w:val="clear" w:color="auto" w:fill="BF2115"/>
          </w:tcPr>
          <w:p>
            <w:pPr>
              <w:jc w:val="center"/>
              <w:spacing w:after="0"/>
              <w:rPr>
                <w:sz w:val="20"/>
                <w:szCs w:val="20"/>
                <w:color w:val="auto"/>
              </w:rPr>
            </w:pPr>
            <w:r>
              <w:rPr>
                <w:rFonts w:ascii="Arial" w:cs="Arial" w:eastAsia="Arial" w:hAnsi="Arial"/>
                <w:sz w:val="11"/>
                <w:szCs w:val="11"/>
                <w:b w:val="1"/>
                <w:bCs w:val="1"/>
                <w:color w:val="FFFFFF"/>
                <w:w w:val="97"/>
              </w:rPr>
              <w:t>Underlying</w:t>
            </w:r>
          </w:p>
        </w:tc>
        <w:tc>
          <w:tcPr>
            <w:tcW w:w="1180" w:type="dxa"/>
            <w:vAlign w:val="bottom"/>
            <w:shd w:val="clear" w:color="auto" w:fill="BF2115"/>
          </w:tcPr>
          <w:p>
            <w:pPr>
              <w:spacing w:after="0"/>
              <w:rPr>
                <w:sz w:val="3"/>
                <w:szCs w:val="3"/>
                <w:color w:val="auto"/>
              </w:rPr>
            </w:pPr>
          </w:p>
        </w:tc>
        <w:tc>
          <w:tcPr>
            <w:tcW w:w="1180" w:type="dxa"/>
            <w:vAlign w:val="bottom"/>
            <w:shd w:val="clear" w:color="auto" w:fill="BF2115"/>
          </w:tcPr>
          <w:p>
            <w:pPr>
              <w:spacing w:after="0"/>
              <w:rPr>
                <w:sz w:val="3"/>
                <w:szCs w:val="3"/>
                <w:color w:val="auto"/>
              </w:rPr>
            </w:pPr>
          </w:p>
        </w:tc>
        <w:tc>
          <w:tcPr>
            <w:tcW w:w="720" w:type="dxa"/>
            <w:vAlign w:val="bottom"/>
            <w:vMerge w:val="restart"/>
            <w:shd w:val="clear" w:color="auto" w:fill="BF2115"/>
          </w:tcPr>
          <w:p>
            <w:pPr>
              <w:jc w:val="center"/>
              <w:spacing w:after="0"/>
              <w:rPr>
                <w:sz w:val="20"/>
                <w:szCs w:val="20"/>
                <w:color w:val="auto"/>
              </w:rPr>
            </w:pPr>
            <w:r>
              <w:rPr>
                <w:rFonts w:ascii="Arial" w:cs="Arial" w:eastAsia="Arial" w:hAnsi="Arial"/>
                <w:sz w:val="11"/>
                <w:szCs w:val="11"/>
                <w:b w:val="1"/>
                <w:bCs w:val="1"/>
                <w:color w:val="FFFFFF"/>
                <w:w w:val="94"/>
              </w:rPr>
              <w:t>Shares or</w:t>
            </w:r>
          </w:p>
        </w:tc>
        <w:tc>
          <w:tcPr>
            <w:tcW w:w="1180" w:type="dxa"/>
            <w:vAlign w:val="bottom"/>
            <w:vMerge w:val="restart"/>
            <w:shd w:val="clear" w:color="auto" w:fill="BF2115"/>
          </w:tcPr>
          <w:p>
            <w:pPr>
              <w:jc w:val="center"/>
              <w:spacing w:after="0"/>
              <w:rPr>
                <w:sz w:val="20"/>
                <w:szCs w:val="20"/>
                <w:color w:val="auto"/>
              </w:rPr>
            </w:pPr>
            <w:r>
              <w:rPr>
                <w:rFonts w:ascii="Arial" w:cs="Arial" w:eastAsia="Arial" w:hAnsi="Arial"/>
                <w:sz w:val="11"/>
                <w:szCs w:val="11"/>
                <w:b w:val="1"/>
                <w:bCs w:val="1"/>
                <w:color w:val="FFFFFF"/>
                <w:w w:val="97"/>
              </w:rPr>
              <w:t>Units of</w:t>
            </w:r>
          </w:p>
        </w:tc>
        <w:tc>
          <w:tcPr>
            <w:tcW w:w="1200" w:type="dxa"/>
            <w:vAlign w:val="bottom"/>
            <w:vMerge w:val="restart"/>
            <w:shd w:val="clear" w:color="auto" w:fill="BF2115"/>
          </w:tcPr>
          <w:p>
            <w:pPr>
              <w:jc w:val="center"/>
              <w:spacing w:after="0"/>
              <w:rPr>
                <w:sz w:val="20"/>
                <w:szCs w:val="20"/>
                <w:color w:val="auto"/>
              </w:rPr>
            </w:pPr>
            <w:r>
              <w:rPr>
                <w:rFonts w:ascii="Arial" w:cs="Arial" w:eastAsia="Arial" w:hAnsi="Arial"/>
                <w:sz w:val="11"/>
                <w:szCs w:val="11"/>
                <w:b w:val="1"/>
                <w:bCs w:val="1"/>
                <w:color w:val="FFFFFF"/>
                <w:w w:val="96"/>
              </w:rPr>
              <w:t>Shares, Units</w:t>
            </w:r>
          </w:p>
        </w:tc>
        <w:tc>
          <w:tcPr>
            <w:tcW w:w="1180" w:type="dxa"/>
            <w:vAlign w:val="bottom"/>
            <w:vMerge w:val="continue"/>
            <w:shd w:val="clear" w:color="auto" w:fill="BF2115"/>
          </w:tcPr>
          <w:p>
            <w:pPr>
              <w:spacing w:after="0"/>
              <w:rPr>
                <w:sz w:val="3"/>
                <w:szCs w:val="3"/>
                <w:color w:val="auto"/>
              </w:rPr>
            </w:pPr>
          </w:p>
        </w:tc>
        <w:tc>
          <w:tcPr>
            <w:tcW w:w="0" w:type="dxa"/>
            <w:vAlign w:val="bottom"/>
          </w:tcPr>
          <w:p>
            <w:pPr>
              <w:spacing w:after="0"/>
              <w:rPr>
                <w:sz w:val="1"/>
                <w:szCs w:val="1"/>
                <w:color w:val="auto"/>
              </w:rPr>
            </w:pPr>
          </w:p>
        </w:tc>
      </w:tr>
      <w:tr>
        <w:trPr>
          <w:trHeight w:val="93"/>
        </w:trPr>
        <w:tc>
          <w:tcPr>
            <w:tcW w:w="2240" w:type="dxa"/>
            <w:vAlign w:val="bottom"/>
            <w:shd w:val="clear" w:color="auto" w:fill="BF2115"/>
          </w:tcPr>
          <w:p>
            <w:pPr>
              <w:spacing w:after="0"/>
              <w:rPr>
                <w:sz w:val="8"/>
                <w:szCs w:val="8"/>
                <w:color w:val="auto"/>
              </w:rPr>
            </w:pPr>
          </w:p>
        </w:tc>
        <w:tc>
          <w:tcPr>
            <w:tcW w:w="1160" w:type="dxa"/>
            <w:vAlign w:val="bottom"/>
            <w:vMerge w:val="continue"/>
            <w:shd w:val="clear" w:color="auto" w:fill="BF2115"/>
          </w:tcPr>
          <w:p>
            <w:pPr>
              <w:spacing w:after="0"/>
              <w:rPr>
                <w:sz w:val="8"/>
                <w:szCs w:val="8"/>
                <w:color w:val="auto"/>
              </w:rPr>
            </w:pPr>
          </w:p>
        </w:tc>
        <w:tc>
          <w:tcPr>
            <w:tcW w:w="1200" w:type="dxa"/>
            <w:vAlign w:val="bottom"/>
            <w:vMerge w:val="continue"/>
            <w:shd w:val="clear" w:color="auto" w:fill="BF2115"/>
          </w:tcPr>
          <w:p>
            <w:pPr>
              <w:spacing w:after="0"/>
              <w:rPr>
                <w:sz w:val="8"/>
                <w:szCs w:val="8"/>
                <w:color w:val="auto"/>
              </w:rPr>
            </w:pPr>
          </w:p>
        </w:tc>
        <w:tc>
          <w:tcPr>
            <w:tcW w:w="1180" w:type="dxa"/>
            <w:vAlign w:val="bottom"/>
            <w:shd w:val="clear" w:color="auto" w:fill="BF2115"/>
          </w:tcPr>
          <w:p>
            <w:pPr>
              <w:spacing w:after="0"/>
              <w:rPr>
                <w:sz w:val="8"/>
                <w:szCs w:val="8"/>
                <w:color w:val="auto"/>
              </w:rPr>
            </w:pPr>
          </w:p>
        </w:tc>
        <w:tc>
          <w:tcPr>
            <w:tcW w:w="1180" w:type="dxa"/>
            <w:vAlign w:val="bottom"/>
            <w:shd w:val="clear" w:color="auto" w:fill="BF2115"/>
          </w:tcPr>
          <w:p>
            <w:pPr>
              <w:spacing w:after="0"/>
              <w:rPr>
                <w:sz w:val="8"/>
                <w:szCs w:val="8"/>
                <w:color w:val="auto"/>
              </w:rPr>
            </w:pPr>
          </w:p>
        </w:tc>
        <w:tc>
          <w:tcPr>
            <w:tcW w:w="720" w:type="dxa"/>
            <w:vAlign w:val="bottom"/>
            <w:vMerge w:val="continue"/>
            <w:shd w:val="clear" w:color="auto" w:fill="BF2115"/>
          </w:tcPr>
          <w:p>
            <w:pPr>
              <w:spacing w:after="0"/>
              <w:rPr>
                <w:sz w:val="8"/>
                <w:szCs w:val="8"/>
                <w:color w:val="auto"/>
              </w:rPr>
            </w:pPr>
          </w:p>
        </w:tc>
        <w:tc>
          <w:tcPr>
            <w:tcW w:w="1180" w:type="dxa"/>
            <w:vAlign w:val="bottom"/>
            <w:vMerge w:val="continue"/>
            <w:shd w:val="clear" w:color="auto" w:fill="BF2115"/>
          </w:tcPr>
          <w:p>
            <w:pPr>
              <w:spacing w:after="0"/>
              <w:rPr>
                <w:sz w:val="8"/>
                <w:szCs w:val="8"/>
                <w:color w:val="auto"/>
              </w:rPr>
            </w:pPr>
          </w:p>
        </w:tc>
        <w:tc>
          <w:tcPr>
            <w:tcW w:w="1200" w:type="dxa"/>
            <w:vAlign w:val="bottom"/>
            <w:vMerge w:val="continue"/>
            <w:shd w:val="clear" w:color="auto" w:fill="BF2115"/>
          </w:tcPr>
          <w:p>
            <w:pPr>
              <w:spacing w:after="0"/>
              <w:rPr>
                <w:sz w:val="8"/>
                <w:szCs w:val="8"/>
                <w:color w:val="auto"/>
              </w:rPr>
            </w:pPr>
          </w:p>
        </w:tc>
        <w:tc>
          <w:tcPr>
            <w:tcW w:w="1180" w:type="dxa"/>
            <w:vAlign w:val="bottom"/>
            <w:vMerge w:val="restart"/>
            <w:shd w:val="clear" w:color="auto" w:fill="BF2115"/>
          </w:tcPr>
          <w:p>
            <w:pPr>
              <w:jc w:val="center"/>
              <w:spacing w:after="0"/>
              <w:rPr>
                <w:sz w:val="20"/>
                <w:szCs w:val="20"/>
                <w:color w:val="auto"/>
              </w:rPr>
            </w:pPr>
            <w:r>
              <w:rPr>
                <w:rFonts w:ascii="Arial" w:cs="Arial" w:eastAsia="Arial" w:hAnsi="Arial"/>
                <w:sz w:val="11"/>
                <w:szCs w:val="11"/>
                <w:b w:val="1"/>
                <w:bCs w:val="1"/>
                <w:color w:val="FFFFFF"/>
                <w:w w:val="96"/>
              </w:rPr>
              <w:t>Shares, Units</w:t>
            </w:r>
          </w:p>
        </w:tc>
        <w:tc>
          <w:tcPr>
            <w:tcW w:w="0" w:type="dxa"/>
            <w:vAlign w:val="bottom"/>
          </w:tcPr>
          <w:p>
            <w:pPr>
              <w:spacing w:after="0"/>
              <w:rPr>
                <w:sz w:val="1"/>
                <w:szCs w:val="1"/>
                <w:color w:val="auto"/>
              </w:rPr>
            </w:pPr>
          </w:p>
        </w:tc>
      </w:tr>
      <w:tr>
        <w:trPr>
          <w:trHeight w:val="40"/>
        </w:trPr>
        <w:tc>
          <w:tcPr>
            <w:tcW w:w="2240" w:type="dxa"/>
            <w:vAlign w:val="bottom"/>
            <w:shd w:val="clear" w:color="auto" w:fill="BF2115"/>
          </w:tcPr>
          <w:p>
            <w:pPr>
              <w:spacing w:after="0"/>
              <w:rPr>
                <w:sz w:val="3"/>
                <w:szCs w:val="3"/>
                <w:color w:val="auto"/>
              </w:rPr>
            </w:pPr>
          </w:p>
        </w:tc>
        <w:tc>
          <w:tcPr>
            <w:tcW w:w="1160" w:type="dxa"/>
            <w:vAlign w:val="bottom"/>
            <w:vMerge w:val="restart"/>
            <w:shd w:val="clear" w:color="auto" w:fill="BF2115"/>
          </w:tcPr>
          <w:p>
            <w:pPr>
              <w:jc w:val="center"/>
              <w:spacing w:after="0"/>
              <w:rPr>
                <w:sz w:val="20"/>
                <w:szCs w:val="20"/>
                <w:color w:val="auto"/>
              </w:rPr>
            </w:pPr>
            <w:r>
              <w:rPr>
                <w:rFonts w:ascii="Arial" w:cs="Arial" w:eastAsia="Arial" w:hAnsi="Arial"/>
                <w:sz w:val="11"/>
                <w:szCs w:val="11"/>
                <w:b w:val="1"/>
                <w:bCs w:val="1"/>
                <w:color w:val="FFFFFF"/>
                <w:w w:val="97"/>
              </w:rPr>
              <w:t>Unexercised</w:t>
            </w:r>
          </w:p>
        </w:tc>
        <w:tc>
          <w:tcPr>
            <w:tcW w:w="1200" w:type="dxa"/>
            <w:vAlign w:val="bottom"/>
            <w:vMerge w:val="restart"/>
            <w:shd w:val="clear" w:color="auto" w:fill="BF2115"/>
          </w:tcPr>
          <w:p>
            <w:pPr>
              <w:jc w:val="center"/>
              <w:spacing w:after="0"/>
              <w:rPr>
                <w:sz w:val="20"/>
                <w:szCs w:val="20"/>
                <w:color w:val="auto"/>
              </w:rPr>
            </w:pPr>
            <w:r>
              <w:rPr>
                <w:rFonts w:ascii="Arial" w:cs="Arial" w:eastAsia="Arial" w:hAnsi="Arial"/>
                <w:sz w:val="11"/>
                <w:szCs w:val="11"/>
                <w:b w:val="1"/>
                <w:bCs w:val="1"/>
                <w:color w:val="FFFFFF"/>
                <w:w w:val="97"/>
              </w:rPr>
              <w:t>Unexercised</w:t>
            </w:r>
          </w:p>
        </w:tc>
        <w:tc>
          <w:tcPr>
            <w:tcW w:w="1180" w:type="dxa"/>
            <w:vAlign w:val="bottom"/>
            <w:vMerge w:val="restart"/>
            <w:shd w:val="clear" w:color="auto" w:fill="BF2115"/>
          </w:tcPr>
          <w:p>
            <w:pPr>
              <w:jc w:val="center"/>
              <w:spacing w:after="0"/>
              <w:rPr>
                <w:sz w:val="20"/>
                <w:szCs w:val="20"/>
                <w:color w:val="auto"/>
              </w:rPr>
            </w:pPr>
            <w:r>
              <w:rPr>
                <w:rFonts w:ascii="Arial" w:cs="Arial" w:eastAsia="Arial" w:hAnsi="Arial"/>
                <w:sz w:val="11"/>
                <w:szCs w:val="11"/>
                <w:b w:val="1"/>
                <w:bCs w:val="1"/>
                <w:color w:val="FFFFFF"/>
                <w:w w:val="95"/>
              </w:rPr>
              <w:t>Option</w:t>
            </w:r>
          </w:p>
        </w:tc>
        <w:tc>
          <w:tcPr>
            <w:tcW w:w="1180" w:type="dxa"/>
            <w:vAlign w:val="bottom"/>
            <w:shd w:val="clear" w:color="auto" w:fill="BF2115"/>
          </w:tcPr>
          <w:p>
            <w:pPr>
              <w:spacing w:after="0"/>
              <w:rPr>
                <w:sz w:val="3"/>
                <w:szCs w:val="3"/>
                <w:color w:val="auto"/>
              </w:rPr>
            </w:pPr>
          </w:p>
        </w:tc>
        <w:tc>
          <w:tcPr>
            <w:tcW w:w="720" w:type="dxa"/>
            <w:vAlign w:val="bottom"/>
            <w:vMerge w:val="restart"/>
            <w:shd w:val="clear" w:color="auto" w:fill="BF2115"/>
          </w:tcPr>
          <w:p>
            <w:pPr>
              <w:jc w:val="center"/>
              <w:spacing w:after="0"/>
              <w:rPr>
                <w:sz w:val="20"/>
                <w:szCs w:val="20"/>
                <w:color w:val="auto"/>
              </w:rPr>
            </w:pPr>
            <w:r>
              <w:rPr>
                <w:rFonts w:ascii="Arial" w:cs="Arial" w:eastAsia="Arial" w:hAnsi="Arial"/>
                <w:sz w:val="11"/>
                <w:szCs w:val="11"/>
                <w:b w:val="1"/>
                <w:bCs w:val="1"/>
                <w:color w:val="FFFFFF"/>
                <w:w w:val="94"/>
              </w:rPr>
              <w:t>Units that</w:t>
            </w:r>
          </w:p>
        </w:tc>
        <w:tc>
          <w:tcPr>
            <w:tcW w:w="1180" w:type="dxa"/>
            <w:vAlign w:val="bottom"/>
            <w:vMerge w:val="restart"/>
            <w:shd w:val="clear" w:color="auto" w:fill="BF2115"/>
          </w:tcPr>
          <w:p>
            <w:pPr>
              <w:jc w:val="center"/>
              <w:spacing w:after="0"/>
              <w:rPr>
                <w:sz w:val="20"/>
                <w:szCs w:val="20"/>
                <w:color w:val="auto"/>
              </w:rPr>
            </w:pPr>
            <w:r>
              <w:rPr>
                <w:rFonts w:ascii="Arial" w:cs="Arial" w:eastAsia="Arial" w:hAnsi="Arial"/>
                <w:sz w:val="11"/>
                <w:szCs w:val="11"/>
                <w:b w:val="1"/>
                <w:bCs w:val="1"/>
                <w:color w:val="FFFFFF"/>
                <w:w w:val="97"/>
              </w:rPr>
              <w:t>Stock that</w:t>
            </w:r>
          </w:p>
        </w:tc>
        <w:tc>
          <w:tcPr>
            <w:tcW w:w="1200" w:type="dxa"/>
            <w:vAlign w:val="bottom"/>
            <w:vMerge w:val="restart"/>
            <w:shd w:val="clear" w:color="auto" w:fill="BF2115"/>
          </w:tcPr>
          <w:p>
            <w:pPr>
              <w:jc w:val="center"/>
              <w:spacing w:after="0"/>
              <w:rPr>
                <w:sz w:val="20"/>
                <w:szCs w:val="20"/>
                <w:color w:val="auto"/>
              </w:rPr>
            </w:pPr>
            <w:r>
              <w:rPr>
                <w:rFonts w:ascii="Arial" w:cs="Arial" w:eastAsia="Arial" w:hAnsi="Arial"/>
                <w:sz w:val="11"/>
                <w:szCs w:val="11"/>
                <w:b w:val="1"/>
                <w:bCs w:val="1"/>
                <w:color w:val="FFFFFF"/>
                <w:w w:val="99"/>
              </w:rPr>
              <w:t>or Other Rights</w:t>
            </w:r>
          </w:p>
        </w:tc>
        <w:tc>
          <w:tcPr>
            <w:tcW w:w="1180" w:type="dxa"/>
            <w:vAlign w:val="bottom"/>
            <w:vMerge w:val="continue"/>
            <w:shd w:val="clear" w:color="auto" w:fill="BF2115"/>
          </w:tcPr>
          <w:p>
            <w:pPr>
              <w:spacing w:after="0"/>
              <w:rPr>
                <w:sz w:val="3"/>
                <w:szCs w:val="3"/>
                <w:color w:val="auto"/>
              </w:rPr>
            </w:pPr>
          </w:p>
        </w:tc>
        <w:tc>
          <w:tcPr>
            <w:tcW w:w="0" w:type="dxa"/>
            <w:vAlign w:val="bottom"/>
          </w:tcPr>
          <w:p>
            <w:pPr>
              <w:spacing w:after="0"/>
              <w:rPr>
                <w:sz w:val="1"/>
                <w:szCs w:val="1"/>
                <w:color w:val="auto"/>
              </w:rPr>
            </w:pPr>
          </w:p>
        </w:tc>
      </w:tr>
      <w:tr>
        <w:trPr>
          <w:trHeight w:val="107"/>
        </w:trPr>
        <w:tc>
          <w:tcPr>
            <w:tcW w:w="2240" w:type="dxa"/>
            <w:vAlign w:val="bottom"/>
            <w:shd w:val="clear" w:color="auto" w:fill="BF2115"/>
          </w:tcPr>
          <w:p>
            <w:pPr>
              <w:spacing w:after="0"/>
              <w:rPr>
                <w:sz w:val="9"/>
                <w:szCs w:val="9"/>
                <w:color w:val="auto"/>
              </w:rPr>
            </w:pPr>
          </w:p>
        </w:tc>
        <w:tc>
          <w:tcPr>
            <w:tcW w:w="1160" w:type="dxa"/>
            <w:vAlign w:val="bottom"/>
            <w:vMerge w:val="continue"/>
            <w:shd w:val="clear" w:color="auto" w:fill="BF2115"/>
          </w:tcPr>
          <w:p>
            <w:pPr>
              <w:spacing w:after="0"/>
              <w:rPr>
                <w:sz w:val="9"/>
                <w:szCs w:val="9"/>
                <w:color w:val="auto"/>
              </w:rPr>
            </w:pPr>
          </w:p>
        </w:tc>
        <w:tc>
          <w:tcPr>
            <w:tcW w:w="1200" w:type="dxa"/>
            <w:vAlign w:val="bottom"/>
            <w:vMerge w:val="continue"/>
            <w:shd w:val="clear" w:color="auto" w:fill="BF2115"/>
          </w:tcPr>
          <w:p>
            <w:pPr>
              <w:spacing w:after="0"/>
              <w:rPr>
                <w:sz w:val="9"/>
                <w:szCs w:val="9"/>
                <w:color w:val="auto"/>
              </w:rPr>
            </w:pPr>
          </w:p>
        </w:tc>
        <w:tc>
          <w:tcPr>
            <w:tcW w:w="1180" w:type="dxa"/>
            <w:vAlign w:val="bottom"/>
            <w:vMerge w:val="continue"/>
            <w:shd w:val="clear" w:color="auto" w:fill="BF2115"/>
          </w:tcPr>
          <w:p>
            <w:pPr>
              <w:spacing w:after="0"/>
              <w:rPr>
                <w:sz w:val="9"/>
                <w:szCs w:val="9"/>
                <w:color w:val="auto"/>
              </w:rPr>
            </w:pPr>
          </w:p>
        </w:tc>
        <w:tc>
          <w:tcPr>
            <w:tcW w:w="1180" w:type="dxa"/>
            <w:vAlign w:val="bottom"/>
            <w:vMerge w:val="restart"/>
            <w:shd w:val="clear" w:color="auto" w:fill="BF2115"/>
          </w:tcPr>
          <w:p>
            <w:pPr>
              <w:jc w:val="center"/>
              <w:spacing w:after="0"/>
              <w:rPr>
                <w:sz w:val="20"/>
                <w:szCs w:val="20"/>
                <w:color w:val="auto"/>
              </w:rPr>
            </w:pPr>
            <w:r>
              <w:rPr>
                <w:rFonts w:ascii="Arial" w:cs="Arial" w:eastAsia="Arial" w:hAnsi="Arial"/>
                <w:sz w:val="11"/>
                <w:szCs w:val="11"/>
                <w:b w:val="1"/>
                <w:bCs w:val="1"/>
                <w:color w:val="FFFFFF"/>
                <w:w w:val="95"/>
              </w:rPr>
              <w:t>Option</w:t>
            </w:r>
          </w:p>
        </w:tc>
        <w:tc>
          <w:tcPr>
            <w:tcW w:w="720" w:type="dxa"/>
            <w:vAlign w:val="bottom"/>
            <w:vMerge w:val="continue"/>
            <w:shd w:val="clear" w:color="auto" w:fill="BF2115"/>
          </w:tcPr>
          <w:p>
            <w:pPr>
              <w:spacing w:after="0"/>
              <w:rPr>
                <w:sz w:val="9"/>
                <w:szCs w:val="9"/>
                <w:color w:val="auto"/>
              </w:rPr>
            </w:pPr>
          </w:p>
        </w:tc>
        <w:tc>
          <w:tcPr>
            <w:tcW w:w="1180" w:type="dxa"/>
            <w:vAlign w:val="bottom"/>
            <w:vMerge w:val="continue"/>
            <w:shd w:val="clear" w:color="auto" w:fill="BF2115"/>
          </w:tcPr>
          <w:p>
            <w:pPr>
              <w:spacing w:after="0"/>
              <w:rPr>
                <w:sz w:val="9"/>
                <w:szCs w:val="9"/>
                <w:color w:val="auto"/>
              </w:rPr>
            </w:pPr>
          </w:p>
        </w:tc>
        <w:tc>
          <w:tcPr>
            <w:tcW w:w="1200" w:type="dxa"/>
            <w:vAlign w:val="bottom"/>
            <w:vMerge w:val="continue"/>
            <w:shd w:val="clear" w:color="auto" w:fill="BF2115"/>
          </w:tcPr>
          <w:p>
            <w:pPr>
              <w:spacing w:after="0"/>
              <w:rPr>
                <w:sz w:val="9"/>
                <w:szCs w:val="9"/>
                <w:color w:val="auto"/>
              </w:rPr>
            </w:pPr>
          </w:p>
        </w:tc>
        <w:tc>
          <w:tcPr>
            <w:tcW w:w="1180" w:type="dxa"/>
            <w:vAlign w:val="bottom"/>
            <w:shd w:val="clear" w:color="auto" w:fill="BF2115"/>
          </w:tcPr>
          <w:p>
            <w:pPr>
              <w:jc w:val="center"/>
              <w:spacing w:after="0" w:line="107" w:lineRule="exact"/>
              <w:rPr>
                <w:sz w:val="20"/>
                <w:szCs w:val="20"/>
                <w:color w:val="auto"/>
              </w:rPr>
            </w:pPr>
            <w:r>
              <w:rPr>
                <w:rFonts w:ascii="Arial" w:cs="Arial" w:eastAsia="Arial" w:hAnsi="Arial"/>
                <w:sz w:val="11"/>
                <w:szCs w:val="11"/>
                <w:b w:val="1"/>
                <w:bCs w:val="1"/>
                <w:color w:val="FFFFFF"/>
                <w:w w:val="96"/>
              </w:rPr>
              <w:t>or Other Rights</w:t>
            </w:r>
          </w:p>
        </w:tc>
        <w:tc>
          <w:tcPr>
            <w:tcW w:w="0" w:type="dxa"/>
            <w:vAlign w:val="bottom"/>
          </w:tcPr>
          <w:p>
            <w:pPr>
              <w:spacing w:after="0"/>
              <w:rPr>
                <w:sz w:val="1"/>
                <w:szCs w:val="1"/>
                <w:color w:val="auto"/>
              </w:rPr>
            </w:pPr>
          </w:p>
        </w:tc>
      </w:tr>
      <w:tr>
        <w:trPr>
          <w:trHeight w:val="118"/>
        </w:trPr>
        <w:tc>
          <w:tcPr>
            <w:tcW w:w="2240" w:type="dxa"/>
            <w:vAlign w:val="bottom"/>
            <w:shd w:val="clear" w:color="auto" w:fill="BF2115"/>
          </w:tcPr>
          <w:p>
            <w:pPr>
              <w:spacing w:after="0"/>
              <w:rPr>
                <w:sz w:val="10"/>
                <w:szCs w:val="10"/>
                <w:color w:val="auto"/>
              </w:rPr>
            </w:pPr>
          </w:p>
        </w:tc>
        <w:tc>
          <w:tcPr>
            <w:tcW w:w="1160" w:type="dxa"/>
            <w:vAlign w:val="bottom"/>
            <w:shd w:val="clear" w:color="auto" w:fill="BF2115"/>
          </w:tcPr>
          <w:p>
            <w:pPr>
              <w:jc w:val="center"/>
              <w:spacing w:after="0" w:line="118" w:lineRule="exact"/>
              <w:rPr>
                <w:sz w:val="20"/>
                <w:szCs w:val="20"/>
                <w:color w:val="auto"/>
              </w:rPr>
            </w:pPr>
            <w:r>
              <w:rPr>
                <w:rFonts w:ascii="Arial" w:cs="Arial" w:eastAsia="Arial" w:hAnsi="Arial"/>
                <w:sz w:val="11"/>
                <w:szCs w:val="11"/>
                <w:b w:val="1"/>
                <w:bCs w:val="1"/>
                <w:color w:val="FFFFFF"/>
                <w:w w:val="96"/>
              </w:rPr>
              <w:t>Options</w:t>
            </w:r>
          </w:p>
        </w:tc>
        <w:tc>
          <w:tcPr>
            <w:tcW w:w="1200" w:type="dxa"/>
            <w:vAlign w:val="bottom"/>
            <w:shd w:val="clear" w:color="auto" w:fill="BF2115"/>
          </w:tcPr>
          <w:p>
            <w:pPr>
              <w:jc w:val="center"/>
              <w:spacing w:after="0" w:line="118" w:lineRule="exact"/>
              <w:rPr>
                <w:sz w:val="20"/>
                <w:szCs w:val="20"/>
                <w:color w:val="auto"/>
              </w:rPr>
            </w:pPr>
            <w:r>
              <w:rPr>
                <w:rFonts w:ascii="Arial" w:cs="Arial" w:eastAsia="Arial" w:hAnsi="Arial"/>
                <w:sz w:val="11"/>
                <w:szCs w:val="11"/>
                <w:b w:val="1"/>
                <w:bCs w:val="1"/>
                <w:color w:val="FFFFFF"/>
                <w:w w:val="96"/>
              </w:rPr>
              <w:t>Options</w:t>
            </w:r>
          </w:p>
        </w:tc>
        <w:tc>
          <w:tcPr>
            <w:tcW w:w="1180" w:type="dxa"/>
            <w:vAlign w:val="bottom"/>
            <w:shd w:val="clear" w:color="auto" w:fill="BF2115"/>
          </w:tcPr>
          <w:p>
            <w:pPr>
              <w:jc w:val="center"/>
              <w:spacing w:after="0" w:line="118" w:lineRule="exact"/>
              <w:rPr>
                <w:sz w:val="20"/>
                <w:szCs w:val="20"/>
                <w:color w:val="auto"/>
              </w:rPr>
            </w:pPr>
            <w:r>
              <w:rPr>
                <w:rFonts w:ascii="Arial" w:cs="Arial" w:eastAsia="Arial" w:hAnsi="Arial"/>
                <w:sz w:val="11"/>
                <w:szCs w:val="11"/>
                <w:b w:val="1"/>
                <w:bCs w:val="1"/>
                <w:color w:val="FFFFFF"/>
                <w:w w:val="97"/>
              </w:rPr>
              <w:t>Exercise</w:t>
            </w:r>
          </w:p>
        </w:tc>
        <w:tc>
          <w:tcPr>
            <w:tcW w:w="1180" w:type="dxa"/>
            <w:vAlign w:val="bottom"/>
            <w:vMerge w:val="continue"/>
            <w:shd w:val="clear" w:color="auto" w:fill="BF2115"/>
          </w:tcPr>
          <w:p>
            <w:pPr>
              <w:spacing w:after="0"/>
              <w:rPr>
                <w:sz w:val="10"/>
                <w:szCs w:val="10"/>
                <w:color w:val="auto"/>
              </w:rPr>
            </w:pPr>
          </w:p>
        </w:tc>
        <w:tc>
          <w:tcPr>
            <w:tcW w:w="720" w:type="dxa"/>
            <w:vAlign w:val="bottom"/>
            <w:shd w:val="clear" w:color="auto" w:fill="BF2115"/>
          </w:tcPr>
          <w:p>
            <w:pPr>
              <w:jc w:val="center"/>
              <w:spacing w:after="0" w:line="118" w:lineRule="exact"/>
              <w:rPr>
                <w:sz w:val="20"/>
                <w:szCs w:val="20"/>
                <w:color w:val="auto"/>
              </w:rPr>
            </w:pPr>
            <w:r>
              <w:rPr>
                <w:rFonts w:ascii="Arial" w:cs="Arial" w:eastAsia="Arial" w:hAnsi="Arial"/>
                <w:sz w:val="11"/>
                <w:szCs w:val="11"/>
                <w:b w:val="1"/>
                <w:bCs w:val="1"/>
                <w:color w:val="FFFFFF"/>
                <w:w w:val="96"/>
              </w:rPr>
              <w:t>Have Not</w:t>
            </w:r>
          </w:p>
        </w:tc>
        <w:tc>
          <w:tcPr>
            <w:tcW w:w="1180" w:type="dxa"/>
            <w:vAlign w:val="bottom"/>
            <w:shd w:val="clear" w:color="auto" w:fill="BF2115"/>
          </w:tcPr>
          <w:p>
            <w:pPr>
              <w:jc w:val="center"/>
              <w:spacing w:after="0" w:line="118" w:lineRule="exact"/>
              <w:rPr>
                <w:sz w:val="20"/>
                <w:szCs w:val="20"/>
                <w:color w:val="auto"/>
              </w:rPr>
            </w:pPr>
            <w:r>
              <w:rPr>
                <w:rFonts w:ascii="Arial" w:cs="Arial" w:eastAsia="Arial" w:hAnsi="Arial"/>
                <w:sz w:val="11"/>
                <w:szCs w:val="11"/>
                <w:b w:val="1"/>
                <w:bCs w:val="1"/>
                <w:color w:val="FFFFFF"/>
                <w:w w:val="96"/>
              </w:rPr>
              <w:t>Have Not</w:t>
            </w:r>
          </w:p>
        </w:tc>
        <w:tc>
          <w:tcPr>
            <w:tcW w:w="1200" w:type="dxa"/>
            <w:vAlign w:val="bottom"/>
            <w:shd w:val="clear" w:color="auto" w:fill="BF2115"/>
          </w:tcPr>
          <w:p>
            <w:pPr>
              <w:jc w:val="center"/>
              <w:spacing w:after="0" w:line="118" w:lineRule="exact"/>
              <w:rPr>
                <w:sz w:val="20"/>
                <w:szCs w:val="20"/>
                <w:color w:val="auto"/>
              </w:rPr>
            </w:pPr>
            <w:r>
              <w:rPr>
                <w:rFonts w:ascii="Arial" w:cs="Arial" w:eastAsia="Arial" w:hAnsi="Arial"/>
                <w:sz w:val="11"/>
                <w:szCs w:val="11"/>
                <w:b w:val="1"/>
                <w:bCs w:val="1"/>
                <w:color w:val="FFFFFF"/>
                <w:w w:val="98"/>
              </w:rPr>
              <w:t>That Have</w:t>
            </w:r>
          </w:p>
        </w:tc>
        <w:tc>
          <w:tcPr>
            <w:tcW w:w="1180" w:type="dxa"/>
            <w:vAlign w:val="bottom"/>
            <w:vMerge w:val="restart"/>
            <w:shd w:val="clear" w:color="auto" w:fill="BF2115"/>
          </w:tcPr>
          <w:p>
            <w:pPr>
              <w:jc w:val="center"/>
              <w:spacing w:after="0"/>
              <w:rPr>
                <w:sz w:val="20"/>
                <w:szCs w:val="20"/>
                <w:color w:val="auto"/>
              </w:rPr>
            </w:pPr>
            <w:r>
              <w:rPr>
                <w:rFonts w:ascii="Arial" w:cs="Arial" w:eastAsia="Arial" w:hAnsi="Arial"/>
                <w:sz w:val="11"/>
                <w:szCs w:val="11"/>
                <w:b w:val="1"/>
                <w:bCs w:val="1"/>
                <w:color w:val="FFFFFF"/>
                <w:w w:val="95"/>
              </w:rPr>
              <w:t>That Have</w:t>
            </w:r>
          </w:p>
        </w:tc>
        <w:tc>
          <w:tcPr>
            <w:tcW w:w="0" w:type="dxa"/>
            <w:vAlign w:val="bottom"/>
          </w:tcPr>
          <w:p>
            <w:pPr>
              <w:spacing w:after="0"/>
              <w:rPr>
                <w:sz w:val="1"/>
                <w:szCs w:val="1"/>
                <w:color w:val="auto"/>
              </w:rPr>
            </w:pPr>
          </w:p>
        </w:tc>
      </w:tr>
      <w:tr>
        <w:trPr>
          <w:trHeight w:val="53"/>
        </w:trPr>
        <w:tc>
          <w:tcPr>
            <w:tcW w:w="2240" w:type="dxa"/>
            <w:vAlign w:val="bottom"/>
            <w:shd w:val="clear" w:color="auto" w:fill="BF2115"/>
          </w:tcPr>
          <w:p>
            <w:pPr>
              <w:spacing w:after="0"/>
              <w:rPr>
                <w:sz w:val="4"/>
                <w:szCs w:val="4"/>
                <w:color w:val="auto"/>
              </w:rPr>
            </w:pPr>
          </w:p>
        </w:tc>
        <w:tc>
          <w:tcPr>
            <w:tcW w:w="1160" w:type="dxa"/>
            <w:vAlign w:val="bottom"/>
            <w:vMerge w:val="restart"/>
            <w:shd w:val="clear" w:color="auto" w:fill="BF2115"/>
          </w:tcPr>
          <w:p>
            <w:pPr>
              <w:jc w:val="center"/>
              <w:spacing w:after="0"/>
              <w:rPr>
                <w:sz w:val="20"/>
                <w:szCs w:val="20"/>
                <w:color w:val="auto"/>
              </w:rPr>
            </w:pPr>
            <w:r>
              <w:rPr>
                <w:rFonts w:ascii="Arial" w:cs="Arial" w:eastAsia="Arial" w:hAnsi="Arial"/>
                <w:sz w:val="11"/>
                <w:szCs w:val="11"/>
                <w:b w:val="1"/>
                <w:bCs w:val="1"/>
                <w:color w:val="FFFFFF"/>
                <w:w w:val="98"/>
              </w:rPr>
              <w:t>Exercisable</w:t>
            </w:r>
          </w:p>
        </w:tc>
        <w:tc>
          <w:tcPr>
            <w:tcW w:w="1200" w:type="dxa"/>
            <w:vAlign w:val="bottom"/>
            <w:vMerge w:val="restart"/>
            <w:shd w:val="clear" w:color="auto" w:fill="BF2115"/>
          </w:tcPr>
          <w:p>
            <w:pPr>
              <w:jc w:val="center"/>
              <w:spacing w:after="0"/>
              <w:rPr>
                <w:sz w:val="20"/>
                <w:szCs w:val="20"/>
                <w:color w:val="auto"/>
              </w:rPr>
            </w:pPr>
            <w:r>
              <w:rPr>
                <w:rFonts w:ascii="Arial" w:cs="Arial" w:eastAsia="Arial" w:hAnsi="Arial"/>
                <w:sz w:val="11"/>
                <w:szCs w:val="11"/>
                <w:b w:val="1"/>
                <w:bCs w:val="1"/>
                <w:color w:val="FFFFFF"/>
                <w:w w:val="95"/>
              </w:rPr>
              <w:t>Unexercisable</w:t>
            </w:r>
            <w:r>
              <w:rPr>
                <w:rFonts w:ascii="Arial" w:cs="Arial" w:eastAsia="Arial" w:hAnsi="Arial"/>
                <w:sz w:val="13"/>
                <w:szCs w:val="13"/>
                <w:b w:val="1"/>
                <w:bCs w:val="1"/>
                <w:color w:val="FFFFFF"/>
                <w:w w:val="95"/>
                <w:vertAlign w:val="superscript"/>
              </w:rPr>
              <w:t>1</w:t>
            </w:r>
          </w:p>
        </w:tc>
        <w:tc>
          <w:tcPr>
            <w:tcW w:w="1180" w:type="dxa"/>
            <w:vAlign w:val="bottom"/>
            <w:vMerge w:val="restart"/>
            <w:shd w:val="clear" w:color="auto" w:fill="BF2115"/>
          </w:tcPr>
          <w:p>
            <w:pPr>
              <w:jc w:val="center"/>
              <w:spacing w:after="0"/>
              <w:rPr>
                <w:sz w:val="20"/>
                <w:szCs w:val="20"/>
                <w:color w:val="auto"/>
              </w:rPr>
            </w:pPr>
            <w:r>
              <w:rPr>
                <w:rFonts w:ascii="Arial" w:cs="Arial" w:eastAsia="Arial" w:hAnsi="Arial"/>
                <w:sz w:val="11"/>
                <w:szCs w:val="11"/>
                <w:b w:val="1"/>
                <w:bCs w:val="1"/>
                <w:color w:val="FFFFFF"/>
                <w:w w:val="96"/>
              </w:rPr>
              <w:t>Price</w:t>
            </w:r>
          </w:p>
        </w:tc>
        <w:tc>
          <w:tcPr>
            <w:tcW w:w="1180" w:type="dxa"/>
            <w:vAlign w:val="bottom"/>
            <w:vMerge w:val="restart"/>
            <w:shd w:val="clear" w:color="auto" w:fill="BF2115"/>
          </w:tcPr>
          <w:p>
            <w:pPr>
              <w:jc w:val="center"/>
              <w:spacing w:after="0"/>
              <w:rPr>
                <w:sz w:val="20"/>
                <w:szCs w:val="20"/>
                <w:color w:val="auto"/>
              </w:rPr>
            </w:pPr>
            <w:r>
              <w:rPr>
                <w:rFonts w:ascii="Arial" w:cs="Arial" w:eastAsia="Arial" w:hAnsi="Arial"/>
                <w:sz w:val="11"/>
                <w:szCs w:val="11"/>
                <w:b w:val="1"/>
                <w:bCs w:val="1"/>
                <w:color w:val="FFFFFF"/>
                <w:w w:val="96"/>
              </w:rPr>
              <w:t>Expiration</w:t>
            </w:r>
          </w:p>
        </w:tc>
        <w:tc>
          <w:tcPr>
            <w:tcW w:w="720" w:type="dxa"/>
            <w:vAlign w:val="bottom"/>
            <w:vMerge w:val="restart"/>
            <w:shd w:val="clear" w:color="auto" w:fill="BF2115"/>
          </w:tcPr>
          <w:p>
            <w:pPr>
              <w:jc w:val="center"/>
              <w:spacing w:after="0"/>
              <w:rPr>
                <w:sz w:val="20"/>
                <w:szCs w:val="20"/>
                <w:color w:val="auto"/>
              </w:rPr>
            </w:pPr>
            <w:r>
              <w:rPr>
                <w:rFonts w:ascii="Arial" w:cs="Arial" w:eastAsia="Arial" w:hAnsi="Arial"/>
                <w:sz w:val="11"/>
                <w:szCs w:val="11"/>
                <w:b w:val="1"/>
                <w:bCs w:val="1"/>
                <w:color w:val="FFFFFF"/>
                <w:w w:val="97"/>
              </w:rPr>
              <w:t>Vested</w:t>
            </w:r>
            <w:r>
              <w:rPr>
                <w:rFonts w:ascii="Arial" w:cs="Arial" w:eastAsia="Arial" w:hAnsi="Arial"/>
                <w:sz w:val="13"/>
                <w:szCs w:val="13"/>
                <w:b w:val="1"/>
                <w:bCs w:val="1"/>
                <w:color w:val="FFFFFF"/>
                <w:w w:val="97"/>
                <w:vertAlign w:val="superscript"/>
              </w:rPr>
              <w:t>2</w:t>
            </w:r>
          </w:p>
        </w:tc>
        <w:tc>
          <w:tcPr>
            <w:tcW w:w="1180" w:type="dxa"/>
            <w:vAlign w:val="bottom"/>
            <w:vMerge w:val="restart"/>
            <w:shd w:val="clear" w:color="auto" w:fill="BF2115"/>
          </w:tcPr>
          <w:p>
            <w:pPr>
              <w:jc w:val="center"/>
              <w:spacing w:after="0"/>
              <w:rPr>
                <w:sz w:val="20"/>
                <w:szCs w:val="20"/>
                <w:color w:val="auto"/>
              </w:rPr>
            </w:pPr>
            <w:r>
              <w:rPr>
                <w:rFonts w:ascii="Arial" w:cs="Arial" w:eastAsia="Arial" w:hAnsi="Arial"/>
                <w:sz w:val="11"/>
                <w:szCs w:val="11"/>
                <w:b w:val="1"/>
                <w:bCs w:val="1"/>
                <w:color w:val="FFFFFF"/>
                <w:w w:val="92"/>
              </w:rPr>
              <w:t>Vested</w:t>
            </w:r>
            <w:r>
              <w:rPr>
                <w:rFonts w:ascii="Arial" w:cs="Arial" w:eastAsia="Arial" w:hAnsi="Arial"/>
                <w:sz w:val="13"/>
                <w:szCs w:val="13"/>
                <w:b w:val="1"/>
                <w:bCs w:val="1"/>
                <w:color w:val="FFFFFF"/>
                <w:w w:val="92"/>
                <w:vertAlign w:val="superscript"/>
              </w:rPr>
              <w:t>3</w:t>
            </w:r>
          </w:p>
        </w:tc>
        <w:tc>
          <w:tcPr>
            <w:tcW w:w="1200" w:type="dxa"/>
            <w:vAlign w:val="bottom"/>
            <w:vMerge w:val="restart"/>
            <w:shd w:val="clear" w:color="auto" w:fill="BF2115"/>
          </w:tcPr>
          <w:p>
            <w:pPr>
              <w:jc w:val="center"/>
              <w:spacing w:after="0"/>
              <w:rPr>
                <w:sz w:val="20"/>
                <w:szCs w:val="20"/>
                <w:color w:val="auto"/>
              </w:rPr>
            </w:pPr>
            <w:r>
              <w:rPr>
                <w:rFonts w:ascii="Arial" w:cs="Arial" w:eastAsia="Arial" w:hAnsi="Arial"/>
                <w:sz w:val="11"/>
                <w:szCs w:val="11"/>
                <w:b w:val="1"/>
                <w:bCs w:val="1"/>
                <w:color w:val="FFFFFF"/>
                <w:w w:val="96"/>
              </w:rPr>
              <w:t>Not Vested</w:t>
            </w:r>
            <w:r>
              <w:rPr>
                <w:rFonts w:ascii="Arial" w:cs="Arial" w:eastAsia="Arial" w:hAnsi="Arial"/>
                <w:sz w:val="13"/>
                <w:szCs w:val="13"/>
                <w:b w:val="1"/>
                <w:bCs w:val="1"/>
                <w:color w:val="FFFFFF"/>
                <w:w w:val="96"/>
                <w:vertAlign w:val="superscript"/>
              </w:rPr>
              <w:t>4</w:t>
            </w:r>
          </w:p>
        </w:tc>
        <w:tc>
          <w:tcPr>
            <w:tcW w:w="1180" w:type="dxa"/>
            <w:vAlign w:val="bottom"/>
            <w:vMerge w:val="continue"/>
            <w:shd w:val="clear" w:color="auto" w:fill="BF2115"/>
          </w:tcPr>
          <w:p>
            <w:pPr>
              <w:spacing w:after="0"/>
              <w:rPr>
                <w:sz w:val="4"/>
                <w:szCs w:val="4"/>
                <w:color w:val="auto"/>
              </w:rPr>
            </w:pPr>
          </w:p>
        </w:tc>
        <w:tc>
          <w:tcPr>
            <w:tcW w:w="0" w:type="dxa"/>
            <w:vAlign w:val="bottom"/>
          </w:tcPr>
          <w:p>
            <w:pPr>
              <w:spacing w:after="0"/>
              <w:rPr>
                <w:sz w:val="1"/>
                <w:szCs w:val="1"/>
                <w:color w:val="auto"/>
              </w:rPr>
            </w:pPr>
          </w:p>
        </w:tc>
      </w:tr>
      <w:tr>
        <w:trPr>
          <w:trHeight w:val="109"/>
        </w:trPr>
        <w:tc>
          <w:tcPr>
            <w:tcW w:w="2240" w:type="dxa"/>
            <w:vAlign w:val="bottom"/>
            <w:vMerge w:val="restart"/>
            <w:shd w:val="clear" w:color="auto" w:fill="BF2115"/>
          </w:tcPr>
          <w:p>
            <w:pPr>
              <w:ind w:left="20"/>
              <w:spacing w:after="0"/>
              <w:rPr>
                <w:sz w:val="20"/>
                <w:szCs w:val="20"/>
                <w:color w:val="auto"/>
              </w:rPr>
            </w:pPr>
            <w:r>
              <w:rPr>
                <w:rFonts w:ascii="Arial" w:cs="Arial" w:eastAsia="Arial" w:hAnsi="Arial"/>
                <w:sz w:val="11"/>
                <w:szCs w:val="11"/>
                <w:b w:val="1"/>
                <w:bCs w:val="1"/>
                <w:color w:val="FFFFFF"/>
              </w:rPr>
              <w:t>Name</w:t>
            </w:r>
          </w:p>
        </w:tc>
        <w:tc>
          <w:tcPr>
            <w:tcW w:w="1160" w:type="dxa"/>
            <w:vAlign w:val="bottom"/>
            <w:vMerge w:val="continue"/>
            <w:shd w:val="clear" w:color="auto" w:fill="BF2115"/>
          </w:tcPr>
          <w:p>
            <w:pPr>
              <w:spacing w:after="0"/>
              <w:rPr>
                <w:sz w:val="9"/>
                <w:szCs w:val="9"/>
                <w:color w:val="auto"/>
              </w:rPr>
            </w:pPr>
          </w:p>
        </w:tc>
        <w:tc>
          <w:tcPr>
            <w:tcW w:w="1200" w:type="dxa"/>
            <w:vAlign w:val="bottom"/>
            <w:vMerge w:val="continue"/>
            <w:shd w:val="clear" w:color="auto" w:fill="BF2115"/>
          </w:tcPr>
          <w:p>
            <w:pPr>
              <w:spacing w:after="0"/>
              <w:rPr>
                <w:sz w:val="9"/>
                <w:szCs w:val="9"/>
                <w:color w:val="auto"/>
              </w:rPr>
            </w:pPr>
          </w:p>
        </w:tc>
        <w:tc>
          <w:tcPr>
            <w:tcW w:w="1180" w:type="dxa"/>
            <w:vAlign w:val="bottom"/>
            <w:vMerge w:val="continue"/>
            <w:shd w:val="clear" w:color="auto" w:fill="BF2115"/>
          </w:tcPr>
          <w:p>
            <w:pPr>
              <w:spacing w:after="0"/>
              <w:rPr>
                <w:sz w:val="9"/>
                <w:szCs w:val="9"/>
                <w:color w:val="auto"/>
              </w:rPr>
            </w:pPr>
          </w:p>
        </w:tc>
        <w:tc>
          <w:tcPr>
            <w:tcW w:w="1180" w:type="dxa"/>
            <w:vAlign w:val="bottom"/>
            <w:vMerge w:val="continue"/>
            <w:shd w:val="clear" w:color="auto" w:fill="BF2115"/>
          </w:tcPr>
          <w:p>
            <w:pPr>
              <w:spacing w:after="0"/>
              <w:rPr>
                <w:sz w:val="9"/>
                <w:szCs w:val="9"/>
                <w:color w:val="auto"/>
              </w:rPr>
            </w:pPr>
          </w:p>
        </w:tc>
        <w:tc>
          <w:tcPr>
            <w:tcW w:w="720" w:type="dxa"/>
            <w:vAlign w:val="bottom"/>
            <w:vMerge w:val="continue"/>
            <w:shd w:val="clear" w:color="auto" w:fill="BF2115"/>
          </w:tcPr>
          <w:p>
            <w:pPr>
              <w:spacing w:after="0"/>
              <w:rPr>
                <w:sz w:val="9"/>
                <w:szCs w:val="9"/>
                <w:color w:val="auto"/>
              </w:rPr>
            </w:pPr>
          </w:p>
        </w:tc>
        <w:tc>
          <w:tcPr>
            <w:tcW w:w="1180" w:type="dxa"/>
            <w:vAlign w:val="bottom"/>
            <w:vMerge w:val="continue"/>
            <w:shd w:val="clear" w:color="auto" w:fill="BF2115"/>
          </w:tcPr>
          <w:p>
            <w:pPr>
              <w:spacing w:after="0"/>
              <w:rPr>
                <w:sz w:val="9"/>
                <w:szCs w:val="9"/>
                <w:color w:val="auto"/>
              </w:rPr>
            </w:pPr>
          </w:p>
        </w:tc>
        <w:tc>
          <w:tcPr>
            <w:tcW w:w="1200" w:type="dxa"/>
            <w:vAlign w:val="bottom"/>
            <w:vMerge w:val="continue"/>
            <w:shd w:val="clear" w:color="auto" w:fill="BF2115"/>
          </w:tcPr>
          <w:p>
            <w:pPr>
              <w:spacing w:after="0"/>
              <w:rPr>
                <w:sz w:val="9"/>
                <w:szCs w:val="9"/>
                <w:color w:val="auto"/>
              </w:rPr>
            </w:pPr>
          </w:p>
        </w:tc>
        <w:tc>
          <w:tcPr>
            <w:tcW w:w="1180" w:type="dxa"/>
            <w:vAlign w:val="bottom"/>
            <w:shd w:val="clear" w:color="auto" w:fill="BF2115"/>
          </w:tcPr>
          <w:p>
            <w:pPr>
              <w:jc w:val="center"/>
              <w:spacing w:after="0" w:line="109" w:lineRule="exact"/>
              <w:rPr>
                <w:sz w:val="20"/>
                <w:szCs w:val="20"/>
                <w:color w:val="auto"/>
              </w:rPr>
            </w:pPr>
            <w:r>
              <w:rPr>
                <w:rFonts w:ascii="Arial" w:cs="Arial" w:eastAsia="Arial" w:hAnsi="Arial"/>
                <w:sz w:val="10"/>
                <w:szCs w:val="10"/>
                <w:b w:val="1"/>
                <w:bCs w:val="1"/>
                <w:color w:val="FFFFFF"/>
              </w:rPr>
              <w:t>Not Vested</w:t>
            </w:r>
            <w:r>
              <w:rPr>
                <w:rFonts w:ascii="Arial" w:cs="Arial" w:eastAsia="Arial" w:hAnsi="Arial"/>
                <w:sz w:val="12"/>
                <w:szCs w:val="12"/>
                <w:b w:val="1"/>
                <w:bCs w:val="1"/>
                <w:color w:val="FFFFFF"/>
                <w:vertAlign w:val="superscript"/>
              </w:rPr>
              <w:t>5</w:t>
            </w:r>
          </w:p>
        </w:tc>
        <w:tc>
          <w:tcPr>
            <w:tcW w:w="0" w:type="dxa"/>
            <w:vAlign w:val="bottom"/>
          </w:tcPr>
          <w:p>
            <w:pPr>
              <w:spacing w:after="0"/>
              <w:rPr>
                <w:sz w:val="1"/>
                <w:szCs w:val="1"/>
                <w:color w:val="auto"/>
              </w:rPr>
            </w:pPr>
          </w:p>
        </w:tc>
      </w:tr>
      <w:tr>
        <w:trPr>
          <w:trHeight w:val="53"/>
        </w:trPr>
        <w:tc>
          <w:tcPr>
            <w:tcW w:w="2240" w:type="dxa"/>
            <w:vAlign w:val="bottom"/>
            <w:vMerge w:val="continue"/>
            <w:shd w:val="clear" w:color="auto" w:fill="BF2115"/>
          </w:tcPr>
          <w:p>
            <w:pPr>
              <w:spacing w:after="0"/>
              <w:rPr>
                <w:sz w:val="4"/>
                <w:szCs w:val="4"/>
                <w:color w:val="auto"/>
              </w:rPr>
            </w:pPr>
          </w:p>
        </w:tc>
        <w:tc>
          <w:tcPr>
            <w:tcW w:w="1160" w:type="dxa"/>
            <w:vAlign w:val="bottom"/>
            <w:shd w:val="clear" w:color="auto" w:fill="BF2115"/>
          </w:tcPr>
          <w:p>
            <w:pPr>
              <w:jc w:val="center"/>
              <w:spacing w:after="0" w:line="54" w:lineRule="exact"/>
              <w:rPr>
                <w:sz w:val="20"/>
                <w:szCs w:val="20"/>
                <w:color w:val="auto"/>
              </w:rPr>
            </w:pPr>
            <w:r>
              <w:rPr>
                <w:rFonts w:ascii="Arial" w:cs="Arial" w:eastAsia="Arial" w:hAnsi="Arial"/>
                <w:sz w:val="6"/>
                <w:szCs w:val="6"/>
                <w:b w:val="1"/>
                <w:bCs w:val="1"/>
                <w:color w:val="FFFFFF"/>
              </w:rPr>
              <w:t>(#)</w:t>
            </w:r>
          </w:p>
        </w:tc>
        <w:tc>
          <w:tcPr>
            <w:tcW w:w="1200" w:type="dxa"/>
            <w:vAlign w:val="bottom"/>
            <w:shd w:val="clear" w:color="auto" w:fill="BF2115"/>
          </w:tcPr>
          <w:p>
            <w:pPr>
              <w:jc w:val="center"/>
              <w:spacing w:after="0" w:line="54" w:lineRule="exact"/>
              <w:rPr>
                <w:sz w:val="20"/>
                <w:szCs w:val="20"/>
                <w:color w:val="auto"/>
              </w:rPr>
            </w:pPr>
            <w:r>
              <w:rPr>
                <w:rFonts w:ascii="Arial" w:cs="Arial" w:eastAsia="Arial" w:hAnsi="Arial"/>
                <w:sz w:val="6"/>
                <w:szCs w:val="6"/>
                <w:b w:val="1"/>
                <w:bCs w:val="1"/>
                <w:color w:val="FFFFFF"/>
              </w:rPr>
              <w:t>(#)</w:t>
            </w:r>
          </w:p>
        </w:tc>
        <w:tc>
          <w:tcPr>
            <w:tcW w:w="1180" w:type="dxa"/>
            <w:vAlign w:val="bottom"/>
            <w:shd w:val="clear" w:color="auto" w:fill="BF2115"/>
          </w:tcPr>
          <w:p>
            <w:pPr>
              <w:jc w:val="center"/>
              <w:spacing w:after="0" w:line="54" w:lineRule="exact"/>
              <w:rPr>
                <w:sz w:val="20"/>
                <w:szCs w:val="20"/>
                <w:color w:val="auto"/>
              </w:rPr>
            </w:pPr>
            <w:r>
              <w:rPr>
                <w:rFonts w:ascii="Arial" w:cs="Arial" w:eastAsia="Arial" w:hAnsi="Arial"/>
                <w:sz w:val="6"/>
                <w:szCs w:val="6"/>
                <w:b w:val="1"/>
                <w:bCs w:val="1"/>
                <w:color w:val="FFFFFF"/>
              </w:rPr>
              <w:t>($)</w:t>
            </w:r>
          </w:p>
        </w:tc>
        <w:tc>
          <w:tcPr>
            <w:tcW w:w="1180" w:type="dxa"/>
            <w:vAlign w:val="bottom"/>
            <w:shd w:val="clear" w:color="auto" w:fill="BF2115"/>
          </w:tcPr>
          <w:p>
            <w:pPr>
              <w:jc w:val="center"/>
              <w:spacing w:after="0" w:line="54" w:lineRule="exact"/>
              <w:rPr>
                <w:sz w:val="20"/>
                <w:szCs w:val="20"/>
                <w:color w:val="auto"/>
              </w:rPr>
            </w:pPr>
            <w:r>
              <w:rPr>
                <w:rFonts w:ascii="Arial" w:cs="Arial" w:eastAsia="Arial" w:hAnsi="Arial"/>
                <w:sz w:val="6"/>
                <w:szCs w:val="6"/>
                <w:b w:val="1"/>
                <w:bCs w:val="1"/>
                <w:color w:val="FFFFFF"/>
              </w:rPr>
              <w:t>Date</w:t>
            </w:r>
          </w:p>
        </w:tc>
        <w:tc>
          <w:tcPr>
            <w:tcW w:w="720" w:type="dxa"/>
            <w:vAlign w:val="bottom"/>
            <w:shd w:val="clear" w:color="auto" w:fill="BF2115"/>
          </w:tcPr>
          <w:p>
            <w:pPr>
              <w:jc w:val="center"/>
              <w:spacing w:after="0" w:line="54" w:lineRule="exact"/>
              <w:rPr>
                <w:sz w:val="20"/>
                <w:szCs w:val="20"/>
                <w:color w:val="auto"/>
              </w:rPr>
            </w:pPr>
            <w:r>
              <w:rPr>
                <w:rFonts w:ascii="Arial" w:cs="Arial" w:eastAsia="Arial" w:hAnsi="Arial"/>
                <w:sz w:val="6"/>
                <w:szCs w:val="6"/>
                <w:b w:val="1"/>
                <w:bCs w:val="1"/>
                <w:color w:val="FFFFFF"/>
              </w:rPr>
              <w:t>(#)</w:t>
            </w:r>
          </w:p>
        </w:tc>
        <w:tc>
          <w:tcPr>
            <w:tcW w:w="1180" w:type="dxa"/>
            <w:vAlign w:val="bottom"/>
            <w:shd w:val="clear" w:color="auto" w:fill="BF2115"/>
          </w:tcPr>
          <w:p>
            <w:pPr>
              <w:jc w:val="center"/>
              <w:spacing w:after="0" w:line="54" w:lineRule="exact"/>
              <w:rPr>
                <w:sz w:val="20"/>
                <w:szCs w:val="20"/>
                <w:color w:val="auto"/>
              </w:rPr>
            </w:pPr>
            <w:r>
              <w:rPr>
                <w:rFonts w:ascii="Arial" w:cs="Arial" w:eastAsia="Arial" w:hAnsi="Arial"/>
                <w:sz w:val="6"/>
                <w:szCs w:val="6"/>
                <w:b w:val="1"/>
                <w:bCs w:val="1"/>
                <w:color w:val="FFFFFF"/>
              </w:rPr>
              <w:t>($)</w:t>
            </w:r>
          </w:p>
        </w:tc>
        <w:tc>
          <w:tcPr>
            <w:tcW w:w="1200" w:type="dxa"/>
            <w:vAlign w:val="bottom"/>
            <w:shd w:val="clear" w:color="auto" w:fill="BF2115"/>
          </w:tcPr>
          <w:p>
            <w:pPr>
              <w:jc w:val="center"/>
              <w:spacing w:after="0" w:line="54" w:lineRule="exact"/>
              <w:rPr>
                <w:sz w:val="20"/>
                <w:szCs w:val="20"/>
                <w:color w:val="auto"/>
              </w:rPr>
            </w:pPr>
            <w:r>
              <w:rPr>
                <w:rFonts w:ascii="Arial" w:cs="Arial" w:eastAsia="Arial" w:hAnsi="Arial"/>
                <w:sz w:val="6"/>
                <w:szCs w:val="6"/>
                <w:b w:val="1"/>
                <w:bCs w:val="1"/>
                <w:color w:val="FFFFFF"/>
              </w:rPr>
              <w:t>(#)</w:t>
            </w:r>
          </w:p>
        </w:tc>
        <w:tc>
          <w:tcPr>
            <w:tcW w:w="1180" w:type="dxa"/>
            <w:vAlign w:val="bottom"/>
            <w:vMerge w:val="restart"/>
            <w:shd w:val="clear" w:color="auto" w:fill="BF2115"/>
          </w:tcPr>
          <w:p>
            <w:pPr>
              <w:jc w:val="center"/>
              <w:spacing w:after="0"/>
              <w:rPr>
                <w:sz w:val="20"/>
                <w:szCs w:val="20"/>
                <w:color w:val="auto"/>
              </w:rPr>
            </w:pPr>
            <w:r>
              <w:rPr>
                <w:rFonts w:ascii="Arial" w:cs="Arial" w:eastAsia="Arial" w:hAnsi="Arial"/>
                <w:sz w:val="7"/>
                <w:szCs w:val="7"/>
                <w:b w:val="1"/>
                <w:bCs w:val="1"/>
                <w:color w:val="FFFFFF"/>
                <w:w w:val="92"/>
              </w:rPr>
              <w:t>($)</w:t>
            </w:r>
          </w:p>
        </w:tc>
        <w:tc>
          <w:tcPr>
            <w:tcW w:w="0" w:type="dxa"/>
            <w:vAlign w:val="bottom"/>
          </w:tcPr>
          <w:p>
            <w:pPr>
              <w:spacing w:after="0"/>
              <w:rPr>
                <w:sz w:val="1"/>
                <w:szCs w:val="1"/>
                <w:color w:val="auto"/>
              </w:rPr>
            </w:pPr>
          </w:p>
        </w:tc>
      </w:tr>
      <w:tr>
        <w:trPr>
          <w:trHeight w:val="73"/>
        </w:trPr>
        <w:tc>
          <w:tcPr>
            <w:tcW w:w="2240" w:type="dxa"/>
            <w:vAlign w:val="bottom"/>
            <w:tcBorders>
              <w:bottom w:val="single" w:sz="8" w:color="BF2115"/>
            </w:tcBorders>
            <w:shd w:val="clear" w:color="auto" w:fill="BF2115"/>
          </w:tcPr>
          <w:p>
            <w:pPr>
              <w:spacing w:after="0"/>
              <w:rPr>
                <w:sz w:val="6"/>
                <w:szCs w:val="6"/>
                <w:color w:val="auto"/>
              </w:rPr>
            </w:pPr>
          </w:p>
        </w:tc>
        <w:tc>
          <w:tcPr>
            <w:tcW w:w="1160" w:type="dxa"/>
            <w:vAlign w:val="bottom"/>
            <w:tcBorders>
              <w:bottom w:val="single" w:sz="8" w:color="BF2115"/>
            </w:tcBorders>
            <w:shd w:val="clear" w:color="auto" w:fill="BF2115"/>
          </w:tcPr>
          <w:p>
            <w:pPr>
              <w:spacing w:after="0"/>
              <w:rPr>
                <w:sz w:val="6"/>
                <w:szCs w:val="6"/>
                <w:color w:val="auto"/>
              </w:rPr>
            </w:pPr>
          </w:p>
        </w:tc>
        <w:tc>
          <w:tcPr>
            <w:tcW w:w="1200" w:type="dxa"/>
            <w:vAlign w:val="bottom"/>
            <w:tcBorders>
              <w:bottom w:val="single" w:sz="8" w:color="BF2115"/>
            </w:tcBorders>
            <w:shd w:val="clear" w:color="auto" w:fill="BF2115"/>
          </w:tcPr>
          <w:p>
            <w:pPr>
              <w:spacing w:after="0"/>
              <w:rPr>
                <w:sz w:val="6"/>
                <w:szCs w:val="6"/>
                <w:color w:val="auto"/>
              </w:rPr>
            </w:pPr>
          </w:p>
        </w:tc>
        <w:tc>
          <w:tcPr>
            <w:tcW w:w="1180" w:type="dxa"/>
            <w:vAlign w:val="bottom"/>
            <w:tcBorders>
              <w:bottom w:val="single" w:sz="8" w:color="BF2115"/>
            </w:tcBorders>
            <w:shd w:val="clear" w:color="auto" w:fill="BF2115"/>
          </w:tcPr>
          <w:p>
            <w:pPr>
              <w:spacing w:after="0"/>
              <w:rPr>
                <w:sz w:val="6"/>
                <w:szCs w:val="6"/>
                <w:color w:val="auto"/>
              </w:rPr>
            </w:pPr>
          </w:p>
        </w:tc>
        <w:tc>
          <w:tcPr>
            <w:tcW w:w="1180" w:type="dxa"/>
            <w:vAlign w:val="bottom"/>
            <w:tcBorders>
              <w:bottom w:val="single" w:sz="8" w:color="BF2115"/>
            </w:tcBorders>
            <w:shd w:val="clear" w:color="auto" w:fill="BF2115"/>
          </w:tcPr>
          <w:p>
            <w:pPr>
              <w:spacing w:after="0"/>
              <w:rPr>
                <w:sz w:val="6"/>
                <w:szCs w:val="6"/>
                <w:color w:val="auto"/>
              </w:rPr>
            </w:pPr>
          </w:p>
        </w:tc>
        <w:tc>
          <w:tcPr>
            <w:tcW w:w="720" w:type="dxa"/>
            <w:vAlign w:val="bottom"/>
            <w:tcBorders>
              <w:bottom w:val="single" w:sz="8" w:color="BF2115"/>
            </w:tcBorders>
            <w:shd w:val="clear" w:color="auto" w:fill="BF2115"/>
          </w:tcPr>
          <w:p>
            <w:pPr>
              <w:spacing w:after="0"/>
              <w:rPr>
                <w:sz w:val="6"/>
                <w:szCs w:val="6"/>
                <w:color w:val="auto"/>
              </w:rPr>
            </w:pPr>
          </w:p>
        </w:tc>
        <w:tc>
          <w:tcPr>
            <w:tcW w:w="1180" w:type="dxa"/>
            <w:vAlign w:val="bottom"/>
            <w:tcBorders>
              <w:bottom w:val="single" w:sz="8" w:color="BF2115"/>
            </w:tcBorders>
            <w:shd w:val="clear" w:color="auto" w:fill="BF2115"/>
          </w:tcPr>
          <w:p>
            <w:pPr>
              <w:spacing w:after="0"/>
              <w:rPr>
                <w:sz w:val="6"/>
                <w:szCs w:val="6"/>
                <w:color w:val="auto"/>
              </w:rPr>
            </w:pPr>
          </w:p>
        </w:tc>
        <w:tc>
          <w:tcPr>
            <w:tcW w:w="1200" w:type="dxa"/>
            <w:vAlign w:val="bottom"/>
            <w:tcBorders>
              <w:bottom w:val="single" w:sz="8" w:color="BF2115"/>
            </w:tcBorders>
            <w:shd w:val="clear" w:color="auto" w:fill="BF2115"/>
          </w:tcPr>
          <w:p>
            <w:pPr>
              <w:spacing w:after="0"/>
              <w:rPr>
                <w:sz w:val="6"/>
                <w:szCs w:val="6"/>
                <w:color w:val="auto"/>
              </w:rPr>
            </w:pPr>
          </w:p>
        </w:tc>
        <w:tc>
          <w:tcPr>
            <w:tcW w:w="1180" w:type="dxa"/>
            <w:vAlign w:val="bottom"/>
            <w:tcBorders>
              <w:bottom w:val="single" w:sz="8" w:color="BF2115"/>
            </w:tcBorders>
            <w:vMerge w:val="continue"/>
            <w:shd w:val="clear" w:color="auto" w:fill="BF2115"/>
          </w:tcPr>
          <w:p>
            <w:pPr>
              <w:spacing w:after="0"/>
              <w:rPr>
                <w:sz w:val="6"/>
                <w:szCs w:val="6"/>
                <w:color w:val="auto"/>
              </w:rPr>
            </w:pPr>
          </w:p>
        </w:tc>
        <w:tc>
          <w:tcPr>
            <w:tcW w:w="0" w:type="dxa"/>
            <w:vAlign w:val="bottom"/>
          </w:tcPr>
          <w:p>
            <w:pPr>
              <w:spacing w:after="0"/>
              <w:rPr>
                <w:sz w:val="1"/>
                <w:szCs w:val="1"/>
                <w:color w:val="auto"/>
              </w:rPr>
            </w:pPr>
          </w:p>
        </w:tc>
      </w:tr>
      <w:tr>
        <w:trPr>
          <w:trHeight w:val="173"/>
        </w:trPr>
        <w:tc>
          <w:tcPr>
            <w:tcW w:w="2240" w:type="dxa"/>
            <w:vAlign w:val="bottom"/>
          </w:tcPr>
          <w:p>
            <w:pPr>
              <w:ind w:left="20"/>
              <w:spacing w:after="0"/>
              <w:rPr>
                <w:sz w:val="20"/>
                <w:szCs w:val="20"/>
                <w:color w:val="auto"/>
              </w:rPr>
            </w:pPr>
            <w:r>
              <w:rPr>
                <w:rFonts w:ascii="Arial" w:cs="Arial" w:eastAsia="Arial" w:hAnsi="Arial"/>
                <w:sz w:val="12"/>
                <w:szCs w:val="12"/>
                <w:color w:val="auto"/>
              </w:rPr>
              <w:t>Richard M. Olson</w:t>
            </w:r>
          </w:p>
        </w:tc>
        <w:tc>
          <w:tcPr>
            <w:tcW w:w="11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0"/>
        </w:trPr>
        <w:tc>
          <w:tcPr>
            <w:tcW w:w="2240" w:type="dxa"/>
            <w:vAlign w:val="bottom"/>
          </w:tcPr>
          <w:p>
            <w:pPr>
              <w:ind w:left="100"/>
              <w:spacing w:after="0"/>
              <w:rPr>
                <w:sz w:val="20"/>
                <w:szCs w:val="20"/>
                <w:color w:val="auto"/>
              </w:rPr>
            </w:pPr>
            <w:r>
              <w:rPr>
                <w:rFonts w:ascii="Arial" w:cs="Arial" w:eastAsia="Arial" w:hAnsi="Arial"/>
                <w:sz w:val="12"/>
                <w:szCs w:val="12"/>
                <w:color w:val="auto"/>
              </w:rPr>
              <w:t>Stock Options</w:t>
            </w:r>
          </w:p>
        </w:tc>
        <w:tc>
          <w:tcPr>
            <w:tcW w:w="1160" w:type="dxa"/>
            <w:vAlign w:val="bottom"/>
          </w:tcPr>
          <w:p>
            <w:pPr>
              <w:jc w:val="right"/>
              <w:spacing w:after="0"/>
              <w:rPr>
                <w:sz w:val="20"/>
                <w:szCs w:val="20"/>
                <w:color w:val="auto"/>
              </w:rPr>
            </w:pPr>
            <w:r>
              <w:rPr>
                <w:rFonts w:ascii="Arial" w:cs="Arial" w:eastAsia="Arial" w:hAnsi="Arial"/>
                <w:sz w:val="12"/>
                <w:szCs w:val="12"/>
                <w:color w:val="auto"/>
              </w:rPr>
              <w:t>44,400</w:t>
            </w:r>
          </w:p>
        </w:tc>
        <w:tc>
          <w:tcPr>
            <w:tcW w:w="1200" w:type="dxa"/>
            <w:vAlign w:val="bottom"/>
          </w:tcPr>
          <w:p>
            <w:pPr>
              <w:jc w:val="right"/>
              <w:spacing w:after="0"/>
              <w:rPr>
                <w:sz w:val="20"/>
                <w:szCs w:val="20"/>
                <w:color w:val="auto"/>
              </w:rPr>
            </w:pPr>
            <w:r>
              <w:rPr>
                <w:rFonts w:ascii="Arial" w:cs="Arial" w:eastAsia="Arial" w:hAnsi="Arial"/>
                <w:sz w:val="12"/>
                <w:szCs w:val="12"/>
                <w:color w:val="auto"/>
              </w:rPr>
              <w:t>0</w:t>
            </w:r>
          </w:p>
        </w:tc>
        <w:tc>
          <w:tcPr>
            <w:tcW w:w="1180" w:type="dxa"/>
            <w:vAlign w:val="bottom"/>
          </w:tcPr>
          <w:p>
            <w:pPr>
              <w:jc w:val="right"/>
              <w:spacing w:after="0"/>
              <w:rPr>
                <w:sz w:val="20"/>
                <w:szCs w:val="20"/>
                <w:color w:val="auto"/>
              </w:rPr>
            </w:pPr>
            <w:r>
              <w:rPr>
                <w:rFonts w:ascii="Arial" w:cs="Arial" w:eastAsia="Arial" w:hAnsi="Arial"/>
                <w:sz w:val="12"/>
                <w:szCs w:val="12"/>
                <w:color w:val="auto"/>
              </w:rPr>
              <w:t>38.8200</w:t>
            </w:r>
          </w:p>
        </w:tc>
        <w:tc>
          <w:tcPr>
            <w:tcW w:w="1180" w:type="dxa"/>
            <w:vAlign w:val="bottom"/>
          </w:tcPr>
          <w:p>
            <w:pPr>
              <w:jc w:val="right"/>
              <w:spacing w:after="0"/>
              <w:rPr>
                <w:sz w:val="20"/>
                <w:szCs w:val="20"/>
                <w:color w:val="auto"/>
              </w:rPr>
            </w:pPr>
            <w:r>
              <w:rPr>
                <w:rFonts w:ascii="Arial" w:cs="Arial" w:eastAsia="Arial" w:hAnsi="Arial"/>
                <w:sz w:val="12"/>
                <w:szCs w:val="12"/>
                <w:color w:val="auto"/>
              </w:rPr>
              <w:t>12/04/2025</w:t>
            </w:r>
          </w:p>
        </w:tc>
        <w:tc>
          <w:tcPr>
            <w:tcW w:w="7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224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2"/>
                <w:szCs w:val="12"/>
                <w:color w:val="auto"/>
              </w:rPr>
              <w:t>119,400</w:t>
            </w:r>
          </w:p>
        </w:tc>
        <w:tc>
          <w:tcPr>
            <w:tcW w:w="1200" w:type="dxa"/>
            <w:vAlign w:val="bottom"/>
          </w:tcPr>
          <w:p>
            <w:pPr>
              <w:jc w:val="right"/>
              <w:spacing w:after="0"/>
              <w:rPr>
                <w:sz w:val="20"/>
                <w:szCs w:val="20"/>
                <w:color w:val="auto"/>
              </w:rPr>
            </w:pPr>
            <w:r>
              <w:rPr>
                <w:rFonts w:ascii="Arial" w:cs="Arial" w:eastAsia="Arial" w:hAnsi="Arial"/>
                <w:sz w:val="12"/>
                <w:szCs w:val="12"/>
                <w:color w:val="auto"/>
              </w:rPr>
              <w:t>0</w:t>
            </w:r>
          </w:p>
        </w:tc>
        <w:tc>
          <w:tcPr>
            <w:tcW w:w="1180" w:type="dxa"/>
            <w:vAlign w:val="bottom"/>
          </w:tcPr>
          <w:p>
            <w:pPr>
              <w:jc w:val="right"/>
              <w:spacing w:after="0"/>
              <w:rPr>
                <w:sz w:val="20"/>
                <w:szCs w:val="20"/>
                <w:color w:val="auto"/>
              </w:rPr>
            </w:pPr>
            <w:r>
              <w:rPr>
                <w:rFonts w:ascii="Arial" w:cs="Arial" w:eastAsia="Arial" w:hAnsi="Arial"/>
                <w:sz w:val="12"/>
                <w:szCs w:val="12"/>
                <w:color w:val="auto"/>
              </w:rPr>
              <w:t>56.5400</w:t>
            </w:r>
          </w:p>
        </w:tc>
        <w:tc>
          <w:tcPr>
            <w:tcW w:w="1180" w:type="dxa"/>
            <w:vAlign w:val="bottom"/>
          </w:tcPr>
          <w:p>
            <w:pPr>
              <w:jc w:val="right"/>
              <w:spacing w:after="0"/>
              <w:rPr>
                <w:sz w:val="20"/>
                <w:szCs w:val="20"/>
                <w:color w:val="auto"/>
              </w:rPr>
            </w:pPr>
            <w:r>
              <w:rPr>
                <w:rFonts w:ascii="Arial" w:cs="Arial" w:eastAsia="Arial" w:hAnsi="Arial"/>
                <w:sz w:val="12"/>
                <w:szCs w:val="12"/>
                <w:color w:val="auto"/>
              </w:rPr>
              <w:t>12/09/2026</w:t>
            </w:r>
          </w:p>
        </w:tc>
        <w:tc>
          <w:tcPr>
            <w:tcW w:w="7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224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2"/>
                <w:szCs w:val="12"/>
                <w:color w:val="auto"/>
              </w:rPr>
              <w:t>102,400</w:t>
            </w:r>
          </w:p>
        </w:tc>
        <w:tc>
          <w:tcPr>
            <w:tcW w:w="1200" w:type="dxa"/>
            <w:vAlign w:val="bottom"/>
          </w:tcPr>
          <w:p>
            <w:pPr>
              <w:jc w:val="right"/>
              <w:spacing w:after="0"/>
              <w:rPr>
                <w:sz w:val="20"/>
                <w:szCs w:val="20"/>
                <w:color w:val="auto"/>
              </w:rPr>
            </w:pPr>
            <w:r>
              <w:rPr>
                <w:rFonts w:ascii="Arial" w:cs="Arial" w:eastAsia="Arial" w:hAnsi="Arial"/>
                <w:sz w:val="12"/>
                <w:szCs w:val="12"/>
                <w:color w:val="auto"/>
              </w:rPr>
              <w:t>0</w:t>
            </w:r>
          </w:p>
        </w:tc>
        <w:tc>
          <w:tcPr>
            <w:tcW w:w="1180" w:type="dxa"/>
            <w:vAlign w:val="bottom"/>
          </w:tcPr>
          <w:p>
            <w:pPr>
              <w:jc w:val="right"/>
              <w:spacing w:after="0"/>
              <w:rPr>
                <w:sz w:val="20"/>
                <w:szCs w:val="20"/>
                <w:color w:val="auto"/>
              </w:rPr>
            </w:pPr>
            <w:r>
              <w:rPr>
                <w:rFonts w:ascii="Arial" w:cs="Arial" w:eastAsia="Arial" w:hAnsi="Arial"/>
                <w:sz w:val="12"/>
                <w:szCs w:val="12"/>
                <w:color w:val="auto"/>
              </w:rPr>
              <w:t>65.9300</w:t>
            </w:r>
          </w:p>
        </w:tc>
        <w:tc>
          <w:tcPr>
            <w:tcW w:w="1180" w:type="dxa"/>
            <w:vAlign w:val="bottom"/>
          </w:tcPr>
          <w:p>
            <w:pPr>
              <w:jc w:val="right"/>
              <w:spacing w:after="0"/>
              <w:rPr>
                <w:sz w:val="20"/>
                <w:szCs w:val="20"/>
                <w:color w:val="auto"/>
              </w:rPr>
            </w:pPr>
            <w:r>
              <w:rPr>
                <w:rFonts w:ascii="Arial" w:cs="Arial" w:eastAsia="Arial" w:hAnsi="Arial"/>
                <w:sz w:val="12"/>
                <w:szCs w:val="12"/>
                <w:color w:val="auto"/>
              </w:rPr>
              <w:t>12/08/2027</w:t>
            </w:r>
          </w:p>
        </w:tc>
        <w:tc>
          <w:tcPr>
            <w:tcW w:w="7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224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2"/>
                <w:szCs w:val="12"/>
                <w:color w:val="auto"/>
              </w:rPr>
              <w:t>137,100</w:t>
            </w:r>
          </w:p>
        </w:tc>
        <w:tc>
          <w:tcPr>
            <w:tcW w:w="1200" w:type="dxa"/>
            <w:vAlign w:val="bottom"/>
          </w:tcPr>
          <w:p>
            <w:pPr>
              <w:jc w:val="right"/>
              <w:spacing w:after="0"/>
              <w:rPr>
                <w:sz w:val="20"/>
                <w:szCs w:val="20"/>
                <w:color w:val="auto"/>
              </w:rPr>
            </w:pPr>
            <w:r>
              <w:rPr>
                <w:rFonts w:ascii="Arial" w:cs="Arial" w:eastAsia="Arial" w:hAnsi="Arial"/>
                <w:sz w:val="12"/>
                <w:szCs w:val="12"/>
                <w:color w:val="auto"/>
              </w:rPr>
              <w:t>0</w:t>
            </w:r>
          </w:p>
        </w:tc>
        <w:tc>
          <w:tcPr>
            <w:tcW w:w="1180" w:type="dxa"/>
            <w:vAlign w:val="bottom"/>
          </w:tcPr>
          <w:p>
            <w:pPr>
              <w:jc w:val="right"/>
              <w:spacing w:after="0"/>
              <w:rPr>
                <w:sz w:val="20"/>
                <w:szCs w:val="20"/>
                <w:color w:val="auto"/>
              </w:rPr>
            </w:pPr>
            <w:r>
              <w:rPr>
                <w:rFonts w:ascii="Arial" w:cs="Arial" w:eastAsia="Arial" w:hAnsi="Arial"/>
                <w:sz w:val="12"/>
                <w:szCs w:val="12"/>
                <w:color w:val="auto"/>
              </w:rPr>
              <w:t>58.5300</w:t>
            </w:r>
          </w:p>
        </w:tc>
        <w:tc>
          <w:tcPr>
            <w:tcW w:w="1180" w:type="dxa"/>
            <w:vAlign w:val="bottom"/>
          </w:tcPr>
          <w:p>
            <w:pPr>
              <w:jc w:val="right"/>
              <w:spacing w:after="0"/>
              <w:rPr>
                <w:sz w:val="20"/>
                <w:szCs w:val="20"/>
                <w:color w:val="auto"/>
              </w:rPr>
            </w:pPr>
            <w:r>
              <w:rPr>
                <w:rFonts w:ascii="Arial" w:cs="Arial" w:eastAsia="Arial" w:hAnsi="Arial"/>
                <w:sz w:val="12"/>
                <w:szCs w:val="12"/>
                <w:color w:val="auto"/>
              </w:rPr>
              <w:t>12/07/2028</w:t>
            </w:r>
          </w:p>
        </w:tc>
        <w:tc>
          <w:tcPr>
            <w:tcW w:w="7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224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2"/>
                <w:szCs w:val="12"/>
                <w:color w:val="auto"/>
              </w:rPr>
              <w:t>152,900</w:t>
            </w:r>
          </w:p>
        </w:tc>
        <w:tc>
          <w:tcPr>
            <w:tcW w:w="1200" w:type="dxa"/>
            <w:vAlign w:val="bottom"/>
          </w:tcPr>
          <w:p>
            <w:pPr>
              <w:jc w:val="right"/>
              <w:spacing w:after="0"/>
              <w:rPr>
                <w:sz w:val="20"/>
                <w:szCs w:val="20"/>
                <w:color w:val="auto"/>
              </w:rPr>
            </w:pPr>
            <w:r>
              <w:rPr>
                <w:rFonts w:ascii="Arial" w:cs="Arial" w:eastAsia="Arial" w:hAnsi="Arial"/>
                <w:sz w:val="12"/>
                <w:szCs w:val="12"/>
                <w:color w:val="auto"/>
              </w:rPr>
              <w:t>0</w:t>
            </w:r>
          </w:p>
        </w:tc>
        <w:tc>
          <w:tcPr>
            <w:tcW w:w="1180" w:type="dxa"/>
            <w:vAlign w:val="bottom"/>
          </w:tcPr>
          <w:p>
            <w:pPr>
              <w:jc w:val="right"/>
              <w:spacing w:after="0"/>
              <w:rPr>
                <w:sz w:val="20"/>
                <w:szCs w:val="20"/>
                <w:color w:val="auto"/>
              </w:rPr>
            </w:pPr>
            <w:r>
              <w:rPr>
                <w:rFonts w:ascii="Arial" w:cs="Arial" w:eastAsia="Arial" w:hAnsi="Arial"/>
                <w:sz w:val="12"/>
                <w:szCs w:val="12"/>
                <w:color w:val="auto"/>
              </w:rPr>
              <w:t>76.5300</w:t>
            </w:r>
          </w:p>
        </w:tc>
        <w:tc>
          <w:tcPr>
            <w:tcW w:w="1180" w:type="dxa"/>
            <w:vAlign w:val="bottom"/>
          </w:tcPr>
          <w:p>
            <w:pPr>
              <w:jc w:val="right"/>
              <w:spacing w:after="0"/>
              <w:rPr>
                <w:sz w:val="20"/>
                <w:szCs w:val="20"/>
                <w:color w:val="auto"/>
              </w:rPr>
            </w:pPr>
            <w:r>
              <w:rPr>
                <w:rFonts w:ascii="Arial" w:cs="Arial" w:eastAsia="Arial" w:hAnsi="Arial"/>
                <w:sz w:val="12"/>
                <w:szCs w:val="12"/>
                <w:color w:val="auto"/>
              </w:rPr>
              <w:t>12/19/2029</w:t>
            </w:r>
          </w:p>
        </w:tc>
        <w:tc>
          <w:tcPr>
            <w:tcW w:w="7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224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2"/>
                <w:szCs w:val="12"/>
                <w:color w:val="auto"/>
              </w:rPr>
              <w:t>134,300</w:t>
            </w:r>
          </w:p>
        </w:tc>
        <w:tc>
          <w:tcPr>
            <w:tcW w:w="1200" w:type="dxa"/>
            <w:vAlign w:val="bottom"/>
          </w:tcPr>
          <w:p>
            <w:pPr>
              <w:jc w:val="right"/>
              <w:spacing w:after="0"/>
              <w:rPr>
                <w:sz w:val="20"/>
                <w:szCs w:val="20"/>
                <w:color w:val="auto"/>
              </w:rPr>
            </w:pPr>
            <w:r>
              <w:rPr>
                <w:rFonts w:ascii="Arial" w:cs="Arial" w:eastAsia="Arial" w:hAnsi="Arial"/>
                <w:sz w:val="12"/>
                <w:szCs w:val="12"/>
                <w:color w:val="auto"/>
              </w:rPr>
              <w:t>0</w:t>
            </w:r>
          </w:p>
        </w:tc>
        <w:tc>
          <w:tcPr>
            <w:tcW w:w="1180" w:type="dxa"/>
            <w:vAlign w:val="bottom"/>
          </w:tcPr>
          <w:p>
            <w:pPr>
              <w:jc w:val="right"/>
              <w:spacing w:after="0"/>
              <w:rPr>
                <w:sz w:val="20"/>
                <w:szCs w:val="20"/>
                <w:color w:val="auto"/>
              </w:rPr>
            </w:pPr>
            <w:r>
              <w:rPr>
                <w:rFonts w:ascii="Arial" w:cs="Arial" w:eastAsia="Arial" w:hAnsi="Arial"/>
                <w:sz w:val="12"/>
                <w:szCs w:val="12"/>
                <w:color w:val="auto"/>
              </w:rPr>
              <w:t>93.3300</w:t>
            </w:r>
          </w:p>
        </w:tc>
        <w:tc>
          <w:tcPr>
            <w:tcW w:w="1180" w:type="dxa"/>
            <w:vAlign w:val="bottom"/>
          </w:tcPr>
          <w:p>
            <w:pPr>
              <w:jc w:val="right"/>
              <w:spacing w:after="0"/>
              <w:rPr>
                <w:sz w:val="20"/>
                <w:szCs w:val="20"/>
                <w:color w:val="auto"/>
              </w:rPr>
            </w:pPr>
            <w:r>
              <w:rPr>
                <w:rFonts w:ascii="Arial" w:cs="Arial" w:eastAsia="Arial" w:hAnsi="Arial"/>
                <w:sz w:val="12"/>
                <w:szCs w:val="12"/>
                <w:color w:val="auto"/>
              </w:rPr>
              <w:t>12/17/2030</w:t>
            </w:r>
          </w:p>
        </w:tc>
        <w:tc>
          <w:tcPr>
            <w:tcW w:w="7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224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2"/>
                <w:szCs w:val="12"/>
                <w:color w:val="auto"/>
              </w:rPr>
              <w:t>72,733</w:t>
            </w:r>
          </w:p>
        </w:tc>
        <w:tc>
          <w:tcPr>
            <w:tcW w:w="1200" w:type="dxa"/>
            <w:vAlign w:val="bottom"/>
          </w:tcPr>
          <w:p>
            <w:pPr>
              <w:jc w:val="right"/>
              <w:spacing w:after="0"/>
              <w:rPr>
                <w:sz w:val="20"/>
                <w:szCs w:val="20"/>
                <w:color w:val="auto"/>
              </w:rPr>
            </w:pPr>
            <w:r>
              <w:rPr>
                <w:rFonts w:ascii="Arial" w:cs="Arial" w:eastAsia="Arial" w:hAnsi="Arial"/>
                <w:sz w:val="12"/>
                <w:szCs w:val="12"/>
                <w:color w:val="auto"/>
              </w:rPr>
              <w:t>36,367</w:t>
            </w:r>
          </w:p>
        </w:tc>
        <w:tc>
          <w:tcPr>
            <w:tcW w:w="1180" w:type="dxa"/>
            <w:vAlign w:val="bottom"/>
          </w:tcPr>
          <w:p>
            <w:pPr>
              <w:jc w:val="right"/>
              <w:spacing w:after="0"/>
              <w:rPr>
                <w:sz w:val="20"/>
                <w:szCs w:val="20"/>
                <w:color w:val="auto"/>
              </w:rPr>
            </w:pPr>
            <w:r>
              <w:rPr>
                <w:rFonts w:ascii="Arial" w:cs="Arial" w:eastAsia="Arial" w:hAnsi="Arial"/>
                <w:sz w:val="12"/>
                <w:szCs w:val="12"/>
                <w:color w:val="auto"/>
              </w:rPr>
              <w:t>99.3400</w:t>
            </w:r>
          </w:p>
        </w:tc>
        <w:tc>
          <w:tcPr>
            <w:tcW w:w="1180" w:type="dxa"/>
            <w:vAlign w:val="bottom"/>
          </w:tcPr>
          <w:p>
            <w:pPr>
              <w:jc w:val="right"/>
              <w:spacing w:after="0"/>
              <w:rPr>
                <w:sz w:val="20"/>
                <w:szCs w:val="20"/>
                <w:color w:val="auto"/>
              </w:rPr>
            </w:pPr>
            <w:r>
              <w:rPr>
                <w:rFonts w:ascii="Arial" w:cs="Arial" w:eastAsia="Arial" w:hAnsi="Arial"/>
                <w:sz w:val="12"/>
                <w:szCs w:val="12"/>
                <w:color w:val="auto"/>
              </w:rPr>
              <w:t>12/16/2031</w:t>
            </w:r>
          </w:p>
        </w:tc>
        <w:tc>
          <w:tcPr>
            <w:tcW w:w="7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224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2"/>
                <w:szCs w:val="12"/>
                <w:color w:val="auto"/>
              </w:rPr>
              <w:t>36,400</w:t>
            </w:r>
          </w:p>
        </w:tc>
        <w:tc>
          <w:tcPr>
            <w:tcW w:w="1200" w:type="dxa"/>
            <w:vAlign w:val="bottom"/>
          </w:tcPr>
          <w:p>
            <w:pPr>
              <w:jc w:val="right"/>
              <w:spacing w:after="0"/>
              <w:rPr>
                <w:sz w:val="20"/>
                <w:szCs w:val="20"/>
                <w:color w:val="auto"/>
              </w:rPr>
            </w:pPr>
            <w:r>
              <w:rPr>
                <w:rFonts w:ascii="Arial" w:cs="Arial" w:eastAsia="Arial" w:hAnsi="Arial"/>
                <w:sz w:val="12"/>
                <w:szCs w:val="12"/>
                <w:color w:val="auto"/>
              </w:rPr>
              <w:t>72,800</w:t>
            </w:r>
          </w:p>
        </w:tc>
        <w:tc>
          <w:tcPr>
            <w:tcW w:w="1180" w:type="dxa"/>
            <w:vAlign w:val="bottom"/>
          </w:tcPr>
          <w:p>
            <w:pPr>
              <w:jc w:val="right"/>
              <w:spacing w:after="0"/>
              <w:rPr>
                <w:sz w:val="20"/>
                <w:szCs w:val="20"/>
                <w:color w:val="auto"/>
              </w:rPr>
            </w:pPr>
            <w:r>
              <w:rPr>
                <w:rFonts w:ascii="Arial" w:cs="Arial" w:eastAsia="Arial" w:hAnsi="Arial"/>
                <w:sz w:val="12"/>
                <w:szCs w:val="12"/>
                <w:color w:val="auto"/>
              </w:rPr>
              <w:t>111.1500</w:t>
            </w:r>
          </w:p>
        </w:tc>
        <w:tc>
          <w:tcPr>
            <w:tcW w:w="1180" w:type="dxa"/>
            <w:vAlign w:val="bottom"/>
          </w:tcPr>
          <w:p>
            <w:pPr>
              <w:jc w:val="right"/>
              <w:spacing w:after="0"/>
              <w:rPr>
                <w:sz w:val="20"/>
                <w:szCs w:val="20"/>
                <w:color w:val="auto"/>
              </w:rPr>
            </w:pPr>
            <w:r>
              <w:rPr>
                <w:rFonts w:ascii="Arial" w:cs="Arial" w:eastAsia="Arial" w:hAnsi="Arial"/>
                <w:sz w:val="12"/>
                <w:szCs w:val="12"/>
                <w:color w:val="auto"/>
              </w:rPr>
              <w:t>12/22/2032</w:t>
            </w:r>
          </w:p>
        </w:tc>
        <w:tc>
          <w:tcPr>
            <w:tcW w:w="7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224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2"/>
                <w:szCs w:val="12"/>
                <w:color w:val="auto"/>
              </w:rPr>
              <w:t>0</w:t>
            </w:r>
          </w:p>
        </w:tc>
        <w:tc>
          <w:tcPr>
            <w:tcW w:w="1200" w:type="dxa"/>
            <w:vAlign w:val="bottom"/>
          </w:tcPr>
          <w:p>
            <w:pPr>
              <w:jc w:val="right"/>
              <w:spacing w:after="0"/>
              <w:rPr>
                <w:sz w:val="20"/>
                <w:szCs w:val="20"/>
                <w:color w:val="auto"/>
              </w:rPr>
            </w:pPr>
            <w:r>
              <w:rPr>
                <w:rFonts w:ascii="Arial" w:cs="Arial" w:eastAsia="Arial" w:hAnsi="Arial"/>
                <w:sz w:val="12"/>
                <w:szCs w:val="12"/>
                <w:color w:val="auto"/>
              </w:rPr>
              <w:t>101,300</w:t>
            </w:r>
          </w:p>
        </w:tc>
        <w:tc>
          <w:tcPr>
            <w:tcW w:w="1180" w:type="dxa"/>
            <w:vAlign w:val="bottom"/>
          </w:tcPr>
          <w:p>
            <w:pPr>
              <w:jc w:val="right"/>
              <w:spacing w:after="0"/>
              <w:rPr>
                <w:sz w:val="20"/>
                <w:szCs w:val="20"/>
                <w:color w:val="auto"/>
              </w:rPr>
            </w:pPr>
            <w:r>
              <w:rPr>
                <w:rFonts w:ascii="Arial" w:cs="Arial" w:eastAsia="Arial" w:hAnsi="Arial"/>
                <w:sz w:val="12"/>
                <w:szCs w:val="12"/>
                <w:color w:val="auto"/>
              </w:rPr>
              <w:t>99.6000</w:t>
            </w:r>
          </w:p>
        </w:tc>
        <w:tc>
          <w:tcPr>
            <w:tcW w:w="1180" w:type="dxa"/>
            <w:vAlign w:val="bottom"/>
          </w:tcPr>
          <w:p>
            <w:pPr>
              <w:jc w:val="right"/>
              <w:spacing w:after="0"/>
              <w:rPr>
                <w:sz w:val="20"/>
                <w:szCs w:val="20"/>
                <w:color w:val="auto"/>
              </w:rPr>
            </w:pPr>
            <w:r>
              <w:rPr>
                <w:rFonts w:ascii="Arial" w:cs="Arial" w:eastAsia="Arial" w:hAnsi="Arial"/>
                <w:sz w:val="12"/>
                <w:szCs w:val="12"/>
                <w:color w:val="auto"/>
              </w:rPr>
              <w:t>12/26/2033</w:t>
            </w:r>
          </w:p>
        </w:tc>
        <w:tc>
          <w:tcPr>
            <w:tcW w:w="7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2240" w:type="dxa"/>
            <w:vAlign w:val="bottom"/>
          </w:tcPr>
          <w:p>
            <w:pPr>
              <w:ind w:left="100"/>
              <w:spacing w:after="0"/>
              <w:rPr>
                <w:sz w:val="20"/>
                <w:szCs w:val="20"/>
                <w:color w:val="auto"/>
              </w:rPr>
            </w:pPr>
            <w:r>
              <w:rPr>
                <w:rFonts w:ascii="Arial" w:cs="Arial" w:eastAsia="Arial" w:hAnsi="Arial"/>
                <w:sz w:val="12"/>
                <w:szCs w:val="12"/>
                <w:color w:val="auto"/>
              </w:rPr>
              <w:t>F23-F25 Performance Shares</w:t>
            </w:r>
          </w:p>
        </w:tc>
        <w:tc>
          <w:tcPr>
            <w:tcW w:w="1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2"/>
                <w:szCs w:val="12"/>
                <w:color w:val="auto"/>
              </w:rPr>
              <w:t>12,840</w:t>
            </w:r>
          </w:p>
        </w:tc>
        <w:tc>
          <w:tcPr>
            <w:tcW w:w="1180" w:type="dxa"/>
            <w:vAlign w:val="bottom"/>
          </w:tcPr>
          <w:p>
            <w:pPr>
              <w:jc w:val="right"/>
              <w:spacing w:after="0"/>
              <w:rPr>
                <w:sz w:val="20"/>
                <w:szCs w:val="20"/>
                <w:color w:val="auto"/>
              </w:rPr>
            </w:pPr>
            <w:r>
              <w:rPr>
                <w:rFonts w:ascii="Arial" w:cs="Arial" w:eastAsia="Arial" w:hAnsi="Arial"/>
                <w:sz w:val="12"/>
                <w:szCs w:val="12"/>
                <w:color w:val="auto"/>
              </w:rPr>
              <w:t>1,033,363</w:t>
            </w:r>
          </w:p>
        </w:tc>
        <w:tc>
          <w:tcPr>
            <w:tcW w:w="0" w:type="dxa"/>
            <w:vAlign w:val="bottom"/>
          </w:tcPr>
          <w:p>
            <w:pPr>
              <w:spacing w:after="0"/>
              <w:rPr>
                <w:sz w:val="1"/>
                <w:szCs w:val="1"/>
                <w:color w:val="auto"/>
              </w:rPr>
            </w:pPr>
          </w:p>
        </w:tc>
      </w:tr>
      <w:tr>
        <w:trPr>
          <w:trHeight w:val="200"/>
        </w:trPr>
        <w:tc>
          <w:tcPr>
            <w:tcW w:w="2240" w:type="dxa"/>
            <w:vAlign w:val="bottom"/>
          </w:tcPr>
          <w:p>
            <w:pPr>
              <w:ind w:left="100"/>
              <w:spacing w:after="0"/>
              <w:rPr>
                <w:sz w:val="20"/>
                <w:szCs w:val="20"/>
                <w:color w:val="auto"/>
              </w:rPr>
            </w:pPr>
            <w:r>
              <w:rPr>
                <w:rFonts w:ascii="Arial" w:cs="Arial" w:eastAsia="Arial" w:hAnsi="Arial"/>
                <w:sz w:val="12"/>
                <w:szCs w:val="12"/>
                <w:color w:val="auto"/>
              </w:rPr>
              <w:t>F24-F26 Performance Shares</w:t>
            </w:r>
          </w:p>
        </w:tc>
        <w:tc>
          <w:tcPr>
            <w:tcW w:w="1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2"/>
                <w:szCs w:val="12"/>
                <w:color w:val="auto"/>
              </w:rPr>
              <w:t>12,880</w:t>
            </w:r>
          </w:p>
        </w:tc>
        <w:tc>
          <w:tcPr>
            <w:tcW w:w="1180" w:type="dxa"/>
            <w:vAlign w:val="bottom"/>
          </w:tcPr>
          <w:p>
            <w:pPr>
              <w:jc w:val="right"/>
              <w:spacing w:after="0"/>
              <w:rPr>
                <w:sz w:val="20"/>
                <w:szCs w:val="20"/>
                <w:color w:val="auto"/>
              </w:rPr>
            </w:pPr>
            <w:r>
              <w:rPr>
                <w:rFonts w:ascii="Arial" w:cs="Arial" w:eastAsia="Arial" w:hAnsi="Arial"/>
                <w:sz w:val="12"/>
                <w:szCs w:val="12"/>
                <w:color w:val="auto"/>
              </w:rPr>
              <w:t>1,036,582</w:t>
            </w:r>
          </w:p>
        </w:tc>
        <w:tc>
          <w:tcPr>
            <w:tcW w:w="0" w:type="dxa"/>
            <w:vAlign w:val="bottom"/>
          </w:tcPr>
          <w:p>
            <w:pPr>
              <w:spacing w:after="0"/>
              <w:rPr>
                <w:sz w:val="1"/>
                <w:szCs w:val="1"/>
                <w:color w:val="auto"/>
              </w:rPr>
            </w:pPr>
          </w:p>
        </w:tc>
      </w:tr>
      <w:tr>
        <w:trPr>
          <w:trHeight w:val="27"/>
        </w:trPr>
        <w:tc>
          <w:tcPr>
            <w:tcW w:w="22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3"/>
        </w:trPr>
        <w:tc>
          <w:tcPr>
            <w:tcW w:w="2240" w:type="dxa"/>
            <w:vAlign w:val="bottom"/>
            <w:shd w:val="clear" w:color="auto" w:fill="DBDBDB"/>
          </w:tcPr>
          <w:p>
            <w:pPr>
              <w:ind w:left="20"/>
              <w:spacing w:after="0"/>
              <w:rPr>
                <w:sz w:val="20"/>
                <w:szCs w:val="20"/>
                <w:color w:val="auto"/>
              </w:rPr>
            </w:pPr>
            <w:r>
              <w:rPr>
                <w:rFonts w:ascii="Arial" w:cs="Arial" w:eastAsia="Arial" w:hAnsi="Arial"/>
                <w:sz w:val="12"/>
                <w:szCs w:val="12"/>
                <w:color w:val="auto"/>
              </w:rPr>
              <w:t>Angela C. Drake</w:t>
            </w:r>
          </w:p>
        </w:tc>
        <w:tc>
          <w:tcPr>
            <w:tcW w:w="1160" w:type="dxa"/>
            <w:vAlign w:val="bottom"/>
            <w:shd w:val="clear" w:color="auto" w:fill="DBDBDB"/>
          </w:tcPr>
          <w:p>
            <w:pPr>
              <w:spacing w:after="0"/>
              <w:rPr>
                <w:sz w:val="15"/>
                <w:szCs w:val="15"/>
                <w:color w:val="auto"/>
              </w:rPr>
            </w:pPr>
          </w:p>
        </w:tc>
        <w:tc>
          <w:tcPr>
            <w:tcW w:w="1200" w:type="dxa"/>
            <w:vAlign w:val="bottom"/>
            <w:shd w:val="clear" w:color="auto" w:fill="DBDBDB"/>
          </w:tcPr>
          <w:p>
            <w:pPr>
              <w:spacing w:after="0"/>
              <w:rPr>
                <w:sz w:val="15"/>
                <w:szCs w:val="15"/>
                <w:color w:val="auto"/>
              </w:rPr>
            </w:pPr>
          </w:p>
        </w:tc>
        <w:tc>
          <w:tcPr>
            <w:tcW w:w="1180" w:type="dxa"/>
            <w:vAlign w:val="bottom"/>
            <w:shd w:val="clear" w:color="auto" w:fill="DBDBDB"/>
          </w:tcPr>
          <w:p>
            <w:pPr>
              <w:spacing w:after="0"/>
              <w:rPr>
                <w:sz w:val="15"/>
                <w:szCs w:val="15"/>
                <w:color w:val="auto"/>
              </w:rPr>
            </w:pPr>
          </w:p>
        </w:tc>
        <w:tc>
          <w:tcPr>
            <w:tcW w:w="1180" w:type="dxa"/>
            <w:vAlign w:val="bottom"/>
            <w:shd w:val="clear" w:color="auto" w:fill="DBDBDB"/>
          </w:tcPr>
          <w:p>
            <w:pPr>
              <w:spacing w:after="0"/>
              <w:rPr>
                <w:sz w:val="15"/>
                <w:szCs w:val="15"/>
                <w:color w:val="auto"/>
              </w:rPr>
            </w:pPr>
          </w:p>
        </w:tc>
        <w:tc>
          <w:tcPr>
            <w:tcW w:w="720" w:type="dxa"/>
            <w:vAlign w:val="bottom"/>
            <w:shd w:val="clear" w:color="auto" w:fill="DBDBDB"/>
          </w:tcPr>
          <w:p>
            <w:pPr>
              <w:spacing w:after="0"/>
              <w:rPr>
                <w:sz w:val="15"/>
                <w:szCs w:val="15"/>
                <w:color w:val="auto"/>
              </w:rPr>
            </w:pPr>
          </w:p>
        </w:tc>
        <w:tc>
          <w:tcPr>
            <w:tcW w:w="1180" w:type="dxa"/>
            <w:vAlign w:val="bottom"/>
            <w:shd w:val="clear" w:color="auto" w:fill="DBDBDB"/>
          </w:tcPr>
          <w:p>
            <w:pPr>
              <w:spacing w:after="0"/>
              <w:rPr>
                <w:sz w:val="15"/>
                <w:szCs w:val="15"/>
                <w:color w:val="auto"/>
              </w:rPr>
            </w:pPr>
          </w:p>
        </w:tc>
        <w:tc>
          <w:tcPr>
            <w:tcW w:w="1200" w:type="dxa"/>
            <w:vAlign w:val="bottom"/>
            <w:shd w:val="clear" w:color="auto" w:fill="DBDBDB"/>
          </w:tcPr>
          <w:p>
            <w:pPr>
              <w:spacing w:after="0"/>
              <w:rPr>
                <w:sz w:val="15"/>
                <w:szCs w:val="15"/>
                <w:color w:val="auto"/>
              </w:rPr>
            </w:pPr>
          </w:p>
        </w:tc>
        <w:tc>
          <w:tcPr>
            <w:tcW w:w="1180" w:type="dxa"/>
            <w:vAlign w:val="bottom"/>
            <w:shd w:val="clear" w:color="auto" w:fill="DBDBDB"/>
          </w:tcPr>
          <w:p>
            <w:pPr>
              <w:spacing w:after="0"/>
              <w:rPr>
                <w:sz w:val="15"/>
                <w:szCs w:val="15"/>
                <w:color w:val="auto"/>
              </w:rPr>
            </w:pPr>
          </w:p>
        </w:tc>
        <w:tc>
          <w:tcPr>
            <w:tcW w:w="0" w:type="dxa"/>
            <w:vAlign w:val="bottom"/>
          </w:tcPr>
          <w:p>
            <w:pPr>
              <w:spacing w:after="0"/>
              <w:rPr>
                <w:sz w:val="1"/>
                <w:szCs w:val="1"/>
                <w:color w:val="auto"/>
              </w:rPr>
            </w:pPr>
          </w:p>
        </w:tc>
      </w:tr>
      <w:tr>
        <w:trPr>
          <w:trHeight w:val="200"/>
        </w:trPr>
        <w:tc>
          <w:tcPr>
            <w:tcW w:w="2240" w:type="dxa"/>
            <w:vAlign w:val="bottom"/>
            <w:shd w:val="clear" w:color="auto" w:fill="DBDBDB"/>
          </w:tcPr>
          <w:p>
            <w:pPr>
              <w:ind w:left="100"/>
              <w:spacing w:after="0"/>
              <w:rPr>
                <w:sz w:val="20"/>
                <w:szCs w:val="20"/>
                <w:color w:val="auto"/>
              </w:rPr>
            </w:pPr>
            <w:r>
              <w:rPr>
                <w:rFonts w:ascii="Arial" w:cs="Arial" w:eastAsia="Arial" w:hAnsi="Arial"/>
                <w:sz w:val="12"/>
                <w:szCs w:val="12"/>
                <w:color w:val="auto"/>
              </w:rPr>
              <w:t>Stock Options</w:t>
            </w:r>
          </w:p>
        </w:tc>
        <w:tc>
          <w:tcPr>
            <w:tcW w:w="1160" w:type="dxa"/>
            <w:vAlign w:val="bottom"/>
            <w:shd w:val="clear" w:color="auto" w:fill="DBDBDB"/>
          </w:tcPr>
          <w:p>
            <w:pPr>
              <w:jc w:val="right"/>
              <w:spacing w:after="0"/>
              <w:rPr>
                <w:sz w:val="20"/>
                <w:szCs w:val="20"/>
                <w:color w:val="auto"/>
              </w:rPr>
            </w:pPr>
            <w:r>
              <w:rPr>
                <w:rFonts w:ascii="Arial" w:cs="Arial" w:eastAsia="Arial" w:hAnsi="Arial"/>
                <w:sz w:val="12"/>
                <w:szCs w:val="12"/>
                <w:color w:val="auto"/>
              </w:rPr>
              <w:t>1,634</w:t>
            </w:r>
          </w:p>
        </w:tc>
        <w:tc>
          <w:tcPr>
            <w:tcW w:w="1200" w:type="dxa"/>
            <w:vAlign w:val="bottom"/>
            <w:shd w:val="clear" w:color="auto" w:fill="DBDBDB"/>
          </w:tcPr>
          <w:p>
            <w:pPr>
              <w:jc w:val="right"/>
              <w:spacing w:after="0"/>
              <w:rPr>
                <w:sz w:val="20"/>
                <w:szCs w:val="20"/>
                <w:color w:val="auto"/>
              </w:rPr>
            </w:pPr>
            <w:r>
              <w:rPr>
                <w:rFonts w:ascii="Arial" w:cs="Arial" w:eastAsia="Arial" w:hAnsi="Arial"/>
                <w:sz w:val="12"/>
                <w:szCs w:val="12"/>
                <w:color w:val="auto"/>
              </w:rPr>
              <w:t>0</w:t>
            </w:r>
          </w:p>
        </w:tc>
        <w:tc>
          <w:tcPr>
            <w:tcW w:w="1180" w:type="dxa"/>
            <w:vAlign w:val="bottom"/>
            <w:shd w:val="clear" w:color="auto" w:fill="DBDBDB"/>
          </w:tcPr>
          <w:p>
            <w:pPr>
              <w:jc w:val="right"/>
              <w:spacing w:after="0"/>
              <w:rPr>
                <w:sz w:val="20"/>
                <w:szCs w:val="20"/>
                <w:color w:val="auto"/>
              </w:rPr>
            </w:pPr>
            <w:r>
              <w:rPr>
                <w:rFonts w:ascii="Arial" w:cs="Arial" w:eastAsia="Arial" w:hAnsi="Arial"/>
                <w:sz w:val="12"/>
                <w:szCs w:val="12"/>
                <w:color w:val="auto"/>
              </w:rPr>
              <w:t>76.5300</w:t>
            </w:r>
          </w:p>
        </w:tc>
        <w:tc>
          <w:tcPr>
            <w:tcW w:w="1180" w:type="dxa"/>
            <w:vAlign w:val="bottom"/>
            <w:shd w:val="clear" w:color="auto" w:fill="DBDBDB"/>
          </w:tcPr>
          <w:p>
            <w:pPr>
              <w:jc w:val="right"/>
              <w:spacing w:after="0"/>
              <w:rPr>
                <w:sz w:val="20"/>
                <w:szCs w:val="20"/>
                <w:color w:val="auto"/>
              </w:rPr>
            </w:pPr>
            <w:r>
              <w:rPr>
                <w:rFonts w:ascii="Arial" w:cs="Arial" w:eastAsia="Arial" w:hAnsi="Arial"/>
                <w:sz w:val="12"/>
                <w:szCs w:val="12"/>
                <w:color w:val="auto"/>
              </w:rPr>
              <w:t>12/19/2029</w:t>
            </w:r>
          </w:p>
        </w:tc>
        <w:tc>
          <w:tcPr>
            <w:tcW w:w="720" w:type="dxa"/>
            <w:vAlign w:val="bottom"/>
            <w:shd w:val="clear" w:color="auto" w:fill="DBDBDB"/>
          </w:tcPr>
          <w:p>
            <w:pPr>
              <w:spacing w:after="0"/>
              <w:rPr>
                <w:sz w:val="17"/>
                <w:szCs w:val="17"/>
                <w:color w:val="auto"/>
              </w:rPr>
            </w:pPr>
          </w:p>
        </w:tc>
        <w:tc>
          <w:tcPr>
            <w:tcW w:w="1180" w:type="dxa"/>
            <w:vAlign w:val="bottom"/>
            <w:shd w:val="clear" w:color="auto" w:fill="DBDBDB"/>
          </w:tcPr>
          <w:p>
            <w:pPr>
              <w:spacing w:after="0"/>
              <w:rPr>
                <w:sz w:val="17"/>
                <w:szCs w:val="17"/>
                <w:color w:val="auto"/>
              </w:rPr>
            </w:pPr>
          </w:p>
        </w:tc>
        <w:tc>
          <w:tcPr>
            <w:tcW w:w="1200" w:type="dxa"/>
            <w:vAlign w:val="bottom"/>
            <w:shd w:val="clear" w:color="auto" w:fill="DBDBDB"/>
          </w:tcPr>
          <w:p>
            <w:pPr>
              <w:spacing w:after="0"/>
              <w:rPr>
                <w:sz w:val="17"/>
                <w:szCs w:val="17"/>
                <w:color w:val="auto"/>
              </w:rPr>
            </w:pPr>
          </w:p>
        </w:tc>
        <w:tc>
          <w:tcPr>
            <w:tcW w:w="1180" w:type="dxa"/>
            <w:vAlign w:val="bottom"/>
            <w:shd w:val="clear" w:color="auto" w:fill="DBDBDB"/>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2240" w:type="dxa"/>
            <w:vAlign w:val="bottom"/>
            <w:shd w:val="clear" w:color="auto" w:fill="DBDBDB"/>
          </w:tcPr>
          <w:p>
            <w:pPr>
              <w:spacing w:after="0"/>
              <w:rPr>
                <w:sz w:val="17"/>
                <w:szCs w:val="17"/>
                <w:color w:val="auto"/>
              </w:rPr>
            </w:pPr>
          </w:p>
        </w:tc>
        <w:tc>
          <w:tcPr>
            <w:tcW w:w="1160" w:type="dxa"/>
            <w:vAlign w:val="bottom"/>
            <w:shd w:val="clear" w:color="auto" w:fill="DBDBDB"/>
          </w:tcPr>
          <w:p>
            <w:pPr>
              <w:jc w:val="right"/>
              <w:spacing w:after="0"/>
              <w:rPr>
                <w:sz w:val="20"/>
                <w:szCs w:val="20"/>
                <w:color w:val="auto"/>
              </w:rPr>
            </w:pPr>
            <w:r>
              <w:rPr>
                <w:rFonts w:ascii="Arial" w:cs="Arial" w:eastAsia="Arial" w:hAnsi="Arial"/>
                <w:sz w:val="12"/>
                <w:szCs w:val="12"/>
                <w:color w:val="auto"/>
              </w:rPr>
              <w:t>7,500</w:t>
            </w:r>
          </w:p>
        </w:tc>
        <w:tc>
          <w:tcPr>
            <w:tcW w:w="1200" w:type="dxa"/>
            <w:vAlign w:val="bottom"/>
            <w:shd w:val="clear" w:color="auto" w:fill="DBDBDB"/>
          </w:tcPr>
          <w:p>
            <w:pPr>
              <w:jc w:val="right"/>
              <w:spacing w:after="0"/>
              <w:rPr>
                <w:sz w:val="20"/>
                <w:szCs w:val="20"/>
                <w:color w:val="auto"/>
              </w:rPr>
            </w:pPr>
            <w:r>
              <w:rPr>
                <w:rFonts w:ascii="Arial" w:cs="Arial" w:eastAsia="Arial" w:hAnsi="Arial"/>
                <w:sz w:val="12"/>
                <w:szCs w:val="12"/>
                <w:color w:val="auto"/>
              </w:rPr>
              <w:t>0</w:t>
            </w:r>
          </w:p>
        </w:tc>
        <w:tc>
          <w:tcPr>
            <w:tcW w:w="1180" w:type="dxa"/>
            <w:vAlign w:val="bottom"/>
            <w:shd w:val="clear" w:color="auto" w:fill="DBDBDB"/>
          </w:tcPr>
          <w:p>
            <w:pPr>
              <w:jc w:val="right"/>
              <w:spacing w:after="0"/>
              <w:rPr>
                <w:sz w:val="20"/>
                <w:szCs w:val="20"/>
                <w:color w:val="auto"/>
              </w:rPr>
            </w:pPr>
            <w:r>
              <w:rPr>
                <w:rFonts w:ascii="Arial" w:cs="Arial" w:eastAsia="Arial" w:hAnsi="Arial"/>
                <w:sz w:val="12"/>
                <w:szCs w:val="12"/>
                <w:color w:val="auto"/>
              </w:rPr>
              <w:t>93.3300</w:t>
            </w:r>
          </w:p>
        </w:tc>
        <w:tc>
          <w:tcPr>
            <w:tcW w:w="1180" w:type="dxa"/>
            <w:vAlign w:val="bottom"/>
            <w:shd w:val="clear" w:color="auto" w:fill="DBDBDB"/>
          </w:tcPr>
          <w:p>
            <w:pPr>
              <w:jc w:val="right"/>
              <w:spacing w:after="0"/>
              <w:rPr>
                <w:sz w:val="20"/>
                <w:szCs w:val="20"/>
                <w:color w:val="auto"/>
              </w:rPr>
            </w:pPr>
            <w:r>
              <w:rPr>
                <w:rFonts w:ascii="Arial" w:cs="Arial" w:eastAsia="Arial" w:hAnsi="Arial"/>
                <w:sz w:val="12"/>
                <w:szCs w:val="12"/>
                <w:color w:val="auto"/>
              </w:rPr>
              <w:t>12/17/2030</w:t>
            </w:r>
          </w:p>
        </w:tc>
        <w:tc>
          <w:tcPr>
            <w:tcW w:w="720" w:type="dxa"/>
            <w:vAlign w:val="bottom"/>
            <w:shd w:val="clear" w:color="auto" w:fill="DBDBDB"/>
          </w:tcPr>
          <w:p>
            <w:pPr>
              <w:spacing w:after="0"/>
              <w:rPr>
                <w:sz w:val="17"/>
                <w:szCs w:val="17"/>
                <w:color w:val="auto"/>
              </w:rPr>
            </w:pPr>
          </w:p>
        </w:tc>
        <w:tc>
          <w:tcPr>
            <w:tcW w:w="1180" w:type="dxa"/>
            <w:vAlign w:val="bottom"/>
            <w:shd w:val="clear" w:color="auto" w:fill="DBDBDB"/>
          </w:tcPr>
          <w:p>
            <w:pPr>
              <w:spacing w:after="0"/>
              <w:rPr>
                <w:sz w:val="17"/>
                <w:szCs w:val="17"/>
                <w:color w:val="auto"/>
              </w:rPr>
            </w:pPr>
          </w:p>
        </w:tc>
        <w:tc>
          <w:tcPr>
            <w:tcW w:w="1200" w:type="dxa"/>
            <w:vAlign w:val="bottom"/>
            <w:shd w:val="clear" w:color="auto" w:fill="DBDBDB"/>
          </w:tcPr>
          <w:p>
            <w:pPr>
              <w:spacing w:after="0"/>
              <w:rPr>
                <w:sz w:val="17"/>
                <w:szCs w:val="17"/>
                <w:color w:val="auto"/>
              </w:rPr>
            </w:pPr>
          </w:p>
        </w:tc>
        <w:tc>
          <w:tcPr>
            <w:tcW w:w="1180" w:type="dxa"/>
            <w:vAlign w:val="bottom"/>
            <w:shd w:val="clear" w:color="auto" w:fill="DBDBDB"/>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2240" w:type="dxa"/>
            <w:vAlign w:val="bottom"/>
            <w:shd w:val="clear" w:color="auto" w:fill="DBDBDB"/>
          </w:tcPr>
          <w:p>
            <w:pPr>
              <w:spacing w:after="0"/>
              <w:rPr>
                <w:sz w:val="17"/>
                <w:szCs w:val="17"/>
                <w:color w:val="auto"/>
              </w:rPr>
            </w:pPr>
          </w:p>
        </w:tc>
        <w:tc>
          <w:tcPr>
            <w:tcW w:w="1160" w:type="dxa"/>
            <w:vAlign w:val="bottom"/>
            <w:shd w:val="clear" w:color="auto" w:fill="DBDBDB"/>
          </w:tcPr>
          <w:p>
            <w:pPr>
              <w:jc w:val="right"/>
              <w:spacing w:after="0"/>
              <w:rPr>
                <w:sz w:val="20"/>
                <w:szCs w:val="20"/>
                <w:color w:val="auto"/>
              </w:rPr>
            </w:pPr>
            <w:r>
              <w:rPr>
                <w:rFonts w:ascii="Arial" w:cs="Arial" w:eastAsia="Arial" w:hAnsi="Arial"/>
                <w:sz w:val="12"/>
                <w:szCs w:val="12"/>
                <w:color w:val="auto"/>
              </w:rPr>
              <w:t>3,800</w:t>
            </w:r>
          </w:p>
        </w:tc>
        <w:tc>
          <w:tcPr>
            <w:tcW w:w="1200" w:type="dxa"/>
            <w:vAlign w:val="bottom"/>
            <w:shd w:val="clear" w:color="auto" w:fill="DBDBDB"/>
          </w:tcPr>
          <w:p>
            <w:pPr>
              <w:jc w:val="right"/>
              <w:spacing w:after="0"/>
              <w:rPr>
                <w:sz w:val="20"/>
                <w:szCs w:val="20"/>
                <w:color w:val="auto"/>
              </w:rPr>
            </w:pPr>
            <w:r>
              <w:rPr>
                <w:rFonts w:ascii="Arial" w:cs="Arial" w:eastAsia="Arial" w:hAnsi="Arial"/>
                <w:sz w:val="12"/>
                <w:szCs w:val="12"/>
                <w:color w:val="auto"/>
              </w:rPr>
              <w:t>1,900</w:t>
            </w:r>
          </w:p>
        </w:tc>
        <w:tc>
          <w:tcPr>
            <w:tcW w:w="1180" w:type="dxa"/>
            <w:vAlign w:val="bottom"/>
            <w:shd w:val="clear" w:color="auto" w:fill="DBDBDB"/>
          </w:tcPr>
          <w:p>
            <w:pPr>
              <w:jc w:val="right"/>
              <w:spacing w:after="0"/>
              <w:rPr>
                <w:sz w:val="20"/>
                <w:szCs w:val="20"/>
                <w:color w:val="auto"/>
              </w:rPr>
            </w:pPr>
            <w:r>
              <w:rPr>
                <w:rFonts w:ascii="Arial" w:cs="Arial" w:eastAsia="Arial" w:hAnsi="Arial"/>
                <w:sz w:val="12"/>
                <w:szCs w:val="12"/>
                <w:color w:val="auto"/>
              </w:rPr>
              <w:t>99.3400</w:t>
            </w:r>
          </w:p>
        </w:tc>
        <w:tc>
          <w:tcPr>
            <w:tcW w:w="1180" w:type="dxa"/>
            <w:vAlign w:val="bottom"/>
            <w:shd w:val="clear" w:color="auto" w:fill="DBDBDB"/>
          </w:tcPr>
          <w:p>
            <w:pPr>
              <w:jc w:val="right"/>
              <w:spacing w:after="0"/>
              <w:rPr>
                <w:sz w:val="20"/>
                <w:szCs w:val="20"/>
                <w:color w:val="auto"/>
              </w:rPr>
            </w:pPr>
            <w:r>
              <w:rPr>
                <w:rFonts w:ascii="Arial" w:cs="Arial" w:eastAsia="Arial" w:hAnsi="Arial"/>
                <w:sz w:val="12"/>
                <w:szCs w:val="12"/>
                <w:color w:val="auto"/>
              </w:rPr>
              <w:t>12/16/2031</w:t>
            </w:r>
          </w:p>
        </w:tc>
        <w:tc>
          <w:tcPr>
            <w:tcW w:w="720" w:type="dxa"/>
            <w:vAlign w:val="bottom"/>
            <w:shd w:val="clear" w:color="auto" w:fill="DBDBDB"/>
          </w:tcPr>
          <w:p>
            <w:pPr>
              <w:spacing w:after="0"/>
              <w:rPr>
                <w:sz w:val="17"/>
                <w:szCs w:val="17"/>
                <w:color w:val="auto"/>
              </w:rPr>
            </w:pPr>
          </w:p>
        </w:tc>
        <w:tc>
          <w:tcPr>
            <w:tcW w:w="1180" w:type="dxa"/>
            <w:vAlign w:val="bottom"/>
            <w:shd w:val="clear" w:color="auto" w:fill="DBDBDB"/>
          </w:tcPr>
          <w:p>
            <w:pPr>
              <w:spacing w:after="0"/>
              <w:rPr>
                <w:sz w:val="17"/>
                <w:szCs w:val="17"/>
                <w:color w:val="auto"/>
              </w:rPr>
            </w:pPr>
          </w:p>
        </w:tc>
        <w:tc>
          <w:tcPr>
            <w:tcW w:w="1200" w:type="dxa"/>
            <w:vAlign w:val="bottom"/>
            <w:shd w:val="clear" w:color="auto" w:fill="DBDBDB"/>
          </w:tcPr>
          <w:p>
            <w:pPr>
              <w:spacing w:after="0"/>
              <w:rPr>
                <w:sz w:val="17"/>
                <w:szCs w:val="17"/>
                <w:color w:val="auto"/>
              </w:rPr>
            </w:pPr>
          </w:p>
        </w:tc>
        <w:tc>
          <w:tcPr>
            <w:tcW w:w="1180" w:type="dxa"/>
            <w:vAlign w:val="bottom"/>
            <w:shd w:val="clear" w:color="auto" w:fill="DBDBDB"/>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2240" w:type="dxa"/>
            <w:vAlign w:val="bottom"/>
            <w:shd w:val="clear" w:color="auto" w:fill="DBDBDB"/>
          </w:tcPr>
          <w:p>
            <w:pPr>
              <w:spacing w:after="0"/>
              <w:rPr>
                <w:sz w:val="17"/>
                <w:szCs w:val="17"/>
                <w:color w:val="auto"/>
              </w:rPr>
            </w:pPr>
          </w:p>
        </w:tc>
        <w:tc>
          <w:tcPr>
            <w:tcW w:w="1160" w:type="dxa"/>
            <w:vAlign w:val="bottom"/>
            <w:shd w:val="clear" w:color="auto" w:fill="DBDBDB"/>
          </w:tcPr>
          <w:p>
            <w:pPr>
              <w:jc w:val="right"/>
              <w:spacing w:after="0"/>
              <w:rPr>
                <w:sz w:val="20"/>
                <w:szCs w:val="20"/>
                <w:color w:val="auto"/>
              </w:rPr>
            </w:pPr>
            <w:r>
              <w:rPr>
                <w:rFonts w:ascii="Arial" w:cs="Arial" w:eastAsia="Arial" w:hAnsi="Arial"/>
                <w:sz w:val="12"/>
                <w:szCs w:val="12"/>
                <w:color w:val="auto"/>
              </w:rPr>
              <w:t>2,200</w:t>
            </w:r>
          </w:p>
        </w:tc>
        <w:tc>
          <w:tcPr>
            <w:tcW w:w="1200" w:type="dxa"/>
            <w:vAlign w:val="bottom"/>
            <w:shd w:val="clear" w:color="auto" w:fill="DBDBDB"/>
          </w:tcPr>
          <w:p>
            <w:pPr>
              <w:jc w:val="right"/>
              <w:spacing w:after="0"/>
              <w:rPr>
                <w:sz w:val="20"/>
                <w:szCs w:val="20"/>
                <w:color w:val="auto"/>
              </w:rPr>
            </w:pPr>
            <w:r>
              <w:rPr>
                <w:rFonts w:ascii="Arial" w:cs="Arial" w:eastAsia="Arial" w:hAnsi="Arial"/>
                <w:sz w:val="12"/>
                <w:szCs w:val="12"/>
                <w:color w:val="auto"/>
              </w:rPr>
              <w:t>4,400</w:t>
            </w:r>
          </w:p>
        </w:tc>
        <w:tc>
          <w:tcPr>
            <w:tcW w:w="1180" w:type="dxa"/>
            <w:vAlign w:val="bottom"/>
            <w:shd w:val="clear" w:color="auto" w:fill="DBDBDB"/>
          </w:tcPr>
          <w:p>
            <w:pPr>
              <w:jc w:val="right"/>
              <w:spacing w:after="0"/>
              <w:rPr>
                <w:sz w:val="20"/>
                <w:szCs w:val="20"/>
                <w:color w:val="auto"/>
              </w:rPr>
            </w:pPr>
            <w:r>
              <w:rPr>
                <w:rFonts w:ascii="Arial" w:cs="Arial" w:eastAsia="Arial" w:hAnsi="Arial"/>
                <w:sz w:val="12"/>
                <w:szCs w:val="12"/>
                <w:color w:val="auto"/>
              </w:rPr>
              <w:t>111.1500</w:t>
            </w:r>
          </w:p>
        </w:tc>
        <w:tc>
          <w:tcPr>
            <w:tcW w:w="1180" w:type="dxa"/>
            <w:vAlign w:val="bottom"/>
            <w:shd w:val="clear" w:color="auto" w:fill="DBDBDB"/>
          </w:tcPr>
          <w:p>
            <w:pPr>
              <w:jc w:val="right"/>
              <w:spacing w:after="0"/>
              <w:rPr>
                <w:sz w:val="20"/>
                <w:szCs w:val="20"/>
                <w:color w:val="auto"/>
              </w:rPr>
            </w:pPr>
            <w:r>
              <w:rPr>
                <w:rFonts w:ascii="Arial" w:cs="Arial" w:eastAsia="Arial" w:hAnsi="Arial"/>
                <w:sz w:val="12"/>
                <w:szCs w:val="12"/>
                <w:color w:val="auto"/>
              </w:rPr>
              <w:t>12/22/2032</w:t>
            </w:r>
          </w:p>
        </w:tc>
        <w:tc>
          <w:tcPr>
            <w:tcW w:w="720" w:type="dxa"/>
            <w:vAlign w:val="bottom"/>
            <w:shd w:val="clear" w:color="auto" w:fill="DBDBDB"/>
          </w:tcPr>
          <w:p>
            <w:pPr>
              <w:spacing w:after="0"/>
              <w:rPr>
                <w:sz w:val="17"/>
                <w:szCs w:val="17"/>
                <w:color w:val="auto"/>
              </w:rPr>
            </w:pPr>
          </w:p>
        </w:tc>
        <w:tc>
          <w:tcPr>
            <w:tcW w:w="1180" w:type="dxa"/>
            <w:vAlign w:val="bottom"/>
            <w:shd w:val="clear" w:color="auto" w:fill="DBDBDB"/>
          </w:tcPr>
          <w:p>
            <w:pPr>
              <w:spacing w:after="0"/>
              <w:rPr>
                <w:sz w:val="17"/>
                <w:szCs w:val="17"/>
                <w:color w:val="auto"/>
              </w:rPr>
            </w:pPr>
          </w:p>
        </w:tc>
        <w:tc>
          <w:tcPr>
            <w:tcW w:w="1200" w:type="dxa"/>
            <w:vAlign w:val="bottom"/>
            <w:shd w:val="clear" w:color="auto" w:fill="DBDBDB"/>
          </w:tcPr>
          <w:p>
            <w:pPr>
              <w:spacing w:after="0"/>
              <w:rPr>
                <w:sz w:val="17"/>
                <w:szCs w:val="17"/>
                <w:color w:val="auto"/>
              </w:rPr>
            </w:pPr>
          </w:p>
        </w:tc>
        <w:tc>
          <w:tcPr>
            <w:tcW w:w="1180" w:type="dxa"/>
            <w:vAlign w:val="bottom"/>
            <w:shd w:val="clear" w:color="auto" w:fill="DBDBDB"/>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2240" w:type="dxa"/>
            <w:vAlign w:val="bottom"/>
            <w:shd w:val="clear" w:color="auto" w:fill="DBDBDB"/>
          </w:tcPr>
          <w:p>
            <w:pPr>
              <w:spacing w:after="0"/>
              <w:rPr>
                <w:sz w:val="17"/>
                <w:szCs w:val="17"/>
                <w:color w:val="auto"/>
              </w:rPr>
            </w:pPr>
          </w:p>
        </w:tc>
        <w:tc>
          <w:tcPr>
            <w:tcW w:w="1160" w:type="dxa"/>
            <w:vAlign w:val="bottom"/>
            <w:shd w:val="clear" w:color="auto" w:fill="DBDBDB"/>
          </w:tcPr>
          <w:p>
            <w:pPr>
              <w:jc w:val="right"/>
              <w:spacing w:after="0"/>
              <w:rPr>
                <w:sz w:val="20"/>
                <w:szCs w:val="20"/>
                <w:color w:val="auto"/>
              </w:rPr>
            </w:pPr>
            <w:r>
              <w:rPr>
                <w:rFonts w:ascii="Arial" w:cs="Arial" w:eastAsia="Arial" w:hAnsi="Arial"/>
                <w:sz w:val="12"/>
                <w:szCs w:val="12"/>
                <w:color w:val="auto"/>
              </w:rPr>
              <w:t>0</w:t>
            </w:r>
          </w:p>
        </w:tc>
        <w:tc>
          <w:tcPr>
            <w:tcW w:w="1200" w:type="dxa"/>
            <w:vAlign w:val="bottom"/>
            <w:shd w:val="clear" w:color="auto" w:fill="DBDBDB"/>
          </w:tcPr>
          <w:p>
            <w:pPr>
              <w:jc w:val="right"/>
              <w:spacing w:after="0"/>
              <w:rPr>
                <w:sz w:val="20"/>
                <w:szCs w:val="20"/>
                <w:color w:val="auto"/>
              </w:rPr>
            </w:pPr>
            <w:r>
              <w:rPr>
                <w:rFonts w:ascii="Arial" w:cs="Arial" w:eastAsia="Arial" w:hAnsi="Arial"/>
                <w:sz w:val="12"/>
                <w:szCs w:val="12"/>
                <w:color w:val="auto"/>
              </w:rPr>
              <w:t>23,600</w:t>
            </w:r>
          </w:p>
        </w:tc>
        <w:tc>
          <w:tcPr>
            <w:tcW w:w="1180" w:type="dxa"/>
            <w:vAlign w:val="bottom"/>
            <w:shd w:val="clear" w:color="auto" w:fill="DBDBDB"/>
          </w:tcPr>
          <w:p>
            <w:pPr>
              <w:jc w:val="right"/>
              <w:spacing w:after="0"/>
              <w:rPr>
                <w:sz w:val="20"/>
                <w:szCs w:val="20"/>
                <w:color w:val="auto"/>
              </w:rPr>
            </w:pPr>
            <w:r>
              <w:rPr>
                <w:rFonts w:ascii="Arial" w:cs="Arial" w:eastAsia="Arial" w:hAnsi="Arial"/>
                <w:sz w:val="12"/>
                <w:szCs w:val="12"/>
                <w:color w:val="auto"/>
              </w:rPr>
              <w:t>99.6000</w:t>
            </w:r>
          </w:p>
        </w:tc>
        <w:tc>
          <w:tcPr>
            <w:tcW w:w="1180" w:type="dxa"/>
            <w:vAlign w:val="bottom"/>
            <w:shd w:val="clear" w:color="auto" w:fill="DBDBDB"/>
          </w:tcPr>
          <w:p>
            <w:pPr>
              <w:jc w:val="right"/>
              <w:spacing w:after="0"/>
              <w:rPr>
                <w:sz w:val="20"/>
                <w:szCs w:val="20"/>
                <w:color w:val="auto"/>
              </w:rPr>
            </w:pPr>
            <w:r>
              <w:rPr>
                <w:rFonts w:ascii="Arial" w:cs="Arial" w:eastAsia="Arial" w:hAnsi="Arial"/>
                <w:sz w:val="12"/>
                <w:szCs w:val="12"/>
                <w:color w:val="auto"/>
              </w:rPr>
              <w:t>12/26/2033</w:t>
            </w:r>
          </w:p>
        </w:tc>
        <w:tc>
          <w:tcPr>
            <w:tcW w:w="720" w:type="dxa"/>
            <w:vAlign w:val="bottom"/>
            <w:shd w:val="clear" w:color="auto" w:fill="DBDBDB"/>
          </w:tcPr>
          <w:p>
            <w:pPr>
              <w:spacing w:after="0"/>
              <w:rPr>
                <w:sz w:val="17"/>
                <w:szCs w:val="17"/>
                <w:color w:val="auto"/>
              </w:rPr>
            </w:pPr>
          </w:p>
        </w:tc>
        <w:tc>
          <w:tcPr>
            <w:tcW w:w="1180" w:type="dxa"/>
            <w:vAlign w:val="bottom"/>
            <w:shd w:val="clear" w:color="auto" w:fill="DBDBDB"/>
          </w:tcPr>
          <w:p>
            <w:pPr>
              <w:spacing w:after="0"/>
              <w:rPr>
                <w:sz w:val="17"/>
                <w:szCs w:val="17"/>
                <w:color w:val="auto"/>
              </w:rPr>
            </w:pPr>
          </w:p>
        </w:tc>
        <w:tc>
          <w:tcPr>
            <w:tcW w:w="1200" w:type="dxa"/>
            <w:vAlign w:val="bottom"/>
            <w:shd w:val="clear" w:color="auto" w:fill="DBDBDB"/>
          </w:tcPr>
          <w:p>
            <w:pPr>
              <w:spacing w:after="0"/>
              <w:rPr>
                <w:sz w:val="17"/>
                <w:szCs w:val="17"/>
                <w:color w:val="auto"/>
              </w:rPr>
            </w:pPr>
          </w:p>
        </w:tc>
        <w:tc>
          <w:tcPr>
            <w:tcW w:w="1180" w:type="dxa"/>
            <w:vAlign w:val="bottom"/>
            <w:shd w:val="clear" w:color="auto" w:fill="DBDBDB"/>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2240" w:type="dxa"/>
            <w:vAlign w:val="bottom"/>
            <w:shd w:val="clear" w:color="auto" w:fill="DBDBDB"/>
          </w:tcPr>
          <w:p>
            <w:pPr>
              <w:ind w:left="100"/>
              <w:spacing w:after="0"/>
              <w:rPr>
                <w:sz w:val="20"/>
                <w:szCs w:val="20"/>
                <w:color w:val="auto"/>
              </w:rPr>
            </w:pPr>
            <w:r>
              <w:rPr>
                <w:rFonts w:ascii="Arial" w:cs="Arial" w:eastAsia="Arial" w:hAnsi="Arial"/>
                <w:sz w:val="12"/>
                <w:szCs w:val="12"/>
                <w:color w:val="auto"/>
              </w:rPr>
              <w:t>Restricted Stock Units</w:t>
            </w:r>
          </w:p>
        </w:tc>
        <w:tc>
          <w:tcPr>
            <w:tcW w:w="1160" w:type="dxa"/>
            <w:vAlign w:val="bottom"/>
            <w:shd w:val="clear" w:color="auto" w:fill="DBDBDB"/>
          </w:tcPr>
          <w:p>
            <w:pPr>
              <w:spacing w:after="0"/>
              <w:rPr>
                <w:sz w:val="17"/>
                <w:szCs w:val="17"/>
                <w:color w:val="auto"/>
              </w:rPr>
            </w:pPr>
          </w:p>
        </w:tc>
        <w:tc>
          <w:tcPr>
            <w:tcW w:w="1200" w:type="dxa"/>
            <w:vAlign w:val="bottom"/>
            <w:shd w:val="clear" w:color="auto" w:fill="DBDBDB"/>
          </w:tcPr>
          <w:p>
            <w:pPr>
              <w:spacing w:after="0"/>
              <w:rPr>
                <w:sz w:val="17"/>
                <w:szCs w:val="17"/>
                <w:color w:val="auto"/>
              </w:rPr>
            </w:pPr>
          </w:p>
        </w:tc>
        <w:tc>
          <w:tcPr>
            <w:tcW w:w="1180" w:type="dxa"/>
            <w:vAlign w:val="bottom"/>
            <w:shd w:val="clear" w:color="auto" w:fill="DBDBDB"/>
          </w:tcPr>
          <w:p>
            <w:pPr>
              <w:spacing w:after="0"/>
              <w:rPr>
                <w:sz w:val="17"/>
                <w:szCs w:val="17"/>
                <w:color w:val="auto"/>
              </w:rPr>
            </w:pPr>
          </w:p>
        </w:tc>
        <w:tc>
          <w:tcPr>
            <w:tcW w:w="1180" w:type="dxa"/>
            <w:vAlign w:val="bottom"/>
            <w:shd w:val="clear" w:color="auto" w:fill="DBDBDB"/>
          </w:tcPr>
          <w:p>
            <w:pPr>
              <w:spacing w:after="0"/>
              <w:rPr>
                <w:sz w:val="17"/>
                <w:szCs w:val="17"/>
                <w:color w:val="auto"/>
              </w:rPr>
            </w:pPr>
          </w:p>
        </w:tc>
        <w:tc>
          <w:tcPr>
            <w:tcW w:w="720" w:type="dxa"/>
            <w:vAlign w:val="bottom"/>
            <w:shd w:val="clear" w:color="auto" w:fill="DBDBDB"/>
          </w:tcPr>
          <w:p>
            <w:pPr>
              <w:jc w:val="right"/>
              <w:spacing w:after="0"/>
              <w:rPr>
                <w:sz w:val="20"/>
                <w:szCs w:val="20"/>
                <w:color w:val="auto"/>
              </w:rPr>
            </w:pPr>
            <w:r>
              <w:rPr>
                <w:rFonts w:ascii="Arial" w:cs="Arial" w:eastAsia="Arial" w:hAnsi="Arial"/>
                <w:sz w:val="12"/>
                <w:szCs w:val="12"/>
                <w:color w:val="auto"/>
              </w:rPr>
              <w:t>5,327</w:t>
            </w:r>
          </w:p>
        </w:tc>
        <w:tc>
          <w:tcPr>
            <w:tcW w:w="1180" w:type="dxa"/>
            <w:vAlign w:val="bottom"/>
            <w:shd w:val="clear" w:color="auto" w:fill="DBDBDB"/>
          </w:tcPr>
          <w:p>
            <w:pPr>
              <w:jc w:val="right"/>
              <w:spacing w:after="0"/>
              <w:rPr>
                <w:sz w:val="20"/>
                <w:szCs w:val="20"/>
                <w:color w:val="auto"/>
              </w:rPr>
            </w:pPr>
            <w:r>
              <w:rPr>
                <w:rFonts w:ascii="Arial" w:cs="Arial" w:eastAsia="Arial" w:hAnsi="Arial"/>
                <w:sz w:val="12"/>
                <w:szCs w:val="12"/>
                <w:color w:val="auto"/>
              </w:rPr>
              <w:t>428,686</w:t>
            </w:r>
          </w:p>
        </w:tc>
        <w:tc>
          <w:tcPr>
            <w:tcW w:w="1200" w:type="dxa"/>
            <w:vAlign w:val="bottom"/>
            <w:shd w:val="clear" w:color="auto" w:fill="DBDBDB"/>
          </w:tcPr>
          <w:p>
            <w:pPr>
              <w:spacing w:after="0"/>
              <w:rPr>
                <w:sz w:val="17"/>
                <w:szCs w:val="17"/>
                <w:color w:val="auto"/>
              </w:rPr>
            </w:pPr>
          </w:p>
        </w:tc>
        <w:tc>
          <w:tcPr>
            <w:tcW w:w="1180" w:type="dxa"/>
            <w:vAlign w:val="bottom"/>
            <w:shd w:val="clear" w:color="auto" w:fill="DBDBDB"/>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2240" w:type="dxa"/>
            <w:vAlign w:val="bottom"/>
            <w:shd w:val="clear" w:color="auto" w:fill="DBDBDB"/>
          </w:tcPr>
          <w:p>
            <w:pPr>
              <w:ind w:left="100"/>
              <w:spacing w:after="0"/>
              <w:rPr>
                <w:sz w:val="20"/>
                <w:szCs w:val="20"/>
                <w:color w:val="auto"/>
              </w:rPr>
            </w:pPr>
            <w:r>
              <w:rPr>
                <w:rFonts w:ascii="Arial" w:cs="Arial" w:eastAsia="Arial" w:hAnsi="Arial"/>
                <w:sz w:val="12"/>
                <w:szCs w:val="12"/>
                <w:color w:val="auto"/>
              </w:rPr>
              <w:t>F23-F25 Performance Shares</w:t>
            </w:r>
          </w:p>
        </w:tc>
        <w:tc>
          <w:tcPr>
            <w:tcW w:w="1160" w:type="dxa"/>
            <w:vAlign w:val="bottom"/>
            <w:shd w:val="clear" w:color="auto" w:fill="DBDBDB"/>
          </w:tcPr>
          <w:p>
            <w:pPr>
              <w:spacing w:after="0"/>
              <w:rPr>
                <w:sz w:val="17"/>
                <w:szCs w:val="17"/>
                <w:color w:val="auto"/>
              </w:rPr>
            </w:pPr>
          </w:p>
        </w:tc>
        <w:tc>
          <w:tcPr>
            <w:tcW w:w="1200" w:type="dxa"/>
            <w:vAlign w:val="bottom"/>
            <w:shd w:val="clear" w:color="auto" w:fill="DBDBDB"/>
          </w:tcPr>
          <w:p>
            <w:pPr>
              <w:spacing w:after="0"/>
              <w:rPr>
                <w:sz w:val="17"/>
                <w:szCs w:val="17"/>
                <w:color w:val="auto"/>
              </w:rPr>
            </w:pPr>
          </w:p>
        </w:tc>
        <w:tc>
          <w:tcPr>
            <w:tcW w:w="1180" w:type="dxa"/>
            <w:vAlign w:val="bottom"/>
            <w:shd w:val="clear" w:color="auto" w:fill="DBDBDB"/>
          </w:tcPr>
          <w:p>
            <w:pPr>
              <w:spacing w:after="0"/>
              <w:rPr>
                <w:sz w:val="17"/>
                <w:szCs w:val="17"/>
                <w:color w:val="auto"/>
              </w:rPr>
            </w:pPr>
          </w:p>
        </w:tc>
        <w:tc>
          <w:tcPr>
            <w:tcW w:w="1180" w:type="dxa"/>
            <w:vAlign w:val="bottom"/>
            <w:shd w:val="clear" w:color="auto" w:fill="DBDBDB"/>
          </w:tcPr>
          <w:p>
            <w:pPr>
              <w:spacing w:after="0"/>
              <w:rPr>
                <w:sz w:val="17"/>
                <w:szCs w:val="17"/>
                <w:color w:val="auto"/>
              </w:rPr>
            </w:pPr>
          </w:p>
        </w:tc>
        <w:tc>
          <w:tcPr>
            <w:tcW w:w="720" w:type="dxa"/>
            <w:vAlign w:val="bottom"/>
            <w:shd w:val="clear" w:color="auto" w:fill="DBDBDB"/>
          </w:tcPr>
          <w:p>
            <w:pPr>
              <w:spacing w:after="0"/>
              <w:rPr>
                <w:sz w:val="17"/>
                <w:szCs w:val="17"/>
                <w:color w:val="auto"/>
              </w:rPr>
            </w:pPr>
          </w:p>
        </w:tc>
        <w:tc>
          <w:tcPr>
            <w:tcW w:w="1180" w:type="dxa"/>
            <w:vAlign w:val="bottom"/>
            <w:shd w:val="clear" w:color="auto" w:fill="DBDBDB"/>
          </w:tcPr>
          <w:p>
            <w:pPr>
              <w:spacing w:after="0"/>
              <w:rPr>
                <w:sz w:val="17"/>
                <w:szCs w:val="17"/>
                <w:color w:val="auto"/>
              </w:rPr>
            </w:pPr>
          </w:p>
        </w:tc>
        <w:tc>
          <w:tcPr>
            <w:tcW w:w="1200" w:type="dxa"/>
            <w:vAlign w:val="bottom"/>
            <w:shd w:val="clear" w:color="auto" w:fill="DBDBDB"/>
          </w:tcPr>
          <w:p>
            <w:pPr>
              <w:jc w:val="right"/>
              <w:spacing w:after="0"/>
              <w:rPr>
                <w:sz w:val="20"/>
                <w:szCs w:val="20"/>
                <w:color w:val="auto"/>
              </w:rPr>
            </w:pPr>
            <w:r>
              <w:rPr>
                <w:rFonts w:ascii="Arial" w:cs="Arial" w:eastAsia="Arial" w:hAnsi="Arial"/>
                <w:sz w:val="12"/>
                <w:szCs w:val="12"/>
                <w:color w:val="auto"/>
              </w:rPr>
              <w:t>760</w:t>
            </w:r>
          </w:p>
        </w:tc>
        <w:tc>
          <w:tcPr>
            <w:tcW w:w="1180" w:type="dxa"/>
            <w:vAlign w:val="bottom"/>
            <w:shd w:val="clear" w:color="auto" w:fill="DBDBDB"/>
          </w:tcPr>
          <w:p>
            <w:pPr>
              <w:jc w:val="right"/>
              <w:spacing w:after="0"/>
              <w:rPr>
                <w:sz w:val="20"/>
                <w:szCs w:val="20"/>
                <w:color w:val="auto"/>
              </w:rPr>
            </w:pPr>
            <w:r>
              <w:rPr>
                <w:rFonts w:ascii="Arial" w:cs="Arial" w:eastAsia="Arial" w:hAnsi="Arial"/>
                <w:sz w:val="12"/>
                <w:szCs w:val="12"/>
                <w:color w:val="auto"/>
              </w:rPr>
              <w:t>61,165</w:t>
            </w:r>
          </w:p>
        </w:tc>
        <w:tc>
          <w:tcPr>
            <w:tcW w:w="0" w:type="dxa"/>
            <w:vAlign w:val="bottom"/>
          </w:tcPr>
          <w:p>
            <w:pPr>
              <w:spacing w:after="0"/>
              <w:rPr>
                <w:sz w:val="1"/>
                <w:szCs w:val="1"/>
                <w:color w:val="auto"/>
              </w:rPr>
            </w:pPr>
          </w:p>
        </w:tc>
      </w:tr>
      <w:tr>
        <w:trPr>
          <w:trHeight w:val="207"/>
        </w:trPr>
        <w:tc>
          <w:tcPr>
            <w:tcW w:w="2240" w:type="dxa"/>
            <w:vAlign w:val="bottom"/>
            <w:tcBorders>
              <w:bottom w:val="single" w:sz="8" w:color="DBDBDB"/>
            </w:tcBorders>
            <w:shd w:val="clear" w:color="auto" w:fill="DBDBDB"/>
          </w:tcPr>
          <w:p>
            <w:pPr>
              <w:ind w:left="100"/>
              <w:spacing w:after="0"/>
              <w:rPr>
                <w:sz w:val="20"/>
                <w:szCs w:val="20"/>
                <w:color w:val="auto"/>
              </w:rPr>
            </w:pPr>
            <w:r>
              <w:rPr>
                <w:rFonts w:ascii="Arial" w:cs="Arial" w:eastAsia="Arial" w:hAnsi="Arial"/>
                <w:sz w:val="12"/>
                <w:szCs w:val="12"/>
                <w:color w:val="auto"/>
              </w:rPr>
              <w:t>F24-F26 Performance Shares</w:t>
            </w:r>
          </w:p>
        </w:tc>
        <w:tc>
          <w:tcPr>
            <w:tcW w:w="1160" w:type="dxa"/>
            <w:vAlign w:val="bottom"/>
            <w:tcBorders>
              <w:bottom w:val="single" w:sz="8" w:color="DBDBDB"/>
            </w:tcBorders>
            <w:shd w:val="clear" w:color="auto" w:fill="DBDBDB"/>
          </w:tcPr>
          <w:p>
            <w:pPr>
              <w:spacing w:after="0"/>
              <w:rPr>
                <w:sz w:val="17"/>
                <w:szCs w:val="17"/>
                <w:color w:val="auto"/>
              </w:rPr>
            </w:pPr>
          </w:p>
        </w:tc>
        <w:tc>
          <w:tcPr>
            <w:tcW w:w="1200" w:type="dxa"/>
            <w:vAlign w:val="bottom"/>
            <w:tcBorders>
              <w:bottom w:val="single" w:sz="8" w:color="DBDBDB"/>
            </w:tcBorders>
            <w:shd w:val="clear" w:color="auto" w:fill="DBDBDB"/>
          </w:tcPr>
          <w:p>
            <w:pPr>
              <w:spacing w:after="0"/>
              <w:rPr>
                <w:sz w:val="17"/>
                <w:szCs w:val="17"/>
                <w:color w:val="auto"/>
              </w:rPr>
            </w:pPr>
          </w:p>
        </w:tc>
        <w:tc>
          <w:tcPr>
            <w:tcW w:w="1180" w:type="dxa"/>
            <w:vAlign w:val="bottom"/>
            <w:tcBorders>
              <w:bottom w:val="single" w:sz="8" w:color="DBDBDB"/>
            </w:tcBorders>
            <w:shd w:val="clear" w:color="auto" w:fill="DBDBDB"/>
          </w:tcPr>
          <w:p>
            <w:pPr>
              <w:spacing w:after="0"/>
              <w:rPr>
                <w:sz w:val="17"/>
                <w:szCs w:val="17"/>
                <w:color w:val="auto"/>
              </w:rPr>
            </w:pPr>
          </w:p>
        </w:tc>
        <w:tc>
          <w:tcPr>
            <w:tcW w:w="1180" w:type="dxa"/>
            <w:vAlign w:val="bottom"/>
            <w:tcBorders>
              <w:bottom w:val="single" w:sz="8" w:color="DBDBDB"/>
            </w:tcBorders>
            <w:shd w:val="clear" w:color="auto" w:fill="DBDBDB"/>
          </w:tcPr>
          <w:p>
            <w:pPr>
              <w:spacing w:after="0"/>
              <w:rPr>
                <w:sz w:val="17"/>
                <w:szCs w:val="17"/>
                <w:color w:val="auto"/>
              </w:rPr>
            </w:pPr>
          </w:p>
        </w:tc>
        <w:tc>
          <w:tcPr>
            <w:tcW w:w="720" w:type="dxa"/>
            <w:vAlign w:val="bottom"/>
            <w:tcBorders>
              <w:bottom w:val="single" w:sz="8" w:color="DBDBDB"/>
            </w:tcBorders>
            <w:shd w:val="clear" w:color="auto" w:fill="DBDBDB"/>
          </w:tcPr>
          <w:p>
            <w:pPr>
              <w:spacing w:after="0"/>
              <w:rPr>
                <w:sz w:val="17"/>
                <w:szCs w:val="17"/>
                <w:color w:val="auto"/>
              </w:rPr>
            </w:pPr>
          </w:p>
        </w:tc>
        <w:tc>
          <w:tcPr>
            <w:tcW w:w="1180" w:type="dxa"/>
            <w:vAlign w:val="bottom"/>
            <w:tcBorders>
              <w:bottom w:val="single" w:sz="8" w:color="DBDBDB"/>
            </w:tcBorders>
            <w:shd w:val="clear" w:color="auto" w:fill="DBDBDB"/>
          </w:tcPr>
          <w:p>
            <w:pPr>
              <w:spacing w:after="0"/>
              <w:rPr>
                <w:sz w:val="17"/>
                <w:szCs w:val="17"/>
                <w:color w:val="auto"/>
              </w:rPr>
            </w:pPr>
          </w:p>
        </w:tc>
        <w:tc>
          <w:tcPr>
            <w:tcW w:w="120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2"/>
                <w:szCs w:val="12"/>
                <w:color w:val="auto"/>
              </w:rPr>
              <w:t>3,000</w:t>
            </w:r>
          </w:p>
        </w:tc>
        <w:tc>
          <w:tcPr>
            <w:tcW w:w="118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2"/>
                <w:szCs w:val="12"/>
                <w:color w:val="auto"/>
              </w:rPr>
              <w:t>241,440</w:t>
            </w:r>
          </w:p>
        </w:tc>
        <w:tc>
          <w:tcPr>
            <w:tcW w:w="0" w:type="dxa"/>
            <w:vAlign w:val="bottom"/>
          </w:tcPr>
          <w:p>
            <w:pPr>
              <w:spacing w:after="0"/>
              <w:rPr>
                <w:sz w:val="1"/>
                <w:szCs w:val="1"/>
                <w:color w:val="auto"/>
              </w:rPr>
            </w:pPr>
          </w:p>
        </w:tc>
      </w:tr>
      <w:tr>
        <w:trPr>
          <w:trHeight w:val="173"/>
        </w:trPr>
        <w:tc>
          <w:tcPr>
            <w:tcW w:w="2240" w:type="dxa"/>
            <w:vAlign w:val="bottom"/>
          </w:tcPr>
          <w:p>
            <w:pPr>
              <w:ind w:left="20"/>
              <w:spacing w:after="0"/>
              <w:rPr>
                <w:sz w:val="20"/>
                <w:szCs w:val="20"/>
                <w:color w:val="auto"/>
              </w:rPr>
            </w:pPr>
            <w:r>
              <w:rPr>
                <w:rFonts w:ascii="Arial" w:cs="Arial" w:eastAsia="Arial" w:hAnsi="Arial"/>
                <w:sz w:val="12"/>
                <w:szCs w:val="12"/>
                <w:color w:val="auto"/>
              </w:rPr>
              <w:t>Kevin N. Carpenter</w:t>
            </w:r>
          </w:p>
        </w:tc>
        <w:tc>
          <w:tcPr>
            <w:tcW w:w="11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0"/>
        </w:trPr>
        <w:tc>
          <w:tcPr>
            <w:tcW w:w="2240" w:type="dxa"/>
            <w:vAlign w:val="bottom"/>
          </w:tcPr>
          <w:p>
            <w:pPr>
              <w:ind w:left="100"/>
              <w:spacing w:after="0"/>
              <w:rPr>
                <w:sz w:val="20"/>
                <w:szCs w:val="20"/>
                <w:color w:val="auto"/>
              </w:rPr>
            </w:pPr>
            <w:r>
              <w:rPr>
                <w:rFonts w:ascii="Arial" w:cs="Arial" w:eastAsia="Arial" w:hAnsi="Arial"/>
                <w:sz w:val="12"/>
                <w:szCs w:val="12"/>
                <w:color w:val="auto"/>
              </w:rPr>
              <w:t>Stock Options</w:t>
            </w:r>
          </w:p>
        </w:tc>
        <w:tc>
          <w:tcPr>
            <w:tcW w:w="1160" w:type="dxa"/>
            <w:vAlign w:val="bottom"/>
          </w:tcPr>
          <w:p>
            <w:pPr>
              <w:jc w:val="right"/>
              <w:spacing w:after="0"/>
              <w:rPr>
                <w:sz w:val="20"/>
                <w:szCs w:val="20"/>
                <w:color w:val="auto"/>
              </w:rPr>
            </w:pPr>
            <w:r>
              <w:rPr>
                <w:rFonts w:ascii="Arial" w:cs="Arial" w:eastAsia="Arial" w:hAnsi="Arial"/>
                <w:sz w:val="12"/>
                <w:szCs w:val="12"/>
                <w:color w:val="auto"/>
              </w:rPr>
              <w:t>6,866</w:t>
            </w:r>
          </w:p>
        </w:tc>
        <w:tc>
          <w:tcPr>
            <w:tcW w:w="1200" w:type="dxa"/>
            <w:vAlign w:val="bottom"/>
          </w:tcPr>
          <w:p>
            <w:pPr>
              <w:jc w:val="right"/>
              <w:spacing w:after="0"/>
              <w:rPr>
                <w:sz w:val="20"/>
                <w:szCs w:val="20"/>
                <w:color w:val="auto"/>
              </w:rPr>
            </w:pPr>
            <w:r>
              <w:rPr>
                <w:rFonts w:ascii="Arial" w:cs="Arial" w:eastAsia="Arial" w:hAnsi="Arial"/>
                <w:sz w:val="12"/>
                <w:szCs w:val="12"/>
                <w:color w:val="auto"/>
              </w:rPr>
              <w:t>3,434</w:t>
            </w:r>
          </w:p>
        </w:tc>
        <w:tc>
          <w:tcPr>
            <w:tcW w:w="1180" w:type="dxa"/>
            <w:vAlign w:val="bottom"/>
          </w:tcPr>
          <w:p>
            <w:pPr>
              <w:jc w:val="right"/>
              <w:spacing w:after="0"/>
              <w:rPr>
                <w:sz w:val="20"/>
                <w:szCs w:val="20"/>
                <w:color w:val="auto"/>
              </w:rPr>
            </w:pPr>
            <w:r>
              <w:rPr>
                <w:rFonts w:ascii="Arial" w:cs="Arial" w:eastAsia="Arial" w:hAnsi="Arial"/>
                <w:sz w:val="12"/>
                <w:szCs w:val="12"/>
                <w:color w:val="auto"/>
              </w:rPr>
              <w:t>99.3400</w:t>
            </w:r>
          </w:p>
        </w:tc>
        <w:tc>
          <w:tcPr>
            <w:tcW w:w="1180" w:type="dxa"/>
            <w:vAlign w:val="bottom"/>
          </w:tcPr>
          <w:p>
            <w:pPr>
              <w:jc w:val="right"/>
              <w:spacing w:after="0"/>
              <w:rPr>
                <w:sz w:val="20"/>
                <w:szCs w:val="20"/>
                <w:color w:val="auto"/>
              </w:rPr>
            </w:pPr>
            <w:r>
              <w:rPr>
                <w:rFonts w:ascii="Arial" w:cs="Arial" w:eastAsia="Arial" w:hAnsi="Arial"/>
                <w:sz w:val="12"/>
                <w:szCs w:val="12"/>
                <w:color w:val="auto"/>
              </w:rPr>
              <w:t>12/16/2031</w:t>
            </w:r>
          </w:p>
        </w:tc>
        <w:tc>
          <w:tcPr>
            <w:tcW w:w="7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224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2"/>
                <w:szCs w:val="12"/>
                <w:color w:val="auto"/>
              </w:rPr>
              <w:t>3,300</w:t>
            </w:r>
          </w:p>
        </w:tc>
        <w:tc>
          <w:tcPr>
            <w:tcW w:w="1200" w:type="dxa"/>
            <w:vAlign w:val="bottom"/>
          </w:tcPr>
          <w:p>
            <w:pPr>
              <w:jc w:val="right"/>
              <w:spacing w:after="0"/>
              <w:rPr>
                <w:sz w:val="20"/>
                <w:szCs w:val="20"/>
                <w:color w:val="auto"/>
              </w:rPr>
            </w:pPr>
            <w:r>
              <w:rPr>
                <w:rFonts w:ascii="Arial" w:cs="Arial" w:eastAsia="Arial" w:hAnsi="Arial"/>
                <w:sz w:val="12"/>
                <w:szCs w:val="12"/>
                <w:color w:val="auto"/>
              </w:rPr>
              <w:t>6,600</w:t>
            </w:r>
          </w:p>
        </w:tc>
        <w:tc>
          <w:tcPr>
            <w:tcW w:w="1180" w:type="dxa"/>
            <w:vAlign w:val="bottom"/>
          </w:tcPr>
          <w:p>
            <w:pPr>
              <w:jc w:val="right"/>
              <w:spacing w:after="0"/>
              <w:rPr>
                <w:sz w:val="20"/>
                <w:szCs w:val="20"/>
                <w:color w:val="auto"/>
              </w:rPr>
            </w:pPr>
            <w:r>
              <w:rPr>
                <w:rFonts w:ascii="Arial" w:cs="Arial" w:eastAsia="Arial" w:hAnsi="Arial"/>
                <w:sz w:val="12"/>
                <w:szCs w:val="12"/>
                <w:color w:val="auto"/>
              </w:rPr>
              <w:t>111.1500</w:t>
            </w:r>
          </w:p>
        </w:tc>
        <w:tc>
          <w:tcPr>
            <w:tcW w:w="1180" w:type="dxa"/>
            <w:vAlign w:val="bottom"/>
          </w:tcPr>
          <w:p>
            <w:pPr>
              <w:jc w:val="right"/>
              <w:spacing w:after="0"/>
              <w:rPr>
                <w:sz w:val="20"/>
                <w:szCs w:val="20"/>
                <w:color w:val="auto"/>
              </w:rPr>
            </w:pPr>
            <w:r>
              <w:rPr>
                <w:rFonts w:ascii="Arial" w:cs="Arial" w:eastAsia="Arial" w:hAnsi="Arial"/>
                <w:sz w:val="12"/>
                <w:szCs w:val="12"/>
                <w:color w:val="auto"/>
              </w:rPr>
              <w:t>12/22/2032</w:t>
            </w:r>
          </w:p>
        </w:tc>
        <w:tc>
          <w:tcPr>
            <w:tcW w:w="7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224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2"/>
                <w:szCs w:val="12"/>
                <w:color w:val="auto"/>
              </w:rPr>
              <w:t>0</w:t>
            </w:r>
          </w:p>
        </w:tc>
        <w:tc>
          <w:tcPr>
            <w:tcW w:w="1200" w:type="dxa"/>
            <w:vAlign w:val="bottom"/>
          </w:tcPr>
          <w:p>
            <w:pPr>
              <w:jc w:val="right"/>
              <w:spacing w:after="0"/>
              <w:rPr>
                <w:sz w:val="20"/>
                <w:szCs w:val="20"/>
                <w:color w:val="auto"/>
              </w:rPr>
            </w:pPr>
            <w:r>
              <w:rPr>
                <w:rFonts w:ascii="Arial" w:cs="Arial" w:eastAsia="Arial" w:hAnsi="Arial"/>
                <w:sz w:val="12"/>
                <w:szCs w:val="12"/>
                <w:color w:val="auto"/>
              </w:rPr>
              <w:t>11,400</w:t>
            </w:r>
          </w:p>
        </w:tc>
        <w:tc>
          <w:tcPr>
            <w:tcW w:w="1180" w:type="dxa"/>
            <w:vAlign w:val="bottom"/>
          </w:tcPr>
          <w:p>
            <w:pPr>
              <w:jc w:val="right"/>
              <w:spacing w:after="0"/>
              <w:rPr>
                <w:sz w:val="20"/>
                <w:szCs w:val="20"/>
                <w:color w:val="auto"/>
              </w:rPr>
            </w:pPr>
            <w:r>
              <w:rPr>
                <w:rFonts w:ascii="Arial" w:cs="Arial" w:eastAsia="Arial" w:hAnsi="Arial"/>
                <w:sz w:val="12"/>
                <w:szCs w:val="12"/>
                <w:color w:val="auto"/>
              </w:rPr>
              <w:t>99.6000</w:t>
            </w:r>
          </w:p>
        </w:tc>
        <w:tc>
          <w:tcPr>
            <w:tcW w:w="1180" w:type="dxa"/>
            <w:vAlign w:val="bottom"/>
          </w:tcPr>
          <w:p>
            <w:pPr>
              <w:jc w:val="right"/>
              <w:spacing w:after="0"/>
              <w:rPr>
                <w:sz w:val="20"/>
                <w:szCs w:val="20"/>
                <w:color w:val="auto"/>
              </w:rPr>
            </w:pPr>
            <w:r>
              <w:rPr>
                <w:rFonts w:ascii="Arial" w:cs="Arial" w:eastAsia="Arial" w:hAnsi="Arial"/>
                <w:sz w:val="12"/>
                <w:szCs w:val="12"/>
                <w:color w:val="auto"/>
              </w:rPr>
              <w:t>12/26/2033</w:t>
            </w:r>
          </w:p>
        </w:tc>
        <w:tc>
          <w:tcPr>
            <w:tcW w:w="7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2240" w:type="dxa"/>
            <w:vAlign w:val="bottom"/>
          </w:tcPr>
          <w:p>
            <w:pPr>
              <w:ind w:left="100"/>
              <w:spacing w:after="0"/>
              <w:rPr>
                <w:sz w:val="20"/>
                <w:szCs w:val="20"/>
                <w:color w:val="auto"/>
              </w:rPr>
            </w:pPr>
            <w:r>
              <w:rPr>
                <w:rFonts w:ascii="Arial" w:cs="Arial" w:eastAsia="Arial" w:hAnsi="Arial"/>
                <w:sz w:val="12"/>
                <w:szCs w:val="12"/>
                <w:color w:val="auto"/>
              </w:rPr>
              <w:t>Restricted Stock Units</w:t>
            </w:r>
          </w:p>
        </w:tc>
        <w:tc>
          <w:tcPr>
            <w:tcW w:w="1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2"/>
                <w:szCs w:val="12"/>
                <w:color w:val="auto"/>
              </w:rPr>
              <w:t>13,079</w:t>
            </w:r>
          </w:p>
        </w:tc>
        <w:tc>
          <w:tcPr>
            <w:tcW w:w="1180" w:type="dxa"/>
            <w:vAlign w:val="bottom"/>
          </w:tcPr>
          <w:p>
            <w:pPr>
              <w:jc w:val="right"/>
              <w:spacing w:after="0"/>
              <w:rPr>
                <w:sz w:val="20"/>
                <w:szCs w:val="20"/>
                <w:color w:val="auto"/>
              </w:rPr>
            </w:pPr>
            <w:r>
              <w:rPr>
                <w:rFonts w:ascii="Arial" w:cs="Arial" w:eastAsia="Arial" w:hAnsi="Arial"/>
                <w:sz w:val="12"/>
                <w:szCs w:val="12"/>
                <w:color w:val="auto"/>
              </w:rPr>
              <w:t>1,052,630</w:t>
            </w:r>
          </w:p>
        </w:tc>
        <w:tc>
          <w:tcPr>
            <w:tcW w:w="12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2240" w:type="dxa"/>
            <w:vAlign w:val="bottom"/>
          </w:tcPr>
          <w:p>
            <w:pPr>
              <w:ind w:left="100"/>
              <w:spacing w:after="0"/>
              <w:rPr>
                <w:sz w:val="20"/>
                <w:szCs w:val="20"/>
                <w:color w:val="auto"/>
              </w:rPr>
            </w:pPr>
            <w:r>
              <w:rPr>
                <w:rFonts w:ascii="Arial" w:cs="Arial" w:eastAsia="Arial" w:hAnsi="Arial"/>
                <w:sz w:val="12"/>
                <w:szCs w:val="12"/>
                <w:color w:val="auto"/>
              </w:rPr>
              <w:t>F23-F25 Performance Shares</w:t>
            </w:r>
          </w:p>
        </w:tc>
        <w:tc>
          <w:tcPr>
            <w:tcW w:w="1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2"/>
                <w:szCs w:val="12"/>
                <w:color w:val="auto"/>
              </w:rPr>
              <w:t>1,160</w:t>
            </w:r>
          </w:p>
        </w:tc>
        <w:tc>
          <w:tcPr>
            <w:tcW w:w="1180" w:type="dxa"/>
            <w:vAlign w:val="bottom"/>
          </w:tcPr>
          <w:p>
            <w:pPr>
              <w:jc w:val="right"/>
              <w:spacing w:after="0"/>
              <w:rPr>
                <w:sz w:val="20"/>
                <w:szCs w:val="20"/>
                <w:color w:val="auto"/>
              </w:rPr>
            </w:pPr>
            <w:r>
              <w:rPr>
                <w:rFonts w:ascii="Arial" w:cs="Arial" w:eastAsia="Arial" w:hAnsi="Arial"/>
                <w:sz w:val="12"/>
                <w:szCs w:val="12"/>
                <w:color w:val="auto"/>
              </w:rPr>
              <w:t>93,357</w:t>
            </w:r>
          </w:p>
        </w:tc>
        <w:tc>
          <w:tcPr>
            <w:tcW w:w="0" w:type="dxa"/>
            <w:vAlign w:val="bottom"/>
          </w:tcPr>
          <w:p>
            <w:pPr>
              <w:spacing w:after="0"/>
              <w:rPr>
                <w:sz w:val="1"/>
                <w:szCs w:val="1"/>
                <w:color w:val="auto"/>
              </w:rPr>
            </w:pPr>
          </w:p>
        </w:tc>
      </w:tr>
      <w:tr>
        <w:trPr>
          <w:trHeight w:val="200"/>
        </w:trPr>
        <w:tc>
          <w:tcPr>
            <w:tcW w:w="2240" w:type="dxa"/>
            <w:vAlign w:val="bottom"/>
          </w:tcPr>
          <w:p>
            <w:pPr>
              <w:ind w:left="100"/>
              <w:spacing w:after="0"/>
              <w:rPr>
                <w:sz w:val="20"/>
                <w:szCs w:val="20"/>
                <w:color w:val="auto"/>
              </w:rPr>
            </w:pPr>
            <w:r>
              <w:rPr>
                <w:rFonts w:ascii="Arial" w:cs="Arial" w:eastAsia="Arial" w:hAnsi="Arial"/>
                <w:sz w:val="12"/>
                <w:szCs w:val="12"/>
                <w:color w:val="auto"/>
              </w:rPr>
              <w:t>F24-F26 Performance Shares</w:t>
            </w:r>
          </w:p>
        </w:tc>
        <w:tc>
          <w:tcPr>
            <w:tcW w:w="1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2"/>
                <w:szCs w:val="12"/>
                <w:color w:val="auto"/>
              </w:rPr>
              <w:t>1,440</w:t>
            </w:r>
          </w:p>
        </w:tc>
        <w:tc>
          <w:tcPr>
            <w:tcW w:w="1180" w:type="dxa"/>
            <w:vAlign w:val="bottom"/>
          </w:tcPr>
          <w:p>
            <w:pPr>
              <w:jc w:val="right"/>
              <w:spacing w:after="0"/>
              <w:rPr>
                <w:sz w:val="20"/>
                <w:szCs w:val="20"/>
                <w:color w:val="auto"/>
              </w:rPr>
            </w:pPr>
            <w:r>
              <w:rPr>
                <w:rFonts w:ascii="Arial" w:cs="Arial" w:eastAsia="Arial" w:hAnsi="Arial"/>
                <w:sz w:val="12"/>
                <w:szCs w:val="12"/>
                <w:color w:val="auto"/>
              </w:rPr>
              <w:t>115,891</w:t>
            </w:r>
          </w:p>
        </w:tc>
        <w:tc>
          <w:tcPr>
            <w:tcW w:w="0" w:type="dxa"/>
            <w:vAlign w:val="bottom"/>
          </w:tcPr>
          <w:p>
            <w:pPr>
              <w:spacing w:after="0"/>
              <w:rPr>
                <w:sz w:val="1"/>
                <w:szCs w:val="1"/>
                <w:color w:val="auto"/>
              </w:rPr>
            </w:pPr>
          </w:p>
        </w:tc>
      </w:tr>
      <w:tr>
        <w:trPr>
          <w:trHeight w:val="27"/>
        </w:trPr>
        <w:tc>
          <w:tcPr>
            <w:tcW w:w="22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3"/>
        </w:trPr>
        <w:tc>
          <w:tcPr>
            <w:tcW w:w="2240" w:type="dxa"/>
            <w:vAlign w:val="bottom"/>
            <w:shd w:val="clear" w:color="auto" w:fill="DBDBDB"/>
          </w:tcPr>
          <w:p>
            <w:pPr>
              <w:ind w:left="20"/>
              <w:spacing w:after="0"/>
              <w:rPr>
                <w:sz w:val="20"/>
                <w:szCs w:val="20"/>
                <w:color w:val="auto"/>
              </w:rPr>
            </w:pPr>
            <w:r>
              <w:rPr>
                <w:rFonts w:ascii="Arial" w:cs="Arial" w:eastAsia="Arial" w:hAnsi="Arial"/>
                <w:sz w:val="12"/>
                <w:szCs w:val="12"/>
                <w:color w:val="auto"/>
              </w:rPr>
              <w:t>Amy E. Dahl</w:t>
            </w:r>
          </w:p>
        </w:tc>
        <w:tc>
          <w:tcPr>
            <w:tcW w:w="1160" w:type="dxa"/>
            <w:vAlign w:val="bottom"/>
            <w:shd w:val="clear" w:color="auto" w:fill="DBDBDB"/>
          </w:tcPr>
          <w:p>
            <w:pPr>
              <w:spacing w:after="0"/>
              <w:rPr>
                <w:sz w:val="15"/>
                <w:szCs w:val="15"/>
                <w:color w:val="auto"/>
              </w:rPr>
            </w:pPr>
          </w:p>
        </w:tc>
        <w:tc>
          <w:tcPr>
            <w:tcW w:w="1200" w:type="dxa"/>
            <w:vAlign w:val="bottom"/>
            <w:shd w:val="clear" w:color="auto" w:fill="DBDBDB"/>
          </w:tcPr>
          <w:p>
            <w:pPr>
              <w:spacing w:after="0"/>
              <w:rPr>
                <w:sz w:val="15"/>
                <w:szCs w:val="15"/>
                <w:color w:val="auto"/>
              </w:rPr>
            </w:pPr>
          </w:p>
        </w:tc>
        <w:tc>
          <w:tcPr>
            <w:tcW w:w="1180" w:type="dxa"/>
            <w:vAlign w:val="bottom"/>
            <w:shd w:val="clear" w:color="auto" w:fill="DBDBDB"/>
          </w:tcPr>
          <w:p>
            <w:pPr>
              <w:spacing w:after="0"/>
              <w:rPr>
                <w:sz w:val="15"/>
                <w:szCs w:val="15"/>
                <w:color w:val="auto"/>
              </w:rPr>
            </w:pPr>
          </w:p>
        </w:tc>
        <w:tc>
          <w:tcPr>
            <w:tcW w:w="1180" w:type="dxa"/>
            <w:vAlign w:val="bottom"/>
            <w:shd w:val="clear" w:color="auto" w:fill="DBDBDB"/>
          </w:tcPr>
          <w:p>
            <w:pPr>
              <w:spacing w:after="0"/>
              <w:rPr>
                <w:sz w:val="15"/>
                <w:szCs w:val="15"/>
                <w:color w:val="auto"/>
              </w:rPr>
            </w:pPr>
          </w:p>
        </w:tc>
        <w:tc>
          <w:tcPr>
            <w:tcW w:w="720" w:type="dxa"/>
            <w:vAlign w:val="bottom"/>
            <w:shd w:val="clear" w:color="auto" w:fill="DBDBDB"/>
          </w:tcPr>
          <w:p>
            <w:pPr>
              <w:spacing w:after="0"/>
              <w:rPr>
                <w:sz w:val="15"/>
                <w:szCs w:val="15"/>
                <w:color w:val="auto"/>
              </w:rPr>
            </w:pPr>
          </w:p>
        </w:tc>
        <w:tc>
          <w:tcPr>
            <w:tcW w:w="1180" w:type="dxa"/>
            <w:vAlign w:val="bottom"/>
            <w:shd w:val="clear" w:color="auto" w:fill="DBDBDB"/>
          </w:tcPr>
          <w:p>
            <w:pPr>
              <w:spacing w:after="0"/>
              <w:rPr>
                <w:sz w:val="15"/>
                <w:szCs w:val="15"/>
                <w:color w:val="auto"/>
              </w:rPr>
            </w:pPr>
          </w:p>
        </w:tc>
        <w:tc>
          <w:tcPr>
            <w:tcW w:w="1200" w:type="dxa"/>
            <w:vAlign w:val="bottom"/>
            <w:shd w:val="clear" w:color="auto" w:fill="DBDBDB"/>
          </w:tcPr>
          <w:p>
            <w:pPr>
              <w:spacing w:after="0"/>
              <w:rPr>
                <w:sz w:val="15"/>
                <w:szCs w:val="15"/>
                <w:color w:val="auto"/>
              </w:rPr>
            </w:pPr>
          </w:p>
        </w:tc>
        <w:tc>
          <w:tcPr>
            <w:tcW w:w="1180" w:type="dxa"/>
            <w:vAlign w:val="bottom"/>
            <w:shd w:val="clear" w:color="auto" w:fill="DBDBDB"/>
          </w:tcPr>
          <w:p>
            <w:pPr>
              <w:spacing w:after="0"/>
              <w:rPr>
                <w:sz w:val="15"/>
                <w:szCs w:val="15"/>
                <w:color w:val="auto"/>
              </w:rPr>
            </w:pPr>
          </w:p>
        </w:tc>
        <w:tc>
          <w:tcPr>
            <w:tcW w:w="0" w:type="dxa"/>
            <w:vAlign w:val="bottom"/>
          </w:tcPr>
          <w:p>
            <w:pPr>
              <w:spacing w:after="0"/>
              <w:rPr>
                <w:sz w:val="1"/>
                <w:szCs w:val="1"/>
                <w:color w:val="auto"/>
              </w:rPr>
            </w:pPr>
          </w:p>
        </w:tc>
      </w:tr>
      <w:tr>
        <w:trPr>
          <w:trHeight w:val="200"/>
        </w:trPr>
        <w:tc>
          <w:tcPr>
            <w:tcW w:w="2240" w:type="dxa"/>
            <w:vAlign w:val="bottom"/>
            <w:shd w:val="clear" w:color="auto" w:fill="DBDBDB"/>
          </w:tcPr>
          <w:p>
            <w:pPr>
              <w:ind w:left="100"/>
              <w:spacing w:after="0"/>
              <w:rPr>
                <w:sz w:val="20"/>
                <w:szCs w:val="20"/>
                <w:color w:val="auto"/>
              </w:rPr>
            </w:pPr>
            <w:r>
              <w:rPr>
                <w:rFonts w:ascii="Arial" w:cs="Arial" w:eastAsia="Arial" w:hAnsi="Arial"/>
                <w:sz w:val="12"/>
                <w:szCs w:val="12"/>
                <w:color w:val="auto"/>
              </w:rPr>
              <w:t>Stock Options</w:t>
            </w:r>
          </w:p>
        </w:tc>
        <w:tc>
          <w:tcPr>
            <w:tcW w:w="1160" w:type="dxa"/>
            <w:vAlign w:val="bottom"/>
            <w:shd w:val="clear" w:color="auto" w:fill="DBDBDB"/>
          </w:tcPr>
          <w:p>
            <w:pPr>
              <w:jc w:val="right"/>
              <w:spacing w:after="0"/>
              <w:rPr>
                <w:sz w:val="20"/>
                <w:szCs w:val="20"/>
                <w:color w:val="auto"/>
              </w:rPr>
            </w:pPr>
            <w:r>
              <w:rPr>
                <w:rFonts w:ascii="Arial" w:cs="Arial" w:eastAsia="Arial" w:hAnsi="Arial"/>
                <w:sz w:val="12"/>
                <w:szCs w:val="12"/>
                <w:color w:val="auto"/>
              </w:rPr>
              <w:t>17,200</w:t>
            </w:r>
          </w:p>
        </w:tc>
        <w:tc>
          <w:tcPr>
            <w:tcW w:w="1200" w:type="dxa"/>
            <w:vAlign w:val="bottom"/>
            <w:shd w:val="clear" w:color="auto" w:fill="DBDBDB"/>
          </w:tcPr>
          <w:p>
            <w:pPr>
              <w:jc w:val="right"/>
              <w:spacing w:after="0"/>
              <w:rPr>
                <w:sz w:val="20"/>
                <w:szCs w:val="20"/>
                <w:color w:val="auto"/>
              </w:rPr>
            </w:pPr>
            <w:r>
              <w:rPr>
                <w:rFonts w:ascii="Arial" w:cs="Arial" w:eastAsia="Arial" w:hAnsi="Arial"/>
                <w:sz w:val="12"/>
                <w:szCs w:val="12"/>
                <w:color w:val="auto"/>
              </w:rPr>
              <w:t>0</w:t>
            </w:r>
          </w:p>
        </w:tc>
        <w:tc>
          <w:tcPr>
            <w:tcW w:w="1180" w:type="dxa"/>
            <w:vAlign w:val="bottom"/>
            <w:shd w:val="clear" w:color="auto" w:fill="DBDBDB"/>
          </w:tcPr>
          <w:p>
            <w:pPr>
              <w:jc w:val="right"/>
              <w:spacing w:after="0"/>
              <w:rPr>
                <w:sz w:val="20"/>
                <w:szCs w:val="20"/>
                <w:color w:val="auto"/>
              </w:rPr>
            </w:pPr>
            <w:r>
              <w:rPr>
                <w:rFonts w:ascii="Arial" w:cs="Arial" w:eastAsia="Arial" w:hAnsi="Arial"/>
                <w:sz w:val="12"/>
                <w:szCs w:val="12"/>
                <w:color w:val="auto"/>
              </w:rPr>
              <w:t>38.8200</w:t>
            </w:r>
          </w:p>
        </w:tc>
        <w:tc>
          <w:tcPr>
            <w:tcW w:w="1180" w:type="dxa"/>
            <w:vAlign w:val="bottom"/>
            <w:shd w:val="clear" w:color="auto" w:fill="DBDBDB"/>
          </w:tcPr>
          <w:p>
            <w:pPr>
              <w:jc w:val="right"/>
              <w:spacing w:after="0"/>
              <w:rPr>
                <w:sz w:val="20"/>
                <w:szCs w:val="20"/>
                <w:color w:val="auto"/>
              </w:rPr>
            </w:pPr>
            <w:r>
              <w:rPr>
                <w:rFonts w:ascii="Arial" w:cs="Arial" w:eastAsia="Arial" w:hAnsi="Arial"/>
                <w:sz w:val="12"/>
                <w:szCs w:val="12"/>
                <w:color w:val="auto"/>
              </w:rPr>
              <w:t>12/04/2025</w:t>
            </w:r>
          </w:p>
        </w:tc>
        <w:tc>
          <w:tcPr>
            <w:tcW w:w="720" w:type="dxa"/>
            <w:vAlign w:val="bottom"/>
            <w:shd w:val="clear" w:color="auto" w:fill="DBDBDB"/>
          </w:tcPr>
          <w:p>
            <w:pPr>
              <w:spacing w:after="0"/>
              <w:rPr>
                <w:sz w:val="17"/>
                <w:szCs w:val="17"/>
                <w:color w:val="auto"/>
              </w:rPr>
            </w:pPr>
          </w:p>
        </w:tc>
        <w:tc>
          <w:tcPr>
            <w:tcW w:w="1180" w:type="dxa"/>
            <w:vAlign w:val="bottom"/>
            <w:shd w:val="clear" w:color="auto" w:fill="DBDBDB"/>
          </w:tcPr>
          <w:p>
            <w:pPr>
              <w:spacing w:after="0"/>
              <w:rPr>
                <w:sz w:val="17"/>
                <w:szCs w:val="17"/>
                <w:color w:val="auto"/>
              </w:rPr>
            </w:pPr>
          </w:p>
        </w:tc>
        <w:tc>
          <w:tcPr>
            <w:tcW w:w="1200" w:type="dxa"/>
            <w:vAlign w:val="bottom"/>
            <w:shd w:val="clear" w:color="auto" w:fill="DBDBDB"/>
          </w:tcPr>
          <w:p>
            <w:pPr>
              <w:spacing w:after="0"/>
              <w:rPr>
                <w:sz w:val="17"/>
                <w:szCs w:val="17"/>
                <w:color w:val="auto"/>
              </w:rPr>
            </w:pPr>
          </w:p>
        </w:tc>
        <w:tc>
          <w:tcPr>
            <w:tcW w:w="1180" w:type="dxa"/>
            <w:vAlign w:val="bottom"/>
            <w:shd w:val="clear" w:color="auto" w:fill="DBDBDB"/>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2240" w:type="dxa"/>
            <w:vAlign w:val="bottom"/>
            <w:shd w:val="clear" w:color="auto" w:fill="DBDBDB"/>
          </w:tcPr>
          <w:p>
            <w:pPr>
              <w:spacing w:after="0"/>
              <w:rPr>
                <w:sz w:val="17"/>
                <w:szCs w:val="17"/>
                <w:color w:val="auto"/>
              </w:rPr>
            </w:pPr>
          </w:p>
        </w:tc>
        <w:tc>
          <w:tcPr>
            <w:tcW w:w="1160" w:type="dxa"/>
            <w:vAlign w:val="bottom"/>
            <w:shd w:val="clear" w:color="auto" w:fill="DBDBDB"/>
          </w:tcPr>
          <w:p>
            <w:pPr>
              <w:jc w:val="right"/>
              <w:spacing w:after="0"/>
              <w:rPr>
                <w:sz w:val="20"/>
                <w:szCs w:val="20"/>
                <w:color w:val="auto"/>
              </w:rPr>
            </w:pPr>
            <w:r>
              <w:rPr>
                <w:rFonts w:ascii="Arial" w:cs="Arial" w:eastAsia="Arial" w:hAnsi="Arial"/>
                <w:sz w:val="12"/>
                <w:szCs w:val="12"/>
                <w:color w:val="auto"/>
              </w:rPr>
              <w:t>16,600</w:t>
            </w:r>
          </w:p>
        </w:tc>
        <w:tc>
          <w:tcPr>
            <w:tcW w:w="1200" w:type="dxa"/>
            <w:vAlign w:val="bottom"/>
            <w:shd w:val="clear" w:color="auto" w:fill="DBDBDB"/>
          </w:tcPr>
          <w:p>
            <w:pPr>
              <w:jc w:val="right"/>
              <w:spacing w:after="0"/>
              <w:rPr>
                <w:sz w:val="20"/>
                <w:szCs w:val="20"/>
                <w:color w:val="auto"/>
              </w:rPr>
            </w:pPr>
            <w:r>
              <w:rPr>
                <w:rFonts w:ascii="Arial" w:cs="Arial" w:eastAsia="Arial" w:hAnsi="Arial"/>
                <w:sz w:val="12"/>
                <w:szCs w:val="12"/>
                <w:color w:val="auto"/>
              </w:rPr>
              <w:t>0</w:t>
            </w:r>
          </w:p>
        </w:tc>
        <w:tc>
          <w:tcPr>
            <w:tcW w:w="1180" w:type="dxa"/>
            <w:vAlign w:val="bottom"/>
            <w:shd w:val="clear" w:color="auto" w:fill="DBDBDB"/>
          </w:tcPr>
          <w:p>
            <w:pPr>
              <w:jc w:val="right"/>
              <w:spacing w:after="0"/>
              <w:rPr>
                <w:sz w:val="20"/>
                <w:szCs w:val="20"/>
                <w:color w:val="auto"/>
              </w:rPr>
            </w:pPr>
            <w:r>
              <w:rPr>
                <w:rFonts w:ascii="Arial" w:cs="Arial" w:eastAsia="Arial" w:hAnsi="Arial"/>
                <w:sz w:val="12"/>
                <w:szCs w:val="12"/>
                <w:color w:val="auto"/>
              </w:rPr>
              <w:t>56.5400</w:t>
            </w:r>
          </w:p>
        </w:tc>
        <w:tc>
          <w:tcPr>
            <w:tcW w:w="1180" w:type="dxa"/>
            <w:vAlign w:val="bottom"/>
            <w:shd w:val="clear" w:color="auto" w:fill="DBDBDB"/>
          </w:tcPr>
          <w:p>
            <w:pPr>
              <w:jc w:val="right"/>
              <w:spacing w:after="0"/>
              <w:rPr>
                <w:sz w:val="20"/>
                <w:szCs w:val="20"/>
                <w:color w:val="auto"/>
              </w:rPr>
            </w:pPr>
            <w:r>
              <w:rPr>
                <w:rFonts w:ascii="Arial" w:cs="Arial" w:eastAsia="Arial" w:hAnsi="Arial"/>
                <w:sz w:val="12"/>
                <w:szCs w:val="12"/>
                <w:color w:val="auto"/>
              </w:rPr>
              <w:t>12/09/2026</w:t>
            </w:r>
          </w:p>
        </w:tc>
        <w:tc>
          <w:tcPr>
            <w:tcW w:w="720" w:type="dxa"/>
            <w:vAlign w:val="bottom"/>
            <w:shd w:val="clear" w:color="auto" w:fill="DBDBDB"/>
          </w:tcPr>
          <w:p>
            <w:pPr>
              <w:spacing w:after="0"/>
              <w:rPr>
                <w:sz w:val="17"/>
                <w:szCs w:val="17"/>
                <w:color w:val="auto"/>
              </w:rPr>
            </w:pPr>
          </w:p>
        </w:tc>
        <w:tc>
          <w:tcPr>
            <w:tcW w:w="1180" w:type="dxa"/>
            <w:vAlign w:val="bottom"/>
            <w:shd w:val="clear" w:color="auto" w:fill="DBDBDB"/>
          </w:tcPr>
          <w:p>
            <w:pPr>
              <w:spacing w:after="0"/>
              <w:rPr>
                <w:sz w:val="17"/>
                <w:szCs w:val="17"/>
                <w:color w:val="auto"/>
              </w:rPr>
            </w:pPr>
          </w:p>
        </w:tc>
        <w:tc>
          <w:tcPr>
            <w:tcW w:w="1200" w:type="dxa"/>
            <w:vAlign w:val="bottom"/>
            <w:shd w:val="clear" w:color="auto" w:fill="DBDBDB"/>
          </w:tcPr>
          <w:p>
            <w:pPr>
              <w:spacing w:after="0"/>
              <w:rPr>
                <w:sz w:val="17"/>
                <w:szCs w:val="17"/>
                <w:color w:val="auto"/>
              </w:rPr>
            </w:pPr>
          </w:p>
        </w:tc>
        <w:tc>
          <w:tcPr>
            <w:tcW w:w="1180" w:type="dxa"/>
            <w:vAlign w:val="bottom"/>
            <w:shd w:val="clear" w:color="auto" w:fill="DBDBDB"/>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2240" w:type="dxa"/>
            <w:vAlign w:val="bottom"/>
            <w:shd w:val="clear" w:color="auto" w:fill="DBDBDB"/>
          </w:tcPr>
          <w:p>
            <w:pPr>
              <w:spacing w:after="0"/>
              <w:rPr>
                <w:sz w:val="17"/>
                <w:szCs w:val="17"/>
                <w:color w:val="auto"/>
              </w:rPr>
            </w:pPr>
          </w:p>
        </w:tc>
        <w:tc>
          <w:tcPr>
            <w:tcW w:w="1160" w:type="dxa"/>
            <w:vAlign w:val="bottom"/>
            <w:shd w:val="clear" w:color="auto" w:fill="DBDBDB"/>
          </w:tcPr>
          <w:p>
            <w:pPr>
              <w:jc w:val="right"/>
              <w:spacing w:after="0"/>
              <w:rPr>
                <w:sz w:val="20"/>
                <w:szCs w:val="20"/>
                <w:color w:val="auto"/>
              </w:rPr>
            </w:pPr>
            <w:r>
              <w:rPr>
                <w:rFonts w:ascii="Arial" w:cs="Arial" w:eastAsia="Arial" w:hAnsi="Arial"/>
                <w:sz w:val="12"/>
                <w:szCs w:val="12"/>
                <w:color w:val="auto"/>
              </w:rPr>
              <w:t>13,200</w:t>
            </w:r>
          </w:p>
        </w:tc>
        <w:tc>
          <w:tcPr>
            <w:tcW w:w="1200" w:type="dxa"/>
            <w:vAlign w:val="bottom"/>
            <w:shd w:val="clear" w:color="auto" w:fill="DBDBDB"/>
          </w:tcPr>
          <w:p>
            <w:pPr>
              <w:jc w:val="right"/>
              <w:spacing w:after="0"/>
              <w:rPr>
                <w:sz w:val="20"/>
                <w:szCs w:val="20"/>
                <w:color w:val="auto"/>
              </w:rPr>
            </w:pPr>
            <w:r>
              <w:rPr>
                <w:rFonts w:ascii="Arial" w:cs="Arial" w:eastAsia="Arial" w:hAnsi="Arial"/>
                <w:sz w:val="12"/>
                <w:szCs w:val="12"/>
                <w:color w:val="auto"/>
              </w:rPr>
              <w:t>0</w:t>
            </w:r>
          </w:p>
        </w:tc>
        <w:tc>
          <w:tcPr>
            <w:tcW w:w="1180" w:type="dxa"/>
            <w:vAlign w:val="bottom"/>
            <w:shd w:val="clear" w:color="auto" w:fill="DBDBDB"/>
          </w:tcPr>
          <w:p>
            <w:pPr>
              <w:jc w:val="right"/>
              <w:spacing w:after="0"/>
              <w:rPr>
                <w:sz w:val="20"/>
                <w:szCs w:val="20"/>
                <w:color w:val="auto"/>
              </w:rPr>
            </w:pPr>
            <w:r>
              <w:rPr>
                <w:rFonts w:ascii="Arial" w:cs="Arial" w:eastAsia="Arial" w:hAnsi="Arial"/>
                <w:sz w:val="12"/>
                <w:szCs w:val="12"/>
                <w:color w:val="auto"/>
              </w:rPr>
              <w:t>65.9300</w:t>
            </w:r>
          </w:p>
        </w:tc>
        <w:tc>
          <w:tcPr>
            <w:tcW w:w="1180" w:type="dxa"/>
            <w:vAlign w:val="bottom"/>
            <w:shd w:val="clear" w:color="auto" w:fill="DBDBDB"/>
          </w:tcPr>
          <w:p>
            <w:pPr>
              <w:jc w:val="right"/>
              <w:spacing w:after="0"/>
              <w:rPr>
                <w:sz w:val="20"/>
                <w:szCs w:val="20"/>
                <w:color w:val="auto"/>
              </w:rPr>
            </w:pPr>
            <w:r>
              <w:rPr>
                <w:rFonts w:ascii="Arial" w:cs="Arial" w:eastAsia="Arial" w:hAnsi="Arial"/>
                <w:sz w:val="12"/>
                <w:szCs w:val="12"/>
                <w:color w:val="auto"/>
              </w:rPr>
              <w:t>12/08/2027</w:t>
            </w:r>
          </w:p>
        </w:tc>
        <w:tc>
          <w:tcPr>
            <w:tcW w:w="720" w:type="dxa"/>
            <w:vAlign w:val="bottom"/>
            <w:shd w:val="clear" w:color="auto" w:fill="DBDBDB"/>
          </w:tcPr>
          <w:p>
            <w:pPr>
              <w:spacing w:after="0"/>
              <w:rPr>
                <w:sz w:val="17"/>
                <w:szCs w:val="17"/>
                <w:color w:val="auto"/>
              </w:rPr>
            </w:pPr>
          </w:p>
        </w:tc>
        <w:tc>
          <w:tcPr>
            <w:tcW w:w="1180" w:type="dxa"/>
            <w:vAlign w:val="bottom"/>
            <w:shd w:val="clear" w:color="auto" w:fill="DBDBDB"/>
          </w:tcPr>
          <w:p>
            <w:pPr>
              <w:spacing w:after="0"/>
              <w:rPr>
                <w:sz w:val="17"/>
                <w:szCs w:val="17"/>
                <w:color w:val="auto"/>
              </w:rPr>
            </w:pPr>
          </w:p>
        </w:tc>
        <w:tc>
          <w:tcPr>
            <w:tcW w:w="1200" w:type="dxa"/>
            <w:vAlign w:val="bottom"/>
            <w:shd w:val="clear" w:color="auto" w:fill="DBDBDB"/>
          </w:tcPr>
          <w:p>
            <w:pPr>
              <w:spacing w:after="0"/>
              <w:rPr>
                <w:sz w:val="17"/>
                <w:szCs w:val="17"/>
                <w:color w:val="auto"/>
              </w:rPr>
            </w:pPr>
          </w:p>
        </w:tc>
        <w:tc>
          <w:tcPr>
            <w:tcW w:w="1180" w:type="dxa"/>
            <w:vAlign w:val="bottom"/>
            <w:shd w:val="clear" w:color="auto" w:fill="DBDBDB"/>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2240" w:type="dxa"/>
            <w:vAlign w:val="bottom"/>
            <w:shd w:val="clear" w:color="auto" w:fill="DBDBDB"/>
          </w:tcPr>
          <w:p>
            <w:pPr>
              <w:spacing w:after="0"/>
              <w:rPr>
                <w:sz w:val="17"/>
                <w:szCs w:val="17"/>
                <w:color w:val="auto"/>
              </w:rPr>
            </w:pPr>
          </w:p>
        </w:tc>
        <w:tc>
          <w:tcPr>
            <w:tcW w:w="1160" w:type="dxa"/>
            <w:vAlign w:val="bottom"/>
            <w:shd w:val="clear" w:color="auto" w:fill="DBDBDB"/>
          </w:tcPr>
          <w:p>
            <w:pPr>
              <w:jc w:val="right"/>
              <w:spacing w:after="0"/>
              <w:rPr>
                <w:sz w:val="20"/>
                <w:szCs w:val="20"/>
                <w:color w:val="auto"/>
              </w:rPr>
            </w:pPr>
            <w:r>
              <w:rPr>
                <w:rFonts w:ascii="Arial" w:cs="Arial" w:eastAsia="Arial" w:hAnsi="Arial"/>
                <w:sz w:val="12"/>
                <w:szCs w:val="12"/>
                <w:color w:val="auto"/>
              </w:rPr>
              <w:t>16,200</w:t>
            </w:r>
          </w:p>
        </w:tc>
        <w:tc>
          <w:tcPr>
            <w:tcW w:w="1200" w:type="dxa"/>
            <w:vAlign w:val="bottom"/>
            <w:shd w:val="clear" w:color="auto" w:fill="DBDBDB"/>
          </w:tcPr>
          <w:p>
            <w:pPr>
              <w:jc w:val="right"/>
              <w:spacing w:after="0"/>
              <w:rPr>
                <w:sz w:val="20"/>
                <w:szCs w:val="20"/>
                <w:color w:val="auto"/>
              </w:rPr>
            </w:pPr>
            <w:r>
              <w:rPr>
                <w:rFonts w:ascii="Arial" w:cs="Arial" w:eastAsia="Arial" w:hAnsi="Arial"/>
                <w:sz w:val="12"/>
                <w:szCs w:val="12"/>
                <w:color w:val="auto"/>
              </w:rPr>
              <w:t>0</w:t>
            </w:r>
          </w:p>
        </w:tc>
        <w:tc>
          <w:tcPr>
            <w:tcW w:w="1180" w:type="dxa"/>
            <w:vAlign w:val="bottom"/>
            <w:shd w:val="clear" w:color="auto" w:fill="DBDBDB"/>
          </w:tcPr>
          <w:p>
            <w:pPr>
              <w:jc w:val="right"/>
              <w:spacing w:after="0"/>
              <w:rPr>
                <w:sz w:val="20"/>
                <w:szCs w:val="20"/>
                <w:color w:val="auto"/>
              </w:rPr>
            </w:pPr>
            <w:r>
              <w:rPr>
                <w:rFonts w:ascii="Arial" w:cs="Arial" w:eastAsia="Arial" w:hAnsi="Arial"/>
                <w:sz w:val="12"/>
                <w:szCs w:val="12"/>
                <w:color w:val="auto"/>
              </w:rPr>
              <w:t>58.5300</w:t>
            </w:r>
          </w:p>
        </w:tc>
        <w:tc>
          <w:tcPr>
            <w:tcW w:w="1180" w:type="dxa"/>
            <w:vAlign w:val="bottom"/>
            <w:shd w:val="clear" w:color="auto" w:fill="DBDBDB"/>
          </w:tcPr>
          <w:p>
            <w:pPr>
              <w:jc w:val="right"/>
              <w:spacing w:after="0"/>
              <w:rPr>
                <w:sz w:val="20"/>
                <w:szCs w:val="20"/>
                <w:color w:val="auto"/>
              </w:rPr>
            </w:pPr>
            <w:r>
              <w:rPr>
                <w:rFonts w:ascii="Arial" w:cs="Arial" w:eastAsia="Arial" w:hAnsi="Arial"/>
                <w:sz w:val="12"/>
                <w:szCs w:val="12"/>
                <w:color w:val="auto"/>
              </w:rPr>
              <w:t>12/07/2028</w:t>
            </w:r>
          </w:p>
        </w:tc>
        <w:tc>
          <w:tcPr>
            <w:tcW w:w="720" w:type="dxa"/>
            <w:vAlign w:val="bottom"/>
            <w:shd w:val="clear" w:color="auto" w:fill="DBDBDB"/>
          </w:tcPr>
          <w:p>
            <w:pPr>
              <w:spacing w:after="0"/>
              <w:rPr>
                <w:sz w:val="17"/>
                <w:szCs w:val="17"/>
                <w:color w:val="auto"/>
              </w:rPr>
            </w:pPr>
          </w:p>
        </w:tc>
        <w:tc>
          <w:tcPr>
            <w:tcW w:w="1180" w:type="dxa"/>
            <w:vAlign w:val="bottom"/>
            <w:shd w:val="clear" w:color="auto" w:fill="DBDBDB"/>
          </w:tcPr>
          <w:p>
            <w:pPr>
              <w:spacing w:after="0"/>
              <w:rPr>
                <w:sz w:val="17"/>
                <w:szCs w:val="17"/>
                <w:color w:val="auto"/>
              </w:rPr>
            </w:pPr>
          </w:p>
        </w:tc>
        <w:tc>
          <w:tcPr>
            <w:tcW w:w="1200" w:type="dxa"/>
            <w:vAlign w:val="bottom"/>
            <w:shd w:val="clear" w:color="auto" w:fill="DBDBDB"/>
          </w:tcPr>
          <w:p>
            <w:pPr>
              <w:spacing w:after="0"/>
              <w:rPr>
                <w:sz w:val="17"/>
                <w:szCs w:val="17"/>
                <w:color w:val="auto"/>
              </w:rPr>
            </w:pPr>
          </w:p>
        </w:tc>
        <w:tc>
          <w:tcPr>
            <w:tcW w:w="1180" w:type="dxa"/>
            <w:vAlign w:val="bottom"/>
            <w:shd w:val="clear" w:color="auto" w:fill="DBDBDB"/>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2240" w:type="dxa"/>
            <w:vAlign w:val="bottom"/>
            <w:shd w:val="clear" w:color="auto" w:fill="DBDBDB"/>
          </w:tcPr>
          <w:p>
            <w:pPr>
              <w:spacing w:after="0"/>
              <w:rPr>
                <w:sz w:val="17"/>
                <w:szCs w:val="17"/>
                <w:color w:val="auto"/>
              </w:rPr>
            </w:pPr>
          </w:p>
        </w:tc>
        <w:tc>
          <w:tcPr>
            <w:tcW w:w="1160" w:type="dxa"/>
            <w:vAlign w:val="bottom"/>
            <w:shd w:val="clear" w:color="auto" w:fill="DBDBDB"/>
          </w:tcPr>
          <w:p>
            <w:pPr>
              <w:jc w:val="right"/>
              <w:spacing w:after="0"/>
              <w:rPr>
                <w:sz w:val="20"/>
                <w:szCs w:val="20"/>
                <w:color w:val="auto"/>
              </w:rPr>
            </w:pPr>
            <w:r>
              <w:rPr>
                <w:rFonts w:ascii="Arial" w:cs="Arial" w:eastAsia="Arial" w:hAnsi="Arial"/>
                <w:sz w:val="12"/>
                <w:szCs w:val="12"/>
                <w:color w:val="auto"/>
              </w:rPr>
              <w:t>20,800</w:t>
            </w:r>
          </w:p>
        </w:tc>
        <w:tc>
          <w:tcPr>
            <w:tcW w:w="1200" w:type="dxa"/>
            <w:vAlign w:val="bottom"/>
            <w:shd w:val="clear" w:color="auto" w:fill="DBDBDB"/>
          </w:tcPr>
          <w:p>
            <w:pPr>
              <w:jc w:val="right"/>
              <w:spacing w:after="0"/>
              <w:rPr>
                <w:sz w:val="20"/>
                <w:szCs w:val="20"/>
                <w:color w:val="auto"/>
              </w:rPr>
            </w:pPr>
            <w:r>
              <w:rPr>
                <w:rFonts w:ascii="Arial" w:cs="Arial" w:eastAsia="Arial" w:hAnsi="Arial"/>
                <w:sz w:val="12"/>
                <w:szCs w:val="12"/>
                <w:color w:val="auto"/>
              </w:rPr>
              <w:t>0</w:t>
            </w:r>
          </w:p>
        </w:tc>
        <w:tc>
          <w:tcPr>
            <w:tcW w:w="1180" w:type="dxa"/>
            <w:vAlign w:val="bottom"/>
            <w:shd w:val="clear" w:color="auto" w:fill="DBDBDB"/>
          </w:tcPr>
          <w:p>
            <w:pPr>
              <w:jc w:val="right"/>
              <w:spacing w:after="0"/>
              <w:rPr>
                <w:sz w:val="20"/>
                <w:szCs w:val="20"/>
                <w:color w:val="auto"/>
              </w:rPr>
            </w:pPr>
            <w:r>
              <w:rPr>
                <w:rFonts w:ascii="Arial" w:cs="Arial" w:eastAsia="Arial" w:hAnsi="Arial"/>
                <w:sz w:val="12"/>
                <w:szCs w:val="12"/>
                <w:color w:val="auto"/>
              </w:rPr>
              <w:t>76.5300</w:t>
            </w:r>
          </w:p>
        </w:tc>
        <w:tc>
          <w:tcPr>
            <w:tcW w:w="1180" w:type="dxa"/>
            <w:vAlign w:val="bottom"/>
            <w:shd w:val="clear" w:color="auto" w:fill="DBDBDB"/>
          </w:tcPr>
          <w:p>
            <w:pPr>
              <w:jc w:val="right"/>
              <w:spacing w:after="0"/>
              <w:rPr>
                <w:sz w:val="20"/>
                <w:szCs w:val="20"/>
                <w:color w:val="auto"/>
              </w:rPr>
            </w:pPr>
            <w:r>
              <w:rPr>
                <w:rFonts w:ascii="Arial" w:cs="Arial" w:eastAsia="Arial" w:hAnsi="Arial"/>
                <w:sz w:val="12"/>
                <w:szCs w:val="12"/>
                <w:color w:val="auto"/>
              </w:rPr>
              <w:t>12/19/2029</w:t>
            </w:r>
          </w:p>
        </w:tc>
        <w:tc>
          <w:tcPr>
            <w:tcW w:w="720" w:type="dxa"/>
            <w:vAlign w:val="bottom"/>
            <w:shd w:val="clear" w:color="auto" w:fill="DBDBDB"/>
          </w:tcPr>
          <w:p>
            <w:pPr>
              <w:spacing w:after="0"/>
              <w:rPr>
                <w:sz w:val="17"/>
                <w:szCs w:val="17"/>
                <w:color w:val="auto"/>
              </w:rPr>
            </w:pPr>
          </w:p>
        </w:tc>
        <w:tc>
          <w:tcPr>
            <w:tcW w:w="1180" w:type="dxa"/>
            <w:vAlign w:val="bottom"/>
            <w:shd w:val="clear" w:color="auto" w:fill="DBDBDB"/>
          </w:tcPr>
          <w:p>
            <w:pPr>
              <w:spacing w:after="0"/>
              <w:rPr>
                <w:sz w:val="17"/>
                <w:szCs w:val="17"/>
                <w:color w:val="auto"/>
              </w:rPr>
            </w:pPr>
          </w:p>
        </w:tc>
        <w:tc>
          <w:tcPr>
            <w:tcW w:w="1200" w:type="dxa"/>
            <w:vAlign w:val="bottom"/>
            <w:shd w:val="clear" w:color="auto" w:fill="DBDBDB"/>
          </w:tcPr>
          <w:p>
            <w:pPr>
              <w:spacing w:after="0"/>
              <w:rPr>
                <w:sz w:val="17"/>
                <w:szCs w:val="17"/>
                <w:color w:val="auto"/>
              </w:rPr>
            </w:pPr>
          </w:p>
        </w:tc>
        <w:tc>
          <w:tcPr>
            <w:tcW w:w="1180" w:type="dxa"/>
            <w:vAlign w:val="bottom"/>
            <w:shd w:val="clear" w:color="auto" w:fill="DBDBDB"/>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2240" w:type="dxa"/>
            <w:vAlign w:val="bottom"/>
            <w:shd w:val="clear" w:color="auto" w:fill="DBDBDB"/>
          </w:tcPr>
          <w:p>
            <w:pPr>
              <w:spacing w:after="0"/>
              <w:rPr>
                <w:sz w:val="17"/>
                <w:szCs w:val="17"/>
                <w:color w:val="auto"/>
              </w:rPr>
            </w:pPr>
          </w:p>
        </w:tc>
        <w:tc>
          <w:tcPr>
            <w:tcW w:w="1160" w:type="dxa"/>
            <w:vAlign w:val="bottom"/>
            <w:shd w:val="clear" w:color="auto" w:fill="DBDBDB"/>
          </w:tcPr>
          <w:p>
            <w:pPr>
              <w:jc w:val="right"/>
              <w:spacing w:after="0"/>
              <w:rPr>
                <w:sz w:val="20"/>
                <w:szCs w:val="20"/>
                <w:color w:val="auto"/>
              </w:rPr>
            </w:pPr>
            <w:r>
              <w:rPr>
                <w:rFonts w:ascii="Arial" w:cs="Arial" w:eastAsia="Arial" w:hAnsi="Arial"/>
                <w:sz w:val="12"/>
                <w:szCs w:val="12"/>
                <w:color w:val="auto"/>
              </w:rPr>
              <w:t>21,300</w:t>
            </w:r>
          </w:p>
        </w:tc>
        <w:tc>
          <w:tcPr>
            <w:tcW w:w="1200" w:type="dxa"/>
            <w:vAlign w:val="bottom"/>
            <w:shd w:val="clear" w:color="auto" w:fill="DBDBDB"/>
          </w:tcPr>
          <w:p>
            <w:pPr>
              <w:jc w:val="right"/>
              <w:spacing w:after="0"/>
              <w:rPr>
                <w:sz w:val="20"/>
                <w:szCs w:val="20"/>
                <w:color w:val="auto"/>
              </w:rPr>
            </w:pPr>
            <w:r>
              <w:rPr>
                <w:rFonts w:ascii="Arial" w:cs="Arial" w:eastAsia="Arial" w:hAnsi="Arial"/>
                <w:sz w:val="12"/>
                <w:szCs w:val="12"/>
                <w:color w:val="auto"/>
              </w:rPr>
              <w:t>0</w:t>
            </w:r>
          </w:p>
        </w:tc>
        <w:tc>
          <w:tcPr>
            <w:tcW w:w="1180" w:type="dxa"/>
            <w:vAlign w:val="bottom"/>
            <w:shd w:val="clear" w:color="auto" w:fill="DBDBDB"/>
          </w:tcPr>
          <w:p>
            <w:pPr>
              <w:jc w:val="right"/>
              <w:spacing w:after="0"/>
              <w:rPr>
                <w:sz w:val="20"/>
                <w:szCs w:val="20"/>
                <w:color w:val="auto"/>
              </w:rPr>
            </w:pPr>
            <w:r>
              <w:rPr>
                <w:rFonts w:ascii="Arial" w:cs="Arial" w:eastAsia="Arial" w:hAnsi="Arial"/>
                <w:sz w:val="12"/>
                <w:szCs w:val="12"/>
                <w:color w:val="auto"/>
              </w:rPr>
              <w:t>93.3300</w:t>
            </w:r>
          </w:p>
        </w:tc>
        <w:tc>
          <w:tcPr>
            <w:tcW w:w="1180" w:type="dxa"/>
            <w:vAlign w:val="bottom"/>
            <w:shd w:val="clear" w:color="auto" w:fill="DBDBDB"/>
          </w:tcPr>
          <w:p>
            <w:pPr>
              <w:jc w:val="right"/>
              <w:spacing w:after="0"/>
              <w:rPr>
                <w:sz w:val="20"/>
                <w:szCs w:val="20"/>
                <w:color w:val="auto"/>
              </w:rPr>
            </w:pPr>
            <w:r>
              <w:rPr>
                <w:rFonts w:ascii="Arial" w:cs="Arial" w:eastAsia="Arial" w:hAnsi="Arial"/>
                <w:sz w:val="12"/>
                <w:szCs w:val="12"/>
                <w:color w:val="auto"/>
              </w:rPr>
              <w:t>12/17/2030</w:t>
            </w:r>
          </w:p>
        </w:tc>
        <w:tc>
          <w:tcPr>
            <w:tcW w:w="720" w:type="dxa"/>
            <w:vAlign w:val="bottom"/>
            <w:shd w:val="clear" w:color="auto" w:fill="DBDBDB"/>
          </w:tcPr>
          <w:p>
            <w:pPr>
              <w:spacing w:after="0"/>
              <w:rPr>
                <w:sz w:val="17"/>
                <w:szCs w:val="17"/>
                <w:color w:val="auto"/>
              </w:rPr>
            </w:pPr>
          </w:p>
        </w:tc>
        <w:tc>
          <w:tcPr>
            <w:tcW w:w="1180" w:type="dxa"/>
            <w:vAlign w:val="bottom"/>
            <w:shd w:val="clear" w:color="auto" w:fill="DBDBDB"/>
          </w:tcPr>
          <w:p>
            <w:pPr>
              <w:spacing w:after="0"/>
              <w:rPr>
                <w:sz w:val="17"/>
                <w:szCs w:val="17"/>
                <w:color w:val="auto"/>
              </w:rPr>
            </w:pPr>
          </w:p>
        </w:tc>
        <w:tc>
          <w:tcPr>
            <w:tcW w:w="1200" w:type="dxa"/>
            <w:vAlign w:val="bottom"/>
            <w:shd w:val="clear" w:color="auto" w:fill="DBDBDB"/>
          </w:tcPr>
          <w:p>
            <w:pPr>
              <w:spacing w:after="0"/>
              <w:rPr>
                <w:sz w:val="17"/>
                <w:szCs w:val="17"/>
                <w:color w:val="auto"/>
              </w:rPr>
            </w:pPr>
          </w:p>
        </w:tc>
        <w:tc>
          <w:tcPr>
            <w:tcW w:w="1180" w:type="dxa"/>
            <w:vAlign w:val="bottom"/>
            <w:shd w:val="clear" w:color="auto" w:fill="DBDBDB"/>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2240" w:type="dxa"/>
            <w:vAlign w:val="bottom"/>
            <w:shd w:val="clear" w:color="auto" w:fill="DBDBDB"/>
          </w:tcPr>
          <w:p>
            <w:pPr>
              <w:spacing w:after="0"/>
              <w:rPr>
                <w:sz w:val="17"/>
                <w:szCs w:val="17"/>
                <w:color w:val="auto"/>
              </w:rPr>
            </w:pPr>
          </w:p>
        </w:tc>
        <w:tc>
          <w:tcPr>
            <w:tcW w:w="1160" w:type="dxa"/>
            <w:vAlign w:val="bottom"/>
            <w:shd w:val="clear" w:color="auto" w:fill="DBDBDB"/>
          </w:tcPr>
          <w:p>
            <w:pPr>
              <w:jc w:val="right"/>
              <w:spacing w:after="0"/>
              <w:rPr>
                <w:sz w:val="20"/>
                <w:szCs w:val="20"/>
                <w:color w:val="auto"/>
              </w:rPr>
            </w:pPr>
            <w:r>
              <w:rPr>
                <w:rFonts w:ascii="Arial" w:cs="Arial" w:eastAsia="Arial" w:hAnsi="Arial"/>
                <w:sz w:val="12"/>
                <w:szCs w:val="12"/>
                <w:color w:val="auto"/>
              </w:rPr>
              <w:t>11,266</w:t>
            </w:r>
          </w:p>
        </w:tc>
        <w:tc>
          <w:tcPr>
            <w:tcW w:w="1200" w:type="dxa"/>
            <w:vAlign w:val="bottom"/>
            <w:shd w:val="clear" w:color="auto" w:fill="DBDBDB"/>
          </w:tcPr>
          <w:p>
            <w:pPr>
              <w:jc w:val="right"/>
              <w:spacing w:after="0"/>
              <w:rPr>
                <w:sz w:val="20"/>
                <w:szCs w:val="20"/>
                <w:color w:val="auto"/>
              </w:rPr>
            </w:pPr>
            <w:r>
              <w:rPr>
                <w:rFonts w:ascii="Arial" w:cs="Arial" w:eastAsia="Arial" w:hAnsi="Arial"/>
                <w:sz w:val="12"/>
                <w:szCs w:val="12"/>
                <w:color w:val="auto"/>
              </w:rPr>
              <w:t>5,634</w:t>
            </w:r>
          </w:p>
        </w:tc>
        <w:tc>
          <w:tcPr>
            <w:tcW w:w="1180" w:type="dxa"/>
            <w:vAlign w:val="bottom"/>
            <w:shd w:val="clear" w:color="auto" w:fill="DBDBDB"/>
          </w:tcPr>
          <w:p>
            <w:pPr>
              <w:jc w:val="right"/>
              <w:spacing w:after="0"/>
              <w:rPr>
                <w:sz w:val="20"/>
                <w:szCs w:val="20"/>
                <w:color w:val="auto"/>
              </w:rPr>
            </w:pPr>
            <w:r>
              <w:rPr>
                <w:rFonts w:ascii="Arial" w:cs="Arial" w:eastAsia="Arial" w:hAnsi="Arial"/>
                <w:sz w:val="12"/>
                <w:szCs w:val="12"/>
                <w:color w:val="auto"/>
              </w:rPr>
              <w:t>99.3400</w:t>
            </w:r>
          </w:p>
        </w:tc>
        <w:tc>
          <w:tcPr>
            <w:tcW w:w="1180" w:type="dxa"/>
            <w:vAlign w:val="bottom"/>
            <w:shd w:val="clear" w:color="auto" w:fill="DBDBDB"/>
          </w:tcPr>
          <w:p>
            <w:pPr>
              <w:jc w:val="right"/>
              <w:spacing w:after="0"/>
              <w:rPr>
                <w:sz w:val="20"/>
                <w:szCs w:val="20"/>
                <w:color w:val="auto"/>
              </w:rPr>
            </w:pPr>
            <w:r>
              <w:rPr>
                <w:rFonts w:ascii="Arial" w:cs="Arial" w:eastAsia="Arial" w:hAnsi="Arial"/>
                <w:sz w:val="12"/>
                <w:szCs w:val="12"/>
                <w:color w:val="auto"/>
              </w:rPr>
              <w:t>12/16/2031</w:t>
            </w:r>
          </w:p>
        </w:tc>
        <w:tc>
          <w:tcPr>
            <w:tcW w:w="720" w:type="dxa"/>
            <w:vAlign w:val="bottom"/>
            <w:shd w:val="clear" w:color="auto" w:fill="DBDBDB"/>
          </w:tcPr>
          <w:p>
            <w:pPr>
              <w:spacing w:after="0"/>
              <w:rPr>
                <w:sz w:val="17"/>
                <w:szCs w:val="17"/>
                <w:color w:val="auto"/>
              </w:rPr>
            </w:pPr>
          </w:p>
        </w:tc>
        <w:tc>
          <w:tcPr>
            <w:tcW w:w="1180" w:type="dxa"/>
            <w:vAlign w:val="bottom"/>
            <w:shd w:val="clear" w:color="auto" w:fill="DBDBDB"/>
          </w:tcPr>
          <w:p>
            <w:pPr>
              <w:spacing w:after="0"/>
              <w:rPr>
                <w:sz w:val="17"/>
                <w:szCs w:val="17"/>
                <w:color w:val="auto"/>
              </w:rPr>
            </w:pPr>
          </w:p>
        </w:tc>
        <w:tc>
          <w:tcPr>
            <w:tcW w:w="1200" w:type="dxa"/>
            <w:vAlign w:val="bottom"/>
            <w:shd w:val="clear" w:color="auto" w:fill="DBDBDB"/>
          </w:tcPr>
          <w:p>
            <w:pPr>
              <w:spacing w:after="0"/>
              <w:rPr>
                <w:sz w:val="17"/>
                <w:szCs w:val="17"/>
                <w:color w:val="auto"/>
              </w:rPr>
            </w:pPr>
          </w:p>
        </w:tc>
        <w:tc>
          <w:tcPr>
            <w:tcW w:w="1180" w:type="dxa"/>
            <w:vAlign w:val="bottom"/>
            <w:shd w:val="clear" w:color="auto" w:fill="DBDBDB"/>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2240" w:type="dxa"/>
            <w:vAlign w:val="bottom"/>
            <w:shd w:val="clear" w:color="auto" w:fill="DBDBDB"/>
          </w:tcPr>
          <w:p>
            <w:pPr>
              <w:spacing w:after="0"/>
              <w:rPr>
                <w:sz w:val="17"/>
                <w:szCs w:val="17"/>
                <w:color w:val="auto"/>
              </w:rPr>
            </w:pPr>
          </w:p>
        </w:tc>
        <w:tc>
          <w:tcPr>
            <w:tcW w:w="1160" w:type="dxa"/>
            <w:vAlign w:val="bottom"/>
            <w:shd w:val="clear" w:color="auto" w:fill="DBDBDB"/>
          </w:tcPr>
          <w:p>
            <w:pPr>
              <w:jc w:val="right"/>
              <w:spacing w:after="0"/>
              <w:rPr>
                <w:sz w:val="20"/>
                <w:szCs w:val="20"/>
                <w:color w:val="auto"/>
              </w:rPr>
            </w:pPr>
            <w:r>
              <w:rPr>
                <w:rFonts w:ascii="Arial" w:cs="Arial" w:eastAsia="Arial" w:hAnsi="Arial"/>
                <w:sz w:val="12"/>
                <w:szCs w:val="12"/>
                <w:color w:val="auto"/>
              </w:rPr>
              <w:t>5,133</w:t>
            </w:r>
          </w:p>
        </w:tc>
        <w:tc>
          <w:tcPr>
            <w:tcW w:w="1200" w:type="dxa"/>
            <w:vAlign w:val="bottom"/>
            <w:shd w:val="clear" w:color="auto" w:fill="DBDBDB"/>
          </w:tcPr>
          <w:p>
            <w:pPr>
              <w:jc w:val="right"/>
              <w:spacing w:after="0"/>
              <w:rPr>
                <w:sz w:val="20"/>
                <w:szCs w:val="20"/>
                <w:color w:val="auto"/>
              </w:rPr>
            </w:pPr>
            <w:r>
              <w:rPr>
                <w:rFonts w:ascii="Arial" w:cs="Arial" w:eastAsia="Arial" w:hAnsi="Arial"/>
                <w:sz w:val="12"/>
                <w:szCs w:val="12"/>
                <w:color w:val="auto"/>
              </w:rPr>
              <w:t>10,267</w:t>
            </w:r>
          </w:p>
        </w:tc>
        <w:tc>
          <w:tcPr>
            <w:tcW w:w="1180" w:type="dxa"/>
            <w:vAlign w:val="bottom"/>
            <w:shd w:val="clear" w:color="auto" w:fill="DBDBDB"/>
          </w:tcPr>
          <w:p>
            <w:pPr>
              <w:jc w:val="right"/>
              <w:spacing w:after="0"/>
              <w:rPr>
                <w:sz w:val="20"/>
                <w:szCs w:val="20"/>
                <w:color w:val="auto"/>
              </w:rPr>
            </w:pPr>
            <w:r>
              <w:rPr>
                <w:rFonts w:ascii="Arial" w:cs="Arial" w:eastAsia="Arial" w:hAnsi="Arial"/>
                <w:sz w:val="12"/>
                <w:szCs w:val="12"/>
                <w:color w:val="auto"/>
              </w:rPr>
              <w:t>111.1500</w:t>
            </w:r>
          </w:p>
        </w:tc>
        <w:tc>
          <w:tcPr>
            <w:tcW w:w="1180" w:type="dxa"/>
            <w:vAlign w:val="bottom"/>
            <w:shd w:val="clear" w:color="auto" w:fill="DBDBDB"/>
          </w:tcPr>
          <w:p>
            <w:pPr>
              <w:jc w:val="right"/>
              <w:spacing w:after="0"/>
              <w:rPr>
                <w:sz w:val="20"/>
                <w:szCs w:val="20"/>
                <w:color w:val="auto"/>
              </w:rPr>
            </w:pPr>
            <w:r>
              <w:rPr>
                <w:rFonts w:ascii="Arial" w:cs="Arial" w:eastAsia="Arial" w:hAnsi="Arial"/>
                <w:sz w:val="12"/>
                <w:szCs w:val="12"/>
                <w:color w:val="auto"/>
              </w:rPr>
              <w:t>12/22/2032</w:t>
            </w:r>
          </w:p>
        </w:tc>
        <w:tc>
          <w:tcPr>
            <w:tcW w:w="720" w:type="dxa"/>
            <w:vAlign w:val="bottom"/>
            <w:shd w:val="clear" w:color="auto" w:fill="DBDBDB"/>
          </w:tcPr>
          <w:p>
            <w:pPr>
              <w:spacing w:after="0"/>
              <w:rPr>
                <w:sz w:val="17"/>
                <w:szCs w:val="17"/>
                <w:color w:val="auto"/>
              </w:rPr>
            </w:pPr>
          </w:p>
        </w:tc>
        <w:tc>
          <w:tcPr>
            <w:tcW w:w="1180" w:type="dxa"/>
            <w:vAlign w:val="bottom"/>
            <w:shd w:val="clear" w:color="auto" w:fill="DBDBDB"/>
          </w:tcPr>
          <w:p>
            <w:pPr>
              <w:spacing w:after="0"/>
              <w:rPr>
                <w:sz w:val="17"/>
                <w:szCs w:val="17"/>
                <w:color w:val="auto"/>
              </w:rPr>
            </w:pPr>
          </w:p>
        </w:tc>
        <w:tc>
          <w:tcPr>
            <w:tcW w:w="1200" w:type="dxa"/>
            <w:vAlign w:val="bottom"/>
            <w:shd w:val="clear" w:color="auto" w:fill="DBDBDB"/>
          </w:tcPr>
          <w:p>
            <w:pPr>
              <w:spacing w:after="0"/>
              <w:rPr>
                <w:sz w:val="17"/>
                <w:szCs w:val="17"/>
                <w:color w:val="auto"/>
              </w:rPr>
            </w:pPr>
          </w:p>
        </w:tc>
        <w:tc>
          <w:tcPr>
            <w:tcW w:w="1180" w:type="dxa"/>
            <w:vAlign w:val="bottom"/>
            <w:shd w:val="clear" w:color="auto" w:fill="DBDBDB"/>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2240" w:type="dxa"/>
            <w:vAlign w:val="bottom"/>
            <w:shd w:val="clear" w:color="auto" w:fill="DBDBDB"/>
          </w:tcPr>
          <w:p>
            <w:pPr>
              <w:spacing w:after="0"/>
              <w:rPr>
                <w:sz w:val="17"/>
                <w:szCs w:val="17"/>
                <w:color w:val="auto"/>
              </w:rPr>
            </w:pPr>
          </w:p>
        </w:tc>
        <w:tc>
          <w:tcPr>
            <w:tcW w:w="1160" w:type="dxa"/>
            <w:vAlign w:val="bottom"/>
            <w:shd w:val="clear" w:color="auto" w:fill="DBDBDB"/>
          </w:tcPr>
          <w:p>
            <w:pPr>
              <w:jc w:val="right"/>
              <w:spacing w:after="0"/>
              <w:rPr>
                <w:sz w:val="20"/>
                <w:szCs w:val="20"/>
                <w:color w:val="auto"/>
              </w:rPr>
            </w:pPr>
            <w:r>
              <w:rPr>
                <w:rFonts w:ascii="Arial" w:cs="Arial" w:eastAsia="Arial" w:hAnsi="Arial"/>
                <w:sz w:val="12"/>
                <w:szCs w:val="12"/>
                <w:color w:val="auto"/>
              </w:rPr>
              <w:t>0</w:t>
            </w:r>
          </w:p>
        </w:tc>
        <w:tc>
          <w:tcPr>
            <w:tcW w:w="1200" w:type="dxa"/>
            <w:vAlign w:val="bottom"/>
            <w:shd w:val="clear" w:color="auto" w:fill="DBDBDB"/>
          </w:tcPr>
          <w:p>
            <w:pPr>
              <w:jc w:val="right"/>
              <w:spacing w:after="0"/>
              <w:rPr>
                <w:sz w:val="20"/>
                <w:szCs w:val="20"/>
                <w:color w:val="auto"/>
              </w:rPr>
            </w:pPr>
            <w:r>
              <w:rPr>
                <w:rFonts w:ascii="Arial" w:cs="Arial" w:eastAsia="Arial" w:hAnsi="Arial"/>
                <w:sz w:val="12"/>
                <w:szCs w:val="12"/>
                <w:color w:val="auto"/>
              </w:rPr>
              <w:t>14,300</w:t>
            </w:r>
          </w:p>
        </w:tc>
        <w:tc>
          <w:tcPr>
            <w:tcW w:w="1180" w:type="dxa"/>
            <w:vAlign w:val="bottom"/>
            <w:shd w:val="clear" w:color="auto" w:fill="DBDBDB"/>
          </w:tcPr>
          <w:p>
            <w:pPr>
              <w:jc w:val="right"/>
              <w:spacing w:after="0"/>
              <w:rPr>
                <w:sz w:val="20"/>
                <w:szCs w:val="20"/>
                <w:color w:val="auto"/>
              </w:rPr>
            </w:pPr>
            <w:r>
              <w:rPr>
                <w:rFonts w:ascii="Arial" w:cs="Arial" w:eastAsia="Arial" w:hAnsi="Arial"/>
                <w:sz w:val="12"/>
                <w:szCs w:val="12"/>
                <w:color w:val="auto"/>
              </w:rPr>
              <w:t>99.6000</w:t>
            </w:r>
          </w:p>
        </w:tc>
        <w:tc>
          <w:tcPr>
            <w:tcW w:w="1180" w:type="dxa"/>
            <w:vAlign w:val="bottom"/>
            <w:shd w:val="clear" w:color="auto" w:fill="DBDBDB"/>
          </w:tcPr>
          <w:p>
            <w:pPr>
              <w:jc w:val="right"/>
              <w:spacing w:after="0"/>
              <w:rPr>
                <w:sz w:val="20"/>
                <w:szCs w:val="20"/>
                <w:color w:val="auto"/>
              </w:rPr>
            </w:pPr>
            <w:r>
              <w:rPr>
                <w:rFonts w:ascii="Arial" w:cs="Arial" w:eastAsia="Arial" w:hAnsi="Arial"/>
                <w:sz w:val="12"/>
                <w:szCs w:val="12"/>
                <w:color w:val="auto"/>
              </w:rPr>
              <w:t>12/26/2033</w:t>
            </w:r>
          </w:p>
        </w:tc>
        <w:tc>
          <w:tcPr>
            <w:tcW w:w="720" w:type="dxa"/>
            <w:vAlign w:val="bottom"/>
            <w:shd w:val="clear" w:color="auto" w:fill="DBDBDB"/>
          </w:tcPr>
          <w:p>
            <w:pPr>
              <w:spacing w:after="0"/>
              <w:rPr>
                <w:sz w:val="17"/>
                <w:szCs w:val="17"/>
                <w:color w:val="auto"/>
              </w:rPr>
            </w:pPr>
          </w:p>
        </w:tc>
        <w:tc>
          <w:tcPr>
            <w:tcW w:w="1180" w:type="dxa"/>
            <w:vAlign w:val="bottom"/>
            <w:shd w:val="clear" w:color="auto" w:fill="DBDBDB"/>
          </w:tcPr>
          <w:p>
            <w:pPr>
              <w:spacing w:after="0"/>
              <w:rPr>
                <w:sz w:val="17"/>
                <w:szCs w:val="17"/>
                <w:color w:val="auto"/>
              </w:rPr>
            </w:pPr>
          </w:p>
        </w:tc>
        <w:tc>
          <w:tcPr>
            <w:tcW w:w="1200" w:type="dxa"/>
            <w:vAlign w:val="bottom"/>
            <w:shd w:val="clear" w:color="auto" w:fill="DBDBDB"/>
          </w:tcPr>
          <w:p>
            <w:pPr>
              <w:spacing w:after="0"/>
              <w:rPr>
                <w:sz w:val="17"/>
                <w:szCs w:val="17"/>
                <w:color w:val="auto"/>
              </w:rPr>
            </w:pPr>
          </w:p>
        </w:tc>
        <w:tc>
          <w:tcPr>
            <w:tcW w:w="1180" w:type="dxa"/>
            <w:vAlign w:val="bottom"/>
            <w:shd w:val="clear" w:color="auto" w:fill="DBDBDB"/>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2240" w:type="dxa"/>
            <w:vAlign w:val="bottom"/>
            <w:shd w:val="clear" w:color="auto" w:fill="DBDBDB"/>
          </w:tcPr>
          <w:p>
            <w:pPr>
              <w:ind w:left="100"/>
              <w:spacing w:after="0"/>
              <w:rPr>
                <w:sz w:val="20"/>
                <w:szCs w:val="20"/>
                <w:color w:val="auto"/>
              </w:rPr>
            </w:pPr>
            <w:r>
              <w:rPr>
                <w:rFonts w:ascii="Arial" w:cs="Arial" w:eastAsia="Arial" w:hAnsi="Arial"/>
                <w:sz w:val="12"/>
                <w:szCs w:val="12"/>
                <w:color w:val="auto"/>
              </w:rPr>
              <w:t>F23-F25 Performance Shares</w:t>
            </w:r>
          </w:p>
        </w:tc>
        <w:tc>
          <w:tcPr>
            <w:tcW w:w="1160" w:type="dxa"/>
            <w:vAlign w:val="bottom"/>
            <w:shd w:val="clear" w:color="auto" w:fill="DBDBDB"/>
          </w:tcPr>
          <w:p>
            <w:pPr>
              <w:spacing w:after="0"/>
              <w:rPr>
                <w:sz w:val="17"/>
                <w:szCs w:val="17"/>
                <w:color w:val="auto"/>
              </w:rPr>
            </w:pPr>
          </w:p>
        </w:tc>
        <w:tc>
          <w:tcPr>
            <w:tcW w:w="1200" w:type="dxa"/>
            <w:vAlign w:val="bottom"/>
            <w:shd w:val="clear" w:color="auto" w:fill="DBDBDB"/>
          </w:tcPr>
          <w:p>
            <w:pPr>
              <w:spacing w:after="0"/>
              <w:rPr>
                <w:sz w:val="17"/>
                <w:szCs w:val="17"/>
                <w:color w:val="auto"/>
              </w:rPr>
            </w:pPr>
          </w:p>
        </w:tc>
        <w:tc>
          <w:tcPr>
            <w:tcW w:w="1180" w:type="dxa"/>
            <w:vAlign w:val="bottom"/>
            <w:shd w:val="clear" w:color="auto" w:fill="DBDBDB"/>
          </w:tcPr>
          <w:p>
            <w:pPr>
              <w:spacing w:after="0"/>
              <w:rPr>
                <w:sz w:val="17"/>
                <w:szCs w:val="17"/>
                <w:color w:val="auto"/>
              </w:rPr>
            </w:pPr>
          </w:p>
        </w:tc>
        <w:tc>
          <w:tcPr>
            <w:tcW w:w="1180" w:type="dxa"/>
            <w:vAlign w:val="bottom"/>
            <w:shd w:val="clear" w:color="auto" w:fill="DBDBDB"/>
          </w:tcPr>
          <w:p>
            <w:pPr>
              <w:spacing w:after="0"/>
              <w:rPr>
                <w:sz w:val="17"/>
                <w:szCs w:val="17"/>
                <w:color w:val="auto"/>
              </w:rPr>
            </w:pPr>
          </w:p>
        </w:tc>
        <w:tc>
          <w:tcPr>
            <w:tcW w:w="720" w:type="dxa"/>
            <w:vAlign w:val="bottom"/>
            <w:shd w:val="clear" w:color="auto" w:fill="DBDBDB"/>
          </w:tcPr>
          <w:p>
            <w:pPr>
              <w:spacing w:after="0"/>
              <w:rPr>
                <w:sz w:val="17"/>
                <w:szCs w:val="17"/>
                <w:color w:val="auto"/>
              </w:rPr>
            </w:pPr>
          </w:p>
        </w:tc>
        <w:tc>
          <w:tcPr>
            <w:tcW w:w="1180" w:type="dxa"/>
            <w:vAlign w:val="bottom"/>
            <w:shd w:val="clear" w:color="auto" w:fill="DBDBDB"/>
          </w:tcPr>
          <w:p>
            <w:pPr>
              <w:spacing w:after="0"/>
              <w:rPr>
                <w:sz w:val="17"/>
                <w:szCs w:val="17"/>
                <w:color w:val="auto"/>
              </w:rPr>
            </w:pPr>
          </w:p>
        </w:tc>
        <w:tc>
          <w:tcPr>
            <w:tcW w:w="1200" w:type="dxa"/>
            <w:vAlign w:val="bottom"/>
            <w:shd w:val="clear" w:color="auto" w:fill="DBDBDB"/>
          </w:tcPr>
          <w:p>
            <w:pPr>
              <w:jc w:val="right"/>
              <w:spacing w:after="0"/>
              <w:rPr>
                <w:sz w:val="20"/>
                <w:szCs w:val="20"/>
                <w:color w:val="auto"/>
              </w:rPr>
            </w:pPr>
            <w:r>
              <w:rPr>
                <w:rFonts w:ascii="Arial" w:cs="Arial" w:eastAsia="Arial" w:hAnsi="Arial"/>
                <w:sz w:val="12"/>
                <w:szCs w:val="12"/>
                <w:color w:val="auto"/>
              </w:rPr>
              <w:t>1,800</w:t>
            </w:r>
          </w:p>
        </w:tc>
        <w:tc>
          <w:tcPr>
            <w:tcW w:w="1180" w:type="dxa"/>
            <w:vAlign w:val="bottom"/>
            <w:shd w:val="clear" w:color="auto" w:fill="DBDBDB"/>
          </w:tcPr>
          <w:p>
            <w:pPr>
              <w:jc w:val="right"/>
              <w:spacing w:after="0"/>
              <w:rPr>
                <w:sz w:val="20"/>
                <w:szCs w:val="20"/>
                <w:color w:val="auto"/>
              </w:rPr>
            </w:pPr>
            <w:r>
              <w:rPr>
                <w:rFonts w:ascii="Arial" w:cs="Arial" w:eastAsia="Arial" w:hAnsi="Arial"/>
                <w:sz w:val="12"/>
                <w:szCs w:val="12"/>
                <w:color w:val="auto"/>
              </w:rPr>
              <w:t>144,864</w:t>
            </w:r>
          </w:p>
        </w:tc>
        <w:tc>
          <w:tcPr>
            <w:tcW w:w="0" w:type="dxa"/>
            <w:vAlign w:val="bottom"/>
          </w:tcPr>
          <w:p>
            <w:pPr>
              <w:spacing w:after="0"/>
              <w:rPr>
                <w:sz w:val="1"/>
                <w:szCs w:val="1"/>
                <w:color w:val="auto"/>
              </w:rPr>
            </w:pPr>
          </w:p>
        </w:tc>
      </w:tr>
      <w:tr>
        <w:trPr>
          <w:trHeight w:val="207"/>
        </w:trPr>
        <w:tc>
          <w:tcPr>
            <w:tcW w:w="2240" w:type="dxa"/>
            <w:vAlign w:val="bottom"/>
            <w:tcBorders>
              <w:bottom w:val="single" w:sz="8" w:color="DBDBDB"/>
            </w:tcBorders>
            <w:shd w:val="clear" w:color="auto" w:fill="DBDBDB"/>
          </w:tcPr>
          <w:p>
            <w:pPr>
              <w:ind w:left="100"/>
              <w:spacing w:after="0"/>
              <w:rPr>
                <w:sz w:val="20"/>
                <w:szCs w:val="20"/>
                <w:color w:val="auto"/>
              </w:rPr>
            </w:pPr>
            <w:r>
              <w:rPr>
                <w:rFonts w:ascii="Arial" w:cs="Arial" w:eastAsia="Arial" w:hAnsi="Arial"/>
                <w:sz w:val="12"/>
                <w:szCs w:val="12"/>
                <w:color w:val="auto"/>
              </w:rPr>
              <w:t>F24-F26 Performance Shares</w:t>
            </w:r>
          </w:p>
        </w:tc>
        <w:tc>
          <w:tcPr>
            <w:tcW w:w="1160" w:type="dxa"/>
            <w:vAlign w:val="bottom"/>
            <w:tcBorders>
              <w:bottom w:val="single" w:sz="8" w:color="DBDBDB"/>
            </w:tcBorders>
            <w:shd w:val="clear" w:color="auto" w:fill="DBDBDB"/>
          </w:tcPr>
          <w:p>
            <w:pPr>
              <w:spacing w:after="0"/>
              <w:rPr>
                <w:sz w:val="17"/>
                <w:szCs w:val="17"/>
                <w:color w:val="auto"/>
              </w:rPr>
            </w:pPr>
          </w:p>
        </w:tc>
        <w:tc>
          <w:tcPr>
            <w:tcW w:w="1200" w:type="dxa"/>
            <w:vAlign w:val="bottom"/>
            <w:tcBorders>
              <w:bottom w:val="single" w:sz="8" w:color="DBDBDB"/>
            </w:tcBorders>
            <w:shd w:val="clear" w:color="auto" w:fill="DBDBDB"/>
          </w:tcPr>
          <w:p>
            <w:pPr>
              <w:spacing w:after="0"/>
              <w:rPr>
                <w:sz w:val="17"/>
                <w:szCs w:val="17"/>
                <w:color w:val="auto"/>
              </w:rPr>
            </w:pPr>
          </w:p>
        </w:tc>
        <w:tc>
          <w:tcPr>
            <w:tcW w:w="1180" w:type="dxa"/>
            <w:vAlign w:val="bottom"/>
            <w:tcBorders>
              <w:bottom w:val="single" w:sz="8" w:color="DBDBDB"/>
            </w:tcBorders>
            <w:shd w:val="clear" w:color="auto" w:fill="DBDBDB"/>
          </w:tcPr>
          <w:p>
            <w:pPr>
              <w:spacing w:after="0"/>
              <w:rPr>
                <w:sz w:val="17"/>
                <w:szCs w:val="17"/>
                <w:color w:val="auto"/>
              </w:rPr>
            </w:pPr>
          </w:p>
        </w:tc>
        <w:tc>
          <w:tcPr>
            <w:tcW w:w="1180" w:type="dxa"/>
            <w:vAlign w:val="bottom"/>
            <w:tcBorders>
              <w:bottom w:val="single" w:sz="8" w:color="DBDBDB"/>
            </w:tcBorders>
            <w:shd w:val="clear" w:color="auto" w:fill="DBDBDB"/>
          </w:tcPr>
          <w:p>
            <w:pPr>
              <w:spacing w:after="0"/>
              <w:rPr>
                <w:sz w:val="17"/>
                <w:szCs w:val="17"/>
                <w:color w:val="auto"/>
              </w:rPr>
            </w:pPr>
          </w:p>
        </w:tc>
        <w:tc>
          <w:tcPr>
            <w:tcW w:w="720" w:type="dxa"/>
            <w:vAlign w:val="bottom"/>
            <w:tcBorders>
              <w:bottom w:val="single" w:sz="8" w:color="DBDBDB"/>
            </w:tcBorders>
            <w:shd w:val="clear" w:color="auto" w:fill="DBDBDB"/>
          </w:tcPr>
          <w:p>
            <w:pPr>
              <w:spacing w:after="0"/>
              <w:rPr>
                <w:sz w:val="17"/>
                <w:szCs w:val="17"/>
                <w:color w:val="auto"/>
              </w:rPr>
            </w:pPr>
          </w:p>
        </w:tc>
        <w:tc>
          <w:tcPr>
            <w:tcW w:w="1180" w:type="dxa"/>
            <w:vAlign w:val="bottom"/>
            <w:tcBorders>
              <w:bottom w:val="single" w:sz="8" w:color="DBDBDB"/>
            </w:tcBorders>
            <w:shd w:val="clear" w:color="auto" w:fill="DBDBDB"/>
          </w:tcPr>
          <w:p>
            <w:pPr>
              <w:spacing w:after="0"/>
              <w:rPr>
                <w:sz w:val="17"/>
                <w:szCs w:val="17"/>
                <w:color w:val="auto"/>
              </w:rPr>
            </w:pPr>
          </w:p>
        </w:tc>
        <w:tc>
          <w:tcPr>
            <w:tcW w:w="120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2"/>
                <w:szCs w:val="12"/>
                <w:color w:val="auto"/>
              </w:rPr>
              <w:t>1,840</w:t>
            </w:r>
          </w:p>
        </w:tc>
        <w:tc>
          <w:tcPr>
            <w:tcW w:w="118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2"/>
                <w:szCs w:val="12"/>
                <w:color w:val="auto"/>
              </w:rPr>
              <w:t>148,083</w:t>
            </w:r>
          </w:p>
        </w:tc>
        <w:tc>
          <w:tcPr>
            <w:tcW w:w="0" w:type="dxa"/>
            <w:vAlign w:val="bottom"/>
          </w:tcPr>
          <w:p>
            <w:pPr>
              <w:spacing w:after="0"/>
              <w:rPr>
                <w:sz w:val="1"/>
                <w:szCs w:val="1"/>
                <w:color w:val="auto"/>
              </w:rPr>
            </w:pPr>
          </w:p>
        </w:tc>
      </w:tr>
      <w:tr>
        <w:trPr>
          <w:trHeight w:val="173"/>
        </w:trPr>
        <w:tc>
          <w:tcPr>
            <w:tcW w:w="2240" w:type="dxa"/>
            <w:vAlign w:val="bottom"/>
          </w:tcPr>
          <w:p>
            <w:pPr>
              <w:ind w:left="20"/>
              <w:spacing w:after="0"/>
              <w:rPr>
                <w:sz w:val="20"/>
                <w:szCs w:val="20"/>
                <w:color w:val="auto"/>
              </w:rPr>
            </w:pPr>
            <w:r>
              <w:rPr>
                <w:rFonts w:ascii="Arial" w:cs="Arial" w:eastAsia="Arial" w:hAnsi="Arial"/>
                <w:sz w:val="12"/>
                <w:szCs w:val="12"/>
                <w:color w:val="auto"/>
              </w:rPr>
              <w:t>Joanna M. Totsky</w:t>
            </w:r>
          </w:p>
        </w:tc>
        <w:tc>
          <w:tcPr>
            <w:tcW w:w="11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0"/>
        </w:trPr>
        <w:tc>
          <w:tcPr>
            <w:tcW w:w="2240" w:type="dxa"/>
            <w:vAlign w:val="bottom"/>
          </w:tcPr>
          <w:p>
            <w:pPr>
              <w:ind w:left="100"/>
              <w:spacing w:after="0"/>
              <w:rPr>
                <w:sz w:val="20"/>
                <w:szCs w:val="20"/>
                <w:color w:val="auto"/>
              </w:rPr>
            </w:pPr>
            <w:r>
              <w:rPr>
                <w:rFonts w:ascii="Arial" w:cs="Arial" w:eastAsia="Arial" w:hAnsi="Arial"/>
                <w:sz w:val="12"/>
                <w:szCs w:val="12"/>
                <w:color w:val="auto"/>
              </w:rPr>
              <w:t>Stock Options</w:t>
            </w:r>
          </w:p>
        </w:tc>
        <w:tc>
          <w:tcPr>
            <w:tcW w:w="1160" w:type="dxa"/>
            <w:vAlign w:val="bottom"/>
          </w:tcPr>
          <w:p>
            <w:pPr>
              <w:jc w:val="right"/>
              <w:spacing w:after="0"/>
              <w:rPr>
                <w:sz w:val="20"/>
                <w:szCs w:val="20"/>
                <w:color w:val="auto"/>
              </w:rPr>
            </w:pPr>
            <w:r>
              <w:rPr>
                <w:rFonts w:ascii="Arial" w:cs="Arial" w:eastAsia="Arial" w:hAnsi="Arial"/>
                <w:sz w:val="12"/>
                <w:szCs w:val="12"/>
                <w:color w:val="auto"/>
              </w:rPr>
              <w:t>0</w:t>
            </w:r>
          </w:p>
        </w:tc>
        <w:tc>
          <w:tcPr>
            <w:tcW w:w="1200" w:type="dxa"/>
            <w:vAlign w:val="bottom"/>
          </w:tcPr>
          <w:p>
            <w:pPr>
              <w:jc w:val="right"/>
              <w:spacing w:after="0"/>
              <w:rPr>
                <w:sz w:val="20"/>
                <w:szCs w:val="20"/>
                <w:color w:val="auto"/>
              </w:rPr>
            </w:pPr>
            <w:r>
              <w:rPr>
                <w:rFonts w:ascii="Arial" w:cs="Arial" w:eastAsia="Arial" w:hAnsi="Arial"/>
                <w:sz w:val="12"/>
                <w:szCs w:val="12"/>
                <w:color w:val="auto"/>
              </w:rPr>
              <w:t>14,000</w:t>
            </w:r>
          </w:p>
        </w:tc>
        <w:tc>
          <w:tcPr>
            <w:tcW w:w="1180" w:type="dxa"/>
            <w:vAlign w:val="bottom"/>
          </w:tcPr>
          <w:p>
            <w:pPr>
              <w:jc w:val="right"/>
              <w:spacing w:after="0"/>
              <w:rPr>
                <w:sz w:val="20"/>
                <w:szCs w:val="20"/>
                <w:color w:val="auto"/>
              </w:rPr>
            </w:pPr>
            <w:r>
              <w:rPr>
                <w:rFonts w:ascii="Arial" w:cs="Arial" w:eastAsia="Arial" w:hAnsi="Arial"/>
                <w:sz w:val="12"/>
                <w:szCs w:val="12"/>
                <w:color w:val="auto"/>
              </w:rPr>
              <w:t>99.6000</w:t>
            </w:r>
          </w:p>
        </w:tc>
        <w:tc>
          <w:tcPr>
            <w:tcW w:w="1180" w:type="dxa"/>
            <w:vAlign w:val="bottom"/>
          </w:tcPr>
          <w:p>
            <w:pPr>
              <w:jc w:val="right"/>
              <w:spacing w:after="0"/>
              <w:rPr>
                <w:sz w:val="20"/>
                <w:szCs w:val="20"/>
                <w:color w:val="auto"/>
              </w:rPr>
            </w:pPr>
            <w:r>
              <w:rPr>
                <w:rFonts w:ascii="Arial" w:cs="Arial" w:eastAsia="Arial" w:hAnsi="Arial"/>
                <w:sz w:val="12"/>
                <w:szCs w:val="12"/>
                <w:color w:val="auto"/>
              </w:rPr>
              <w:t>12/26/2033</w:t>
            </w:r>
          </w:p>
        </w:tc>
        <w:tc>
          <w:tcPr>
            <w:tcW w:w="7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2240" w:type="dxa"/>
            <w:vAlign w:val="bottom"/>
          </w:tcPr>
          <w:p>
            <w:pPr>
              <w:ind w:left="100"/>
              <w:spacing w:after="0"/>
              <w:rPr>
                <w:sz w:val="20"/>
                <w:szCs w:val="20"/>
                <w:color w:val="auto"/>
              </w:rPr>
            </w:pPr>
            <w:r>
              <w:rPr>
                <w:rFonts w:ascii="Arial" w:cs="Arial" w:eastAsia="Arial" w:hAnsi="Arial"/>
                <w:sz w:val="12"/>
                <w:szCs w:val="12"/>
                <w:color w:val="auto"/>
              </w:rPr>
              <w:t>Restricted Stock Units</w:t>
            </w:r>
          </w:p>
        </w:tc>
        <w:tc>
          <w:tcPr>
            <w:tcW w:w="1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2"/>
                <w:szCs w:val="12"/>
                <w:color w:val="auto"/>
              </w:rPr>
              <w:t>9,443</w:t>
            </w:r>
          </w:p>
        </w:tc>
        <w:tc>
          <w:tcPr>
            <w:tcW w:w="1180" w:type="dxa"/>
            <w:vAlign w:val="bottom"/>
          </w:tcPr>
          <w:p>
            <w:pPr>
              <w:jc w:val="right"/>
              <w:spacing w:after="0"/>
              <w:rPr>
                <w:sz w:val="20"/>
                <w:szCs w:val="20"/>
                <w:color w:val="auto"/>
              </w:rPr>
            </w:pPr>
            <w:r>
              <w:rPr>
                <w:rFonts w:ascii="Arial" w:cs="Arial" w:eastAsia="Arial" w:hAnsi="Arial"/>
                <w:sz w:val="12"/>
                <w:szCs w:val="12"/>
                <w:color w:val="auto"/>
              </w:rPr>
              <w:t>759,995</w:t>
            </w:r>
          </w:p>
        </w:tc>
        <w:tc>
          <w:tcPr>
            <w:tcW w:w="12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2240" w:type="dxa"/>
            <w:vAlign w:val="bottom"/>
          </w:tcPr>
          <w:p>
            <w:pPr>
              <w:ind w:left="100"/>
              <w:spacing w:after="0"/>
              <w:rPr>
                <w:sz w:val="20"/>
                <w:szCs w:val="20"/>
                <w:color w:val="auto"/>
              </w:rPr>
            </w:pPr>
            <w:r>
              <w:rPr>
                <w:rFonts w:ascii="Arial" w:cs="Arial" w:eastAsia="Arial" w:hAnsi="Arial"/>
                <w:sz w:val="12"/>
                <w:szCs w:val="12"/>
                <w:color w:val="auto"/>
              </w:rPr>
              <w:t>F24-F26 Performance Shares</w:t>
            </w:r>
          </w:p>
        </w:tc>
        <w:tc>
          <w:tcPr>
            <w:tcW w:w="1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2"/>
                <w:szCs w:val="12"/>
                <w:color w:val="auto"/>
              </w:rPr>
              <w:t>1,760</w:t>
            </w:r>
          </w:p>
        </w:tc>
        <w:tc>
          <w:tcPr>
            <w:tcW w:w="1180" w:type="dxa"/>
            <w:vAlign w:val="bottom"/>
          </w:tcPr>
          <w:p>
            <w:pPr>
              <w:jc w:val="right"/>
              <w:spacing w:after="0"/>
              <w:rPr>
                <w:sz w:val="20"/>
                <w:szCs w:val="20"/>
                <w:color w:val="auto"/>
              </w:rPr>
            </w:pPr>
            <w:r>
              <w:rPr>
                <w:rFonts w:ascii="Arial" w:cs="Arial" w:eastAsia="Arial" w:hAnsi="Arial"/>
                <w:sz w:val="12"/>
                <w:szCs w:val="12"/>
                <w:color w:val="auto"/>
              </w:rPr>
              <w:t>141,645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1419225</wp:posOffset>
            </wp:positionH>
            <wp:positionV relativeFrom="paragraph">
              <wp:posOffset>-6540500</wp:posOffset>
            </wp:positionV>
            <wp:extent cx="5718810" cy="82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5718810" cy="825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135890</wp:posOffset>
            </wp:positionV>
            <wp:extent cx="1991360" cy="82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1991360" cy="8255"/>
                    </a:xfrm>
                    <a:prstGeom prst="rect">
                      <a:avLst/>
                    </a:prstGeom>
                    <a:noFill/>
                  </pic:spPr>
                </pic:pic>
              </a:graphicData>
            </a:graphic>
          </wp:anchor>
        </w:drawing>
      </w:r>
    </w:p>
    <w:p>
      <w:pPr>
        <w:spacing w:after="0" w:line="297" w:lineRule="exact"/>
        <w:rPr>
          <w:sz w:val="20"/>
          <w:szCs w:val="20"/>
          <w:color w:val="auto"/>
        </w:rPr>
      </w:pPr>
    </w:p>
    <w:p>
      <w:pPr>
        <w:ind w:left="320" w:right="400" w:hanging="313"/>
        <w:spacing w:after="0" w:line="261" w:lineRule="auto"/>
        <w:tabs>
          <w:tab w:leader="none" w:pos="320" w:val="left"/>
        </w:tabs>
        <w:numPr>
          <w:ilvl w:val="0"/>
          <w:numId w:val="69"/>
        </w:numPr>
        <w:rPr>
          <w:rFonts w:ascii="Times New Roman" w:cs="Times New Roman" w:eastAsia="Times New Roman" w:hAnsi="Times New Roman"/>
          <w:sz w:val="18"/>
          <w:szCs w:val="18"/>
          <w:color w:val="auto"/>
        </w:rPr>
      </w:pPr>
      <w:r>
        <w:rPr>
          <w:rFonts w:ascii="Arial" w:cs="Arial" w:eastAsia="Arial" w:hAnsi="Arial"/>
          <w:sz w:val="18"/>
          <w:szCs w:val="18"/>
          <w:color w:val="auto"/>
        </w:rPr>
        <w:t>Stock options have a ten-year term and vest in three equal installments on each of the first, second and third year anniversaries of the grant date. The vesting schedule for options unexercisable as of October 31, 2024 is as follows:</w:t>
      </w:r>
    </w:p>
    <w:p>
      <w:pPr>
        <w:sectPr>
          <w:pgSz w:w="11900" w:h="16838" w:orient="portrait"/>
          <w:cols w:equalWidth="0" w:num="1">
            <w:col w:w="11240"/>
          </w:cols>
          <w:pgMar w:left="320" w:top="1154"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154" w:right="339" w:bottom="1440" w:gutter="0" w:footer="0" w:header="0"/>
          <w:type w:val="continuous"/>
        </w:sectPr>
      </w:pPr>
    </w:p>
    <w:bookmarkStart w:id="65" w:name="page66"/>
    <w:bookmarkEnd w:id="65"/>
    <w:tbl>
      <w:tblPr>
        <w:tblLayout w:type="fixed"/>
        <w:tblInd w:w="640" w:type="dxa"/>
        <w:tblCellMar>
          <w:top w:w="0" w:type="dxa"/>
          <w:left w:w="0" w:type="dxa"/>
          <w:bottom w:w="0" w:type="dxa"/>
          <w:right w:w="0" w:type="dxa"/>
        </w:tblCellMar>
      </w:tblPr>
      <w:tr>
        <w:trPr>
          <w:trHeight w:val="161"/>
        </w:trPr>
        <w:tc>
          <w:tcPr>
            <w:tcW w:w="1200" w:type="dxa"/>
            <w:vAlign w:val="bottom"/>
            <w:vMerge w:val="restart"/>
            <w:shd w:val="clear" w:color="auto" w:fill="BF2115"/>
          </w:tcPr>
          <w:p>
            <w:pPr>
              <w:ind w:left="20"/>
              <w:spacing w:after="0"/>
              <w:rPr>
                <w:sz w:val="20"/>
                <w:szCs w:val="20"/>
                <w:color w:val="auto"/>
              </w:rPr>
            </w:pPr>
            <w:r>
              <w:rPr>
                <w:rFonts w:ascii="Arial" w:cs="Arial" w:eastAsia="Arial" w:hAnsi="Arial"/>
                <w:sz w:val="14"/>
                <w:szCs w:val="14"/>
                <w:b w:val="1"/>
                <w:bCs w:val="1"/>
                <w:color w:val="FFFFFF"/>
              </w:rPr>
              <w:t>Name</w:t>
            </w:r>
          </w:p>
        </w:tc>
        <w:tc>
          <w:tcPr>
            <w:tcW w:w="1200" w:type="dxa"/>
            <w:vAlign w:val="bottom"/>
            <w:vMerge w:val="restart"/>
            <w:shd w:val="clear" w:color="auto" w:fill="BF2115"/>
          </w:tcPr>
          <w:p>
            <w:pPr>
              <w:jc w:val="right"/>
              <w:ind w:right="169"/>
              <w:spacing w:after="0"/>
              <w:rPr>
                <w:sz w:val="20"/>
                <w:szCs w:val="20"/>
                <w:color w:val="auto"/>
              </w:rPr>
            </w:pPr>
            <w:r>
              <w:rPr>
                <w:rFonts w:ascii="Arial" w:cs="Arial" w:eastAsia="Arial" w:hAnsi="Arial"/>
                <w:sz w:val="14"/>
                <w:szCs w:val="14"/>
                <w:b w:val="1"/>
                <w:bCs w:val="1"/>
                <w:color w:val="FFFFFF"/>
              </w:rPr>
              <w:t>Grant Date</w:t>
            </w:r>
          </w:p>
        </w:tc>
        <w:tc>
          <w:tcPr>
            <w:tcW w:w="1340" w:type="dxa"/>
            <w:vAlign w:val="bottom"/>
            <w:vMerge w:val="restart"/>
            <w:shd w:val="clear" w:color="auto" w:fill="BF2115"/>
          </w:tcPr>
          <w:p>
            <w:pPr>
              <w:jc w:val="right"/>
              <w:ind w:right="389"/>
              <w:spacing w:after="0"/>
              <w:rPr>
                <w:sz w:val="20"/>
                <w:szCs w:val="20"/>
                <w:color w:val="auto"/>
              </w:rPr>
            </w:pPr>
            <w:r>
              <w:rPr>
                <w:rFonts w:ascii="Arial" w:cs="Arial" w:eastAsia="Arial" w:hAnsi="Arial"/>
                <w:sz w:val="14"/>
                <w:szCs w:val="14"/>
                <w:b w:val="1"/>
                <w:bCs w:val="1"/>
                <w:color w:val="FFFFFF"/>
              </w:rPr>
              <w:t>12/16/24</w:t>
            </w:r>
          </w:p>
        </w:tc>
        <w:tc>
          <w:tcPr>
            <w:tcW w:w="1220" w:type="dxa"/>
            <w:vAlign w:val="bottom"/>
            <w:vMerge w:val="restart"/>
            <w:shd w:val="clear" w:color="auto" w:fill="BF2115"/>
          </w:tcPr>
          <w:p>
            <w:pPr>
              <w:jc w:val="right"/>
              <w:ind w:right="409"/>
              <w:spacing w:after="0"/>
              <w:rPr>
                <w:sz w:val="20"/>
                <w:szCs w:val="20"/>
                <w:color w:val="auto"/>
              </w:rPr>
            </w:pPr>
            <w:r>
              <w:rPr>
                <w:rFonts w:ascii="Arial" w:cs="Arial" w:eastAsia="Arial" w:hAnsi="Arial"/>
                <w:sz w:val="14"/>
                <w:szCs w:val="14"/>
                <w:b w:val="1"/>
                <w:bCs w:val="1"/>
                <w:color w:val="FFFFFF"/>
              </w:rPr>
              <w:t>12/22/24</w:t>
            </w:r>
          </w:p>
        </w:tc>
        <w:tc>
          <w:tcPr>
            <w:tcW w:w="1200" w:type="dxa"/>
            <w:vAlign w:val="bottom"/>
            <w:vMerge w:val="restart"/>
            <w:shd w:val="clear" w:color="auto" w:fill="BF2115"/>
          </w:tcPr>
          <w:p>
            <w:pPr>
              <w:jc w:val="right"/>
              <w:ind w:right="409"/>
              <w:spacing w:after="0"/>
              <w:rPr>
                <w:sz w:val="20"/>
                <w:szCs w:val="20"/>
                <w:color w:val="auto"/>
              </w:rPr>
            </w:pPr>
            <w:r>
              <w:rPr>
                <w:rFonts w:ascii="Arial" w:cs="Arial" w:eastAsia="Arial" w:hAnsi="Arial"/>
                <w:sz w:val="14"/>
                <w:szCs w:val="14"/>
                <w:b w:val="1"/>
                <w:bCs w:val="1"/>
                <w:color w:val="FFFFFF"/>
              </w:rPr>
              <w:t>12/26/24</w:t>
            </w:r>
          </w:p>
        </w:tc>
        <w:tc>
          <w:tcPr>
            <w:tcW w:w="1200" w:type="dxa"/>
            <w:vAlign w:val="bottom"/>
            <w:vMerge w:val="restart"/>
            <w:shd w:val="clear" w:color="auto" w:fill="BF2115"/>
          </w:tcPr>
          <w:p>
            <w:pPr>
              <w:jc w:val="right"/>
              <w:ind w:right="409"/>
              <w:spacing w:after="0"/>
              <w:rPr>
                <w:sz w:val="20"/>
                <w:szCs w:val="20"/>
                <w:color w:val="auto"/>
              </w:rPr>
            </w:pPr>
            <w:r>
              <w:rPr>
                <w:rFonts w:ascii="Arial" w:cs="Arial" w:eastAsia="Arial" w:hAnsi="Arial"/>
                <w:sz w:val="14"/>
                <w:szCs w:val="14"/>
                <w:b w:val="1"/>
                <w:bCs w:val="1"/>
                <w:color w:val="FFFFFF"/>
              </w:rPr>
              <w:t>12/22/25</w:t>
            </w:r>
          </w:p>
        </w:tc>
        <w:tc>
          <w:tcPr>
            <w:tcW w:w="1200" w:type="dxa"/>
            <w:vAlign w:val="bottom"/>
            <w:vMerge w:val="restart"/>
            <w:shd w:val="clear" w:color="auto" w:fill="BF2115"/>
          </w:tcPr>
          <w:p>
            <w:pPr>
              <w:jc w:val="right"/>
              <w:ind w:right="409"/>
              <w:spacing w:after="0"/>
              <w:rPr>
                <w:sz w:val="20"/>
                <w:szCs w:val="20"/>
                <w:color w:val="auto"/>
              </w:rPr>
            </w:pPr>
            <w:r>
              <w:rPr>
                <w:rFonts w:ascii="Arial" w:cs="Arial" w:eastAsia="Arial" w:hAnsi="Arial"/>
                <w:sz w:val="14"/>
                <w:szCs w:val="14"/>
                <w:b w:val="1"/>
                <w:bCs w:val="1"/>
                <w:color w:val="FFFFFF"/>
              </w:rPr>
              <w:t>12/26/25</w:t>
            </w:r>
          </w:p>
        </w:tc>
        <w:tc>
          <w:tcPr>
            <w:tcW w:w="1080" w:type="dxa"/>
            <w:vAlign w:val="bottom"/>
            <w:vMerge w:val="restart"/>
            <w:shd w:val="clear" w:color="auto" w:fill="BF2115"/>
          </w:tcPr>
          <w:p>
            <w:pPr>
              <w:jc w:val="right"/>
              <w:ind w:right="289"/>
              <w:spacing w:after="0"/>
              <w:rPr>
                <w:sz w:val="20"/>
                <w:szCs w:val="20"/>
                <w:color w:val="auto"/>
              </w:rPr>
            </w:pPr>
            <w:r>
              <w:rPr>
                <w:rFonts w:ascii="Arial" w:cs="Arial" w:eastAsia="Arial" w:hAnsi="Arial"/>
                <w:sz w:val="14"/>
                <w:szCs w:val="14"/>
                <w:b w:val="1"/>
                <w:bCs w:val="1"/>
                <w:color w:val="FFFFFF"/>
              </w:rPr>
              <w:t>12/26/26</w:t>
            </w:r>
          </w:p>
        </w:tc>
        <w:tc>
          <w:tcPr>
            <w:tcW w:w="1060" w:type="dxa"/>
            <w:vAlign w:val="bottom"/>
            <w:shd w:val="clear" w:color="auto" w:fill="BF2115"/>
          </w:tcPr>
          <w:p>
            <w:pPr>
              <w:jc w:val="right"/>
              <w:ind w:right="169"/>
              <w:spacing w:after="0"/>
              <w:rPr>
                <w:sz w:val="20"/>
                <w:szCs w:val="20"/>
                <w:color w:val="auto"/>
              </w:rPr>
            </w:pPr>
            <w:r>
              <w:rPr>
                <w:rFonts w:ascii="Arial" w:cs="Arial" w:eastAsia="Arial" w:hAnsi="Arial"/>
                <w:sz w:val="14"/>
                <w:szCs w:val="14"/>
                <w:b w:val="1"/>
                <w:bCs w:val="1"/>
                <w:color w:val="FFFFFF"/>
              </w:rPr>
              <w:t>Option</w:t>
            </w:r>
          </w:p>
        </w:tc>
        <w:tc>
          <w:tcPr>
            <w:tcW w:w="0" w:type="dxa"/>
            <w:vAlign w:val="bottom"/>
          </w:tcPr>
          <w:p>
            <w:pPr>
              <w:spacing w:after="0"/>
              <w:rPr>
                <w:sz w:val="1"/>
                <w:szCs w:val="1"/>
                <w:color w:val="auto"/>
              </w:rPr>
            </w:pPr>
          </w:p>
        </w:tc>
      </w:tr>
      <w:tr>
        <w:trPr>
          <w:trHeight w:val="183"/>
        </w:trPr>
        <w:tc>
          <w:tcPr>
            <w:tcW w:w="1200" w:type="dxa"/>
            <w:vAlign w:val="bottom"/>
            <w:vMerge w:val="continue"/>
            <w:shd w:val="clear" w:color="auto" w:fill="BF2115"/>
          </w:tcPr>
          <w:p>
            <w:pPr>
              <w:spacing w:after="0"/>
              <w:rPr>
                <w:sz w:val="15"/>
                <w:szCs w:val="15"/>
                <w:color w:val="auto"/>
              </w:rPr>
            </w:pPr>
          </w:p>
        </w:tc>
        <w:tc>
          <w:tcPr>
            <w:tcW w:w="1200" w:type="dxa"/>
            <w:vAlign w:val="bottom"/>
            <w:vMerge w:val="continue"/>
            <w:shd w:val="clear" w:color="auto" w:fill="BF2115"/>
          </w:tcPr>
          <w:p>
            <w:pPr>
              <w:spacing w:after="0"/>
              <w:rPr>
                <w:sz w:val="15"/>
                <w:szCs w:val="15"/>
                <w:color w:val="auto"/>
              </w:rPr>
            </w:pPr>
          </w:p>
        </w:tc>
        <w:tc>
          <w:tcPr>
            <w:tcW w:w="1340" w:type="dxa"/>
            <w:vAlign w:val="bottom"/>
            <w:vMerge w:val="continue"/>
            <w:shd w:val="clear" w:color="auto" w:fill="BF2115"/>
          </w:tcPr>
          <w:p>
            <w:pPr>
              <w:spacing w:after="0"/>
              <w:rPr>
                <w:sz w:val="15"/>
                <w:szCs w:val="15"/>
                <w:color w:val="auto"/>
              </w:rPr>
            </w:pPr>
          </w:p>
        </w:tc>
        <w:tc>
          <w:tcPr>
            <w:tcW w:w="1220" w:type="dxa"/>
            <w:vAlign w:val="bottom"/>
            <w:vMerge w:val="continue"/>
            <w:shd w:val="clear" w:color="auto" w:fill="BF2115"/>
          </w:tcPr>
          <w:p>
            <w:pPr>
              <w:spacing w:after="0"/>
              <w:rPr>
                <w:sz w:val="15"/>
                <w:szCs w:val="15"/>
                <w:color w:val="auto"/>
              </w:rPr>
            </w:pPr>
          </w:p>
        </w:tc>
        <w:tc>
          <w:tcPr>
            <w:tcW w:w="1200" w:type="dxa"/>
            <w:vAlign w:val="bottom"/>
            <w:vMerge w:val="continue"/>
            <w:shd w:val="clear" w:color="auto" w:fill="BF2115"/>
          </w:tcPr>
          <w:p>
            <w:pPr>
              <w:spacing w:after="0"/>
              <w:rPr>
                <w:sz w:val="15"/>
                <w:szCs w:val="15"/>
                <w:color w:val="auto"/>
              </w:rPr>
            </w:pPr>
          </w:p>
        </w:tc>
        <w:tc>
          <w:tcPr>
            <w:tcW w:w="1200" w:type="dxa"/>
            <w:vAlign w:val="bottom"/>
            <w:vMerge w:val="continue"/>
            <w:shd w:val="clear" w:color="auto" w:fill="BF2115"/>
          </w:tcPr>
          <w:p>
            <w:pPr>
              <w:spacing w:after="0"/>
              <w:rPr>
                <w:sz w:val="15"/>
                <w:szCs w:val="15"/>
                <w:color w:val="auto"/>
              </w:rPr>
            </w:pPr>
          </w:p>
        </w:tc>
        <w:tc>
          <w:tcPr>
            <w:tcW w:w="1200" w:type="dxa"/>
            <w:vAlign w:val="bottom"/>
            <w:vMerge w:val="continue"/>
            <w:shd w:val="clear" w:color="auto" w:fill="BF2115"/>
          </w:tcPr>
          <w:p>
            <w:pPr>
              <w:spacing w:after="0"/>
              <w:rPr>
                <w:sz w:val="15"/>
                <w:szCs w:val="15"/>
                <w:color w:val="auto"/>
              </w:rPr>
            </w:pPr>
          </w:p>
        </w:tc>
        <w:tc>
          <w:tcPr>
            <w:tcW w:w="1080" w:type="dxa"/>
            <w:vAlign w:val="bottom"/>
            <w:vMerge w:val="continue"/>
            <w:shd w:val="clear" w:color="auto" w:fill="BF2115"/>
          </w:tcPr>
          <w:p>
            <w:pPr>
              <w:spacing w:after="0"/>
              <w:rPr>
                <w:sz w:val="15"/>
                <w:szCs w:val="15"/>
                <w:color w:val="auto"/>
              </w:rPr>
            </w:pPr>
          </w:p>
        </w:tc>
        <w:tc>
          <w:tcPr>
            <w:tcW w:w="1060" w:type="dxa"/>
            <w:vAlign w:val="bottom"/>
            <w:shd w:val="clear" w:color="auto" w:fill="BF2115"/>
          </w:tcPr>
          <w:p>
            <w:pPr>
              <w:jc w:val="right"/>
              <w:spacing w:after="0"/>
              <w:rPr>
                <w:sz w:val="20"/>
                <w:szCs w:val="20"/>
                <w:color w:val="auto"/>
              </w:rPr>
            </w:pPr>
            <w:r>
              <w:rPr>
                <w:rFonts w:ascii="Arial" w:cs="Arial" w:eastAsia="Arial" w:hAnsi="Arial"/>
                <w:sz w:val="14"/>
                <w:szCs w:val="14"/>
                <w:b w:val="1"/>
                <w:bCs w:val="1"/>
                <w:color w:val="FFFFFF"/>
              </w:rPr>
              <w:t>Expiration Dat</w:t>
            </w:r>
          </w:p>
        </w:tc>
        <w:tc>
          <w:tcPr>
            <w:tcW w:w="0" w:type="dxa"/>
            <w:vAlign w:val="bottom"/>
          </w:tcPr>
          <w:p>
            <w:pPr>
              <w:spacing w:after="0"/>
              <w:rPr>
                <w:sz w:val="1"/>
                <w:szCs w:val="1"/>
                <w:color w:val="auto"/>
              </w:rPr>
            </w:pPr>
          </w:p>
        </w:tc>
      </w:tr>
      <w:tr>
        <w:trPr>
          <w:trHeight w:val="206"/>
        </w:trPr>
        <w:tc>
          <w:tcPr>
            <w:tcW w:w="1200" w:type="dxa"/>
            <w:vAlign w:val="bottom"/>
          </w:tcPr>
          <w:p>
            <w:pPr>
              <w:ind w:left="20"/>
              <w:spacing w:after="0"/>
              <w:rPr>
                <w:sz w:val="20"/>
                <w:szCs w:val="20"/>
                <w:color w:val="auto"/>
              </w:rPr>
            </w:pPr>
            <w:r>
              <w:rPr>
                <w:rFonts w:ascii="Arial" w:cs="Arial" w:eastAsia="Arial" w:hAnsi="Arial"/>
                <w:sz w:val="14"/>
                <w:szCs w:val="14"/>
                <w:color w:val="auto"/>
              </w:rPr>
              <w:t>Mr. Olson</w:t>
            </w:r>
          </w:p>
        </w:tc>
        <w:tc>
          <w:tcPr>
            <w:tcW w:w="1200" w:type="dxa"/>
            <w:vAlign w:val="bottom"/>
          </w:tcPr>
          <w:p>
            <w:pPr>
              <w:jc w:val="right"/>
              <w:spacing w:after="0"/>
              <w:rPr>
                <w:sz w:val="20"/>
                <w:szCs w:val="20"/>
                <w:color w:val="auto"/>
              </w:rPr>
            </w:pPr>
            <w:r>
              <w:rPr>
                <w:rFonts w:ascii="Arial" w:cs="Arial" w:eastAsia="Arial" w:hAnsi="Arial"/>
                <w:sz w:val="14"/>
                <w:szCs w:val="14"/>
                <w:color w:val="auto"/>
              </w:rPr>
              <w:t>12/16/21</w:t>
            </w:r>
          </w:p>
        </w:tc>
        <w:tc>
          <w:tcPr>
            <w:tcW w:w="1340" w:type="dxa"/>
            <w:vAlign w:val="bottom"/>
          </w:tcPr>
          <w:p>
            <w:pPr>
              <w:jc w:val="right"/>
              <w:ind w:right="89"/>
              <w:spacing w:after="0"/>
              <w:rPr>
                <w:sz w:val="20"/>
                <w:szCs w:val="20"/>
                <w:color w:val="auto"/>
              </w:rPr>
            </w:pPr>
            <w:r>
              <w:rPr>
                <w:rFonts w:ascii="Arial" w:cs="Arial" w:eastAsia="Arial" w:hAnsi="Arial"/>
                <w:sz w:val="14"/>
                <w:szCs w:val="14"/>
                <w:color w:val="auto"/>
              </w:rPr>
              <w:t>36,367</w:t>
            </w:r>
          </w:p>
        </w:tc>
        <w:tc>
          <w:tcPr>
            <w:tcW w:w="12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12/16/3</w:t>
            </w:r>
          </w:p>
        </w:tc>
        <w:tc>
          <w:tcPr>
            <w:tcW w:w="0" w:type="dxa"/>
            <w:vAlign w:val="bottom"/>
          </w:tcPr>
          <w:p>
            <w:pPr>
              <w:spacing w:after="0"/>
              <w:rPr>
                <w:sz w:val="1"/>
                <w:szCs w:val="1"/>
                <w:color w:val="auto"/>
              </w:rPr>
            </w:pPr>
          </w:p>
        </w:tc>
      </w:tr>
      <w:tr>
        <w:trPr>
          <w:trHeight w:val="213"/>
        </w:trPr>
        <w:tc>
          <w:tcPr>
            <w:tcW w:w="12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12/22/22</w:t>
            </w:r>
          </w:p>
        </w:tc>
        <w:tc>
          <w:tcPr>
            <w:tcW w:w="1340" w:type="dxa"/>
            <w:vAlign w:val="bottom"/>
          </w:tcPr>
          <w:p>
            <w:pPr>
              <w:spacing w:after="0"/>
              <w:rPr>
                <w:sz w:val="18"/>
                <w:szCs w:val="18"/>
                <w:color w:val="auto"/>
              </w:rPr>
            </w:pPr>
          </w:p>
        </w:tc>
        <w:tc>
          <w:tcPr>
            <w:tcW w:w="1220" w:type="dxa"/>
            <w:vAlign w:val="bottom"/>
          </w:tcPr>
          <w:p>
            <w:pPr>
              <w:jc w:val="right"/>
              <w:ind w:right="109"/>
              <w:spacing w:after="0"/>
              <w:rPr>
                <w:sz w:val="20"/>
                <w:szCs w:val="20"/>
                <w:color w:val="auto"/>
              </w:rPr>
            </w:pPr>
            <w:r>
              <w:rPr>
                <w:rFonts w:ascii="Arial" w:cs="Arial" w:eastAsia="Arial" w:hAnsi="Arial"/>
                <w:sz w:val="14"/>
                <w:szCs w:val="14"/>
                <w:color w:val="auto"/>
              </w:rPr>
              <w:t>36,400</w:t>
            </w:r>
          </w:p>
        </w:tc>
        <w:tc>
          <w:tcPr>
            <w:tcW w:w="1200" w:type="dxa"/>
            <w:vAlign w:val="bottom"/>
          </w:tcPr>
          <w:p>
            <w:pPr>
              <w:spacing w:after="0"/>
              <w:rPr>
                <w:sz w:val="18"/>
                <w:szCs w:val="18"/>
                <w:color w:val="auto"/>
              </w:rPr>
            </w:pPr>
          </w:p>
        </w:tc>
        <w:tc>
          <w:tcPr>
            <w:tcW w:w="1200" w:type="dxa"/>
            <w:vAlign w:val="bottom"/>
          </w:tcPr>
          <w:p>
            <w:pPr>
              <w:jc w:val="right"/>
              <w:ind w:right="109"/>
              <w:spacing w:after="0"/>
              <w:rPr>
                <w:sz w:val="20"/>
                <w:szCs w:val="20"/>
                <w:color w:val="auto"/>
              </w:rPr>
            </w:pPr>
            <w:r>
              <w:rPr>
                <w:rFonts w:ascii="Arial" w:cs="Arial" w:eastAsia="Arial" w:hAnsi="Arial"/>
                <w:sz w:val="14"/>
                <w:szCs w:val="14"/>
                <w:color w:val="auto"/>
              </w:rPr>
              <w:t>36,400</w:t>
            </w:r>
          </w:p>
        </w:tc>
        <w:tc>
          <w:tcPr>
            <w:tcW w:w="1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12/22/3</w:t>
            </w:r>
          </w:p>
        </w:tc>
        <w:tc>
          <w:tcPr>
            <w:tcW w:w="0" w:type="dxa"/>
            <w:vAlign w:val="bottom"/>
          </w:tcPr>
          <w:p>
            <w:pPr>
              <w:spacing w:after="0"/>
              <w:rPr>
                <w:sz w:val="1"/>
                <w:szCs w:val="1"/>
                <w:color w:val="auto"/>
              </w:rPr>
            </w:pPr>
          </w:p>
        </w:tc>
      </w:tr>
      <w:tr>
        <w:trPr>
          <w:trHeight w:val="217"/>
        </w:trPr>
        <w:tc>
          <w:tcPr>
            <w:tcW w:w="12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12/26/23</w:t>
            </w:r>
          </w:p>
        </w:tc>
        <w:tc>
          <w:tcPr>
            <w:tcW w:w="13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0" w:type="dxa"/>
            <w:vAlign w:val="bottom"/>
          </w:tcPr>
          <w:p>
            <w:pPr>
              <w:jc w:val="right"/>
              <w:ind w:right="109"/>
              <w:spacing w:after="0"/>
              <w:rPr>
                <w:sz w:val="20"/>
                <w:szCs w:val="20"/>
                <w:color w:val="auto"/>
              </w:rPr>
            </w:pPr>
            <w:r>
              <w:rPr>
                <w:rFonts w:ascii="Arial" w:cs="Arial" w:eastAsia="Arial" w:hAnsi="Arial"/>
                <w:sz w:val="14"/>
                <w:szCs w:val="14"/>
                <w:color w:val="auto"/>
              </w:rPr>
              <w:t>33,766</w:t>
            </w:r>
          </w:p>
        </w:tc>
        <w:tc>
          <w:tcPr>
            <w:tcW w:w="1200" w:type="dxa"/>
            <w:vAlign w:val="bottom"/>
          </w:tcPr>
          <w:p>
            <w:pPr>
              <w:spacing w:after="0"/>
              <w:rPr>
                <w:sz w:val="18"/>
                <w:szCs w:val="18"/>
                <w:color w:val="auto"/>
              </w:rPr>
            </w:pPr>
          </w:p>
        </w:tc>
        <w:tc>
          <w:tcPr>
            <w:tcW w:w="1200" w:type="dxa"/>
            <w:vAlign w:val="bottom"/>
          </w:tcPr>
          <w:p>
            <w:pPr>
              <w:jc w:val="right"/>
              <w:ind w:right="109"/>
              <w:spacing w:after="0"/>
              <w:rPr>
                <w:sz w:val="20"/>
                <w:szCs w:val="20"/>
                <w:color w:val="auto"/>
              </w:rPr>
            </w:pPr>
            <w:r>
              <w:rPr>
                <w:rFonts w:ascii="Arial" w:cs="Arial" w:eastAsia="Arial" w:hAnsi="Arial"/>
                <w:sz w:val="14"/>
                <w:szCs w:val="14"/>
                <w:color w:val="auto"/>
              </w:rPr>
              <w:t>33,767</w:t>
            </w:r>
          </w:p>
        </w:tc>
        <w:tc>
          <w:tcPr>
            <w:tcW w:w="1080" w:type="dxa"/>
            <w:vAlign w:val="bottom"/>
          </w:tcPr>
          <w:p>
            <w:pPr>
              <w:jc w:val="right"/>
              <w:spacing w:after="0"/>
              <w:rPr>
                <w:sz w:val="20"/>
                <w:szCs w:val="20"/>
                <w:color w:val="auto"/>
              </w:rPr>
            </w:pPr>
            <w:r>
              <w:rPr>
                <w:rFonts w:ascii="Arial" w:cs="Arial" w:eastAsia="Arial" w:hAnsi="Arial"/>
                <w:sz w:val="14"/>
                <w:szCs w:val="14"/>
                <w:color w:val="auto"/>
              </w:rPr>
              <w:t>33,767</w:t>
            </w:r>
          </w:p>
        </w:tc>
        <w:tc>
          <w:tcPr>
            <w:tcW w:w="1060" w:type="dxa"/>
            <w:vAlign w:val="bottom"/>
          </w:tcPr>
          <w:p>
            <w:pPr>
              <w:jc w:val="right"/>
              <w:spacing w:after="0"/>
              <w:rPr>
                <w:sz w:val="20"/>
                <w:szCs w:val="20"/>
                <w:color w:val="auto"/>
              </w:rPr>
            </w:pPr>
            <w:r>
              <w:rPr>
                <w:rFonts w:ascii="Arial" w:cs="Arial" w:eastAsia="Arial" w:hAnsi="Arial"/>
                <w:sz w:val="14"/>
                <w:szCs w:val="14"/>
                <w:color w:val="auto"/>
              </w:rPr>
              <w:t>12/26/3</w:t>
            </w:r>
          </w:p>
        </w:tc>
        <w:tc>
          <w:tcPr>
            <w:tcW w:w="0" w:type="dxa"/>
            <w:vAlign w:val="bottom"/>
          </w:tcPr>
          <w:p>
            <w:pPr>
              <w:spacing w:after="0"/>
              <w:rPr>
                <w:sz w:val="1"/>
                <w:szCs w:val="1"/>
                <w:color w:val="auto"/>
              </w:rPr>
            </w:pPr>
          </w:p>
        </w:tc>
      </w:tr>
      <w:tr>
        <w:trPr>
          <w:trHeight w:val="210"/>
        </w:trPr>
        <w:tc>
          <w:tcPr>
            <w:tcW w:w="1200" w:type="dxa"/>
            <w:vAlign w:val="bottom"/>
            <w:shd w:val="clear" w:color="auto" w:fill="DBDBDB"/>
          </w:tcPr>
          <w:p>
            <w:pPr>
              <w:ind w:left="20"/>
              <w:spacing w:after="0"/>
              <w:rPr>
                <w:sz w:val="20"/>
                <w:szCs w:val="20"/>
                <w:color w:val="auto"/>
              </w:rPr>
            </w:pPr>
            <w:r>
              <w:rPr>
                <w:rFonts w:ascii="Arial" w:cs="Arial" w:eastAsia="Arial" w:hAnsi="Arial"/>
                <w:sz w:val="14"/>
                <w:szCs w:val="14"/>
                <w:color w:val="auto"/>
              </w:rPr>
              <w:t>Ms. Drake</w:t>
            </w:r>
          </w:p>
        </w:tc>
        <w:tc>
          <w:tcPr>
            <w:tcW w:w="1200" w:type="dxa"/>
            <w:vAlign w:val="bottom"/>
            <w:shd w:val="clear" w:color="auto" w:fill="DBDBDB"/>
          </w:tcPr>
          <w:p>
            <w:pPr>
              <w:jc w:val="right"/>
              <w:spacing w:after="0"/>
              <w:rPr>
                <w:sz w:val="20"/>
                <w:szCs w:val="20"/>
                <w:color w:val="auto"/>
              </w:rPr>
            </w:pPr>
            <w:r>
              <w:rPr>
                <w:rFonts w:ascii="Arial" w:cs="Arial" w:eastAsia="Arial" w:hAnsi="Arial"/>
                <w:sz w:val="14"/>
                <w:szCs w:val="14"/>
                <w:color w:val="auto"/>
              </w:rPr>
              <w:t>12/16/21</w:t>
            </w:r>
          </w:p>
        </w:tc>
        <w:tc>
          <w:tcPr>
            <w:tcW w:w="1340" w:type="dxa"/>
            <w:vAlign w:val="bottom"/>
            <w:shd w:val="clear" w:color="auto" w:fill="DBDBDB"/>
          </w:tcPr>
          <w:p>
            <w:pPr>
              <w:jc w:val="right"/>
              <w:ind w:right="89"/>
              <w:spacing w:after="0"/>
              <w:rPr>
                <w:sz w:val="20"/>
                <w:szCs w:val="20"/>
                <w:color w:val="auto"/>
              </w:rPr>
            </w:pPr>
            <w:r>
              <w:rPr>
                <w:rFonts w:ascii="Arial" w:cs="Arial" w:eastAsia="Arial" w:hAnsi="Arial"/>
                <w:sz w:val="14"/>
                <w:szCs w:val="14"/>
                <w:color w:val="auto"/>
              </w:rPr>
              <w:t>1,900</w:t>
            </w:r>
          </w:p>
        </w:tc>
        <w:tc>
          <w:tcPr>
            <w:tcW w:w="1220" w:type="dxa"/>
            <w:vAlign w:val="bottom"/>
            <w:shd w:val="clear" w:color="auto" w:fill="DBDBDB"/>
          </w:tcPr>
          <w:p>
            <w:pPr>
              <w:spacing w:after="0"/>
              <w:rPr>
                <w:sz w:val="18"/>
                <w:szCs w:val="18"/>
                <w:color w:val="auto"/>
              </w:rPr>
            </w:pPr>
          </w:p>
        </w:tc>
        <w:tc>
          <w:tcPr>
            <w:tcW w:w="1200" w:type="dxa"/>
            <w:vAlign w:val="bottom"/>
            <w:shd w:val="clear" w:color="auto" w:fill="DBDBDB"/>
          </w:tcPr>
          <w:p>
            <w:pPr>
              <w:spacing w:after="0"/>
              <w:rPr>
                <w:sz w:val="18"/>
                <w:szCs w:val="18"/>
                <w:color w:val="auto"/>
              </w:rPr>
            </w:pPr>
          </w:p>
        </w:tc>
        <w:tc>
          <w:tcPr>
            <w:tcW w:w="1200" w:type="dxa"/>
            <w:vAlign w:val="bottom"/>
            <w:shd w:val="clear" w:color="auto" w:fill="DBDBDB"/>
          </w:tcPr>
          <w:p>
            <w:pPr>
              <w:spacing w:after="0"/>
              <w:rPr>
                <w:sz w:val="18"/>
                <w:szCs w:val="18"/>
                <w:color w:val="auto"/>
              </w:rPr>
            </w:pPr>
          </w:p>
        </w:tc>
        <w:tc>
          <w:tcPr>
            <w:tcW w:w="1200" w:type="dxa"/>
            <w:vAlign w:val="bottom"/>
            <w:shd w:val="clear" w:color="auto" w:fill="DBDBDB"/>
          </w:tcPr>
          <w:p>
            <w:pPr>
              <w:spacing w:after="0"/>
              <w:rPr>
                <w:sz w:val="18"/>
                <w:szCs w:val="18"/>
                <w:color w:val="auto"/>
              </w:rPr>
            </w:pPr>
          </w:p>
        </w:tc>
        <w:tc>
          <w:tcPr>
            <w:tcW w:w="1080" w:type="dxa"/>
            <w:vAlign w:val="bottom"/>
            <w:shd w:val="clear" w:color="auto" w:fill="DBDBDB"/>
          </w:tcPr>
          <w:p>
            <w:pPr>
              <w:spacing w:after="0"/>
              <w:rPr>
                <w:sz w:val="18"/>
                <w:szCs w:val="18"/>
                <w:color w:val="auto"/>
              </w:rPr>
            </w:pPr>
          </w:p>
        </w:tc>
        <w:tc>
          <w:tcPr>
            <w:tcW w:w="1060" w:type="dxa"/>
            <w:vAlign w:val="bottom"/>
            <w:shd w:val="clear" w:color="auto" w:fill="DBDBDB"/>
          </w:tcPr>
          <w:p>
            <w:pPr>
              <w:jc w:val="right"/>
              <w:spacing w:after="0"/>
              <w:rPr>
                <w:sz w:val="20"/>
                <w:szCs w:val="20"/>
                <w:color w:val="auto"/>
              </w:rPr>
            </w:pPr>
            <w:r>
              <w:rPr>
                <w:rFonts w:ascii="Arial" w:cs="Arial" w:eastAsia="Arial" w:hAnsi="Arial"/>
                <w:sz w:val="14"/>
                <w:szCs w:val="14"/>
                <w:color w:val="auto"/>
              </w:rPr>
              <w:t>12/16/3</w:t>
            </w:r>
          </w:p>
        </w:tc>
        <w:tc>
          <w:tcPr>
            <w:tcW w:w="0" w:type="dxa"/>
            <w:vAlign w:val="bottom"/>
          </w:tcPr>
          <w:p>
            <w:pPr>
              <w:spacing w:after="0"/>
              <w:rPr>
                <w:sz w:val="1"/>
                <w:szCs w:val="1"/>
                <w:color w:val="auto"/>
              </w:rPr>
            </w:pPr>
          </w:p>
        </w:tc>
      </w:tr>
      <w:tr>
        <w:trPr>
          <w:trHeight w:val="213"/>
        </w:trPr>
        <w:tc>
          <w:tcPr>
            <w:tcW w:w="1200" w:type="dxa"/>
            <w:vAlign w:val="bottom"/>
            <w:shd w:val="clear" w:color="auto" w:fill="DBDBDB"/>
          </w:tcPr>
          <w:p>
            <w:pPr>
              <w:spacing w:after="0"/>
              <w:rPr>
                <w:sz w:val="18"/>
                <w:szCs w:val="18"/>
                <w:color w:val="auto"/>
              </w:rPr>
            </w:pPr>
          </w:p>
        </w:tc>
        <w:tc>
          <w:tcPr>
            <w:tcW w:w="1200" w:type="dxa"/>
            <w:vAlign w:val="bottom"/>
            <w:shd w:val="clear" w:color="auto" w:fill="DBDBDB"/>
          </w:tcPr>
          <w:p>
            <w:pPr>
              <w:jc w:val="right"/>
              <w:spacing w:after="0"/>
              <w:rPr>
                <w:sz w:val="20"/>
                <w:szCs w:val="20"/>
                <w:color w:val="auto"/>
              </w:rPr>
            </w:pPr>
            <w:r>
              <w:rPr>
                <w:rFonts w:ascii="Arial" w:cs="Arial" w:eastAsia="Arial" w:hAnsi="Arial"/>
                <w:sz w:val="14"/>
                <w:szCs w:val="14"/>
                <w:color w:val="auto"/>
              </w:rPr>
              <w:t>12/22/22</w:t>
            </w:r>
          </w:p>
        </w:tc>
        <w:tc>
          <w:tcPr>
            <w:tcW w:w="1340" w:type="dxa"/>
            <w:vAlign w:val="bottom"/>
            <w:shd w:val="clear" w:color="auto" w:fill="DBDBDB"/>
          </w:tcPr>
          <w:p>
            <w:pPr>
              <w:spacing w:after="0"/>
              <w:rPr>
                <w:sz w:val="18"/>
                <w:szCs w:val="18"/>
                <w:color w:val="auto"/>
              </w:rPr>
            </w:pPr>
          </w:p>
        </w:tc>
        <w:tc>
          <w:tcPr>
            <w:tcW w:w="1220" w:type="dxa"/>
            <w:vAlign w:val="bottom"/>
            <w:shd w:val="clear" w:color="auto" w:fill="DBDBDB"/>
          </w:tcPr>
          <w:p>
            <w:pPr>
              <w:jc w:val="right"/>
              <w:ind w:right="109"/>
              <w:spacing w:after="0"/>
              <w:rPr>
                <w:sz w:val="20"/>
                <w:szCs w:val="20"/>
                <w:color w:val="auto"/>
              </w:rPr>
            </w:pPr>
            <w:r>
              <w:rPr>
                <w:rFonts w:ascii="Arial" w:cs="Arial" w:eastAsia="Arial" w:hAnsi="Arial"/>
                <w:sz w:val="14"/>
                <w:szCs w:val="14"/>
                <w:color w:val="auto"/>
              </w:rPr>
              <w:t>2,200</w:t>
            </w:r>
          </w:p>
        </w:tc>
        <w:tc>
          <w:tcPr>
            <w:tcW w:w="1200" w:type="dxa"/>
            <w:vAlign w:val="bottom"/>
            <w:shd w:val="clear" w:color="auto" w:fill="DBDBDB"/>
          </w:tcPr>
          <w:p>
            <w:pPr>
              <w:spacing w:after="0"/>
              <w:rPr>
                <w:sz w:val="18"/>
                <w:szCs w:val="18"/>
                <w:color w:val="auto"/>
              </w:rPr>
            </w:pPr>
          </w:p>
        </w:tc>
        <w:tc>
          <w:tcPr>
            <w:tcW w:w="1200" w:type="dxa"/>
            <w:vAlign w:val="bottom"/>
            <w:shd w:val="clear" w:color="auto" w:fill="DBDBDB"/>
          </w:tcPr>
          <w:p>
            <w:pPr>
              <w:jc w:val="right"/>
              <w:ind w:right="109"/>
              <w:spacing w:after="0"/>
              <w:rPr>
                <w:sz w:val="20"/>
                <w:szCs w:val="20"/>
                <w:color w:val="auto"/>
              </w:rPr>
            </w:pPr>
            <w:r>
              <w:rPr>
                <w:rFonts w:ascii="Arial" w:cs="Arial" w:eastAsia="Arial" w:hAnsi="Arial"/>
                <w:sz w:val="14"/>
                <w:szCs w:val="14"/>
                <w:color w:val="auto"/>
              </w:rPr>
              <w:t>2,200</w:t>
            </w:r>
          </w:p>
        </w:tc>
        <w:tc>
          <w:tcPr>
            <w:tcW w:w="1200" w:type="dxa"/>
            <w:vAlign w:val="bottom"/>
            <w:shd w:val="clear" w:color="auto" w:fill="DBDBDB"/>
          </w:tcPr>
          <w:p>
            <w:pPr>
              <w:spacing w:after="0"/>
              <w:rPr>
                <w:sz w:val="18"/>
                <w:szCs w:val="18"/>
                <w:color w:val="auto"/>
              </w:rPr>
            </w:pPr>
          </w:p>
        </w:tc>
        <w:tc>
          <w:tcPr>
            <w:tcW w:w="1080" w:type="dxa"/>
            <w:vAlign w:val="bottom"/>
            <w:shd w:val="clear" w:color="auto" w:fill="DBDBDB"/>
          </w:tcPr>
          <w:p>
            <w:pPr>
              <w:spacing w:after="0"/>
              <w:rPr>
                <w:sz w:val="18"/>
                <w:szCs w:val="18"/>
                <w:color w:val="auto"/>
              </w:rPr>
            </w:pPr>
          </w:p>
        </w:tc>
        <w:tc>
          <w:tcPr>
            <w:tcW w:w="1060" w:type="dxa"/>
            <w:vAlign w:val="bottom"/>
            <w:shd w:val="clear" w:color="auto" w:fill="DBDBDB"/>
          </w:tcPr>
          <w:p>
            <w:pPr>
              <w:jc w:val="right"/>
              <w:spacing w:after="0"/>
              <w:rPr>
                <w:sz w:val="20"/>
                <w:szCs w:val="20"/>
                <w:color w:val="auto"/>
              </w:rPr>
            </w:pPr>
            <w:r>
              <w:rPr>
                <w:rFonts w:ascii="Arial" w:cs="Arial" w:eastAsia="Arial" w:hAnsi="Arial"/>
                <w:sz w:val="14"/>
                <w:szCs w:val="14"/>
                <w:color w:val="auto"/>
              </w:rPr>
              <w:t>12/22/3</w:t>
            </w:r>
          </w:p>
        </w:tc>
        <w:tc>
          <w:tcPr>
            <w:tcW w:w="0" w:type="dxa"/>
            <w:vAlign w:val="bottom"/>
          </w:tcPr>
          <w:p>
            <w:pPr>
              <w:spacing w:after="0"/>
              <w:rPr>
                <w:sz w:val="1"/>
                <w:szCs w:val="1"/>
                <w:color w:val="auto"/>
              </w:rPr>
            </w:pPr>
          </w:p>
        </w:tc>
      </w:tr>
      <w:tr>
        <w:trPr>
          <w:trHeight w:val="221"/>
        </w:trPr>
        <w:tc>
          <w:tcPr>
            <w:tcW w:w="1200" w:type="dxa"/>
            <w:vAlign w:val="bottom"/>
            <w:shd w:val="clear" w:color="auto" w:fill="DBDBDB"/>
          </w:tcPr>
          <w:p>
            <w:pPr>
              <w:spacing w:after="0"/>
              <w:rPr>
                <w:sz w:val="19"/>
                <w:szCs w:val="19"/>
                <w:color w:val="auto"/>
              </w:rPr>
            </w:pPr>
          </w:p>
        </w:tc>
        <w:tc>
          <w:tcPr>
            <w:tcW w:w="1200" w:type="dxa"/>
            <w:vAlign w:val="bottom"/>
            <w:shd w:val="clear" w:color="auto" w:fill="DBDBDB"/>
          </w:tcPr>
          <w:p>
            <w:pPr>
              <w:jc w:val="right"/>
              <w:spacing w:after="0"/>
              <w:rPr>
                <w:sz w:val="20"/>
                <w:szCs w:val="20"/>
                <w:color w:val="auto"/>
              </w:rPr>
            </w:pPr>
            <w:r>
              <w:rPr>
                <w:rFonts w:ascii="Arial" w:cs="Arial" w:eastAsia="Arial" w:hAnsi="Arial"/>
                <w:sz w:val="14"/>
                <w:szCs w:val="14"/>
                <w:color w:val="auto"/>
              </w:rPr>
              <w:t>12/26/23</w:t>
            </w:r>
          </w:p>
        </w:tc>
        <w:tc>
          <w:tcPr>
            <w:tcW w:w="1340" w:type="dxa"/>
            <w:vAlign w:val="bottom"/>
            <w:shd w:val="clear" w:color="auto" w:fill="DBDBDB"/>
          </w:tcPr>
          <w:p>
            <w:pPr>
              <w:spacing w:after="0"/>
              <w:rPr>
                <w:sz w:val="19"/>
                <w:szCs w:val="19"/>
                <w:color w:val="auto"/>
              </w:rPr>
            </w:pPr>
          </w:p>
        </w:tc>
        <w:tc>
          <w:tcPr>
            <w:tcW w:w="1220" w:type="dxa"/>
            <w:vAlign w:val="bottom"/>
            <w:shd w:val="clear" w:color="auto" w:fill="DBDBDB"/>
          </w:tcPr>
          <w:p>
            <w:pPr>
              <w:spacing w:after="0"/>
              <w:rPr>
                <w:sz w:val="19"/>
                <w:szCs w:val="19"/>
                <w:color w:val="auto"/>
              </w:rPr>
            </w:pPr>
          </w:p>
        </w:tc>
        <w:tc>
          <w:tcPr>
            <w:tcW w:w="1200" w:type="dxa"/>
            <w:vAlign w:val="bottom"/>
            <w:shd w:val="clear" w:color="auto" w:fill="DBDBDB"/>
          </w:tcPr>
          <w:p>
            <w:pPr>
              <w:jc w:val="right"/>
              <w:ind w:right="109"/>
              <w:spacing w:after="0"/>
              <w:rPr>
                <w:sz w:val="20"/>
                <w:szCs w:val="20"/>
                <w:color w:val="auto"/>
              </w:rPr>
            </w:pPr>
            <w:r>
              <w:rPr>
                <w:rFonts w:ascii="Arial" w:cs="Arial" w:eastAsia="Arial" w:hAnsi="Arial"/>
                <w:sz w:val="14"/>
                <w:szCs w:val="14"/>
                <w:color w:val="auto"/>
              </w:rPr>
              <w:t>7,866</w:t>
            </w:r>
          </w:p>
        </w:tc>
        <w:tc>
          <w:tcPr>
            <w:tcW w:w="1200" w:type="dxa"/>
            <w:vAlign w:val="bottom"/>
            <w:shd w:val="clear" w:color="auto" w:fill="DBDBDB"/>
          </w:tcPr>
          <w:p>
            <w:pPr>
              <w:spacing w:after="0"/>
              <w:rPr>
                <w:sz w:val="19"/>
                <w:szCs w:val="19"/>
                <w:color w:val="auto"/>
              </w:rPr>
            </w:pPr>
          </w:p>
        </w:tc>
        <w:tc>
          <w:tcPr>
            <w:tcW w:w="1200" w:type="dxa"/>
            <w:vAlign w:val="bottom"/>
            <w:shd w:val="clear" w:color="auto" w:fill="DBDBDB"/>
          </w:tcPr>
          <w:p>
            <w:pPr>
              <w:jc w:val="right"/>
              <w:ind w:right="109"/>
              <w:spacing w:after="0"/>
              <w:rPr>
                <w:sz w:val="20"/>
                <w:szCs w:val="20"/>
                <w:color w:val="auto"/>
              </w:rPr>
            </w:pPr>
            <w:r>
              <w:rPr>
                <w:rFonts w:ascii="Arial" w:cs="Arial" w:eastAsia="Arial" w:hAnsi="Arial"/>
                <w:sz w:val="14"/>
                <w:szCs w:val="14"/>
                <w:color w:val="auto"/>
              </w:rPr>
              <w:t>7,867</w:t>
            </w:r>
          </w:p>
        </w:tc>
        <w:tc>
          <w:tcPr>
            <w:tcW w:w="1080" w:type="dxa"/>
            <w:vAlign w:val="bottom"/>
            <w:shd w:val="clear" w:color="auto" w:fill="DBDBDB"/>
          </w:tcPr>
          <w:p>
            <w:pPr>
              <w:jc w:val="right"/>
              <w:spacing w:after="0"/>
              <w:rPr>
                <w:sz w:val="20"/>
                <w:szCs w:val="20"/>
                <w:color w:val="auto"/>
              </w:rPr>
            </w:pPr>
            <w:r>
              <w:rPr>
                <w:rFonts w:ascii="Arial" w:cs="Arial" w:eastAsia="Arial" w:hAnsi="Arial"/>
                <w:sz w:val="14"/>
                <w:szCs w:val="14"/>
                <w:color w:val="auto"/>
              </w:rPr>
              <w:t>7,867</w:t>
            </w:r>
          </w:p>
        </w:tc>
        <w:tc>
          <w:tcPr>
            <w:tcW w:w="1060" w:type="dxa"/>
            <w:vAlign w:val="bottom"/>
            <w:shd w:val="clear" w:color="auto" w:fill="DBDBDB"/>
          </w:tcPr>
          <w:p>
            <w:pPr>
              <w:jc w:val="right"/>
              <w:spacing w:after="0"/>
              <w:rPr>
                <w:sz w:val="20"/>
                <w:szCs w:val="20"/>
                <w:color w:val="auto"/>
              </w:rPr>
            </w:pPr>
            <w:r>
              <w:rPr>
                <w:rFonts w:ascii="Arial" w:cs="Arial" w:eastAsia="Arial" w:hAnsi="Arial"/>
                <w:sz w:val="14"/>
                <w:szCs w:val="14"/>
                <w:color w:val="auto"/>
              </w:rPr>
              <w:t>12/26/3</w:t>
            </w:r>
          </w:p>
        </w:tc>
        <w:tc>
          <w:tcPr>
            <w:tcW w:w="0" w:type="dxa"/>
            <w:vAlign w:val="bottom"/>
          </w:tcPr>
          <w:p>
            <w:pPr>
              <w:spacing w:after="0"/>
              <w:rPr>
                <w:sz w:val="1"/>
                <w:szCs w:val="1"/>
                <w:color w:val="auto"/>
              </w:rPr>
            </w:pPr>
          </w:p>
        </w:tc>
      </w:tr>
      <w:tr>
        <w:trPr>
          <w:trHeight w:val="206"/>
        </w:trPr>
        <w:tc>
          <w:tcPr>
            <w:tcW w:w="1200" w:type="dxa"/>
            <w:vAlign w:val="bottom"/>
          </w:tcPr>
          <w:p>
            <w:pPr>
              <w:ind w:left="20"/>
              <w:spacing w:after="0"/>
              <w:rPr>
                <w:sz w:val="20"/>
                <w:szCs w:val="20"/>
                <w:color w:val="auto"/>
              </w:rPr>
            </w:pPr>
            <w:r>
              <w:rPr>
                <w:rFonts w:ascii="Arial" w:cs="Arial" w:eastAsia="Arial" w:hAnsi="Arial"/>
                <w:sz w:val="14"/>
                <w:szCs w:val="14"/>
                <w:color w:val="auto"/>
              </w:rPr>
              <w:t>Mr. Carpenter</w:t>
            </w:r>
          </w:p>
        </w:tc>
        <w:tc>
          <w:tcPr>
            <w:tcW w:w="1200" w:type="dxa"/>
            <w:vAlign w:val="bottom"/>
          </w:tcPr>
          <w:p>
            <w:pPr>
              <w:jc w:val="right"/>
              <w:spacing w:after="0"/>
              <w:rPr>
                <w:sz w:val="20"/>
                <w:szCs w:val="20"/>
                <w:color w:val="auto"/>
              </w:rPr>
            </w:pPr>
            <w:r>
              <w:rPr>
                <w:rFonts w:ascii="Arial" w:cs="Arial" w:eastAsia="Arial" w:hAnsi="Arial"/>
                <w:sz w:val="14"/>
                <w:szCs w:val="14"/>
                <w:color w:val="auto"/>
              </w:rPr>
              <w:t>12/16/21</w:t>
            </w:r>
          </w:p>
        </w:tc>
        <w:tc>
          <w:tcPr>
            <w:tcW w:w="1340" w:type="dxa"/>
            <w:vAlign w:val="bottom"/>
          </w:tcPr>
          <w:p>
            <w:pPr>
              <w:jc w:val="right"/>
              <w:ind w:right="89"/>
              <w:spacing w:after="0"/>
              <w:rPr>
                <w:sz w:val="20"/>
                <w:szCs w:val="20"/>
                <w:color w:val="auto"/>
              </w:rPr>
            </w:pPr>
            <w:r>
              <w:rPr>
                <w:rFonts w:ascii="Arial" w:cs="Arial" w:eastAsia="Arial" w:hAnsi="Arial"/>
                <w:sz w:val="14"/>
                <w:szCs w:val="14"/>
                <w:color w:val="auto"/>
              </w:rPr>
              <w:t>3,434</w:t>
            </w:r>
          </w:p>
        </w:tc>
        <w:tc>
          <w:tcPr>
            <w:tcW w:w="12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12/16/3</w:t>
            </w:r>
          </w:p>
        </w:tc>
        <w:tc>
          <w:tcPr>
            <w:tcW w:w="0" w:type="dxa"/>
            <w:vAlign w:val="bottom"/>
          </w:tcPr>
          <w:p>
            <w:pPr>
              <w:spacing w:after="0"/>
              <w:rPr>
                <w:sz w:val="1"/>
                <w:szCs w:val="1"/>
                <w:color w:val="auto"/>
              </w:rPr>
            </w:pPr>
          </w:p>
        </w:tc>
      </w:tr>
      <w:tr>
        <w:trPr>
          <w:trHeight w:val="213"/>
        </w:trPr>
        <w:tc>
          <w:tcPr>
            <w:tcW w:w="12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12/22/22</w:t>
            </w:r>
          </w:p>
        </w:tc>
        <w:tc>
          <w:tcPr>
            <w:tcW w:w="1340" w:type="dxa"/>
            <w:vAlign w:val="bottom"/>
          </w:tcPr>
          <w:p>
            <w:pPr>
              <w:spacing w:after="0"/>
              <w:rPr>
                <w:sz w:val="18"/>
                <w:szCs w:val="18"/>
                <w:color w:val="auto"/>
              </w:rPr>
            </w:pPr>
          </w:p>
        </w:tc>
        <w:tc>
          <w:tcPr>
            <w:tcW w:w="1220" w:type="dxa"/>
            <w:vAlign w:val="bottom"/>
          </w:tcPr>
          <w:p>
            <w:pPr>
              <w:jc w:val="right"/>
              <w:ind w:right="109"/>
              <w:spacing w:after="0"/>
              <w:rPr>
                <w:sz w:val="20"/>
                <w:szCs w:val="20"/>
                <w:color w:val="auto"/>
              </w:rPr>
            </w:pPr>
            <w:r>
              <w:rPr>
                <w:rFonts w:ascii="Arial" w:cs="Arial" w:eastAsia="Arial" w:hAnsi="Arial"/>
                <w:sz w:val="14"/>
                <w:szCs w:val="14"/>
                <w:color w:val="auto"/>
              </w:rPr>
              <w:t>3,300</w:t>
            </w:r>
          </w:p>
        </w:tc>
        <w:tc>
          <w:tcPr>
            <w:tcW w:w="1200" w:type="dxa"/>
            <w:vAlign w:val="bottom"/>
          </w:tcPr>
          <w:p>
            <w:pPr>
              <w:spacing w:after="0"/>
              <w:rPr>
                <w:sz w:val="18"/>
                <w:szCs w:val="18"/>
                <w:color w:val="auto"/>
              </w:rPr>
            </w:pPr>
          </w:p>
        </w:tc>
        <w:tc>
          <w:tcPr>
            <w:tcW w:w="1200" w:type="dxa"/>
            <w:vAlign w:val="bottom"/>
          </w:tcPr>
          <w:p>
            <w:pPr>
              <w:jc w:val="right"/>
              <w:ind w:right="109"/>
              <w:spacing w:after="0"/>
              <w:rPr>
                <w:sz w:val="20"/>
                <w:szCs w:val="20"/>
                <w:color w:val="auto"/>
              </w:rPr>
            </w:pPr>
            <w:r>
              <w:rPr>
                <w:rFonts w:ascii="Arial" w:cs="Arial" w:eastAsia="Arial" w:hAnsi="Arial"/>
                <w:sz w:val="14"/>
                <w:szCs w:val="14"/>
                <w:color w:val="auto"/>
              </w:rPr>
              <w:t>3,300</w:t>
            </w:r>
          </w:p>
        </w:tc>
        <w:tc>
          <w:tcPr>
            <w:tcW w:w="1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12/22/3</w:t>
            </w:r>
          </w:p>
        </w:tc>
        <w:tc>
          <w:tcPr>
            <w:tcW w:w="0" w:type="dxa"/>
            <w:vAlign w:val="bottom"/>
          </w:tcPr>
          <w:p>
            <w:pPr>
              <w:spacing w:after="0"/>
              <w:rPr>
                <w:sz w:val="1"/>
                <w:szCs w:val="1"/>
                <w:color w:val="auto"/>
              </w:rPr>
            </w:pPr>
          </w:p>
        </w:tc>
      </w:tr>
      <w:tr>
        <w:trPr>
          <w:trHeight w:val="217"/>
        </w:trPr>
        <w:tc>
          <w:tcPr>
            <w:tcW w:w="12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12/26/23</w:t>
            </w:r>
          </w:p>
        </w:tc>
        <w:tc>
          <w:tcPr>
            <w:tcW w:w="13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0" w:type="dxa"/>
            <w:vAlign w:val="bottom"/>
          </w:tcPr>
          <w:p>
            <w:pPr>
              <w:jc w:val="right"/>
              <w:ind w:right="109"/>
              <w:spacing w:after="0"/>
              <w:rPr>
                <w:sz w:val="20"/>
                <w:szCs w:val="20"/>
                <w:color w:val="auto"/>
              </w:rPr>
            </w:pPr>
            <w:r>
              <w:rPr>
                <w:rFonts w:ascii="Arial" w:cs="Arial" w:eastAsia="Arial" w:hAnsi="Arial"/>
                <w:sz w:val="14"/>
                <w:szCs w:val="14"/>
                <w:color w:val="auto"/>
              </w:rPr>
              <w:t>3,800</w:t>
            </w:r>
          </w:p>
        </w:tc>
        <w:tc>
          <w:tcPr>
            <w:tcW w:w="1200" w:type="dxa"/>
            <w:vAlign w:val="bottom"/>
          </w:tcPr>
          <w:p>
            <w:pPr>
              <w:spacing w:after="0"/>
              <w:rPr>
                <w:sz w:val="18"/>
                <w:szCs w:val="18"/>
                <w:color w:val="auto"/>
              </w:rPr>
            </w:pPr>
          </w:p>
        </w:tc>
        <w:tc>
          <w:tcPr>
            <w:tcW w:w="1200" w:type="dxa"/>
            <w:vAlign w:val="bottom"/>
          </w:tcPr>
          <w:p>
            <w:pPr>
              <w:jc w:val="right"/>
              <w:ind w:right="109"/>
              <w:spacing w:after="0"/>
              <w:rPr>
                <w:sz w:val="20"/>
                <w:szCs w:val="20"/>
                <w:color w:val="auto"/>
              </w:rPr>
            </w:pPr>
            <w:r>
              <w:rPr>
                <w:rFonts w:ascii="Arial" w:cs="Arial" w:eastAsia="Arial" w:hAnsi="Arial"/>
                <w:sz w:val="14"/>
                <w:szCs w:val="14"/>
                <w:color w:val="auto"/>
              </w:rPr>
              <w:t>3,800</w:t>
            </w:r>
          </w:p>
        </w:tc>
        <w:tc>
          <w:tcPr>
            <w:tcW w:w="1080" w:type="dxa"/>
            <w:vAlign w:val="bottom"/>
          </w:tcPr>
          <w:p>
            <w:pPr>
              <w:jc w:val="right"/>
              <w:spacing w:after="0"/>
              <w:rPr>
                <w:sz w:val="20"/>
                <w:szCs w:val="20"/>
                <w:color w:val="auto"/>
              </w:rPr>
            </w:pPr>
            <w:r>
              <w:rPr>
                <w:rFonts w:ascii="Arial" w:cs="Arial" w:eastAsia="Arial" w:hAnsi="Arial"/>
                <w:sz w:val="14"/>
                <w:szCs w:val="14"/>
                <w:color w:val="auto"/>
              </w:rPr>
              <w:t>3,800</w:t>
            </w:r>
          </w:p>
        </w:tc>
        <w:tc>
          <w:tcPr>
            <w:tcW w:w="1060" w:type="dxa"/>
            <w:vAlign w:val="bottom"/>
          </w:tcPr>
          <w:p>
            <w:pPr>
              <w:jc w:val="right"/>
              <w:spacing w:after="0"/>
              <w:rPr>
                <w:sz w:val="20"/>
                <w:szCs w:val="20"/>
                <w:color w:val="auto"/>
              </w:rPr>
            </w:pPr>
            <w:r>
              <w:rPr>
                <w:rFonts w:ascii="Arial" w:cs="Arial" w:eastAsia="Arial" w:hAnsi="Arial"/>
                <w:sz w:val="14"/>
                <w:szCs w:val="14"/>
                <w:color w:val="auto"/>
              </w:rPr>
              <w:t>12/26/3</w:t>
            </w:r>
          </w:p>
        </w:tc>
        <w:tc>
          <w:tcPr>
            <w:tcW w:w="0" w:type="dxa"/>
            <w:vAlign w:val="bottom"/>
          </w:tcPr>
          <w:p>
            <w:pPr>
              <w:spacing w:after="0"/>
              <w:rPr>
                <w:sz w:val="1"/>
                <w:szCs w:val="1"/>
                <w:color w:val="auto"/>
              </w:rPr>
            </w:pPr>
          </w:p>
        </w:tc>
      </w:tr>
      <w:tr>
        <w:trPr>
          <w:trHeight w:val="210"/>
        </w:trPr>
        <w:tc>
          <w:tcPr>
            <w:tcW w:w="1200" w:type="dxa"/>
            <w:vAlign w:val="bottom"/>
            <w:shd w:val="clear" w:color="auto" w:fill="DBDBDB"/>
          </w:tcPr>
          <w:p>
            <w:pPr>
              <w:ind w:left="20"/>
              <w:spacing w:after="0"/>
              <w:rPr>
                <w:sz w:val="20"/>
                <w:szCs w:val="20"/>
                <w:color w:val="auto"/>
              </w:rPr>
            </w:pPr>
            <w:r>
              <w:rPr>
                <w:rFonts w:ascii="Arial" w:cs="Arial" w:eastAsia="Arial" w:hAnsi="Arial"/>
                <w:sz w:val="14"/>
                <w:szCs w:val="14"/>
                <w:color w:val="auto"/>
              </w:rPr>
              <w:t>Ms. Dahl</w:t>
            </w:r>
          </w:p>
        </w:tc>
        <w:tc>
          <w:tcPr>
            <w:tcW w:w="1200" w:type="dxa"/>
            <w:vAlign w:val="bottom"/>
            <w:shd w:val="clear" w:color="auto" w:fill="DBDBDB"/>
          </w:tcPr>
          <w:p>
            <w:pPr>
              <w:jc w:val="right"/>
              <w:spacing w:after="0"/>
              <w:rPr>
                <w:sz w:val="20"/>
                <w:szCs w:val="20"/>
                <w:color w:val="auto"/>
              </w:rPr>
            </w:pPr>
            <w:r>
              <w:rPr>
                <w:rFonts w:ascii="Arial" w:cs="Arial" w:eastAsia="Arial" w:hAnsi="Arial"/>
                <w:sz w:val="14"/>
                <w:szCs w:val="14"/>
                <w:color w:val="auto"/>
              </w:rPr>
              <w:t>12/16/21</w:t>
            </w:r>
          </w:p>
        </w:tc>
        <w:tc>
          <w:tcPr>
            <w:tcW w:w="1340" w:type="dxa"/>
            <w:vAlign w:val="bottom"/>
            <w:shd w:val="clear" w:color="auto" w:fill="DBDBDB"/>
          </w:tcPr>
          <w:p>
            <w:pPr>
              <w:jc w:val="right"/>
              <w:ind w:right="89"/>
              <w:spacing w:after="0"/>
              <w:rPr>
                <w:sz w:val="20"/>
                <w:szCs w:val="20"/>
                <w:color w:val="auto"/>
              </w:rPr>
            </w:pPr>
            <w:r>
              <w:rPr>
                <w:rFonts w:ascii="Arial" w:cs="Arial" w:eastAsia="Arial" w:hAnsi="Arial"/>
                <w:sz w:val="14"/>
                <w:szCs w:val="14"/>
                <w:color w:val="auto"/>
              </w:rPr>
              <w:t>5,634</w:t>
            </w:r>
          </w:p>
        </w:tc>
        <w:tc>
          <w:tcPr>
            <w:tcW w:w="1220" w:type="dxa"/>
            <w:vAlign w:val="bottom"/>
            <w:shd w:val="clear" w:color="auto" w:fill="DBDBDB"/>
          </w:tcPr>
          <w:p>
            <w:pPr>
              <w:spacing w:after="0"/>
              <w:rPr>
                <w:sz w:val="18"/>
                <w:szCs w:val="18"/>
                <w:color w:val="auto"/>
              </w:rPr>
            </w:pPr>
          </w:p>
        </w:tc>
        <w:tc>
          <w:tcPr>
            <w:tcW w:w="1200" w:type="dxa"/>
            <w:vAlign w:val="bottom"/>
            <w:shd w:val="clear" w:color="auto" w:fill="DBDBDB"/>
          </w:tcPr>
          <w:p>
            <w:pPr>
              <w:spacing w:after="0"/>
              <w:rPr>
                <w:sz w:val="18"/>
                <w:szCs w:val="18"/>
                <w:color w:val="auto"/>
              </w:rPr>
            </w:pPr>
          </w:p>
        </w:tc>
        <w:tc>
          <w:tcPr>
            <w:tcW w:w="1200" w:type="dxa"/>
            <w:vAlign w:val="bottom"/>
            <w:shd w:val="clear" w:color="auto" w:fill="DBDBDB"/>
          </w:tcPr>
          <w:p>
            <w:pPr>
              <w:spacing w:after="0"/>
              <w:rPr>
                <w:sz w:val="18"/>
                <w:szCs w:val="18"/>
                <w:color w:val="auto"/>
              </w:rPr>
            </w:pPr>
          </w:p>
        </w:tc>
        <w:tc>
          <w:tcPr>
            <w:tcW w:w="1200" w:type="dxa"/>
            <w:vAlign w:val="bottom"/>
            <w:shd w:val="clear" w:color="auto" w:fill="DBDBDB"/>
          </w:tcPr>
          <w:p>
            <w:pPr>
              <w:spacing w:after="0"/>
              <w:rPr>
                <w:sz w:val="18"/>
                <w:szCs w:val="18"/>
                <w:color w:val="auto"/>
              </w:rPr>
            </w:pPr>
          </w:p>
        </w:tc>
        <w:tc>
          <w:tcPr>
            <w:tcW w:w="1080" w:type="dxa"/>
            <w:vAlign w:val="bottom"/>
            <w:shd w:val="clear" w:color="auto" w:fill="DBDBDB"/>
          </w:tcPr>
          <w:p>
            <w:pPr>
              <w:spacing w:after="0"/>
              <w:rPr>
                <w:sz w:val="18"/>
                <w:szCs w:val="18"/>
                <w:color w:val="auto"/>
              </w:rPr>
            </w:pPr>
          </w:p>
        </w:tc>
        <w:tc>
          <w:tcPr>
            <w:tcW w:w="1060" w:type="dxa"/>
            <w:vAlign w:val="bottom"/>
            <w:shd w:val="clear" w:color="auto" w:fill="DBDBDB"/>
          </w:tcPr>
          <w:p>
            <w:pPr>
              <w:jc w:val="right"/>
              <w:spacing w:after="0"/>
              <w:rPr>
                <w:sz w:val="20"/>
                <w:szCs w:val="20"/>
                <w:color w:val="auto"/>
              </w:rPr>
            </w:pPr>
            <w:r>
              <w:rPr>
                <w:rFonts w:ascii="Arial" w:cs="Arial" w:eastAsia="Arial" w:hAnsi="Arial"/>
                <w:sz w:val="14"/>
                <w:szCs w:val="14"/>
                <w:color w:val="auto"/>
              </w:rPr>
              <w:t>12/16/3</w:t>
            </w:r>
          </w:p>
        </w:tc>
        <w:tc>
          <w:tcPr>
            <w:tcW w:w="0" w:type="dxa"/>
            <w:vAlign w:val="bottom"/>
          </w:tcPr>
          <w:p>
            <w:pPr>
              <w:spacing w:after="0"/>
              <w:rPr>
                <w:sz w:val="1"/>
                <w:szCs w:val="1"/>
                <w:color w:val="auto"/>
              </w:rPr>
            </w:pPr>
          </w:p>
        </w:tc>
      </w:tr>
      <w:tr>
        <w:trPr>
          <w:trHeight w:val="213"/>
        </w:trPr>
        <w:tc>
          <w:tcPr>
            <w:tcW w:w="1200" w:type="dxa"/>
            <w:vAlign w:val="bottom"/>
            <w:shd w:val="clear" w:color="auto" w:fill="DBDBDB"/>
          </w:tcPr>
          <w:p>
            <w:pPr>
              <w:spacing w:after="0"/>
              <w:rPr>
                <w:sz w:val="18"/>
                <w:szCs w:val="18"/>
                <w:color w:val="auto"/>
              </w:rPr>
            </w:pPr>
          </w:p>
        </w:tc>
        <w:tc>
          <w:tcPr>
            <w:tcW w:w="1200" w:type="dxa"/>
            <w:vAlign w:val="bottom"/>
            <w:shd w:val="clear" w:color="auto" w:fill="DBDBDB"/>
          </w:tcPr>
          <w:p>
            <w:pPr>
              <w:jc w:val="right"/>
              <w:spacing w:after="0"/>
              <w:rPr>
                <w:sz w:val="20"/>
                <w:szCs w:val="20"/>
                <w:color w:val="auto"/>
              </w:rPr>
            </w:pPr>
            <w:r>
              <w:rPr>
                <w:rFonts w:ascii="Arial" w:cs="Arial" w:eastAsia="Arial" w:hAnsi="Arial"/>
                <w:sz w:val="14"/>
                <w:szCs w:val="14"/>
                <w:color w:val="auto"/>
              </w:rPr>
              <w:t>12/22/22</w:t>
            </w:r>
          </w:p>
        </w:tc>
        <w:tc>
          <w:tcPr>
            <w:tcW w:w="1340" w:type="dxa"/>
            <w:vAlign w:val="bottom"/>
            <w:shd w:val="clear" w:color="auto" w:fill="DBDBDB"/>
          </w:tcPr>
          <w:p>
            <w:pPr>
              <w:spacing w:after="0"/>
              <w:rPr>
                <w:sz w:val="18"/>
                <w:szCs w:val="18"/>
                <w:color w:val="auto"/>
              </w:rPr>
            </w:pPr>
          </w:p>
        </w:tc>
        <w:tc>
          <w:tcPr>
            <w:tcW w:w="1220" w:type="dxa"/>
            <w:vAlign w:val="bottom"/>
            <w:shd w:val="clear" w:color="auto" w:fill="DBDBDB"/>
          </w:tcPr>
          <w:p>
            <w:pPr>
              <w:jc w:val="right"/>
              <w:ind w:right="109"/>
              <w:spacing w:after="0"/>
              <w:rPr>
                <w:sz w:val="20"/>
                <w:szCs w:val="20"/>
                <w:color w:val="auto"/>
              </w:rPr>
            </w:pPr>
            <w:r>
              <w:rPr>
                <w:rFonts w:ascii="Arial" w:cs="Arial" w:eastAsia="Arial" w:hAnsi="Arial"/>
                <w:sz w:val="14"/>
                <w:szCs w:val="14"/>
                <w:color w:val="auto"/>
              </w:rPr>
              <w:t>5,133</w:t>
            </w:r>
          </w:p>
        </w:tc>
        <w:tc>
          <w:tcPr>
            <w:tcW w:w="1200" w:type="dxa"/>
            <w:vAlign w:val="bottom"/>
            <w:shd w:val="clear" w:color="auto" w:fill="DBDBDB"/>
          </w:tcPr>
          <w:p>
            <w:pPr>
              <w:spacing w:after="0"/>
              <w:rPr>
                <w:sz w:val="18"/>
                <w:szCs w:val="18"/>
                <w:color w:val="auto"/>
              </w:rPr>
            </w:pPr>
          </w:p>
        </w:tc>
        <w:tc>
          <w:tcPr>
            <w:tcW w:w="1200" w:type="dxa"/>
            <w:vAlign w:val="bottom"/>
            <w:shd w:val="clear" w:color="auto" w:fill="DBDBDB"/>
          </w:tcPr>
          <w:p>
            <w:pPr>
              <w:jc w:val="right"/>
              <w:ind w:right="109"/>
              <w:spacing w:after="0"/>
              <w:rPr>
                <w:sz w:val="20"/>
                <w:szCs w:val="20"/>
                <w:color w:val="auto"/>
              </w:rPr>
            </w:pPr>
            <w:r>
              <w:rPr>
                <w:rFonts w:ascii="Arial" w:cs="Arial" w:eastAsia="Arial" w:hAnsi="Arial"/>
                <w:sz w:val="14"/>
                <w:szCs w:val="14"/>
                <w:color w:val="auto"/>
              </w:rPr>
              <w:t>5,134</w:t>
            </w:r>
          </w:p>
        </w:tc>
        <w:tc>
          <w:tcPr>
            <w:tcW w:w="1200" w:type="dxa"/>
            <w:vAlign w:val="bottom"/>
            <w:shd w:val="clear" w:color="auto" w:fill="DBDBDB"/>
          </w:tcPr>
          <w:p>
            <w:pPr>
              <w:spacing w:after="0"/>
              <w:rPr>
                <w:sz w:val="18"/>
                <w:szCs w:val="18"/>
                <w:color w:val="auto"/>
              </w:rPr>
            </w:pPr>
          </w:p>
        </w:tc>
        <w:tc>
          <w:tcPr>
            <w:tcW w:w="1080" w:type="dxa"/>
            <w:vAlign w:val="bottom"/>
            <w:shd w:val="clear" w:color="auto" w:fill="DBDBDB"/>
          </w:tcPr>
          <w:p>
            <w:pPr>
              <w:spacing w:after="0"/>
              <w:rPr>
                <w:sz w:val="18"/>
                <w:szCs w:val="18"/>
                <w:color w:val="auto"/>
              </w:rPr>
            </w:pPr>
          </w:p>
        </w:tc>
        <w:tc>
          <w:tcPr>
            <w:tcW w:w="1060" w:type="dxa"/>
            <w:vAlign w:val="bottom"/>
            <w:shd w:val="clear" w:color="auto" w:fill="DBDBDB"/>
          </w:tcPr>
          <w:p>
            <w:pPr>
              <w:jc w:val="right"/>
              <w:spacing w:after="0"/>
              <w:rPr>
                <w:sz w:val="20"/>
                <w:szCs w:val="20"/>
                <w:color w:val="auto"/>
              </w:rPr>
            </w:pPr>
            <w:r>
              <w:rPr>
                <w:rFonts w:ascii="Arial" w:cs="Arial" w:eastAsia="Arial" w:hAnsi="Arial"/>
                <w:sz w:val="14"/>
                <w:szCs w:val="14"/>
                <w:color w:val="auto"/>
              </w:rPr>
              <w:t>12/22/3</w:t>
            </w:r>
          </w:p>
        </w:tc>
        <w:tc>
          <w:tcPr>
            <w:tcW w:w="0" w:type="dxa"/>
            <w:vAlign w:val="bottom"/>
          </w:tcPr>
          <w:p>
            <w:pPr>
              <w:spacing w:after="0"/>
              <w:rPr>
                <w:sz w:val="1"/>
                <w:szCs w:val="1"/>
                <w:color w:val="auto"/>
              </w:rPr>
            </w:pPr>
          </w:p>
        </w:tc>
      </w:tr>
      <w:tr>
        <w:trPr>
          <w:trHeight w:val="221"/>
        </w:trPr>
        <w:tc>
          <w:tcPr>
            <w:tcW w:w="1200" w:type="dxa"/>
            <w:vAlign w:val="bottom"/>
            <w:shd w:val="clear" w:color="auto" w:fill="DBDBDB"/>
          </w:tcPr>
          <w:p>
            <w:pPr>
              <w:spacing w:after="0"/>
              <w:rPr>
                <w:sz w:val="19"/>
                <w:szCs w:val="19"/>
                <w:color w:val="auto"/>
              </w:rPr>
            </w:pPr>
          </w:p>
        </w:tc>
        <w:tc>
          <w:tcPr>
            <w:tcW w:w="1200" w:type="dxa"/>
            <w:vAlign w:val="bottom"/>
            <w:shd w:val="clear" w:color="auto" w:fill="DBDBDB"/>
          </w:tcPr>
          <w:p>
            <w:pPr>
              <w:jc w:val="right"/>
              <w:spacing w:after="0"/>
              <w:rPr>
                <w:sz w:val="20"/>
                <w:szCs w:val="20"/>
                <w:color w:val="auto"/>
              </w:rPr>
            </w:pPr>
            <w:r>
              <w:rPr>
                <w:rFonts w:ascii="Arial" w:cs="Arial" w:eastAsia="Arial" w:hAnsi="Arial"/>
                <w:sz w:val="14"/>
                <w:szCs w:val="14"/>
                <w:color w:val="auto"/>
              </w:rPr>
              <w:t>12/26/23</w:t>
            </w:r>
          </w:p>
        </w:tc>
        <w:tc>
          <w:tcPr>
            <w:tcW w:w="1340" w:type="dxa"/>
            <w:vAlign w:val="bottom"/>
            <w:shd w:val="clear" w:color="auto" w:fill="DBDBDB"/>
          </w:tcPr>
          <w:p>
            <w:pPr>
              <w:spacing w:after="0"/>
              <w:rPr>
                <w:sz w:val="19"/>
                <w:szCs w:val="19"/>
                <w:color w:val="auto"/>
              </w:rPr>
            </w:pPr>
          </w:p>
        </w:tc>
        <w:tc>
          <w:tcPr>
            <w:tcW w:w="1220" w:type="dxa"/>
            <w:vAlign w:val="bottom"/>
            <w:shd w:val="clear" w:color="auto" w:fill="DBDBDB"/>
          </w:tcPr>
          <w:p>
            <w:pPr>
              <w:spacing w:after="0"/>
              <w:rPr>
                <w:sz w:val="19"/>
                <w:szCs w:val="19"/>
                <w:color w:val="auto"/>
              </w:rPr>
            </w:pPr>
          </w:p>
        </w:tc>
        <w:tc>
          <w:tcPr>
            <w:tcW w:w="1200" w:type="dxa"/>
            <w:vAlign w:val="bottom"/>
            <w:shd w:val="clear" w:color="auto" w:fill="DBDBDB"/>
          </w:tcPr>
          <w:p>
            <w:pPr>
              <w:jc w:val="right"/>
              <w:ind w:right="109"/>
              <w:spacing w:after="0"/>
              <w:rPr>
                <w:sz w:val="20"/>
                <w:szCs w:val="20"/>
                <w:color w:val="auto"/>
              </w:rPr>
            </w:pPr>
            <w:r>
              <w:rPr>
                <w:rFonts w:ascii="Arial" w:cs="Arial" w:eastAsia="Arial" w:hAnsi="Arial"/>
                <w:sz w:val="14"/>
                <w:szCs w:val="14"/>
                <w:color w:val="auto"/>
              </w:rPr>
              <w:t>4,766</w:t>
            </w:r>
          </w:p>
        </w:tc>
        <w:tc>
          <w:tcPr>
            <w:tcW w:w="1200" w:type="dxa"/>
            <w:vAlign w:val="bottom"/>
            <w:shd w:val="clear" w:color="auto" w:fill="DBDBDB"/>
          </w:tcPr>
          <w:p>
            <w:pPr>
              <w:spacing w:after="0"/>
              <w:rPr>
                <w:sz w:val="19"/>
                <w:szCs w:val="19"/>
                <w:color w:val="auto"/>
              </w:rPr>
            </w:pPr>
          </w:p>
        </w:tc>
        <w:tc>
          <w:tcPr>
            <w:tcW w:w="1200" w:type="dxa"/>
            <w:vAlign w:val="bottom"/>
            <w:shd w:val="clear" w:color="auto" w:fill="DBDBDB"/>
          </w:tcPr>
          <w:p>
            <w:pPr>
              <w:jc w:val="right"/>
              <w:ind w:right="109"/>
              <w:spacing w:after="0"/>
              <w:rPr>
                <w:sz w:val="20"/>
                <w:szCs w:val="20"/>
                <w:color w:val="auto"/>
              </w:rPr>
            </w:pPr>
            <w:r>
              <w:rPr>
                <w:rFonts w:ascii="Arial" w:cs="Arial" w:eastAsia="Arial" w:hAnsi="Arial"/>
                <w:sz w:val="14"/>
                <w:szCs w:val="14"/>
                <w:color w:val="auto"/>
              </w:rPr>
              <w:t>4,767</w:t>
            </w:r>
          </w:p>
        </w:tc>
        <w:tc>
          <w:tcPr>
            <w:tcW w:w="1080" w:type="dxa"/>
            <w:vAlign w:val="bottom"/>
            <w:shd w:val="clear" w:color="auto" w:fill="DBDBDB"/>
          </w:tcPr>
          <w:p>
            <w:pPr>
              <w:jc w:val="right"/>
              <w:spacing w:after="0"/>
              <w:rPr>
                <w:sz w:val="20"/>
                <w:szCs w:val="20"/>
                <w:color w:val="auto"/>
              </w:rPr>
            </w:pPr>
            <w:r>
              <w:rPr>
                <w:rFonts w:ascii="Arial" w:cs="Arial" w:eastAsia="Arial" w:hAnsi="Arial"/>
                <w:sz w:val="14"/>
                <w:szCs w:val="14"/>
                <w:color w:val="auto"/>
              </w:rPr>
              <w:t>4,767</w:t>
            </w:r>
          </w:p>
        </w:tc>
        <w:tc>
          <w:tcPr>
            <w:tcW w:w="1060" w:type="dxa"/>
            <w:vAlign w:val="bottom"/>
            <w:shd w:val="clear" w:color="auto" w:fill="DBDBDB"/>
          </w:tcPr>
          <w:p>
            <w:pPr>
              <w:jc w:val="right"/>
              <w:spacing w:after="0"/>
              <w:rPr>
                <w:sz w:val="20"/>
                <w:szCs w:val="20"/>
                <w:color w:val="auto"/>
              </w:rPr>
            </w:pPr>
            <w:r>
              <w:rPr>
                <w:rFonts w:ascii="Arial" w:cs="Arial" w:eastAsia="Arial" w:hAnsi="Arial"/>
                <w:sz w:val="14"/>
                <w:szCs w:val="14"/>
                <w:color w:val="auto"/>
              </w:rPr>
              <w:t>12/26/3</w:t>
            </w:r>
          </w:p>
        </w:tc>
        <w:tc>
          <w:tcPr>
            <w:tcW w:w="0" w:type="dxa"/>
            <w:vAlign w:val="bottom"/>
          </w:tcPr>
          <w:p>
            <w:pPr>
              <w:spacing w:after="0"/>
              <w:rPr>
                <w:sz w:val="1"/>
                <w:szCs w:val="1"/>
                <w:color w:val="auto"/>
              </w:rPr>
            </w:pPr>
          </w:p>
        </w:tc>
      </w:tr>
      <w:tr>
        <w:trPr>
          <w:trHeight w:val="206"/>
        </w:trPr>
        <w:tc>
          <w:tcPr>
            <w:tcW w:w="1200" w:type="dxa"/>
            <w:vAlign w:val="bottom"/>
          </w:tcPr>
          <w:p>
            <w:pPr>
              <w:ind w:left="20"/>
              <w:spacing w:after="0"/>
              <w:rPr>
                <w:sz w:val="20"/>
                <w:szCs w:val="20"/>
                <w:color w:val="auto"/>
              </w:rPr>
            </w:pPr>
            <w:r>
              <w:rPr>
                <w:rFonts w:ascii="Arial" w:cs="Arial" w:eastAsia="Arial" w:hAnsi="Arial"/>
                <w:sz w:val="14"/>
                <w:szCs w:val="14"/>
                <w:color w:val="auto"/>
              </w:rPr>
              <w:t>Ms. Totsky</w:t>
            </w:r>
          </w:p>
        </w:tc>
        <w:tc>
          <w:tcPr>
            <w:tcW w:w="1200" w:type="dxa"/>
            <w:vAlign w:val="bottom"/>
          </w:tcPr>
          <w:p>
            <w:pPr>
              <w:jc w:val="right"/>
              <w:spacing w:after="0"/>
              <w:rPr>
                <w:sz w:val="20"/>
                <w:szCs w:val="20"/>
                <w:color w:val="auto"/>
              </w:rPr>
            </w:pPr>
            <w:r>
              <w:rPr>
                <w:rFonts w:ascii="Arial" w:cs="Arial" w:eastAsia="Arial" w:hAnsi="Arial"/>
                <w:sz w:val="14"/>
                <w:szCs w:val="14"/>
                <w:color w:val="auto"/>
              </w:rPr>
              <w:t>12/26/23</w:t>
            </w:r>
          </w:p>
        </w:tc>
        <w:tc>
          <w:tcPr>
            <w:tcW w:w="13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200" w:type="dxa"/>
            <w:vAlign w:val="bottom"/>
          </w:tcPr>
          <w:p>
            <w:pPr>
              <w:jc w:val="right"/>
              <w:ind w:right="109"/>
              <w:spacing w:after="0"/>
              <w:rPr>
                <w:sz w:val="20"/>
                <w:szCs w:val="20"/>
                <w:color w:val="auto"/>
              </w:rPr>
            </w:pPr>
            <w:r>
              <w:rPr>
                <w:rFonts w:ascii="Arial" w:cs="Arial" w:eastAsia="Arial" w:hAnsi="Arial"/>
                <w:sz w:val="14"/>
                <w:szCs w:val="14"/>
                <w:color w:val="auto"/>
              </w:rPr>
              <w:t>4,666</w:t>
            </w:r>
          </w:p>
        </w:tc>
        <w:tc>
          <w:tcPr>
            <w:tcW w:w="1200" w:type="dxa"/>
            <w:vAlign w:val="bottom"/>
          </w:tcPr>
          <w:p>
            <w:pPr>
              <w:spacing w:after="0"/>
              <w:rPr>
                <w:sz w:val="17"/>
                <w:szCs w:val="17"/>
                <w:color w:val="auto"/>
              </w:rPr>
            </w:pPr>
          </w:p>
        </w:tc>
        <w:tc>
          <w:tcPr>
            <w:tcW w:w="1200" w:type="dxa"/>
            <w:vAlign w:val="bottom"/>
          </w:tcPr>
          <w:p>
            <w:pPr>
              <w:jc w:val="right"/>
              <w:ind w:right="109"/>
              <w:spacing w:after="0"/>
              <w:rPr>
                <w:sz w:val="20"/>
                <w:szCs w:val="20"/>
                <w:color w:val="auto"/>
              </w:rPr>
            </w:pPr>
            <w:r>
              <w:rPr>
                <w:rFonts w:ascii="Arial" w:cs="Arial" w:eastAsia="Arial" w:hAnsi="Arial"/>
                <w:sz w:val="14"/>
                <w:szCs w:val="14"/>
                <w:color w:val="auto"/>
              </w:rPr>
              <w:t>4,667</w:t>
            </w:r>
          </w:p>
        </w:tc>
        <w:tc>
          <w:tcPr>
            <w:tcW w:w="1080" w:type="dxa"/>
            <w:vAlign w:val="bottom"/>
          </w:tcPr>
          <w:p>
            <w:pPr>
              <w:jc w:val="right"/>
              <w:spacing w:after="0"/>
              <w:rPr>
                <w:sz w:val="20"/>
                <w:szCs w:val="20"/>
                <w:color w:val="auto"/>
              </w:rPr>
            </w:pPr>
            <w:r>
              <w:rPr>
                <w:rFonts w:ascii="Arial" w:cs="Arial" w:eastAsia="Arial" w:hAnsi="Arial"/>
                <w:sz w:val="14"/>
                <w:szCs w:val="14"/>
                <w:color w:val="auto"/>
              </w:rPr>
              <w:t>4,667</w:t>
            </w:r>
          </w:p>
        </w:tc>
        <w:tc>
          <w:tcPr>
            <w:tcW w:w="1060" w:type="dxa"/>
            <w:vAlign w:val="bottom"/>
          </w:tcPr>
          <w:p>
            <w:pPr>
              <w:jc w:val="right"/>
              <w:spacing w:after="0"/>
              <w:rPr>
                <w:sz w:val="20"/>
                <w:szCs w:val="20"/>
                <w:color w:val="auto"/>
              </w:rPr>
            </w:pPr>
            <w:r>
              <w:rPr>
                <w:rFonts w:ascii="Arial" w:cs="Arial" w:eastAsia="Arial" w:hAnsi="Arial"/>
                <w:sz w:val="14"/>
                <w:szCs w:val="14"/>
                <w:color w:val="auto"/>
              </w:rPr>
              <w:t>12/26/3</w:t>
            </w:r>
          </w:p>
        </w:tc>
        <w:tc>
          <w:tcPr>
            <w:tcW w:w="0" w:type="dxa"/>
            <w:vAlign w:val="bottom"/>
          </w:tcPr>
          <w:p>
            <w:pPr>
              <w:spacing w:after="0"/>
              <w:rPr>
                <w:sz w:val="1"/>
                <w:szCs w:val="1"/>
                <w:color w:val="auto"/>
              </w:rPr>
            </w:pPr>
          </w:p>
        </w:tc>
      </w:tr>
    </w:tbl>
    <w:p>
      <w:pPr>
        <w:spacing w:after="0" w:line="71" w:lineRule="exact"/>
        <w:rPr>
          <w:sz w:val="20"/>
          <w:szCs w:val="20"/>
          <w:color w:val="auto"/>
        </w:rPr>
      </w:pPr>
    </w:p>
    <w:p>
      <w:pPr>
        <w:jc w:val="both"/>
        <w:ind w:left="320" w:right="100" w:hanging="313"/>
        <w:spacing w:after="0" w:line="233" w:lineRule="auto"/>
        <w:tabs>
          <w:tab w:leader="none" w:pos="308" w:val="left"/>
        </w:tabs>
        <w:numPr>
          <w:ilvl w:val="0"/>
          <w:numId w:val="70"/>
        </w:numPr>
        <w:rPr>
          <w:rFonts w:ascii="Arial" w:cs="Arial" w:eastAsia="Arial" w:hAnsi="Arial"/>
          <w:sz w:val="18"/>
          <w:szCs w:val="18"/>
          <w:color w:val="auto"/>
        </w:rPr>
      </w:pPr>
      <w:r>
        <w:rPr>
          <w:rFonts w:ascii="Arial" w:cs="Arial" w:eastAsia="Arial" w:hAnsi="Arial"/>
          <w:sz w:val="18"/>
          <w:szCs w:val="18"/>
          <w:color w:val="auto"/>
        </w:rPr>
        <w:t>Amounts reported represent the number of unvested restricted stock units held by Ms. Drake, Mr. Carpenter and Ms. Totsky, including dividend equivalents earned on those restricted stock units. Ms. Drake's unvested restricted stock units were granted on March 10, 2023 and vest in three equal installments on each anniversary of the grant date. Mr. Carpenter's unvested restricted stock units include two grants, one of which was granted on November 30, 2021 and vests in three equal installments on each anniversary of the grant date and the other which was granted on January 23, 2024 and vests in full on the third anniversary of the grant date. Ms. Totsky's unvested restricted stock units were granted on June 20, 2023 and vest in three equal installments on each anniversary of the grant date.</w:t>
      </w:r>
    </w:p>
    <w:p>
      <w:pPr>
        <w:spacing w:after="0" w:line="21" w:lineRule="exact"/>
        <w:rPr>
          <w:rFonts w:ascii="Arial" w:cs="Arial" w:eastAsia="Arial" w:hAnsi="Arial"/>
          <w:sz w:val="18"/>
          <w:szCs w:val="18"/>
          <w:color w:val="auto"/>
        </w:rPr>
      </w:pPr>
    </w:p>
    <w:p>
      <w:pPr>
        <w:ind w:left="320" w:right="100" w:hanging="313"/>
        <w:spacing w:after="0" w:line="246" w:lineRule="auto"/>
        <w:tabs>
          <w:tab w:leader="none" w:pos="308" w:val="left"/>
        </w:tabs>
        <w:numPr>
          <w:ilvl w:val="0"/>
          <w:numId w:val="70"/>
        </w:numPr>
        <w:rPr>
          <w:rFonts w:ascii="Arial" w:cs="Arial" w:eastAsia="Arial" w:hAnsi="Arial"/>
          <w:sz w:val="18"/>
          <w:szCs w:val="18"/>
          <w:color w:val="auto"/>
        </w:rPr>
      </w:pPr>
      <w:r>
        <w:rPr>
          <w:rFonts w:ascii="Arial" w:cs="Arial" w:eastAsia="Arial" w:hAnsi="Arial"/>
          <w:sz w:val="18"/>
          <w:szCs w:val="18"/>
          <w:color w:val="auto"/>
        </w:rPr>
        <w:t>Amounts reported represent the value of unvested restricted stock units based on the closing price of our common stock on October 31, 2024 of $80.48 per share.</w:t>
      </w:r>
    </w:p>
    <w:p>
      <w:pPr>
        <w:spacing w:after="0" w:line="15" w:lineRule="exact"/>
        <w:rPr>
          <w:rFonts w:ascii="Arial" w:cs="Arial" w:eastAsia="Arial" w:hAnsi="Arial"/>
          <w:sz w:val="18"/>
          <w:szCs w:val="18"/>
          <w:color w:val="auto"/>
        </w:rPr>
      </w:pPr>
    </w:p>
    <w:p>
      <w:pPr>
        <w:ind w:left="320" w:hanging="313"/>
        <w:spacing w:after="0"/>
        <w:tabs>
          <w:tab w:leader="none" w:pos="320" w:val="left"/>
        </w:tabs>
        <w:numPr>
          <w:ilvl w:val="0"/>
          <w:numId w:val="70"/>
        </w:numPr>
        <w:rPr>
          <w:rFonts w:ascii="Arial" w:cs="Arial" w:eastAsia="Arial" w:hAnsi="Arial"/>
          <w:sz w:val="18"/>
          <w:szCs w:val="18"/>
          <w:color w:val="auto"/>
        </w:rPr>
      </w:pPr>
      <w:r>
        <w:rPr>
          <w:rFonts w:ascii="Arial" w:cs="Arial" w:eastAsia="Arial" w:hAnsi="Arial"/>
          <w:sz w:val="18"/>
          <w:szCs w:val="18"/>
          <w:color w:val="auto"/>
        </w:rPr>
        <w:t>Amounts reported represent the number of performance share awards that were in progress based threshold levels of performance.</w:t>
      </w:r>
    </w:p>
    <w:p>
      <w:pPr>
        <w:spacing w:after="0" w:line="46" w:lineRule="exact"/>
        <w:rPr>
          <w:rFonts w:ascii="Arial" w:cs="Arial" w:eastAsia="Arial" w:hAnsi="Arial"/>
          <w:sz w:val="18"/>
          <w:szCs w:val="18"/>
          <w:color w:val="auto"/>
        </w:rPr>
      </w:pPr>
    </w:p>
    <w:p>
      <w:pPr>
        <w:ind w:left="320" w:right="120" w:hanging="313"/>
        <w:spacing w:after="0" w:line="246" w:lineRule="auto"/>
        <w:tabs>
          <w:tab w:leader="none" w:pos="308" w:val="left"/>
        </w:tabs>
        <w:numPr>
          <w:ilvl w:val="0"/>
          <w:numId w:val="70"/>
        </w:numPr>
        <w:rPr>
          <w:rFonts w:ascii="Arial" w:cs="Arial" w:eastAsia="Arial" w:hAnsi="Arial"/>
          <w:sz w:val="18"/>
          <w:szCs w:val="18"/>
          <w:color w:val="auto"/>
        </w:rPr>
      </w:pPr>
      <w:r>
        <w:rPr>
          <w:rFonts w:ascii="Arial" w:cs="Arial" w:eastAsia="Arial" w:hAnsi="Arial"/>
          <w:sz w:val="18"/>
          <w:szCs w:val="18"/>
          <w:color w:val="auto"/>
        </w:rPr>
        <w:t>Amounts reported represent the value of performance share awards that were in progress based on the closing price of our common stock on October 31, 2024 of $80.48 per share.</w:t>
      </w:r>
    </w:p>
    <w:p>
      <w:pPr>
        <w:spacing w:after="0" w:line="129" w:lineRule="exact"/>
        <w:rPr>
          <w:sz w:val="20"/>
          <w:szCs w:val="20"/>
          <w:color w:val="auto"/>
        </w:rPr>
      </w:pPr>
    </w:p>
    <w:p>
      <w:pPr>
        <w:spacing w:after="0"/>
        <w:rPr>
          <w:sz w:val="20"/>
          <w:szCs w:val="20"/>
          <w:color w:val="auto"/>
        </w:rPr>
      </w:pPr>
      <w:r>
        <w:rPr>
          <w:rFonts w:ascii="Arial" w:cs="Arial" w:eastAsia="Arial" w:hAnsi="Arial"/>
          <w:sz w:val="20"/>
          <w:szCs w:val="20"/>
          <w:b w:val="1"/>
          <w:bCs w:val="1"/>
          <w:color w:val="C00000"/>
        </w:rPr>
        <w:t>Option Exercises and Stock Vested for Fiscal 2024</w:t>
      </w:r>
    </w:p>
    <w:p>
      <w:pPr>
        <w:spacing w:after="0" w:line="57" w:lineRule="exact"/>
        <w:rPr>
          <w:sz w:val="20"/>
          <w:szCs w:val="20"/>
          <w:color w:val="auto"/>
        </w:rPr>
      </w:pPr>
    </w:p>
    <w:p>
      <w:pPr>
        <w:ind w:right="120" w:firstLine="320"/>
        <w:spacing w:after="0" w:line="262" w:lineRule="auto"/>
        <w:rPr>
          <w:sz w:val="20"/>
          <w:szCs w:val="20"/>
          <w:color w:val="auto"/>
        </w:rPr>
      </w:pPr>
      <w:r>
        <w:rPr>
          <w:rFonts w:ascii="Arial" w:cs="Arial" w:eastAsia="Arial" w:hAnsi="Arial"/>
          <w:sz w:val="18"/>
          <w:szCs w:val="18"/>
          <w:color w:val="auto"/>
        </w:rPr>
        <w:t>The following table summarizes all of the stock options exercised during fiscal 2024, restricted stock units vested during fiscal 2024 and performance share awards that were paid out or deferred by our NEOs for the fiscal 2022 to fiscal 2024 performance period.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ind w:right="100"/>
        <w:spacing w:after="0"/>
        <w:rPr>
          <w:sz w:val="20"/>
          <w:szCs w:val="20"/>
          <w:color w:val="auto"/>
        </w:rPr>
      </w:pPr>
      <w:r>
        <w:rPr>
          <w:rFonts w:ascii="Arial" w:cs="Arial" w:eastAsia="Arial" w:hAnsi="Arial"/>
          <w:sz w:val="21"/>
          <w:szCs w:val="21"/>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340"/>
          </w:cols>
          <w:pgMar w:left="320" w:top="1143" w:right="239" w:bottom="1440" w:gutter="0" w:footer="0" w:header="0"/>
        </w:sectPr>
      </w:pPr>
    </w:p>
    <w:bookmarkStart w:id="66" w:name="page67"/>
    <w:bookmarkEnd w:id="66"/>
    <w:tbl>
      <w:tblPr>
        <w:tblLayout w:type="fixed"/>
        <w:tblInd w:w="320" w:type="dxa"/>
        <w:tblCellMar>
          <w:top w:w="0" w:type="dxa"/>
          <w:left w:w="0" w:type="dxa"/>
          <w:bottom w:w="0" w:type="dxa"/>
          <w:right w:w="0" w:type="dxa"/>
        </w:tblCellMar>
      </w:tblPr>
      <w:tr>
        <w:trPr>
          <w:trHeight w:val="32"/>
        </w:trPr>
        <w:tc>
          <w:tcPr>
            <w:tcW w:w="3980" w:type="dxa"/>
            <w:vAlign w:val="bottom"/>
          </w:tcPr>
          <w:p>
            <w:pPr>
              <w:spacing w:after="0"/>
              <w:rPr>
                <w:sz w:val="2"/>
                <w:szCs w:val="2"/>
                <w:color w:val="auto"/>
              </w:rPr>
            </w:pPr>
          </w:p>
        </w:tc>
        <w:tc>
          <w:tcPr>
            <w:tcW w:w="3320" w:type="dxa"/>
            <w:vAlign w:val="bottom"/>
            <w:gridSpan w:val="2"/>
          </w:tcPr>
          <w:p>
            <w:pPr>
              <w:spacing w:after="0"/>
              <w:rPr>
                <w:sz w:val="2"/>
                <w:szCs w:val="2"/>
                <w:color w:val="auto"/>
              </w:rPr>
            </w:pPr>
          </w:p>
        </w:tc>
        <w:tc>
          <w:tcPr>
            <w:tcW w:w="3300" w:type="dxa"/>
            <w:vAlign w:val="bottom"/>
            <w:gridSpan w:val="2"/>
          </w:tcPr>
          <w:p>
            <w:pPr>
              <w:spacing w:after="0"/>
              <w:rPr>
                <w:sz w:val="2"/>
                <w:szCs w:val="2"/>
                <w:color w:val="auto"/>
              </w:rPr>
            </w:pPr>
          </w:p>
        </w:tc>
      </w:tr>
      <w:tr>
        <w:trPr>
          <w:trHeight w:val="240"/>
        </w:trPr>
        <w:tc>
          <w:tcPr>
            <w:tcW w:w="3980" w:type="dxa"/>
            <w:vAlign w:val="bottom"/>
            <w:shd w:val="clear" w:color="auto" w:fill="BF2115"/>
          </w:tcPr>
          <w:p>
            <w:pPr>
              <w:spacing w:after="0"/>
              <w:rPr>
                <w:sz w:val="20"/>
                <w:szCs w:val="20"/>
                <w:color w:val="auto"/>
              </w:rPr>
            </w:pPr>
          </w:p>
        </w:tc>
        <w:tc>
          <w:tcPr>
            <w:tcW w:w="3320" w:type="dxa"/>
            <w:vAlign w:val="bottom"/>
            <w:gridSpan w:val="2"/>
            <w:shd w:val="clear" w:color="auto" w:fill="BF2115"/>
          </w:tcPr>
          <w:p>
            <w:pPr>
              <w:jc w:val="right"/>
              <w:ind w:right="1049"/>
              <w:spacing w:after="0" w:line="240" w:lineRule="exact"/>
              <w:rPr>
                <w:sz w:val="20"/>
                <w:szCs w:val="20"/>
                <w:color w:val="auto"/>
              </w:rPr>
            </w:pPr>
            <w:r>
              <w:rPr>
                <w:rFonts w:ascii="Arial" w:cs="Arial" w:eastAsia="Arial" w:hAnsi="Arial"/>
                <w:sz w:val="14"/>
                <w:szCs w:val="14"/>
                <w:b w:val="1"/>
                <w:bCs w:val="1"/>
                <w:color w:val="FFFFFF"/>
              </w:rPr>
              <w:t>Option Awards</w:t>
            </w:r>
            <w:r>
              <w:rPr>
                <w:rFonts w:ascii="Arial" w:cs="Arial" w:eastAsia="Arial" w:hAnsi="Arial"/>
                <w:sz w:val="27"/>
                <w:szCs w:val="27"/>
                <w:b w:val="1"/>
                <w:bCs w:val="1"/>
                <w:color w:val="FFFFFF"/>
                <w:vertAlign w:val="superscript"/>
              </w:rPr>
              <w:t>1</w:t>
            </w:r>
          </w:p>
        </w:tc>
        <w:tc>
          <w:tcPr>
            <w:tcW w:w="3300" w:type="dxa"/>
            <w:vAlign w:val="bottom"/>
            <w:gridSpan w:val="2"/>
            <w:shd w:val="clear" w:color="auto" w:fill="BF2115"/>
          </w:tcPr>
          <w:p>
            <w:pPr>
              <w:jc w:val="right"/>
              <w:ind w:right="1069"/>
              <w:spacing w:after="0" w:line="240" w:lineRule="exact"/>
              <w:rPr>
                <w:sz w:val="20"/>
                <w:szCs w:val="20"/>
                <w:color w:val="auto"/>
              </w:rPr>
            </w:pPr>
            <w:r>
              <w:rPr>
                <w:rFonts w:ascii="Arial" w:cs="Arial" w:eastAsia="Arial" w:hAnsi="Arial"/>
                <w:sz w:val="14"/>
                <w:szCs w:val="14"/>
                <w:b w:val="1"/>
                <w:bCs w:val="1"/>
                <w:color w:val="FFFFFF"/>
              </w:rPr>
              <w:t>Stock Awards</w:t>
            </w:r>
            <w:r>
              <w:rPr>
                <w:rFonts w:ascii="Arial" w:cs="Arial" w:eastAsia="Arial" w:hAnsi="Arial"/>
                <w:sz w:val="27"/>
                <w:szCs w:val="27"/>
                <w:b w:val="1"/>
                <w:bCs w:val="1"/>
                <w:color w:val="FFFFFF"/>
                <w:vertAlign w:val="superscript"/>
              </w:rPr>
              <w:t>2</w:t>
            </w:r>
          </w:p>
        </w:tc>
      </w:tr>
      <w:tr>
        <w:trPr>
          <w:trHeight w:val="218"/>
        </w:trPr>
        <w:tc>
          <w:tcPr>
            <w:tcW w:w="3980" w:type="dxa"/>
            <w:vAlign w:val="bottom"/>
            <w:shd w:val="clear" w:color="auto" w:fill="BF2115"/>
          </w:tcPr>
          <w:p>
            <w:pPr>
              <w:spacing w:after="0"/>
              <w:rPr>
                <w:sz w:val="18"/>
                <w:szCs w:val="18"/>
                <w:color w:val="auto"/>
              </w:rPr>
            </w:pPr>
          </w:p>
        </w:tc>
        <w:tc>
          <w:tcPr>
            <w:tcW w:w="1660" w:type="dxa"/>
            <w:vAlign w:val="bottom"/>
            <w:shd w:val="clear" w:color="auto" w:fill="BF2115"/>
          </w:tcPr>
          <w:p>
            <w:pPr>
              <w:jc w:val="center"/>
              <w:spacing w:after="0"/>
              <w:rPr>
                <w:sz w:val="20"/>
                <w:szCs w:val="20"/>
                <w:color w:val="auto"/>
              </w:rPr>
            </w:pPr>
            <w:r>
              <w:rPr>
                <w:rFonts w:ascii="Arial" w:cs="Arial" w:eastAsia="Arial" w:hAnsi="Arial"/>
                <w:sz w:val="14"/>
                <w:szCs w:val="14"/>
                <w:b w:val="1"/>
                <w:bCs w:val="1"/>
                <w:color w:val="FFFFFF"/>
                <w:w w:val="99"/>
              </w:rPr>
              <w:t>Number of</w:t>
            </w:r>
          </w:p>
        </w:tc>
        <w:tc>
          <w:tcPr>
            <w:tcW w:w="1660" w:type="dxa"/>
            <w:vAlign w:val="bottom"/>
            <w:shd w:val="clear" w:color="auto" w:fill="BF2115"/>
          </w:tcPr>
          <w:p>
            <w:pPr>
              <w:spacing w:after="0"/>
              <w:rPr>
                <w:sz w:val="18"/>
                <w:szCs w:val="18"/>
                <w:color w:val="auto"/>
              </w:rPr>
            </w:pPr>
          </w:p>
        </w:tc>
        <w:tc>
          <w:tcPr>
            <w:tcW w:w="1860" w:type="dxa"/>
            <w:vAlign w:val="bottom"/>
            <w:shd w:val="clear" w:color="auto" w:fill="BF2115"/>
          </w:tcPr>
          <w:p>
            <w:pPr>
              <w:jc w:val="center"/>
              <w:ind w:right="149"/>
              <w:spacing w:after="0"/>
              <w:rPr>
                <w:sz w:val="20"/>
                <w:szCs w:val="20"/>
                <w:color w:val="auto"/>
              </w:rPr>
            </w:pPr>
            <w:r>
              <w:rPr>
                <w:rFonts w:ascii="Arial" w:cs="Arial" w:eastAsia="Arial" w:hAnsi="Arial"/>
                <w:sz w:val="14"/>
                <w:szCs w:val="14"/>
                <w:b w:val="1"/>
                <w:bCs w:val="1"/>
                <w:color w:val="FFFFFF"/>
              </w:rPr>
              <w:t>Number of</w:t>
            </w:r>
          </w:p>
        </w:tc>
        <w:tc>
          <w:tcPr>
            <w:tcW w:w="1440" w:type="dxa"/>
            <w:vAlign w:val="bottom"/>
            <w:shd w:val="clear" w:color="auto" w:fill="BF2115"/>
          </w:tcPr>
          <w:p>
            <w:pPr>
              <w:spacing w:after="0"/>
              <w:rPr>
                <w:sz w:val="18"/>
                <w:szCs w:val="18"/>
                <w:color w:val="auto"/>
              </w:rPr>
            </w:pPr>
          </w:p>
        </w:tc>
      </w:tr>
      <w:tr>
        <w:trPr>
          <w:trHeight w:val="173"/>
        </w:trPr>
        <w:tc>
          <w:tcPr>
            <w:tcW w:w="3980" w:type="dxa"/>
            <w:vAlign w:val="bottom"/>
            <w:shd w:val="clear" w:color="auto" w:fill="BF2115"/>
          </w:tcPr>
          <w:p>
            <w:pPr>
              <w:spacing w:after="0"/>
              <w:rPr>
                <w:sz w:val="15"/>
                <w:szCs w:val="15"/>
                <w:color w:val="auto"/>
              </w:rPr>
            </w:pPr>
          </w:p>
        </w:tc>
        <w:tc>
          <w:tcPr>
            <w:tcW w:w="1660" w:type="dxa"/>
            <w:vAlign w:val="bottom"/>
            <w:shd w:val="clear" w:color="auto" w:fill="BF2115"/>
          </w:tcPr>
          <w:p>
            <w:pPr>
              <w:jc w:val="center"/>
              <w:spacing w:after="0"/>
              <w:rPr>
                <w:sz w:val="20"/>
                <w:szCs w:val="20"/>
                <w:color w:val="auto"/>
              </w:rPr>
            </w:pPr>
            <w:r>
              <w:rPr>
                <w:rFonts w:ascii="Arial" w:cs="Arial" w:eastAsia="Arial" w:hAnsi="Arial"/>
                <w:sz w:val="14"/>
                <w:szCs w:val="14"/>
                <w:b w:val="1"/>
                <w:bCs w:val="1"/>
                <w:color w:val="FFFFFF"/>
                <w:w w:val="98"/>
              </w:rPr>
              <w:t>Shares</w:t>
            </w:r>
          </w:p>
        </w:tc>
        <w:tc>
          <w:tcPr>
            <w:tcW w:w="1660" w:type="dxa"/>
            <w:vAlign w:val="bottom"/>
            <w:shd w:val="clear" w:color="auto" w:fill="BF2115"/>
          </w:tcPr>
          <w:p>
            <w:pPr>
              <w:jc w:val="center"/>
              <w:spacing w:after="0"/>
              <w:rPr>
                <w:sz w:val="20"/>
                <w:szCs w:val="20"/>
                <w:color w:val="auto"/>
              </w:rPr>
            </w:pPr>
            <w:r>
              <w:rPr>
                <w:rFonts w:ascii="Arial" w:cs="Arial" w:eastAsia="Arial" w:hAnsi="Arial"/>
                <w:sz w:val="14"/>
                <w:szCs w:val="14"/>
                <w:b w:val="1"/>
                <w:bCs w:val="1"/>
                <w:color w:val="FFFFFF"/>
              </w:rPr>
              <w:t>Value</w:t>
            </w:r>
          </w:p>
        </w:tc>
        <w:tc>
          <w:tcPr>
            <w:tcW w:w="1860" w:type="dxa"/>
            <w:vAlign w:val="bottom"/>
            <w:shd w:val="clear" w:color="auto" w:fill="BF2115"/>
          </w:tcPr>
          <w:p>
            <w:pPr>
              <w:jc w:val="center"/>
              <w:ind w:right="149"/>
              <w:spacing w:after="0"/>
              <w:rPr>
                <w:sz w:val="20"/>
                <w:szCs w:val="20"/>
                <w:color w:val="auto"/>
              </w:rPr>
            </w:pPr>
            <w:r>
              <w:rPr>
                <w:rFonts w:ascii="Arial" w:cs="Arial" w:eastAsia="Arial" w:hAnsi="Arial"/>
                <w:sz w:val="14"/>
                <w:szCs w:val="14"/>
                <w:b w:val="1"/>
                <w:bCs w:val="1"/>
                <w:color w:val="FFFFFF"/>
              </w:rPr>
              <w:t>Shares</w:t>
            </w:r>
          </w:p>
        </w:tc>
        <w:tc>
          <w:tcPr>
            <w:tcW w:w="1440" w:type="dxa"/>
            <w:vAlign w:val="bottom"/>
            <w:shd w:val="clear" w:color="auto" w:fill="BF2115"/>
          </w:tcPr>
          <w:p>
            <w:pPr>
              <w:jc w:val="center"/>
              <w:ind w:right="149"/>
              <w:spacing w:after="0"/>
              <w:rPr>
                <w:sz w:val="20"/>
                <w:szCs w:val="20"/>
                <w:color w:val="auto"/>
              </w:rPr>
            </w:pPr>
            <w:r>
              <w:rPr>
                <w:rFonts w:ascii="Arial" w:cs="Arial" w:eastAsia="Arial" w:hAnsi="Arial"/>
                <w:sz w:val="14"/>
                <w:szCs w:val="14"/>
                <w:b w:val="1"/>
                <w:bCs w:val="1"/>
                <w:color w:val="FFFFFF"/>
              </w:rPr>
              <w:t>Value</w:t>
            </w:r>
          </w:p>
        </w:tc>
      </w:tr>
      <w:tr>
        <w:trPr>
          <w:trHeight w:val="187"/>
        </w:trPr>
        <w:tc>
          <w:tcPr>
            <w:tcW w:w="3980" w:type="dxa"/>
            <w:vAlign w:val="bottom"/>
            <w:shd w:val="clear" w:color="auto" w:fill="BF2115"/>
          </w:tcPr>
          <w:p>
            <w:pPr>
              <w:spacing w:after="0"/>
              <w:rPr>
                <w:sz w:val="16"/>
                <w:szCs w:val="16"/>
                <w:color w:val="auto"/>
              </w:rPr>
            </w:pPr>
          </w:p>
        </w:tc>
        <w:tc>
          <w:tcPr>
            <w:tcW w:w="1660" w:type="dxa"/>
            <w:vAlign w:val="bottom"/>
            <w:shd w:val="clear" w:color="auto" w:fill="BF2115"/>
          </w:tcPr>
          <w:p>
            <w:pPr>
              <w:jc w:val="center"/>
              <w:spacing w:after="0"/>
              <w:rPr>
                <w:sz w:val="20"/>
                <w:szCs w:val="20"/>
                <w:color w:val="auto"/>
              </w:rPr>
            </w:pPr>
            <w:r>
              <w:rPr>
                <w:rFonts w:ascii="Arial" w:cs="Arial" w:eastAsia="Arial" w:hAnsi="Arial"/>
                <w:sz w:val="14"/>
                <w:szCs w:val="14"/>
                <w:b w:val="1"/>
                <w:bCs w:val="1"/>
                <w:color w:val="FFFFFF"/>
              </w:rPr>
              <w:t>Acquired</w:t>
            </w:r>
          </w:p>
        </w:tc>
        <w:tc>
          <w:tcPr>
            <w:tcW w:w="1660" w:type="dxa"/>
            <w:vAlign w:val="bottom"/>
            <w:shd w:val="clear" w:color="auto" w:fill="BF2115"/>
          </w:tcPr>
          <w:p>
            <w:pPr>
              <w:jc w:val="center"/>
              <w:spacing w:after="0"/>
              <w:rPr>
                <w:sz w:val="20"/>
                <w:szCs w:val="20"/>
                <w:color w:val="auto"/>
              </w:rPr>
            </w:pPr>
            <w:r>
              <w:rPr>
                <w:rFonts w:ascii="Arial" w:cs="Arial" w:eastAsia="Arial" w:hAnsi="Arial"/>
                <w:sz w:val="14"/>
                <w:szCs w:val="14"/>
                <w:b w:val="1"/>
                <w:bCs w:val="1"/>
                <w:color w:val="FFFFFF"/>
              </w:rPr>
              <w:t>Realized</w:t>
            </w:r>
          </w:p>
        </w:tc>
        <w:tc>
          <w:tcPr>
            <w:tcW w:w="1860" w:type="dxa"/>
            <w:vAlign w:val="bottom"/>
            <w:shd w:val="clear" w:color="auto" w:fill="BF2115"/>
          </w:tcPr>
          <w:p>
            <w:pPr>
              <w:jc w:val="center"/>
              <w:ind w:right="149"/>
              <w:spacing w:after="0"/>
              <w:rPr>
                <w:sz w:val="20"/>
                <w:szCs w:val="20"/>
                <w:color w:val="auto"/>
              </w:rPr>
            </w:pPr>
            <w:r>
              <w:rPr>
                <w:rFonts w:ascii="Arial" w:cs="Arial" w:eastAsia="Arial" w:hAnsi="Arial"/>
                <w:sz w:val="14"/>
                <w:szCs w:val="14"/>
                <w:b w:val="1"/>
                <w:bCs w:val="1"/>
                <w:color w:val="FFFFFF"/>
                <w:w w:val="98"/>
              </w:rPr>
              <w:t>Acquired</w:t>
            </w:r>
          </w:p>
        </w:tc>
        <w:tc>
          <w:tcPr>
            <w:tcW w:w="1440" w:type="dxa"/>
            <w:vAlign w:val="bottom"/>
            <w:shd w:val="clear" w:color="auto" w:fill="BF2115"/>
          </w:tcPr>
          <w:p>
            <w:pPr>
              <w:jc w:val="center"/>
              <w:ind w:right="149"/>
              <w:spacing w:after="0"/>
              <w:rPr>
                <w:sz w:val="20"/>
                <w:szCs w:val="20"/>
                <w:color w:val="auto"/>
              </w:rPr>
            </w:pPr>
            <w:r>
              <w:rPr>
                <w:rFonts w:ascii="Arial" w:cs="Arial" w:eastAsia="Arial" w:hAnsi="Arial"/>
                <w:sz w:val="14"/>
                <w:szCs w:val="14"/>
                <w:b w:val="1"/>
                <w:bCs w:val="1"/>
                <w:color w:val="FFFFFF"/>
              </w:rPr>
              <w:t>Realized on</w:t>
            </w:r>
          </w:p>
        </w:tc>
      </w:tr>
      <w:tr>
        <w:trPr>
          <w:trHeight w:val="173"/>
        </w:trPr>
        <w:tc>
          <w:tcPr>
            <w:tcW w:w="3980" w:type="dxa"/>
            <w:vAlign w:val="bottom"/>
            <w:shd w:val="clear" w:color="auto" w:fill="BF2115"/>
          </w:tcPr>
          <w:p>
            <w:pPr>
              <w:spacing w:after="0"/>
              <w:rPr>
                <w:sz w:val="15"/>
                <w:szCs w:val="15"/>
                <w:color w:val="auto"/>
              </w:rPr>
            </w:pPr>
          </w:p>
        </w:tc>
        <w:tc>
          <w:tcPr>
            <w:tcW w:w="1660" w:type="dxa"/>
            <w:vAlign w:val="bottom"/>
            <w:shd w:val="clear" w:color="auto" w:fill="BF2115"/>
          </w:tcPr>
          <w:p>
            <w:pPr>
              <w:jc w:val="center"/>
              <w:spacing w:after="0"/>
              <w:rPr>
                <w:sz w:val="20"/>
                <w:szCs w:val="20"/>
                <w:color w:val="auto"/>
              </w:rPr>
            </w:pPr>
            <w:r>
              <w:rPr>
                <w:rFonts w:ascii="Arial" w:cs="Arial" w:eastAsia="Arial" w:hAnsi="Arial"/>
                <w:sz w:val="14"/>
                <w:szCs w:val="14"/>
                <w:b w:val="1"/>
                <w:bCs w:val="1"/>
                <w:color w:val="FFFFFF"/>
              </w:rPr>
              <w:t>On Exercise</w:t>
            </w:r>
          </w:p>
        </w:tc>
        <w:tc>
          <w:tcPr>
            <w:tcW w:w="1660" w:type="dxa"/>
            <w:vAlign w:val="bottom"/>
            <w:shd w:val="clear" w:color="auto" w:fill="BF2115"/>
          </w:tcPr>
          <w:p>
            <w:pPr>
              <w:jc w:val="center"/>
              <w:spacing w:after="0"/>
              <w:rPr>
                <w:sz w:val="20"/>
                <w:szCs w:val="20"/>
                <w:color w:val="auto"/>
              </w:rPr>
            </w:pPr>
            <w:r>
              <w:rPr>
                <w:rFonts w:ascii="Arial" w:cs="Arial" w:eastAsia="Arial" w:hAnsi="Arial"/>
                <w:sz w:val="14"/>
                <w:szCs w:val="14"/>
                <w:b w:val="1"/>
                <w:bCs w:val="1"/>
                <w:color w:val="FFFFFF"/>
              </w:rPr>
              <w:t>On Exercise</w:t>
            </w:r>
          </w:p>
        </w:tc>
        <w:tc>
          <w:tcPr>
            <w:tcW w:w="1860" w:type="dxa"/>
            <w:vAlign w:val="bottom"/>
            <w:shd w:val="clear" w:color="auto" w:fill="BF2115"/>
          </w:tcPr>
          <w:p>
            <w:pPr>
              <w:jc w:val="center"/>
              <w:ind w:right="149"/>
              <w:spacing w:after="0"/>
              <w:rPr>
                <w:sz w:val="20"/>
                <w:szCs w:val="20"/>
                <w:color w:val="auto"/>
              </w:rPr>
            </w:pPr>
            <w:r>
              <w:rPr>
                <w:rFonts w:ascii="Arial" w:cs="Arial" w:eastAsia="Arial" w:hAnsi="Arial"/>
                <w:sz w:val="14"/>
                <w:szCs w:val="14"/>
                <w:b w:val="1"/>
                <w:bCs w:val="1"/>
                <w:color w:val="FFFFFF"/>
              </w:rPr>
              <w:t>on Vesting</w:t>
            </w:r>
          </w:p>
        </w:tc>
        <w:tc>
          <w:tcPr>
            <w:tcW w:w="1440" w:type="dxa"/>
            <w:vAlign w:val="bottom"/>
            <w:shd w:val="clear" w:color="auto" w:fill="BF2115"/>
          </w:tcPr>
          <w:p>
            <w:pPr>
              <w:jc w:val="center"/>
              <w:ind w:right="149"/>
              <w:spacing w:after="0"/>
              <w:rPr>
                <w:sz w:val="20"/>
                <w:szCs w:val="20"/>
                <w:color w:val="auto"/>
              </w:rPr>
            </w:pPr>
            <w:r>
              <w:rPr>
                <w:rFonts w:ascii="Arial" w:cs="Arial" w:eastAsia="Arial" w:hAnsi="Arial"/>
                <w:sz w:val="14"/>
                <w:szCs w:val="14"/>
                <w:b w:val="1"/>
                <w:bCs w:val="1"/>
                <w:color w:val="FFFFFF"/>
                <w:w w:val="98"/>
              </w:rPr>
              <w:t>Vesting</w:t>
            </w:r>
          </w:p>
        </w:tc>
      </w:tr>
      <w:tr>
        <w:trPr>
          <w:trHeight w:val="196"/>
        </w:trPr>
        <w:tc>
          <w:tcPr>
            <w:tcW w:w="3980" w:type="dxa"/>
            <w:vAlign w:val="bottom"/>
            <w:shd w:val="clear" w:color="auto" w:fill="BF2115"/>
          </w:tcPr>
          <w:p>
            <w:pPr>
              <w:ind w:left="20"/>
              <w:spacing w:after="0"/>
              <w:rPr>
                <w:sz w:val="20"/>
                <w:szCs w:val="20"/>
                <w:color w:val="auto"/>
              </w:rPr>
            </w:pPr>
            <w:r>
              <w:rPr>
                <w:rFonts w:ascii="Arial" w:cs="Arial" w:eastAsia="Arial" w:hAnsi="Arial"/>
                <w:sz w:val="14"/>
                <w:szCs w:val="14"/>
                <w:b w:val="1"/>
                <w:bCs w:val="1"/>
                <w:color w:val="FFFFFF"/>
              </w:rPr>
              <w:t>Name</w:t>
            </w:r>
          </w:p>
        </w:tc>
        <w:tc>
          <w:tcPr>
            <w:tcW w:w="1660" w:type="dxa"/>
            <w:vAlign w:val="bottom"/>
            <w:shd w:val="clear" w:color="auto" w:fill="BF2115"/>
          </w:tcPr>
          <w:p>
            <w:pPr>
              <w:jc w:val="center"/>
              <w:spacing w:after="0"/>
              <w:rPr>
                <w:sz w:val="20"/>
                <w:szCs w:val="20"/>
                <w:color w:val="auto"/>
              </w:rPr>
            </w:pPr>
            <w:r>
              <w:rPr>
                <w:rFonts w:ascii="Arial" w:cs="Arial" w:eastAsia="Arial" w:hAnsi="Arial"/>
                <w:sz w:val="14"/>
                <w:szCs w:val="14"/>
                <w:b w:val="1"/>
                <w:bCs w:val="1"/>
                <w:color w:val="FFFFFF"/>
              </w:rPr>
              <w:t>(#)</w:t>
            </w:r>
          </w:p>
        </w:tc>
        <w:tc>
          <w:tcPr>
            <w:tcW w:w="1660" w:type="dxa"/>
            <w:vAlign w:val="bottom"/>
            <w:shd w:val="clear" w:color="auto" w:fill="BF2115"/>
          </w:tcPr>
          <w:p>
            <w:pPr>
              <w:jc w:val="center"/>
              <w:spacing w:after="0"/>
              <w:rPr>
                <w:sz w:val="20"/>
                <w:szCs w:val="20"/>
                <w:color w:val="auto"/>
              </w:rPr>
            </w:pPr>
            <w:r>
              <w:rPr>
                <w:rFonts w:ascii="Arial" w:cs="Arial" w:eastAsia="Arial" w:hAnsi="Arial"/>
                <w:sz w:val="14"/>
                <w:szCs w:val="14"/>
                <w:b w:val="1"/>
                <w:bCs w:val="1"/>
                <w:color w:val="FFFFFF"/>
              </w:rPr>
              <w:t>($)</w:t>
            </w:r>
          </w:p>
        </w:tc>
        <w:tc>
          <w:tcPr>
            <w:tcW w:w="1860" w:type="dxa"/>
            <w:vAlign w:val="bottom"/>
            <w:shd w:val="clear" w:color="auto" w:fill="BF2115"/>
          </w:tcPr>
          <w:p>
            <w:pPr>
              <w:jc w:val="center"/>
              <w:ind w:right="149"/>
              <w:spacing w:after="0"/>
              <w:rPr>
                <w:sz w:val="20"/>
                <w:szCs w:val="20"/>
                <w:color w:val="auto"/>
              </w:rPr>
            </w:pPr>
            <w:r>
              <w:rPr>
                <w:rFonts w:ascii="Arial" w:cs="Arial" w:eastAsia="Arial" w:hAnsi="Arial"/>
                <w:sz w:val="14"/>
                <w:szCs w:val="14"/>
                <w:b w:val="1"/>
                <w:bCs w:val="1"/>
                <w:color w:val="FFFFFF"/>
                <w:w w:val="93"/>
              </w:rPr>
              <w:t>(#)</w:t>
            </w:r>
          </w:p>
        </w:tc>
        <w:tc>
          <w:tcPr>
            <w:tcW w:w="1440" w:type="dxa"/>
            <w:vAlign w:val="bottom"/>
            <w:shd w:val="clear" w:color="auto" w:fill="BF2115"/>
          </w:tcPr>
          <w:p>
            <w:pPr>
              <w:jc w:val="center"/>
              <w:ind w:right="149"/>
              <w:spacing w:after="0"/>
              <w:rPr>
                <w:sz w:val="20"/>
                <w:szCs w:val="20"/>
                <w:color w:val="auto"/>
              </w:rPr>
            </w:pPr>
            <w:r>
              <w:rPr>
                <w:rFonts w:ascii="Arial" w:cs="Arial" w:eastAsia="Arial" w:hAnsi="Arial"/>
                <w:sz w:val="14"/>
                <w:szCs w:val="14"/>
                <w:b w:val="1"/>
                <w:bCs w:val="1"/>
                <w:color w:val="FFFFFF"/>
              </w:rPr>
              <w:t>($)</w:t>
            </w:r>
          </w:p>
        </w:tc>
      </w:tr>
      <w:tr>
        <w:trPr>
          <w:trHeight w:val="206"/>
        </w:trPr>
        <w:tc>
          <w:tcPr>
            <w:tcW w:w="3980" w:type="dxa"/>
            <w:vAlign w:val="bottom"/>
          </w:tcPr>
          <w:p>
            <w:pPr>
              <w:ind w:left="20"/>
              <w:spacing w:after="0"/>
              <w:rPr>
                <w:sz w:val="20"/>
                <w:szCs w:val="20"/>
                <w:color w:val="auto"/>
              </w:rPr>
            </w:pPr>
            <w:r>
              <w:rPr>
                <w:rFonts w:ascii="Arial" w:cs="Arial" w:eastAsia="Arial" w:hAnsi="Arial"/>
                <w:sz w:val="14"/>
                <w:szCs w:val="14"/>
                <w:color w:val="auto"/>
              </w:rPr>
              <w:t>Richard M. Olson</w:t>
            </w:r>
          </w:p>
        </w:tc>
        <w:tc>
          <w:tcPr>
            <w:tcW w:w="166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1440" w:type="dxa"/>
            <w:vAlign w:val="bottom"/>
          </w:tcPr>
          <w:p>
            <w:pPr>
              <w:spacing w:after="0"/>
              <w:rPr>
                <w:sz w:val="17"/>
                <w:szCs w:val="17"/>
                <w:color w:val="auto"/>
              </w:rPr>
            </w:pPr>
          </w:p>
        </w:tc>
      </w:tr>
      <w:tr>
        <w:trPr>
          <w:trHeight w:val="213"/>
        </w:trPr>
        <w:tc>
          <w:tcPr>
            <w:tcW w:w="3980" w:type="dxa"/>
            <w:vAlign w:val="bottom"/>
          </w:tcPr>
          <w:p>
            <w:pPr>
              <w:ind w:left="220"/>
              <w:spacing w:after="0"/>
              <w:rPr>
                <w:sz w:val="20"/>
                <w:szCs w:val="20"/>
                <w:color w:val="auto"/>
              </w:rPr>
            </w:pPr>
            <w:r>
              <w:rPr>
                <w:rFonts w:ascii="Arial" w:cs="Arial" w:eastAsia="Arial" w:hAnsi="Arial"/>
                <w:sz w:val="14"/>
                <w:szCs w:val="14"/>
                <w:color w:val="auto"/>
              </w:rPr>
              <w:t>Stock Option Exercises</w:t>
            </w:r>
          </w:p>
        </w:tc>
        <w:tc>
          <w:tcPr>
            <w:tcW w:w="1660" w:type="dxa"/>
            <w:vAlign w:val="bottom"/>
          </w:tcPr>
          <w:p>
            <w:pPr>
              <w:jc w:val="right"/>
              <w:spacing w:after="0"/>
              <w:rPr>
                <w:sz w:val="20"/>
                <w:szCs w:val="20"/>
                <w:color w:val="auto"/>
              </w:rPr>
            </w:pPr>
            <w:r>
              <w:rPr>
                <w:rFonts w:ascii="Arial" w:cs="Arial" w:eastAsia="Arial" w:hAnsi="Arial"/>
                <w:sz w:val="14"/>
                <w:szCs w:val="14"/>
                <w:color w:val="auto"/>
              </w:rPr>
              <w:t>20,000</w:t>
            </w:r>
          </w:p>
        </w:tc>
        <w:tc>
          <w:tcPr>
            <w:tcW w:w="1660" w:type="dxa"/>
            <w:vAlign w:val="bottom"/>
          </w:tcPr>
          <w:p>
            <w:pPr>
              <w:jc w:val="right"/>
              <w:spacing w:after="0"/>
              <w:rPr>
                <w:sz w:val="20"/>
                <w:szCs w:val="20"/>
                <w:color w:val="auto"/>
              </w:rPr>
            </w:pPr>
            <w:r>
              <w:rPr>
                <w:rFonts w:ascii="Arial" w:cs="Arial" w:eastAsia="Arial" w:hAnsi="Arial"/>
                <w:sz w:val="14"/>
                <w:szCs w:val="14"/>
                <w:color w:val="auto"/>
              </w:rPr>
              <w:t>1,276,300</w:t>
            </w:r>
          </w:p>
        </w:tc>
        <w:tc>
          <w:tcPr>
            <w:tcW w:w="1860" w:type="dxa"/>
            <w:vAlign w:val="bottom"/>
          </w:tcPr>
          <w:p>
            <w:pPr>
              <w:spacing w:after="0"/>
              <w:rPr>
                <w:sz w:val="18"/>
                <w:szCs w:val="18"/>
                <w:color w:val="auto"/>
              </w:rPr>
            </w:pPr>
          </w:p>
        </w:tc>
        <w:tc>
          <w:tcPr>
            <w:tcW w:w="1440" w:type="dxa"/>
            <w:vAlign w:val="bottom"/>
          </w:tcPr>
          <w:p>
            <w:pPr>
              <w:spacing w:after="0"/>
              <w:rPr>
                <w:sz w:val="18"/>
                <w:szCs w:val="18"/>
                <w:color w:val="auto"/>
              </w:rPr>
            </w:pPr>
          </w:p>
        </w:tc>
      </w:tr>
      <w:tr>
        <w:trPr>
          <w:trHeight w:val="217"/>
        </w:trPr>
        <w:tc>
          <w:tcPr>
            <w:tcW w:w="3980" w:type="dxa"/>
            <w:vAlign w:val="bottom"/>
          </w:tcPr>
          <w:p>
            <w:pPr>
              <w:ind w:left="220"/>
              <w:spacing w:after="0"/>
              <w:rPr>
                <w:sz w:val="20"/>
                <w:szCs w:val="20"/>
                <w:color w:val="auto"/>
              </w:rPr>
            </w:pPr>
            <w:r>
              <w:rPr>
                <w:rFonts w:ascii="Arial" w:cs="Arial" w:eastAsia="Arial" w:hAnsi="Arial"/>
                <w:sz w:val="14"/>
                <w:szCs w:val="14"/>
                <w:color w:val="auto"/>
              </w:rPr>
              <w:t>F22-F24 Performance Share Award Payout</w:t>
            </w:r>
          </w:p>
        </w:tc>
        <w:tc>
          <w:tcPr>
            <w:tcW w:w="166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860" w:type="dxa"/>
            <w:vAlign w:val="bottom"/>
          </w:tcPr>
          <w:p>
            <w:pPr>
              <w:jc w:val="right"/>
              <w:ind w:right="169"/>
              <w:spacing w:after="0"/>
              <w:rPr>
                <w:sz w:val="20"/>
                <w:szCs w:val="20"/>
                <w:color w:val="auto"/>
              </w:rPr>
            </w:pPr>
            <w:r>
              <w:rPr>
                <w:rFonts w:ascii="Arial" w:cs="Arial" w:eastAsia="Arial" w:hAnsi="Arial"/>
                <w:sz w:val="14"/>
                <w:szCs w:val="14"/>
                <w:color w:val="auto"/>
              </w:rPr>
              <w:t>13,990</w:t>
            </w:r>
          </w:p>
        </w:tc>
        <w:tc>
          <w:tcPr>
            <w:tcW w:w="1440" w:type="dxa"/>
            <w:vAlign w:val="bottom"/>
          </w:tcPr>
          <w:p>
            <w:pPr>
              <w:jc w:val="right"/>
              <w:spacing w:after="0"/>
              <w:rPr>
                <w:sz w:val="20"/>
                <w:szCs w:val="20"/>
                <w:color w:val="auto"/>
              </w:rPr>
            </w:pPr>
            <w:r>
              <w:rPr>
                <w:rFonts w:ascii="Arial" w:cs="Arial" w:eastAsia="Arial" w:hAnsi="Arial"/>
                <w:sz w:val="14"/>
                <w:szCs w:val="14"/>
                <w:color w:val="auto"/>
              </w:rPr>
              <w:t>1,139,346</w:t>
            </w:r>
          </w:p>
        </w:tc>
      </w:tr>
      <w:tr>
        <w:trPr>
          <w:trHeight w:val="210"/>
        </w:trPr>
        <w:tc>
          <w:tcPr>
            <w:tcW w:w="3980" w:type="dxa"/>
            <w:vAlign w:val="bottom"/>
            <w:shd w:val="clear" w:color="auto" w:fill="DBDBDB"/>
          </w:tcPr>
          <w:p>
            <w:pPr>
              <w:ind w:left="20"/>
              <w:spacing w:after="0"/>
              <w:rPr>
                <w:sz w:val="20"/>
                <w:szCs w:val="20"/>
                <w:color w:val="auto"/>
              </w:rPr>
            </w:pPr>
            <w:r>
              <w:rPr>
                <w:rFonts w:ascii="Arial" w:cs="Arial" w:eastAsia="Arial" w:hAnsi="Arial"/>
                <w:sz w:val="14"/>
                <w:szCs w:val="14"/>
                <w:color w:val="auto"/>
              </w:rPr>
              <w:t>Angela C. Drake</w:t>
            </w:r>
          </w:p>
        </w:tc>
        <w:tc>
          <w:tcPr>
            <w:tcW w:w="1660" w:type="dxa"/>
            <w:vAlign w:val="bottom"/>
            <w:shd w:val="clear" w:color="auto" w:fill="DBDBDB"/>
          </w:tcPr>
          <w:p>
            <w:pPr>
              <w:spacing w:after="0"/>
              <w:rPr>
                <w:sz w:val="18"/>
                <w:szCs w:val="18"/>
                <w:color w:val="auto"/>
              </w:rPr>
            </w:pPr>
          </w:p>
        </w:tc>
        <w:tc>
          <w:tcPr>
            <w:tcW w:w="1660" w:type="dxa"/>
            <w:vAlign w:val="bottom"/>
            <w:shd w:val="clear" w:color="auto" w:fill="DBDBDB"/>
          </w:tcPr>
          <w:p>
            <w:pPr>
              <w:spacing w:after="0"/>
              <w:rPr>
                <w:sz w:val="18"/>
                <w:szCs w:val="18"/>
                <w:color w:val="auto"/>
              </w:rPr>
            </w:pPr>
          </w:p>
        </w:tc>
        <w:tc>
          <w:tcPr>
            <w:tcW w:w="1860" w:type="dxa"/>
            <w:vAlign w:val="bottom"/>
            <w:shd w:val="clear" w:color="auto" w:fill="DBDBDB"/>
          </w:tcPr>
          <w:p>
            <w:pPr>
              <w:spacing w:after="0"/>
              <w:rPr>
                <w:sz w:val="18"/>
                <w:szCs w:val="18"/>
                <w:color w:val="auto"/>
              </w:rPr>
            </w:pPr>
          </w:p>
        </w:tc>
        <w:tc>
          <w:tcPr>
            <w:tcW w:w="1440" w:type="dxa"/>
            <w:vAlign w:val="bottom"/>
            <w:shd w:val="clear" w:color="auto" w:fill="DBDBDB"/>
          </w:tcPr>
          <w:p>
            <w:pPr>
              <w:spacing w:after="0"/>
              <w:rPr>
                <w:sz w:val="18"/>
                <w:szCs w:val="18"/>
                <w:color w:val="auto"/>
              </w:rPr>
            </w:pPr>
          </w:p>
        </w:tc>
      </w:tr>
      <w:tr>
        <w:trPr>
          <w:trHeight w:val="213"/>
        </w:trPr>
        <w:tc>
          <w:tcPr>
            <w:tcW w:w="3980" w:type="dxa"/>
            <w:vAlign w:val="bottom"/>
            <w:shd w:val="clear" w:color="auto" w:fill="DBDBDB"/>
          </w:tcPr>
          <w:p>
            <w:pPr>
              <w:ind w:left="220"/>
              <w:spacing w:after="0"/>
              <w:rPr>
                <w:sz w:val="20"/>
                <w:szCs w:val="20"/>
                <w:color w:val="auto"/>
              </w:rPr>
            </w:pPr>
            <w:r>
              <w:rPr>
                <w:rFonts w:ascii="Arial" w:cs="Arial" w:eastAsia="Arial" w:hAnsi="Arial"/>
                <w:sz w:val="14"/>
                <w:szCs w:val="14"/>
                <w:color w:val="auto"/>
              </w:rPr>
              <w:t>Stock Option Exercises</w:t>
            </w:r>
          </w:p>
        </w:tc>
        <w:tc>
          <w:tcPr>
            <w:tcW w:w="1660" w:type="dxa"/>
            <w:vAlign w:val="bottom"/>
            <w:shd w:val="clear" w:color="auto" w:fill="DBDBDB"/>
          </w:tcPr>
          <w:p>
            <w:pPr>
              <w:jc w:val="right"/>
              <w:spacing w:after="0"/>
              <w:rPr>
                <w:sz w:val="20"/>
                <w:szCs w:val="20"/>
                <w:color w:val="auto"/>
              </w:rPr>
            </w:pPr>
            <w:r>
              <w:rPr>
                <w:rFonts w:ascii="Arial" w:cs="Arial" w:eastAsia="Arial" w:hAnsi="Arial"/>
                <w:sz w:val="14"/>
                <w:szCs w:val="14"/>
                <w:color w:val="auto"/>
              </w:rPr>
              <w:t>N/A</w:t>
            </w:r>
          </w:p>
        </w:tc>
        <w:tc>
          <w:tcPr>
            <w:tcW w:w="1660" w:type="dxa"/>
            <w:vAlign w:val="bottom"/>
            <w:shd w:val="clear" w:color="auto" w:fill="DBDBDB"/>
          </w:tcPr>
          <w:p>
            <w:pPr>
              <w:jc w:val="right"/>
              <w:spacing w:after="0"/>
              <w:rPr>
                <w:sz w:val="20"/>
                <w:szCs w:val="20"/>
                <w:color w:val="auto"/>
              </w:rPr>
            </w:pPr>
            <w:r>
              <w:rPr>
                <w:rFonts w:ascii="Arial" w:cs="Arial" w:eastAsia="Arial" w:hAnsi="Arial"/>
                <w:sz w:val="14"/>
                <w:szCs w:val="14"/>
                <w:color w:val="auto"/>
              </w:rPr>
              <w:t>N/A</w:t>
            </w:r>
          </w:p>
        </w:tc>
        <w:tc>
          <w:tcPr>
            <w:tcW w:w="1860" w:type="dxa"/>
            <w:vAlign w:val="bottom"/>
            <w:shd w:val="clear" w:color="auto" w:fill="DBDBDB"/>
          </w:tcPr>
          <w:p>
            <w:pPr>
              <w:spacing w:after="0"/>
              <w:rPr>
                <w:sz w:val="18"/>
                <w:szCs w:val="18"/>
                <w:color w:val="auto"/>
              </w:rPr>
            </w:pPr>
          </w:p>
        </w:tc>
        <w:tc>
          <w:tcPr>
            <w:tcW w:w="1440" w:type="dxa"/>
            <w:vAlign w:val="bottom"/>
            <w:shd w:val="clear" w:color="auto" w:fill="DBDBDB"/>
          </w:tcPr>
          <w:p>
            <w:pPr>
              <w:spacing w:after="0"/>
              <w:rPr>
                <w:sz w:val="18"/>
                <w:szCs w:val="18"/>
                <w:color w:val="auto"/>
              </w:rPr>
            </w:pPr>
          </w:p>
        </w:tc>
      </w:tr>
      <w:tr>
        <w:trPr>
          <w:trHeight w:val="213"/>
        </w:trPr>
        <w:tc>
          <w:tcPr>
            <w:tcW w:w="3980" w:type="dxa"/>
            <w:vAlign w:val="bottom"/>
            <w:shd w:val="clear" w:color="auto" w:fill="DBDBDB"/>
          </w:tcPr>
          <w:p>
            <w:pPr>
              <w:ind w:left="220"/>
              <w:spacing w:after="0"/>
              <w:rPr>
                <w:sz w:val="20"/>
                <w:szCs w:val="20"/>
                <w:color w:val="auto"/>
              </w:rPr>
            </w:pPr>
            <w:r>
              <w:rPr>
                <w:rFonts w:ascii="Arial" w:cs="Arial" w:eastAsia="Arial" w:hAnsi="Arial"/>
                <w:sz w:val="14"/>
                <w:szCs w:val="14"/>
                <w:color w:val="auto"/>
              </w:rPr>
              <w:t>F22-F24 Performance Share Award Payout</w:t>
            </w:r>
          </w:p>
        </w:tc>
        <w:tc>
          <w:tcPr>
            <w:tcW w:w="1660" w:type="dxa"/>
            <w:vAlign w:val="bottom"/>
            <w:shd w:val="clear" w:color="auto" w:fill="DBDBDB"/>
          </w:tcPr>
          <w:p>
            <w:pPr>
              <w:spacing w:after="0"/>
              <w:rPr>
                <w:sz w:val="18"/>
                <w:szCs w:val="18"/>
                <w:color w:val="auto"/>
              </w:rPr>
            </w:pPr>
          </w:p>
        </w:tc>
        <w:tc>
          <w:tcPr>
            <w:tcW w:w="1660" w:type="dxa"/>
            <w:vAlign w:val="bottom"/>
            <w:shd w:val="clear" w:color="auto" w:fill="DBDBDB"/>
          </w:tcPr>
          <w:p>
            <w:pPr>
              <w:spacing w:after="0"/>
              <w:rPr>
                <w:sz w:val="18"/>
                <w:szCs w:val="18"/>
                <w:color w:val="auto"/>
              </w:rPr>
            </w:pPr>
          </w:p>
        </w:tc>
        <w:tc>
          <w:tcPr>
            <w:tcW w:w="1860" w:type="dxa"/>
            <w:vAlign w:val="bottom"/>
            <w:shd w:val="clear" w:color="auto" w:fill="DBDBDB"/>
          </w:tcPr>
          <w:p>
            <w:pPr>
              <w:jc w:val="right"/>
              <w:ind w:right="209"/>
              <w:spacing w:after="0"/>
              <w:rPr>
                <w:sz w:val="20"/>
                <w:szCs w:val="20"/>
                <w:color w:val="auto"/>
              </w:rPr>
            </w:pPr>
            <w:r>
              <w:rPr>
                <w:rFonts w:ascii="Arial" w:cs="Arial" w:eastAsia="Arial" w:hAnsi="Arial"/>
                <w:sz w:val="14"/>
                <w:szCs w:val="14"/>
                <w:color w:val="auto"/>
              </w:rPr>
              <w:t>718</w:t>
            </w:r>
          </w:p>
        </w:tc>
        <w:tc>
          <w:tcPr>
            <w:tcW w:w="1440" w:type="dxa"/>
            <w:vAlign w:val="bottom"/>
            <w:shd w:val="clear" w:color="auto" w:fill="DBDBDB"/>
          </w:tcPr>
          <w:p>
            <w:pPr>
              <w:jc w:val="right"/>
              <w:spacing w:after="0"/>
              <w:rPr>
                <w:sz w:val="20"/>
                <w:szCs w:val="20"/>
                <w:color w:val="auto"/>
              </w:rPr>
            </w:pPr>
            <w:r>
              <w:rPr>
                <w:rFonts w:ascii="Arial" w:cs="Arial" w:eastAsia="Arial" w:hAnsi="Arial"/>
                <w:sz w:val="14"/>
                <w:szCs w:val="14"/>
                <w:color w:val="auto"/>
              </w:rPr>
              <w:t>58,474</w:t>
            </w:r>
          </w:p>
        </w:tc>
      </w:tr>
      <w:tr>
        <w:trPr>
          <w:trHeight w:val="221"/>
        </w:trPr>
        <w:tc>
          <w:tcPr>
            <w:tcW w:w="3980" w:type="dxa"/>
            <w:vAlign w:val="bottom"/>
            <w:shd w:val="clear" w:color="auto" w:fill="DBDBDB"/>
          </w:tcPr>
          <w:p>
            <w:pPr>
              <w:ind w:left="220"/>
              <w:spacing w:after="0"/>
              <w:rPr>
                <w:sz w:val="20"/>
                <w:szCs w:val="20"/>
                <w:color w:val="auto"/>
              </w:rPr>
            </w:pPr>
            <w:r>
              <w:rPr>
                <w:rFonts w:ascii="Arial" w:cs="Arial" w:eastAsia="Arial" w:hAnsi="Arial"/>
                <w:sz w:val="14"/>
                <w:szCs w:val="14"/>
                <w:color w:val="auto"/>
              </w:rPr>
              <w:t>Restricted Stock Units</w:t>
            </w:r>
          </w:p>
        </w:tc>
        <w:tc>
          <w:tcPr>
            <w:tcW w:w="1660" w:type="dxa"/>
            <w:vAlign w:val="bottom"/>
            <w:shd w:val="clear" w:color="auto" w:fill="DBDBDB"/>
          </w:tcPr>
          <w:p>
            <w:pPr>
              <w:spacing w:after="0"/>
              <w:rPr>
                <w:sz w:val="19"/>
                <w:szCs w:val="19"/>
                <w:color w:val="auto"/>
              </w:rPr>
            </w:pPr>
          </w:p>
        </w:tc>
        <w:tc>
          <w:tcPr>
            <w:tcW w:w="1660" w:type="dxa"/>
            <w:vAlign w:val="bottom"/>
            <w:shd w:val="clear" w:color="auto" w:fill="DBDBDB"/>
          </w:tcPr>
          <w:p>
            <w:pPr>
              <w:spacing w:after="0"/>
              <w:rPr>
                <w:sz w:val="19"/>
                <w:szCs w:val="19"/>
                <w:color w:val="auto"/>
              </w:rPr>
            </w:pPr>
          </w:p>
        </w:tc>
        <w:tc>
          <w:tcPr>
            <w:tcW w:w="1860" w:type="dxa"/>
            <w:vAlign w:val="bottom"/>
            <w:shd w:val="clear" w:color="auto" w:fill="DBDBDB"/>
          </w:tcPr>
          <w:p>
            <w:pPr>
              <w:jc w:val="right"/>
              <w:ind w:right="209"/>
              <w:spacing w:after="0"/>
              <w:rPr>
                <w:sz w:val="20"/>
                <w:szCs w:val="20"/>
                <w:color w:val="auto"/>
              </w:rPr>
            </w:pPr>
            <w:r>
              <w:rPr>
                <w:rFonts w:ascii="Arial" w:cs="Arial" w:eastAsia="Arial" w:hAnsi="Arial"/>
                <w:sz w:val="14"/>
                <w:szCs w:val="14"/>
                <w:color w:val="auto"/>
              </w:rPr>
              <w:t>2,630</w:t>
            </w:r>
          </w:p>
        </w:tc>
        <w:tc>
          <w:tcPr>
            <w:tcW w:w="1440" w:type="dxa"/>
            <w:vAlign w:val="bottom"/>
            <w:shd w:val="clear" w:color="auto" w:fill="DBDBDB"/>
          </w:tcPr>
          <w:p>
            <w:pPr>
              <w:jc w:val="right"/>
              <w:spacing w:after="0"/>
              <w:rPr>
                <w:sz w:val="20"/>
                <w:szCs w:val="20"/>
                <w:color w:val="auto"/>
              </w:rPr>
            </w:pPr>
            <w:r>
              <w:rPr>
                <w:rFonts w:ascii="Arial" w:cs="Arial" w:eastAsia="Arial" w:hAnsi="Arial"/>
                <w:sz w:val="14"/>
                <w:szCs w:val="14"/>
                <w:color w:val="auto"/>
              </w:rPr>
              <w:t>233,246</w:t>
            </w:r>
          </w:p>
        </w:tc>
      </w:tr>
      <w:tr>
        <w:trPr>
          <w:trHeight w:val="206"/>
        </w:trPr>
        <w:tc>
          <w:tcPr>
            <w:tcW w:w="3980" w:type="dxa"/>
            <w:vAlign w:val="bottom"/>
          </w:tcPr>
          <w:p>
            <w:pPr>
              <w:ind w:left="20"/>
              <w:spacing w:after="0"/>
              <w:rPr>
                <w:sz w:val="20"/>
                <w:szCs w:val="20"/>
                <w:color w:val="auto"/>
              </w:rPr>
            </w:pPr>
            <w:r>
              <w:rPr>
                <w:rFonts w:ascii="Arial" w:cs="Arial" w:eastAsia="Arial" w:hAnsi="Arial"/>
                <w:sz w:val="14"/>
                <w:szCs w:val="14"/>
                <w:color w:val="auto"/>
              </w:rPr>
              <w:t>Kevin N. Carpenter</w:t>
            </w:r>
          </w:p>
        </w:tc>
        <w:tc>
          <w:tcPr>
            <w:tcW w:w="166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1440" w:type="dxa"/>
            <w:vAlign w:val="bottom"/>
          </w:tcPr>
          <w:p>
            <w:pPr>
              <w:spacing w:after="0"/>
              <w:rPr>
                <w:sz w:val="17"/>
                <w:szCs w:val="17"/>
                <w:color w:val="auto"/>
              </w:rPr>
            </w:pPr>
          </w:p>
        </w:tc>
      </w:tr>
      <w:tr>
        <w:trPr>
          <w:trHeight w:val="213"/>
        </w:trPr>
        <w:tc>
          <w:tcPr>
            <w:tcW w:w="3980" w:type="dxa"/>
            <w:vAlign w:val="bottom"/>
          </w:tcPr>
          <w:p>
            <w:pPr>
              <w:ind w:left="220"/>
              <w:spacing w:after="0"/>
              <w:rPr>
                <w:sz w:val="20"/>
                <w:szCs w:val="20"/>
                <w:color w:val="auto"/>
              </w:rPr>
            </w:pPr>
            <w:r>
              <w:rPr>
                <w:rFonts w:ascii="Arial" w:cs="Arial" w:eastAsia="Arial" w:hAnsi="Arial"/>
                <w:sz w:val="14"/>
                <w:szCs w:val="14"/>
                <w:color w:val="auto"/>
              </w:rPr>
              <w:t>Stock Option Exercises</w:t>
            </w:r>
          </w:p>
        </w:tc>
        <w:tc>
          <w:tcPr>
            <w:tcW w:w="1660" w:type="dxa"/>
            <w:vAlign w:val="bottom"/>
          </w:tcPr>
          <w:p>
            <w:pPr>
              <w:jc w:val="right"/>
              <w:spacing w:after="0"/>
              <w:rPr>
                <w:sz w:val="20"/>
                <w:szCs w:val="20"/>
                <w:color w:val="auto"/>
              </w:rPr>
            </w:pPr>
            <w:r>
              <w:rPr>
                <w:rFonts w:ascii="Arial" w:cs="Arial" w:eastAsia="Arial" w:hAnsi="Arial"/>
                <w:sz w:val="14"/>
                <w:szCs w:val="14"/>
                <w:color w:val="auto"/>
              </w:rPr>
              <w:t>N/A</w:t>
            </w:r>
          </w:p>
        </w:tc>
        <w:tc>
          <w:tcPr>
            <w:tcW w:w="1660" w:type="dxa"/>
            <w:vAlign w:val="bottom"/>
          </w:tcPr>
          <w:p>
            <w:pPr>
              <w:jc w:val="right"/>
              <w:spacing w:after="0"/>
              <w:rPr>
                <w:sz w:val="20"/>
                <w:szCs w:val="20"/>
                <w:color w:val="auto"/>
              </w:rPr>
            </w:pPr>
            <w:r>
              <w:rPr>
                <w:rFonts w:ascii="Arial" w:cs="Arial" w:eastAsia="Arial" w:hAnsi="Arial"/>
                <w:sz w:val="14"/>
                <w:szCs w:val="14"/>
                <w:color w:val="auto"/>
              </w:rPr>
              <w:t>N/A</w:t>
            </w:r>
          </w:p>
        </w:tc>
        <w:tc>
          <w:tcPr>
            <w:tcW w:w="1860" w:type="dxa"/>
            <w:vAlign w:val="bottom"/>
          </w:tcPr>
          <w:p>
            <w:pPr>
              <w:spacing w:after="0"/>
              <w:rPr>
                <w:sz w:val="18"/>
                <w:szCs w:val="18"/>
                <w:color w:val="auto"/>
              </w:rPr>
            </w:pPr>
          </w:p>
        </w:tc>
        <w:tc>
          <w:tcPr>
            <w:tcW w:w="1440" w:type="dxa"/>
            <w:vAlign w:val="bottom"/>
          </w:tcPr>
          <w:p>
            <w:pPr>
              <w:spacing w:after="0"/>
              <w:rPr>
                <w:sz w:val="18"/>
                <w:szCs w:val="18"/>
                <w:color w:val="auto"/>
              </w:rPr>
            </w:pPr>
          </w:p>
        </w:tc>
      </w:tr>
      <w:tr>
        <w:trPr>
          <w:trHeight w:val="213"/>
        </w:trPr>
        <w:tc>
          <w:tcPr>
            <w:tcW w:w="3980" w:type="dxa"/>
            <w:vAlign w:val="bottom"/>
          </w:tcPr>
          <w:p>
            <w:pPr>
              <w:ind w:left="220"/>
              <w:spacing w:after="0"/>
              <w:rPr>
                <w:sz w:val="20"/>
                <w:szCs w:val="20"/>
                <w:color w:val="auto"/>
              </w:rPr>
            </w:pPr>
            <w:r>
              <w:rPr>
                <w:rFonts w:ascii="Arial" w:cs="Arial" w:eastAsia="Arial" w:hAnsi="Arial"/>
                <w:sz w:val="14"/>
                <w:szCs w:val="14"/>
                <w:color w:val="auto"/>
              </w:rPr>
              <w:t>F22-F24 Performance Share Award Payout</w:t>
            </w:r>
          </w:p>
        </w:tc>
        <w:tc>
          <w:tcPr>
            <w:tcW w:w="166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860" w:type="dxa"/>
            <w:vAlign w:val="bottom"/>
          </w:tcPr>
          <w:p>
            <w:pPr>
              <w:jc w:val="right"/>
              <w:ind w:right="169"/>
              <w:spacing w:after="0"/>
              <w:rPr>
                <w:sz w:val="20"/>
                <w:szCs w:val="20"/>
                <w:color w:val="auto"/>
              </w:rPr>
            </w:pPr>
            <w:r>
              <w:rPr>
                <w:rFonts w:ascii="Arial" w:cs="Arial" w:eastAsia="Arial" w:hAnsi="Arial"/>
                <w:sz w:val="14"/>
                <w:szCs w:val="14"/>
                <w:color w:val="auto"/>
              </w:rPr>
              <w:t>1,327</w:t>
            </w:r>
          </w:p>
        </w:tc>
        <w:tc>
          <w:tcPr>
            <w:tcW w:w="1440" w:type="dxa"/>
            <w:vAlign w:val="bottom"/>
          </w:tcPr>
          <w:p>
            <w:pPr>
              <w:jc w:val="right"/>
              <w:spacing w:after="0"/>
              <w:rPr>
                <w:sz w:val="20"/>
                <w:szCs w:val="20"/>
                <w:color w:val="auto"/>
              </w:rPr>
            </w:pPr>
            <w:r>
              <w:rPr>
                <w:rFonts w:ascii="Arial" w:cs="Arial" w:eastAsia="Arial" w:hAnsi="Arial"/>
                <w:sz w:val="14"/>
                <w:szCs w:val="14"/>
                <w:color w:val="auto"/>
              </w:rPr>
              <w:t>108,071</w:t>
            </w:r>
          </w:p>
        </w:tc>
      </w:tr>
      <w:tr>
        <w:trPr>
          <w:trHeight w:val="217"/>
        </w:trPr>
        <w:tc>
          <w:tcPr>
            <w:tcW w:w="3980" w:type="dxa"/>
            <w:vAlign w:val="bottom"/>
          </w:tcPr>
          <w:p>
            <w:pPr>
              <w:ind w:left="220"/>
              <w:spacing w:after="0"/>
              <w:rPr>
                <w:sz w:val="20"/>
                <w:szCs w:val="20"/>
                <w:color w:val="auto"/>
              </w:rPr>
            </w:pPr>
            <w:r>
              <w:rPr>
                <w:rFonts w:ascii="Arial" w:cs="Arial" w:eastAsia="Arial" w:hAnsi="Arial"/>
                <w:sz w:val="14"/>
                <w:szCs w:val="14"/>
                <w:color w:val="auto"/>
              </w:rPr>
              <w:t>Restricted Stock Units</w:t>
            </w:r>
          </w:p>
        </w:tc>
        <w:tc>
          <w:tcPr>
            <w:tcW w:w="166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860" w:type="dxa"/>
            <w:vAlign w:val="bottom"/>
          </w:tcPr>
          <w:p>
            <w:pPr>
              <w:jc w:val="right"/>
              <w:ind w:right="169"/>
              <w:spacing w:after="0"/>
              <w:rPr>
                <w:sz w:val="20"/>
                <w:szCs w:val="20"/>
                <w:color w:val="auto"/>
              </w:rPr>
            </w:pPr>
            <w:r>
              <w:rPr>
                <w:rFonts w:ascii="Arial" w:cs="Arial" w:eastAsia="Arial" w:hAnsi="Arial"/>
                <w:sz w:val="14"/>
                <w:szCs w:val="14"/>
                <w:color w:val="auto"/>
              </w:rPr>
              <w:t>5,959</w:t>
            </w:r>
          </w:p>
        </w:tc>
        <w:tc>
          <w:tcPr>
            <w:tcW w:w="1440" w:type="dxa"/>
            <w:vAlign w:val="bottom"/>
          </w:tcPr>
          <w:p>
            <w:pPr>
              <w:jc w:val="right"/>
              <w:spacing w:after="0"/>
              <w:rPr>
                <w:sz w:val="20"/>
                <w:szCs w:val="20"/>
                <w:color w:val="auto"/>
              </w:rPr>
            </w:pPr>
            <w:r>
              <w:rPr>
                <w:rFonts w:ascii="Arial" w:cs="Arial" w:eastAsia="Arial" w:hAnsi="Arial"/>
                <w:sz w:val="14"/>
                <w:szCs w:val="14"/>
                <w:color w:val="auto"/>
              </w:rPr>
              <w:t>494,586</w:t>
            </w:r>
          </w:p>
        </w:tc>
      </w:tr>
      <w:tr>
        <w:trPr>
          <w:trHeight w:val="210"/>
        </w:trPr>
        <w:tc>
          <w:tcPr>
            <w:tcW w:w="3980" w:type="dxa"/>
            <w:vAlign w:val="bottom"/>
            <w:shd w:val="clear" w:color="auto" w:fill="DBDBDB"/>
          </w:tcPr>
          <w:p>
            <w:pPr>
              <w:ind w:left="20"/>
              <w:spacing w:after="0"/>
              <w:rPr>
                <w:sz w:val="20"/>
                <w:szCs w:val="20"/>
                <w:color w:val="auto"/>
              </w:rPr>
            </w:pPr>
            <w:r>
              <w:rPr>
                <w:rFonts w:ascii="Arial" w:cs="Arial" w:eastAsia="Arial" w:hAnsi="Arial"/>
                <w:sz w:val="14"/>
                <w:szCs w:val="14"/>
                <w:color w:val="auto"/>
              </w:rPr>
              <w:t>Amy E. Dahl</w:t>
            </w:r>
          </w:p>
        </w:tc>
        <w:tc>
          <w:tcPr>
            <w:tcW w:w="1660" w:type="dxa"/>
            <w:vAlign w:val="bottom"/>
            <w:shd w:val="clear" w:color="auto" w:fill="DBDBDB"/>
          </w:tcPr>
          <w:p>
            <w:pPr>
              <w:spacing w:after="0"/>
              <w:rPr>
                <w:sz w:val="18"/>
                <w:szCs w:val="18"/>
                <w:color w:val="auto"/>
              </w:rPr>
            </w:pPr>
          </w:p>
        </w:tc>
        <w:tc>
          <w:tcPr>
            <w:tcW w:w="1660" w:type="dxa"/>
            <w:vAlign w:val="bottom"/>
            <w:shd w:val="clear" w:color="auto" w:fill="DBDBDB"/>
          </w:tcPr>
          <w:p>
            <w:pPr>
              <w:spacing w:after="0"/>
              <w:rPr>
                <w:sz w:val="18"/>
                <w:szCs w:val="18"/>
                <w:color w:val="auto"/>
              </w:rPr>
            </w:pPr>
          </w:p>
        </w:tc>
        <w:tc>
          <w:tcPr>
            <w:tcW w:w="1860" w:type="dxa"/>
            <w:vAlign w:val="bottom"/>
            <w:shd w:val="clear" w:color="auto" w:fill="DBDBDB"/>
          </w:tcPr>
          <w:p>
            <w:pPr>
              <w:spacing w:after="0"/>
              <w:rPr>
                <w:sz w:val="18"/>
                <w:szCs w:val="18"/>
                <w:color w:val="auto"/>
              </w:rPr>
            </w:pPr>
          </w:p>
        </w:tc>
        <w:tc>
          <w:tcPr>
            <w:tcW w:w="1440" w:type="dxa"/>
            <w:vAlign w:val="bottom"/>
            <w:shd w:val="clear" w:color="auto" w:fill="DBDBDB"/>
          </w:tcPr>
          <w:p>
            <w:pPr>
              <w:spacing w:after="0"/>
              <w:rPr>
                <w:sz w:val="18"/>
                <w:szCs w:val="18"/>
                <w:color w:val="auto"/>
              </w:rPr>
            </w:pPr>
          </w:p>
        </w:tc>
      </w:tr>
      <w:tr>
        <w:trPr>
          <w:trHeight w:val="213"/>
        </w:trPr>
        <w:tc>
          <w:tcPr>
            <w:tcW w:w="3980" w:type="dxa"/>
            <w:vAlign w:val="bottom"/>
            <w:shd w:val="clear" w:color="auto" w:fill="DBDBDB"/>
          </w:tcPr>
          <w:p>
            <w:pPr>
              <w:ind w:left="220"/>
              <w:spacing w:after="0"/>
              <w:rPr>
                <w:sz w:val="20"/>
                <w:szCs w:val="20"/>
                <w:color w:val="auto"/>
              </w:rPr>
            </w:pPr>
            <w:r>
              <w:rPr>
                <w:rFonts w:ascii="Arial" w:cs="Arial" w:eastAsia="Arial" w:hAnsi="Arial"/>
                <w:sz w:val="14"/>
                <w:szCs w:val="14"/>
                <w:color w:val="auto"/>
              </w:rPr>
              <w:t>Stock Option Exercises</w:t>
            </w:r>
          </w:p>
        </w:tc>
        <w:tc>
          <w:tcPr>
            <w:tcW w:w="1660" w:type="dxa"/>
            <w:vAlign w:val="bottom"/>
            <w:shd w:val="clear" w:color="auto" w:fill="DBDBDB"/>
          </w:tcPr>
          <w:p>
            <w:pPr>
              <w:jc w:val="right"/>
              <w:spacing w:after="0"/>
              <w:rPr>
                <w:sz w:val="20"/>
                <w:szCs w:val="20"/>
                <w:color w:val="auto"/>
              </w:rPr>
            </w:pPr>
            <w:r>
              <w:rPr>
                <w:rFonts w:ascii="Arial" w:cs="Arial" w:eastAsia="Arial" w:hAnsi="Arial"/>
                <w:sz w:val="14"/>
                <w:szCs w:val="14"/>
                <w:color w:val="auto"/>
              </w:rPr>
              <w:t>4,460</w:t>
            </w:r>
          </w:p>
        </w:tc>
        <w:tc>
          <w:tcPr>
            <w:tcW w:w="1660" w:type="dxa"/>
            <w:vAlign w:val="bottom"/>
            <w:shd w:val="clear" w:color="auto" w:fill="DBDBDB"/>
          </w:tcPr>
          <w:p>
            <w:pPr>
              <w:jc w:val="right"/>
              <w:spacing w:after="0"/>
              <w:rPr>
                <w:sz w:val="20"/>
                <w:szCs w:val="20"/>
                <w:color w:val="auto"/>
              </w:rPr>
            </w:pPr>
            <w:r>
              <w:rPr>
                <w:rFonts w:ascii="Arial" w:cs="Arial" w:eastAsia="Arial" w:hAnsi="Arial"/>
                <w:sz w:val="14"/>
                <w:szCs w:val="14"/>
                <w:color w:val="auto"/>
              </w:rPr>
              <w:t>263,854</w:t>
            </w:r>
          </w:p>
        </w:tc>
        <w:tc>
          <w:tcPr>
            <w:tcW w:w="1860" w:type="dxa"/>
            <w:vAlign w:val="bottom"/>
            <w:shd w:val="clear" w:color="auto" w:fill="DBDBDB"/>
          </w:tcPr>
          <w:p>
            <w:pPr>
              <w:spacing w:after="0"/>
              <w:rPr>
                <w:sz w:val="18"/>
                <w:szCs w:val="18"/>
                <w:color w:val="auto"/>
              </w:rPr>
            </w:pPr>
          </w:p>
        </w:tc>
        <w:tc>
          <w:tcPr>
            <w:tcW w:w="1440" w:type="dxa"/>
            <w:vAlign w:val="bottom"/>
            <w:shd w:val="clear" w:color="auto" w:fill="DBDBDB"/>
          </w:tcPr>
          <w:p>
            <w:pPr>
              <w:spacing w:after="0"/>
              <w:rPr>
                <w:sz w:val="18"/>
                <w:szCs w:val="18"/>
                <w:color w:val="auto"/>
              </w:rPr>
            </w:pPr>
          </w:p>
        </w:tc>
      </w:tr>
      <w:tr>
        <w:trPr>
          <w:trHeight w:val="221"/>
        </w:trPr>
        <w:tc>
          <w:tcPr>
            <w:tcW w:w="3980" w:type="dxa"/>
            <w:vAlign w:val="bottom"/>
            <w:shd w:val="clear" w:color="auto" w:fill="DBDBDB"/>
          </w:tcPr>
          <w:p>
            <w:pPr>
              <w:ind w:left="220"/>
              <w:spacing w:after="0"/>
              <w:rPr>
                <w:sz w:val="20"/>
                <w:szCs w:val="20"/>
                <w:color w:val="auto"/>
              </w:rPr>
            </w:pPr>
            <w:r>
              <w:rPr>
                <w:rFonts w:ascii="Arial" w:cs="Arial" w:eastAsia="Arial" w:hAnsi="Arial"/>
                <w:sz w:val="14"/>
                <w:szCs w:val="14"/>
                <w:color w:val="auto"/>
              </w:rPr>
              <w:t>F22-F24 Performance Share Award Payout</w:t>
            </w:r>
          </w:p>
        </w:tc>
        <w:tc>
          <w:tcPr>
            <w:tcW w:w="1660" w:type="dxa"/>
            <w:vAlign w:val="bottom"/>
            <w:shd w:val="clear" w:color="auto" w:fill="DBDBDB"/>
          </w:tcPr>
          <w:p>
            <w:pPr>
              <w:spacing w:after="0"/>
              <w:rPr>
                <w:sz w:val="19"/>
                <w:szCs w:val="19"/>
                <w:color w:val="auto"/>
              </w:rPr>
            </w:pPr>
          </w:p>
        </w:tc>
        <w:tc>
          <w:tcPr>
            <w:tcW w:w="1660" w:type="dxa"/>
            <w:vAlign w:val="bottom"/>
            <w:shd w:val="clear" w:color="auto" w:fill="DBDBDB"/>
          </w:tcPr>
          <w:p>
            <w:pPr>
              <w:spacing w:after="0"/>
              <w:rPr>
                <w:sz w:val="19"/>
                <w:szCs w:val="19"/>
                <w:color w:val="auto"/>
              </w:rPr>
            </w:pPr>
          </w:p>
        </w:tc>
        <w:tc>
          <w:tcPr>
            <w:tcW w:w="1860" w:type="dxa"/>
            <w:vAlign w:val="bottom"/>
            <w:shd w:val="clear" w:color="auto" w:fill="DBDBDB"/>
          </w:tcPr>
          <w:p>
            <w:pPr>
              <w:jc w:val="right"/>
              <w:ind w:right="169"/>
              <w:spacing w:after="0"/>
              <w:rPr>
                <w:sz w:val="20"/>
                <w:szCs w:val="20"/>
                <w:color w:val="auto"/>
              </w:rPr>
            </w:pPr>
            <w:r>
              <w:rPr>
                <w:rFonts w:ascii="Arial" w:cs="Arial" w:eastAsia="Arial" w:hAnsi="Arial"/>
                <w:sz w:val="14"/>
                <w:szCs w:val="14"/>
                <w:color w:val="auto"/>
              </w:rPr>
              <w:t>2,156</w:t>
            </w:r>
          </w:p>
        </w:tc>
        <w:tc>
          <w:tcPr>
            <w:tcW w:w="1440" w:type="dxa"/>
            <w:vAlign w:val="bottom"/>
            <w:shd w:val="clear" w:color="auto" w:fill="DBDBDB"/>
          </w:tcPr>
          <w:p>
            <w:pPr>
              <w:jc w:val="right"/>
              <w:spacing w:after="0"/>
              <w:rPr>
                <w:sz w:val="20"/>
                <w:szCs w:val="20"/>
                <w:color w:val="auto"/>
              </w:rPr>
            </w:pPr>
            <w:r>
              <w:rPr>
                <w:rFonts w:ascii="Arial" w:cs="Arial" w:eastAsia="Arial" w:hAnsi="Arial"/>
                <w:sz w:val="14"/>
                <w:szCs w:val="14"/>
                <w:color w:val="auto"/>
              </w:rPr>
              <w:t>175,585</w:t>
            </w:r>
          </w:p>
        </w:tc>
      </w:tr>
      <w:tr>
        <w:trPr>
          <w:trHeight w:val="206"/>
        </w:trPr>
        <w:tc>
          <w:tcPr>
            <w:tcW w:w="3980" w:type="dxa"/>
            <w:vAlign w:val="bottom"/>
          </w:tcPr>
          <w:p>
            <w:pPr>
              <w:ind w:left="20"/>
              <w:spacing w:after="0"/>
              <w:rPr>
                <w:sz w:val="20"/>
                <w:szCs w:val="20"/>
                <w:color w:val="auto"/>
              </w:rPr>
            </w:pPr>
            <w:r>
              <w:rPr>
                <w:rFonts w:ascii="Arial" w:cs="Arial" w:eastAsia="Arial" w:hAnsi="Arial"/>
                <w:sz w:val="14"/>
                <w:szCs w:val="14"/>
                <w:color w:val="auto"/>
              </w:rPr>
              <w:t>Joanna M. Totsky</w:t>
            </w:r>
          </w:p>
        </w:tc>
        <w:tc>
          <w:tcPr>
            <w:tcW w:w="166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1440" w:type="dxa"/>
            <w:vAlign w:val="bottom"/>
          </w:tcPr>
          <w:p>
            <w:pPr>
              <w:spacing w:after="0"/>
              <w:rPr>
                <w:sz w:val="17"/>
                <w:szCs w:val="17"/>
                <w:color w:val="auto"/>
              </w:rPr>
            </w:pPr>
          </w:p>
        </w:tc>
      </w:tr>
      <w:tr>
        <w:trPr>
          <w:trHeight w:val="213"/>
        </w:trPr>
        <w:tc>
          <w:tcPr>
            <w:tcW w:w="3980" w:type="dxa"/>
            <w:vAlign w:val="bottom"/>
          </w:tcPr>
          <w:p>
            <w:pPr>
              <w:ind w:left="220"/>
              <w:spacing w:after="0"/>
              <w:rPr>
                <w:sz w:val="20"/>
                <w:szCs w:val="20"/>
                <w:color w:val="auto"/>
              </w:rPr>
            </w:pPr>
            <w:r>
              <w:rPr>
                <w:rFonts w:ascii="Arial" w:cs="Arial" w:eastAsia="Arial" w:hAnsi="Arial"/>
                <w:sz w:val="14"/>
                <w:szCs w:val="14"/>
                <w:color w:val="auto"/>
              </w:rPr>
              <w:t>Stock Option Exercises</w:t>
            </w:r>
          </w:p>
        </w:tc>
        <w:tc>
          <w:tcPr>
            <w:tcW w:w="1660" w:type="dxa"/>
            <w:vAlign w:val="bottom"/>
          </w:tcPr>
          <w:p>
            <w:pPr>
              <w:jc w:val="right"/>
              <w:spacing w:after="0"/>
              <w:rPr>
                <w:sz w:val="20"/>
                <w:szCs w:val="20"/>
                <w:color w:val="auto"/>
              </w:rPr>
            </w:pPr>
            <w:r>
              <w:rPr>
                <w:rFonts w:ascii="Arial" w:cs="Arial" w:eastAsia="Arial" w:hAnsi="Arial"/>
                <w:sz w:val="14"/>
                <w:szCs w:val="14"/>
                <w:color w:val="auto"/>
              </w:rPr>
              <w:t>N/A</w:t>
            </w:r>
          </w:p>
        </w:tc>
        <w:tc>
          <w:tcPr>
            <w:tcW w:w="1660" w:type="dxa"/>
            <w:vAlign w:val="bottom"/>
          </w:tcPr>
          <w:p>
            <w:pPr>
              <w:jc w:val="right"/>
              <w:spacing w:after="0"/>
              <w:rPr>
                <w:sz w:val="20"/>
                <w:szCs w:val="20"/>
                <w:color w:val="auto"/>
              </w:rPr>
            </w:pPr>
            <w:r>
              <w:rPr>
                <w:rFonts w:ascii="Arial" w:cs="Arial" w:eastAsia="Arial" w:hAnsi="Arial"/>
                <w:sz w:val="14"/>
                <w:szCs w:val="14"/>
                <w:color w:val="auto"/>
              </w:rPr>
              <w:t>N/A</w:t>
            </w:r>
          </w:p>
        </w:tc>
        <w:tc>
          <w:tcPr>
            <w:tcW w:w="1860" w:type="dxa"/>
            <w:vAlign w:val="bottom"/>
          </w:tcPr>
          <w:p>
            <w:pPr>
              <w:spacing w:after="0"/>
              <w:rPr>
                <w:sz w:val="18"/>
                <w:szCs w:val="18"/>
                <w:color w:val="auto"/>
              </w:rPr>
            </w:pPr>
          </w:p>
        </w:tc>
        <w:tc>
          <w:tcPr>
            <w:tcW w:w="1440" w:type="dxa"/>
            <w:vAlign w:val="bottom"/>
          </w:tcPr>
          <w:p>
            <w:pPr>
              <w:spacing w:after="0"/>
              <w:rPr>
                <w:sz w:val="18"/>
                <w:szCs w:val="18"/>
                <w:color w:val="auto"/>
              </w:rPr>
            </w:pPr>
          </w:p>
        </w:tc>
      </w:tr>
      <w:tr>
        <w:trPr>
          <w:trHeight w:val="213"/>
        </w:trPr>
        <w:tc>
          <w:tcPr>
            <w:tcW w:w="3980" w:type="dxa"/>
            <w:vAlign w:val="bottom"/>
          </w:tcPr>
          <w:p>
            <w:pPr>
              <w:ind w:left="220"/>
              <w:spacing w:after="0"/>
              <w:rPr>
                <w:sz w:val="20"/>
                <w:szCs w:val="20"/>
                <w:color w:val="auto"/>
              </w:rPr>
            </w:pPr>
            <w:r>
              <w:rPr>
                <w:rFonts w:ascii="Arial" w:cs="Arial" w:eastAsia="Arial" w:hAnsi="Arial"/>
                <w:sz w:val="14"/>
                <w:szCs w:val="14"/>
                <w:color w:val="auto"/>
              </w:rPr>
              <w:t>F22-F24 Performance Share Award Payout</w:t>
            </w:r>
          </w:p>
        </w:tc>
        <w:tc>
          <w:tcPr>
            <w:tcW w:w="166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860" w:type="dxa"/>
            <w:vAlign w:val="bottom"/>
          </w:tcPr>
          <w:p>
            <w:pPr>
              <w:jc w:val="right"/>
              <w:ind w:right="169"/>
              <w:spacing w:after="0"/>
              <w:rPr>
                <w:sz w:val="20"/>
                <w:szCs w:val="20"/>
                <w:color w:val="auto"/>
              </w:rPr>
            </w:pPr>
            <w:r>
              <w:rPr>
                <w:rFonts w:ascii="Arial" w:cs="Arial" w:eastAsia="Arial" w:hAnsi="Arial"/>
                <w:sz w:val="14"/>
                <w:szCs w:val="14"/>
                <w:color w:val="auto"/>
              </w:rPr>
              <w:t>N/A</w:t>
            </w:r>
          </w:p>
        </w:tc>
        <w:tc>
          <w:tcPr>
            <w:tcW w:w="1440" w:type="dxa"/>
            <w:vAlign w:val="bottom"/>
          </w:tcPr>
          <w:p>
            <w:pPr>
              <w:jc w:val="right"/>
              <w:spacing w:after="0"/>
              <w:rPr>
                <w:sz w:val="20"/>
                <w:szCs w:val="20"/>
                <w:color w:val="auto"/>
              </w:rPr>
            </w:pPr>
            <w:r>
              <w:rPr>
                <w:rFonts w:ascii="Arial" w:cs="Arial" w:eastAsia="Arial" w:hAnsi="Arial"/>
                <w:sz w:val="14"/>
                <w:szCs w:val="14"/>
                <w:color w:val="auto"/>
              </w:rPr>
              <w:t>N/A</w:t>
            </w:r>
          </w:p>
        </w:tc>
      </w:tr>
      <w:tr>
        <w:trPr>
          <w:trHeight w:val="213"/>
        </w:trPr>
        <w:tc>
          <w:tcPr>
            <w:tcW w:w="3980" w:type="dxa"/>
            <w:vAlign w:val="bottom"/>
          </w:tcPr>
          <w:p>
            <w:pPr>
              <w:ind w:left="220"/>
              <w:spacing w:after="0"/>
              <w:rPr>
                <w:sz w:val="20"/>
                <w:szCs w:val="20"/>
                <w:color w:val="auto"/>
              </w:rPr>
            </w:pPr>
            <w:r>
              <w:rPr>
                <w:rFonts w:ascii="Arial" w:cs="Arial" w:eastAsia="Arial" w:hAnsi="Arial"/>
                <w:sz w:val="14"/>
                <w:szCs w:val="14"/>
                <w:color w:val="auto"/>
              </w:rPr>
              <w:t>Restricted Stock Units</w:t>
            </w:r>
          </w:p>
        </w:tc>
        <w:tc>
          <w:tcPr>
            <w:tcW w:w="166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860" w:type="dxa"/>
            <w:vAlign w:val="bottom"/>
          </w:tcPr>
          <w:p>
            <w:pPr>
              <w:jc w:val="right"/>
              <w:ind w:right="169"/>
              <w:spacing w:after="0"/>
              <w:rPr>
                <w:sz w:val="20"/>
                <w:szCs w:val="20"/>
                <w:color w:val="auto"/>
              </w:rPr>
            </w:pPr>
            <w:r>
              <w:rPr>
                <w:rFonts w:ascii="Arial" w:cs="Arial" w:eastAsia="Arial" w:hAnsi="Arial"/>
                <w:sz w:val="14"/>
                <w:szCs w:val="14"/>
                <w:color w:val="auto"/>
              </w:rPr>
              <w:t>4,701</w:t>
            </w:r>
          </w:p>
        </w:tc>
        <w:tc>
          <w:tcPr>
            <w:tcW w:w="1440" w:type="dxa"/>
            <w:vAlign w:val="bottom"/>
          </w:tcPr>
          <w:p>
            <w:pPr>
              <w:jc w:val="right"/>
              <w:spacing w:after="0"/>
              <w:rPr>
                <w:sz w:val="20"/>
                <w:szCs w:val="20"/>
                <w:color w:val="auto"/>
              </w:rPr>
            </w:pPr>
            <w:r>
              <w:rPr>
                <w:rFonts w:ascii="Arial" w:cs="Arial" w:eastAsia="Arial" w:hAnsi="Arial"/>
                <w:sz w:val="14"/>
                <w:szCs w:val="14"/>
                <w:color w:val="auto"/>
              </w:rPr>
              <w:t>450,073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2732405</wp:posOffset>
            </wp:positionH>
            <wp:positionV relativeFrom="paragraph">
              <wp:posOffset>-3036570</wp:posOffset>
            </wp:positionV>
            <wp:extent cx="4202430" cy="82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4202430" cy="825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123190</wp:posOffset>
            </wp:positionV>
            <wp:extent cx="1991360" cy="82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1991360" cy="8255"/>
                    </a:xfrm>
                    <a:prstGeom prst="rect">
                      <a:avLst/>
                    </a:prstGeom>
                    <a:noFill/>
                  </pic:spPr>
                </pic:pic>
              </a:graphicData>
            </a:graphic>
          </wp:anchor>
        </w:drawing>
      </w:r>
    </w:p>
    <w:p>
      <w:pPr>
        <w:spacing w:after="0" w:line="291" w:lineRule="exact"/>
        <w:rPr>
          <w:sz w:val="20"/>
          <w:szCs w:val="20"/>
          <w:color w:val="auto"/>
        </w:rPr>
      </w:pPr>
    </w:p>
    <w:p>
      <w:pPr>
        <w:jc w:val="both"/>
        <w:ind w:left="320" w:hanging="313"/>
        <w:spacing w:after="0" w:line="247" w:lineRule="auto"/>
        <w:tabs>
          <w:tab w:leader="none" w:pos="308" w:val="left"/>
        </w:tabs>
        <w:numPr>
          <w:ilvl w:val="0"/>
          <w:numId w:val="71"/>
        </w:numPr>
        <w:rPr>
          <w:rFonts w:ascii="Arial" w:cs="Arial" w:eastAsia="Arial" w:hAnsi="Arial"/>
          <w:sz w:val="18"/>
          <w:szCs w:val="18"/>
          <w:color w:val="auto"/>
        </w:rPr>
      </w:pPr>
      <w:r>
        <w:rPr>
          <w:rFonts w:ascii="Arial" w:cs="Arial" w:eastAsia="Arial" w:hAnsi="Arial"/>
          <w:sz w:val="18"/>
          <w:szCs w:val="18"/>
          <w:color w:val="auto"/>
        </w:rPr>
        <w:t>The number of shares acquired upon exercise reflects the gross number of shares acquired absent any netting for shares surrendered to pay the option exercise price and/or satisfy tax withholding requirements. The value realized on exercise represents the gross number of shares acquired on exercise multiplied by the market price of our common stock on the exercise date, less the per share exercise price.</w:t>
      </w:r>
    </w:p>
    <w:p>
      <w:pPr>
        <w:spacing w:after="0" w:line="1" w:lineRule="exact"/>
        <w:rPr>
          <w:rFonts w:ascii="Arial" w:cs="Arial" w:eastAsia="Arial" w:hAnsi="Arial"/>
          <w:sz w:val="18"/>
          <w:szCs w:val="18"/>
          <w:color w:val="auto"/>
        </w:rPr>
      </w:pPr>
    </w:p>
    <w:p>
      <w:pPr>
        <w:jc w:val="both"/>
        <w:ind w:left="320" w:hanging="313"/>
        <w:spacing w:after="0" w:line="232" w:lineRule="auto"/>
        <w:tabs>
          <w:tab w:leader="none" w:pos="308" w:val="left"/>
        </w:tabs>
        <w:numPr>
          <w:ilvl w:val="0"/>
          <w:numId w:val="71"/>
        </w:numPr>
        <w:rPr>
          <w:rFonts w:ascii="Arial" w:cs="Arial" w:eastAsia="Arial" w:hAnsi="Arial"/>
          <w:sz w:val="18"/>
          <w:szCs w:val="18"/>
          <w:color w:val="auto"/>
        </w:rPr>
      </w:pPr>
      <w:r>
        <w:rPr>
          <w:rFonts w:ascii="Arial" w:cs="Arial" w:eastAsia="Arial" w:hAnsi="Arial"/>
          <w:sz w:val="18"/>
          <w:szCs w:val="18"/>
          <w:color w:val="auto"/>
        </w:rPr>
        <w:t>The number of shares acquired upon vesting reflects the gross number of shares acquired absent any netting of shares surrendered to satisfy tax withholding requirements and in the case of restricted stock units, includes shares underlying dividend equivalent rights that accrued and were paid out at the same time as the shares underlying the stock award. The performance share awards do not accrue any dividend equivalent rights. The value realized on vesting represents the gross number of shares acquired multiplied by the closing price of our common stock on the vesting or payout date. The payout date for the F22-F25 performance share awards was December 18, 2024. Amounts are not reduced to reflect any elections to defer receipt of performance share award payouts. Under the Deferred Plan for Officers, Ms. Dahl deferred receipt of 100% of the fiscal 2022 to fiscal 2024 performance share award payout. The material terms of the Deferred Plan for Officers are described under Nonqualified Deferred Compensation for Fiscal 2024 set forth below.</w:t>
      </w:r>
    </w:p>
    <w:p>
      <w:pPr>
        <w:spacing w:after="0" w:line="140" w:lineRule="exact"/>
        <w:rPr>
          <w:sz w:val="20"/>
          <w:szCs w:val="20"/>
          <w:color w:val="auto"/>
        </w:rPr>
      </w:pPr>
    </w:p>
    <w:p>
      <w:pPr>
        <w:spacing w:after="0"/>
        <w:rPr>
          <w:sz w:val="20"/>
          <w:szCs w:val="20"/>
          <w:color w:val="auto"/>
        </w:rPr>
      </w:pPr>
      <w:r>
        <w:rPr>
          <w:rFonts w:ascii="Arial" w:cs="Arial" w:eastAsia="Arial" w:hAnsi="Arial"/>
          <w:sz w:val="20"/>
          <w:szCs w:val="20"/>
          <w:b w:val="1"/>
          <w:bCs w:val="1"/>
          <w:color w:val="C00000"/>
        </w:rPr>
        <w:t>Nonqualified Deferred Compensation for Fiscal 2024</w:t>
      </w:r>
    </w:p>
    <w:p>
      <w:pPr>
        <w:spacing w:after="0" w:line="84" w:lineRule="exact"/>
        <w:rPr>
          <w:sz w:val="20"/>
          <w:szCs w:val="20"/>
          <w:color w:val="auto"/>
        </w:rPr>
      </w:pPr>
    </w:p>
    <w:p>
      <w:pPr>
        <w:ind w:left="320"/>
        <w:spacing w:after="0"/>
        <w:rPr>
          <w:sz w:val="20"/>
          <w:szCs w:val="20"/>
          <w:color w:val="auto"/>
        </w:rPr>
      </w:pPr>
      <w:r>
        <w:rPr>
          <w:rFonts w:ascii="Arial" w:cs="Arial" w:eastAsia="Arial" w:hAnsi="Arial"/>
          <w:sz w:val="18"/>
          <w:szCs w:val="18"/>
          <w:color w:val="auto"/>
        </w:rPr>
        <w:t>We maintain three nonqualified deferred compensation plans in which our NEOs are eligible to participate.</w:t>
      </w:r>
    </w:p>
    <w:p>
      <w:pPr>
        <w:spacing w:after="0" w:line="98"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 xml:space="preserve">The Toro Company Deferred Compensation Plan. </w:t>
      </w:r>
      <w:r>
        <w:rPr>
          <w:rFonts w:ascii="Arial" w:cs="Arial" w:eastAsia="Arial" w:hAnsi="Arial"/>
          <w:sz w:val="18"/>
          <w:szCs w:val="18"/>
          <w:color w:val="auto"/>
        </w:rPr>
        <w:t>This plan allows a select group of management or highly compensated employees,</w:t>
      </w:r>
    </w:p>
    <w:p>
      <w:pPr>
        <w:spacing w:after="0" w:line="11" w:lineRule="exact"/>
        <w:rPr>
          <w:sz w:val="20"/>
          <w:szCs w:val="20"/>
          <w:color w:val="auto"/>
        </w:rPr>
      </w:pPr>
    </w:p>
    <w:p>
      <w:pPr>
        <w:spacing w:after="0" w:line="237" w:lineRule="auto"/>
        <w:rPr>
          <w:sz w:val="20"/>
          <w:szCs w:val="20"/>
          <w:color w:val="auto"/>
        </w:rPr>
      </w:pPr>
      <w:r>
        <w:rPr>
          <w:rFonts w:ascii="Arial" w:cs="Arial" w:eastAsia="Arial" w:hAnsi="Arial"/>
          <w:sz w:val="17"/>
          <w:szCs w:val="17"/>
          <w:color w:val="auto"/>
        </w:rPr>
        <w:t>including our executive officers, to defer on a pre-tax basis his or her calendar year base salary and/or fiscal year annual cash incentive payout to a date in the future. Participants can defer up to 50% of calendar year base salary and up to 100% of the fiscal year annual cash incentive</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award payout. Deferred amounts are credited to a participant's account and the participant may elect the deemed investment of such deferred</w:t>
      </w:r>
    </w:p>
    <w:p>
      <w:pPr>
        <w:spacing w:after="0" w:line="5" w:lineRule="exact"/>
        <w:rPr>
          <w:sz w:val="20"/>
          <w:szCs w:val="20"/>
          <w:color w:val="auto"/>
        </w:rPr>
      </w:pPr>
    </w:p>
    <w:p>
      <w:pPr>
        <w:spacing w:after="0" w:line="224" w:lineRule="auto"/>
        <w:rPr>
          <w:sz w:val="20"/>
          <w:szCs w:val="20"/>
          <w:color w:val="auto"/>
        </w:rPr>
      </w:pPr>
      <w:r>
        <w:rPr>
          <w:rFonts w:ascii="Arial" w:cs="Arial" w:eastAsia="Arial" w:hAnsi="Arial"/>
          <w:sz w:val="18"/>
          <w:szCs w:val="18"/>
          <w:color w:val="auto"/>
        </w:rPr>
        <w:t>amounts in an array of funds that are consistent with or comparable to funds provided in the Retirement Plan. Deferral elections are made on an annual basis, before the beginning of the new fiscal year. Participants must elect a distribution date that is at least two years later than the</w:t>
      </w:r>
    </w:p>
    <w:p>
      <w:pPr>
        <w:spacing w:after="0" w:line="1" w:lineRule="exact"/>
        <w:rPr>
          <w:sz w:val="20"/>
          <w:szCs w:val="20"/>
          <w:color w:val="auto"/>
        </w:rPr>
      </w:pPr>
    </w:p>
    <w:p>
      <w:pPr>
        <w:ind w:right="20"/>
        <w:spacing w:after="0" w:line="243" w:lineRule="auto"/>
        <w:rPr>
          <w:sz w:val="20"/>
          <w:szCs w:val="20"/>
          <w:color w:val="auto"/>
        </w:rPr>
      </w:pPr>
      <w:r>
        <w:rPr>
          <w:rFonts w:ascii="Arial" w:cs="Arial" w:eastAsia="Arial" w:hAnsi="Arial"/>
          <w:sz w:val="18"/>
          <w:szCs w:val="18"/>
          <w:color w:val="auto"/>
        </w:rPr>
        <w:t>date the compensation otherwise would have been received. Participants elect the frequency of payments and the number of payments to receive at the time of distribution. Participants are always 100% vested in their accounts.</w:t>
      </w:r>
    </w:p>
    <w:p>
      <w:pPr>
        <w:spacing w:after="0" w:line="57" w:lineRule="exact"/>
        <w:rPr>
          <w:sz w:val="20"/>
          <w:szCs w:val="20"/>
          <w:color w:val="auto"/>
        </w:rPr>
      </w:pPr>
    </w:p>
    <w:p>
      <w:pPr>
        <w:ind w:firstLine="320"/>
        <w:spacing w:after="0" w:line="264" w:lineRule="auto"/>
        <w:rPr>
          <w:sz w:val="20"/>
          <w:szCs w:val="20"/>
          <w:color w:val="auto"/>
        </w:rPr>
      </w:pPr>
      <w:r>
        <w:rPr>
          <w:rFonts w:ascii="Arial" w:cs="Arial" w:eastAsia="Arial" w:hAnsi="Arial"/>
          <w:sz w:val="18"/>
          <w:szCs w:val="18"/>
          <w:b w:val="1"/>
          <w:bCs w:val="1"/>
          <w:color w:val="auto"/>
        </w:rPr>
        <w:t xml:space="preserve">The Toro Company Deferred Compensation Plan for Officers. </w:t>
      </w:r>
      <w:r>
        <w:rPr>
          <w:rFonts w:ascii="Arial" w:cs="Arial" w:eastAsia="Arial" w:hAnsi="Arial"/>
          <w:sz w:val="18"/>
          <w:szCs w:val="18"/>
          <w:color w:val="auto"/>
        </w:rPr>
        <w:t>This plan allows key employees that receive performance share awards,</w:t>
      </w:r>
      <w:r>
        <w:rPr>
          <w:rFonts w:ascii="Arial" w:cs="Arial" w:eastAsia="Arial" w:hAnsi="Arial"/>
          <w:sz w:val="18"/>
          <w:szCs w:val="18"/>
          <w:b w:val="1"/>
          <w:bCs w:val="1"/>
          <w:color w:val="auto"/>
        </w:rPr>
        <w:t xml:space="preserve"> </w:t>
      </w:r>
      <w:r>
        <w:rPr>
          <w:rFonts w:ascii="Arial" w:cs="Arial" w:eastAsia="Arial" w:hAnsi="Arial"/>
          <w:sz w:val="18"/>
          <w:szCs w:val="18"/>
          <w:color w:val="auto"/>
        </w:rPr>
        <w:t>including our executive officers, an opportunity to defer receipt of shares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79375</wp:posOffset>
            </wp:positionV>
            <wp:extent cx="7159625" cy="425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121" w:right="339" w:bottom="1440" w:gutter="0" w:footer="0" w:header="0"/>
        </w:sectPr>
      </w:pPr>
    </w:p>
    <w:bookmarkStart w:id="67" w:name="page68"/>
    <w:bookmarkEnd w:id="67"/>
    <w:p>
      <w:pPr>
        <w:spacing w:after="0"/>
        <w:rPr>
          <w:sz w:val="20"/>
          <w:szCs w:val="20"/>
          <w:color w:val="auto"/>
        </w:rPr>
      </w:pPr>
      <w:r>
        <w:rPr>
          <w:rFonts w:ascii="Arial" w:cs="Arial" w:eastAsia="Arial" w:hAnsi="Arial"/>
          <w:sz w:val="18"/>
          <w:szCs w:val="18"/>
          <w:color w:val="auto"/>
        </w:rPr>
        <w:t>our common stock paid out under such awards to a date in the future. Participants can defer up to 100% of the common stock payout. Each</w:t>
      </w:r>
    </w:p>
    <w:p>
      <w:pPr>
        <w:spacing w:after="0" w:line="9" w:lineRule="exact"/>
        <w:rPr>
          <w:sz w:val="20"/>
          <w:szCs w:val="20"/>
          <w:color w:val="auto"/>
        </w:rPr>
      </w:pPr>
    </w:p>
    <w:p>
      <w:pPr>
        <w:spacing w:after="0" w:line="237" w:lineRule="auto"/>
        <w:rPr>
          <w:sz w:val="20"/>
          <w:szCs w:val="20"/>
          <w:color w:val="auto"/>
        </w:rPr>
      </w:pPr>
      <w:r>
        <w:rPr>
          <w:rFonts w:ascii="Arial" w:cs="Arial" w:eastAsia="Arial" w:hAnsi="Arial"/>
          <w:sz w:val="17"/>
          <w:szCs w:val="17"/>
          <w:color w:val="auto"/>
        </w:rPr>
        <w:t>year, before the third fiscal year of the three-year performance period begins, participants are given the opportunity to elect to defer the receipt of those shares to some point in the future. Participants must elect a distribution date that is at least two years later than the date the shares</w:t>
      </w:r>
    </w:p>
    <w:p>
      <w:pPr>
        <w:spacing w:after="0" w:line="233" w:lineRule="auto"/>
        <w:rPr>
          <w:sz w:val="20"/>
          <w:szCs w:val="20"/>
          <w:color w:val="auto"/>
        </w:rPr>
      </w:pPr>
      <w:r>
        <w:rPr>
          <w:rFonts w:ascii="Arial" w:cs="Arial" w:eastAsia="Arial" w:hAnsi="Arial"/>
          <w:sz w:val="18"/>
          <w:szCs w:val="18"/>
          <w:color w:val="auto"/>
        </w:rPr>
        <w:t>would have been received. Participants elect the frequency of payment and the number of payments to receive at the time of distribution.</w:t>
      </w:r>
    </w:p>
    <w:p>
      <w:pPr>
        <w:spacing w:after="0"/>
        <w:rPr>
          <w:sz w:val="20"/>
          <w:szCs w:val="20"/>
          <w:color w:val="auto"/>
        </w:rPr>
      </w:pPr>
      <w:r>
        <w:rPr>
          <w:rFonts w:ascii="Arial" w:cs="Arial" w:eastAsia="Arial" w:hAnsi="Arial"/>
          <w:sz w:val="18"/>
          <w:szCs w:val="18"/>
          <w:color w:val="auto"/>
        </w:rPr>
        <w:t>Participants are always 100% vested in their deferred payout.</w:t>
      </w:r>
    </w:p>
    <w:p>
      <w:pPr>
        <w:spacing w:after="0" w:line="69" w:lineRule="exact"/>
        <w:rPr>
          <w:sz w:val="20"/>
          <w:szCs w:val="20"/>
          <w:color w:val="auto"/>
        </w:rPr>
      </w:pPr>
    </w:p>
    <w:p>
      <w:pPr>
        <w:ind w:firstLine="320"/>
        <w:spacing w:after="0" w:line="256" w:lineRule="auto"/>
        <w:rPr>
          <w:sz w:val="20"/>
          <w:szCs w:val="20"/>
          <w:color w:val="auto"/>
        </w:rPr>
      </w:pPr>
      <w:r>
        <w:rPr>
          <w:rFonts w:ascii="Arial" w:cs="Arial" w:eastAsia="Arial" w:hAnsi="Arial"/>
          <w:sz w:val="17"/>
          <w:szCs w:val="17"/>
          <w:b w:val="1"/>
          <w:bCs w:val="1"/>
          <w:color w:val="auto"/>
        </w:rPr>
        <w:t xml:space="preserve">The Toro Company Supplemental Benefit Plan. </w:t>
      </w:r>
      <w:r>
        <w:rPr>
          <w:rFonts w:ascii="Arial" w:cs="Arial" w:eastAsia="Arial" w:hAnsi="Arial"/>
          <w:sz w:val="17"/>
          <w:szCs w:val="17"/>
          <w:color w:val="auto"/>
        </w:rPr>
        <w:t>This plan is maintained for the purpose of providing to a select group of management or</w:t>
      </w:r>
      <w:r>
        <w:rPr>
          <w:rFonts w:ascii="Arial" w:cs="Arial" w:eastAsia="Arial" w:hAnsi="Arial"/>
          <w:sz w:val="17"/>
          <w:szCs w:val="17"/>
          <w:b w:val="1"/>
          <w:bCs w:val="1"/>
          <w:color w:val="auto"/>
        </w:rPr>
        <w:t xml:space="preserve"> </w:t>
      </w:r>
      <w:r>
        <w:rPr>
          <w:rFonts w:ascii="Arial" w:cs="Arial" w:eastAsia="Arial" w:hAnsi="Arial"/>
          <w:sz w:val="17"/>
          <w:szCs w:val="17"/>
          <w:color w:val="auto"/>
        </w:rPr>
        <w:t>highly compensated employees, including our executive officers, benefits in excess of the limitations on benefits and contributions imposed by</w:t>
      </w:r>
    </w:p>
    <w:p>
      <w:pPr>
        <w:spacing w:after="0" w:line="1" w:lineRule="exact"/>
        <w:rPr>
          <w:sz w:val="20"/>
          <w:szCs w:val="20"/>
          <w:color w:val="auto"/>
        </w:rPr>
      </w:pPr>
    </w:p>
    <w:p>
      <w:pPr>
        <w:spacing w:after="0" w:line="237" w:lineRule="auto"/>
        <w:rPr>
          <w:sz w:val="20"/>
          <w:szCs w:val="20"/>
          <w:color w:val="auto"/>
        </w:rPr>
      </w:pPr>
      <w:r>
        <w:rPr>
          <w:rFonts w:ascii="Arial" w:cs="Arial" w:eastAsia="Arial" w:hAnsi="Arial"/>
          <w:sz w:val="17"/>
          <w:szCs w:val="17"/>
          <w:color w:val="auto"/>
        </w:rPr>
        <w:t>Code Sections 401(a)(17) and 415. Our credits under this plan are made on a calendar year basis, usually in the first calendar quarter following the end of the prior calendar year. Amounts are credited to the Supplemental Benefit Plan for earnings above the compensation limit</w:t>
      </w:r>
    </w:p>
    <w:p>
      <w:pPr>
        <w:spacing w:after="0" w:line="233" w:lineRule="auto"/>
        <w:rPr>
          <w:sz w:val="20"/>
          <w:szCs w:val="20"/>
          <w:color w:val="auto"/>
        </w:rPr>
      </w:pPr>
      <w:r>
        <w:rPr>
          <w:rFonts w:ascii="Arial" w:cs="Arial" w:eastAsia="Arial" w:hAnsi="Arial"/>
          <w:sz w:val="18"/>
          <w:szCs w:val="18"/>
          <w:color w:val="auto"/>
        </w:rPr>
        <w:t>for all forms of employer contributions, which may include Company matching, investment savings and ESOP contribution amounts. For</w:t>
      </w:r>
    </w:p>
    <w:p>
      <w:pPr>
        <w:spacing w:after="0" w:line="224" w:lineRule="auto"/>
        <w:rPr>
          <w:sz w:val="20"/>
          <w:szCs w:val="20"/>
          <w:color w:val="auto"/>
        </w:rPr>
      </w:pPr>
      <w:r>
        <w:rPr>
          <w:rFonts w:ascii="Arial" w:cs="Arial" w:eastAsia="Arial" w:hAnsi="Arial"/>
          <w:sz w:val="18"/>
          <w:szCs w:val="18"/>
          <w:color w:val="auto"/>
        </w:rPr>
        <w:t>calendar year 2024, employer matching contributions and an investment savings contribution were made. Amounts credited are placed into a participant's account and the participant may elect the deemed investment of such deferred amounts in an array of funds that are consistent</w:t>
      </w:r>
    </w:p>
    <w:p>
      <w:pPr>
        <w:spacing w:after="0" w:line="1" w:lineRule="exact"/>
        <w:rPr>
          <w:sz w:val="20"/>
          <w:szCs w:val="20"/>
          <w:color w:val="auto"/>
        </w:rPr>
      </w:pPr>
    </w:p>
    <w:p>
      <w:pPr>
        <w:spacing w:after="0" w:line="243" w:lineRule="auto"/>
        <w:rPr>
          <w:sz w:val="20"/>
          <w:szCs w:val="20"/>
          <w:color w:val="auto"/>
        </w:rPr>
      </w:pPr>
      <w:r>
        <w:rPr>
          <w:rFonts w:ascii="Arial" w:cs="Arial" w:eastAsia="Arial" w:hAnsi="Arial"/>
          <w:sz w:val="18"/>
          <w:szCs w:val="18"/>
          <w:color w:val="auto"/>
        </w:rPr>
        <w:t>with or comparable to funds provided in the Retirement Plan. Participants elect the funds into which these contributions are allocated, as well as the frequency of payments and the number of payments to receive. Participants are always 100% vested in their accounts.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ind w:right="-19"/>
        <w:spacing w:after="0"/>
        <w:rPr>
          <w:sz w:val="20"/>
          <w:szCs w:val="20"/>
          <w:color w:val="auto"/>
        </w:rPr>
      </w:pPr>
      <w:r>
        <w:rPr>
          <w:rFonts w:ascii="Arial" w:cs="Arial" w:eastAsia="Arial" w:hAnsi="Arial"/>
          <w:sz w:val="21"/>
          <w:szCs w:val="21"/>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097" w:right="339" w:bottom="1440" w:gutter="0" w:footer="0" w:header="0"/>
        </w:sectPr>
      </w:pPr>
    </w:p>
    <w:bookmarkStart w:id="68" w:name="page69"/>
    <w:bookmarkEnd w:id="68"/>
    <w:p>
      <w:pPr>
        <w:ind w:firstLine="320"/>
        <w:spacing w:after="0" w:line="264" w:lineRule="auto"/>
        <w:rPr>
          <w:sz w:val="20"/>
          <w:szCs w:val="20"/>
          <w:color w:val="auto"/>
        </w:rPr>
      </w:pPr>
      <w:r>
        <w:rPr>
          <w:rFonts w:ascii="Arial" w:cs="Arial" w:eastAsia="Arial" w:hAnsi="Arial"/>
          <w:sz w:val="18"/>
          <w:szCs w:val="18"/>
          <w:b w:val="1"/>
          <w:bCs w:val="1"/>
          <w:color w:val="auto"/>
        </w:rPr>
        <w:t xml:space="preserve">Nonqualified Deferred Compensation for Fiscal 2024 Table. </w:t>
      </w:r>
      <w:r>
        <w:rPr>
          <w:rFonts w:ascii="Arial" w:cs="Arial" w:eastAsia="Arial" w:hAnsi="Arial"/>
          <w:sz w:val="18"/>
          <w:szCs w:val="18"/>
          <w:color w:val="auto"/>
        </w:rPr>
        <w:t>The following table reflects any NEO contributions and Company</w:t>
      </w:r>
      <w:r>
        <w:rPr>
          <w:rFonts w:ascii="Arial" w:cs="Arial" w:eastAsia="Arial" w:hAnsi="Arial"/>
          <w:sz w:val="18"/>
          <w:szCs w:val="18"/>
          <w:b w:val="1"/>
          <w:bCs w:val="1"/>
          <w:color w:val="auto"/>
        </w:rPr>
        <w:t xml:space="preserve"> </w:t>
      </w:r>
      <w:r>
        <w:rPr>
          <w:rFonts w:ascii="Arial" w:cs="Arial" w:eastAsia="Arial" w:hAnsi="Arial"/>
          <w:sz w:val="18"/>
          <w:szCs w:val="18"/>
          <w:color w:val="auto"/>
        </w:rPr>
        <w:t>contributions for fiscal 2024 to our nonqualified deferred compensation plans.</w:t>
      </w:r>
    </w:p>
    <w:p>
      <w:pPr>
        <w:spacing w:after="0" w:line="111" w:lineRule="exact"/>
        <w:rPr>
          <w:sz w:val="20"/>
          <w:szCs w:val="20"/>
          <w:color w:val="auto"/>
        </w:rPr>
      </w:pPr>
    </w:p>
    <w:tbl>
      <w:tblPr>
        <w:tblLayout w:type="fixed"/>
        <w:tblInd w:w="340" w:type="dxa"/>
        <w:tblCellMar>
          <w:top w:w="0" w:type="dxa"/>
          <w:left w:w="0" w:type="dxa"/>
          <w:bottom w:w="0" w:type="dxa"/>
          <w:right w:w="0" w:type="dxa"/>
        </w:tblCellMar>
      </w:tblPr>
      <w:tr>
        <w:trPr>
          <w:trHeight w:val="204"/>
        </w:trPr>
        <w:tc>
          <w:tcPr>
            <w:tcW w:w="2520" w:type="dxa"/>
            <w:vAlign w:val="bottom"/>
            <w:shd w:val="clear" w:color="auto" w:fill="BF2115"/>
          </w:tcPr>
          <w:p>
            <w:pPr>
              <w:spacing w:after="0"/>
              <w:rPr>
                <w:sz w:val="17"/>
                <w:szCs w:val="17"/>
                <w:color w:val="auto"/>
              </w:rPr>
            </w:pPr>
          </w:p>
        </w:tc>
        <w:tc>
          <w:tcPr>
            <w:tcW w:w="1620" w:type="dxa"/>
            <w:vAlign w:val="bottom"/>
            <w:shd w:val="clear" w:color="auto" w:fill="BF2115"/>
          </w:tcPr>
          <w:p>
            <w:pPr>
              <w:jc w:val="center"/>
              <w:spacing w:after="0"/>
              <w:rPr>
                <w:sz w:val="20"/>
                <w:szCs w:val="20"/>
                <w:color w:val="auto"/>
              </w:rPr>
            </w:pPr>
            <w:r>
              <w:rPr>
                <w:rFonts w:ascii="Arial" w:cs="Arial" w:eastAsia="Arial" w:hAnsi="Arial"/>
                <w:sz w:val="14"/>
                <w:szCs w:val="14"/>
                <w:b w:val="1"/>
                <w:bCs w:val="1"/>
                <w:color w:val="FFFFFF"/>
              </w:rPr>
              <w:t>Executive</w:t>
            </w:r>
          </w:p>
        </w:tc>
        <w:tc>
          <w:tcPr>
            <w:tcW w:w="1840" w:type="dxa"/>
            <w:vAlign w:val="bottom"/>
            <w:shd w:val="clear" w:color="auto" w:fill="BF2115"/>
          </w:tcPr>
          <w:p>
            <w:pPr>
              <w:jc w:val="center"/>
              <w:spacing w:after="0"/>
              <w:rPr>
                <w:sz w:val="20"/>
                <w:szCs w:val="20"/>
                <w:color w:val="auto"/>
              </w:rPr>
            </w:pPr>
            <w:r>
              <w:rPr>
                <w:rFonts w:ascii="Arial" w:cs="Arial" w:eastAsia="Arial" w:hAnsi="Arial"/>
                <w:sz w:val="14"/>
                <w:szCs w:val="14"/>
                <w:b w:val="1"/>
                <w:bCs w:val="1"/>
                <w:color w:val="FFFFFF"/>
              </w:rPr>
              <w:t>Registrant</w:t>
            </w:r>
          </w:p>
        </w:tc>
        <w:tc>
          <w:tcPr>
            <w:tcW w:w="1540" w:type="dxa"/>
            <w:vAlign w:val="bottom"/>
            <w:shd w:val="clear" w:color="auto" w:fill="BF2115"/>
          </w:tcPr>
          <w:p>
            <w:pPr>
              <w:jc w:val="center"/>
              <w:ind w:right="89"/>
              <w:spacing w:after="0"/>
              <w:rPr>
                <w:sz w:val="20"/>
                <w:szCs w:val="20"/>
                <w:color w:val="auto"/>
              </w:rPr>
            </w:pPr>
            <w:r>
              <w:rPr>
                <w:rFonts w:ascii="Arial" w:cs="Arial" w:eastAsia="Arial" w:hAnsi="Arial"/>
                <w:sz w:val="14"/>
                <w:szCs w:val="14"/>
                <w:b w:val="1"/>
                <w:bCs w:val="1"/>
                <w:color w:val="FFFFFF"/>
              </w:rPr>
              <w:t>Aggregate</w:t>
            </w:r>
          </w:p>
        </w:tc>
        <w:tc>
          <w:tcPr>
            <w:tcW w:w="1200" w:type="dxa"/>
            <w:vAlign w:val="bottom"/>
            <w:shd w:val="clear" w:color="auto" w:fill="BF2115"/>
          </w:tcPr>
          <w:p>
            <w:pPr>
              <w:jc w:val="center"/>
              <w:spacing w:after="0"/>
              <w:rPr>
                <w:sz w:val="20"/>
                <w:szCs w:val="20"/>
                <w:color w:val="auto"/>
              </w:rPr>
            </w:pPr>
            <w:r>
              <w:rPr>
                <w:rFonts w:ascii="Arial" w:cs="Arial" w:eastAsia="Arial" w:hAnsi="Arial"/>
                <w:sz w:val="14"/>
                <w:szCs w:val="14"/>
                <w:b w:val="1"/>
                <w:bCs w:val="1"/>
                <w:color w:val="FFFFFF"/>
              </w:rPr>
              <w:t>Aggregate</w:t>
            </w:r>
          </w:p>
        </w:tc>
        <w:tc>
          <w:tcPr>
            <w:tcW w:w="440" w:type="dxa"/>
            <w:vAlign w:val="bottom"/>
            <w:shd w:val="clear" w:color="auto" w:fill="BF2115"/>
          </w:tcPr>
          <w:p>
            <w:pPr>
              <w:spacing w:after="0"/>
              <w:rPr>
                <w:sz w:val="17"/>
                <w:szCs w:val="17"/>
                <w:color w:val="auto"/>
              </w:rPr>
            </w:pPr>
          </w:p>
        </w:tc>
        <w:tc>
          <w:tcPr>
            <w:tcW w:w="1420" w:type="dxa"/>
            <w:vAlign w:val="bottom"/>
            <w:shd w:val="clear" w:color="auto" w:fill="BF2115"/>
          </w:tcPr>
          <w:p>
            <w:pPr>
              <w:jc w:val="center"/>
              <w:ind w:right="149"/>
              <w:spacing w:after="0"/>
              <w:rPr>
                <w:sz w:val="20"/>
                <w:szCs w:val="20"/>
                <w:color w:val="auto"/>
              </w:rPr>
            </w:pPr>
            <w:r>
              <w:rPr>
                <w:rFonts w:ascii="Arial" w:cs="Arial" w:eastAsia="Arial" w:hAnsi="Arial"/>
                <w:sz w:val="14"/>
                <w:szCs w:val="14"/>
                <w:b w:val="1"/>
                <w:bCs w:val="1"/>
                <w:color w:val="FFFFFF"/>
              </w:rPr>
              <w:t>Aggregate</w:t>
            </w:r>
          </w:p>
        </w:tc>
      </w:tr>
      <w:tr>
        <w:trPr>
          <w:trHeight w:val="171"/>
        </w:trPr>
        <w:tc>
          <w:tcPr>
            <w:tcW w:w="2520" w:type="dxa"/>
            <w:vAlign w:val="bottom"/>
            <w:shd w:val="clear" w:color="auto" w:fill="BF2115"/>
          </w:tcPr>
          <w:p>
            <w:pPr>
              <w:spacing w:after="0"/>
              <w:rPr>
                <w:sz w:val="14"/>
                <w:szCs w:val="14"/>
                <w:color w:val="auto"/>
              </w:rPr>
            </w:pPr>
          </w:p>
        </w:tc>
        <w:tc>
          <w:tcPr>
            <w:tcW w:w="1620" w:type="dxa"/>
            <w:vAlign w:val="bottom"/>
            <w:shd w:val="clear" w:color="auto" w:fill="BF2115"/>
          </w:tcPr>
          <w:p>
            <w:pPr>
              <w:jc w:val="center"/>
              <w:spacing w:after="0"/>
              <w:rPr>
                <w:sz w:val="20"/>
                <w:szCs w:val="20"/>
                <w:color w:val="auto"/>
              </w:rPr>
            </w:pPr>
            <w:r>
              <w:rPr>
                <w:rFonts w:ascii="Arial" w:cs="Arial" w:eastAsia="Arial" w:hAnsi="Arial"/>
                <w:sz w:val="14"/>
                <w:szCs w:val="14"/>
                <w:b w:val="1"/>
                <w:bCs w:val="1"/>
                <w:color w:val="FFFFFF"/>
              </w:rPr>
              <w:t>Contributions</w:t>
            </w:r>
          </w:p>
        </w:tc>
        <w:tc>
          <w:tcPr>
            <w:tcW w:w="1840" w:type="dxa"/>
            <w:vAlign w:val="bottom"/>
            <w:shd w:val="clear" w:color="auto" w:fill="BF2115"/>
          </w:tcPr>
          <w:p>
            <w:pPr>
              <w:jc w:val="center"/>
              <w:spacing w:after="0"/>
              <w:rPr>
                <w:sz w:val="20"/>
                <w:szCs w:val="20"/>
                <w:color w:val="auto"/>
              </w:rPr>
            </w:pPr>
            <w:r>
              <w:rPr>
                <w:rFonts w:ascii="Arial" w:cs="Arial" w:eastAsia="Arial" w:hAnsi="Arial"/>
                <w:sz w:val="14"/>
                <w:szCs w:val="14"/>
                <w:b w:val="1"/>
                <w:bCs w:val="1"/>
                <w:color w:val="FFFFFF"/>
              </w:rPr>
              <w:t>Contributions</w:t>
            </w:r>
          </w:p>
        </w:tc>
        <w:tc>
          <w:tcPr>
            <w:tcW w:w="1540" w:type="dxa"/>
            <w:vAlign w:val="bottom"/>
            <w:shd w:val="clear" w:color="auto" w:fill="BF2115"/>
          </w:tcPr>
          <w:p>
            <w:pPr>
              <w:jc w:val="center"/>
              <w:ind w:right="89"/>
              <w:spacing w:after="0"/>
              <w:rPr>
                <w:sz w:val="20"/>
                <w:szCs w:val="20"/>
                <w:color w:val="auto"/>
              </w:rPr>
            </w:pPr>
            <w:r>
              <w:rPr>
                <w:rFonts w:ascii="Arial" w:cs="Arial" w:eastAsia="Arial" w:hAnsi="Arial"/>
                <w:sz w:val="14"/>
                <w:szCs w:val="14"/>
                <w:b w:val="1"/>
                <w:bCs w:val="1"/>
                <w:color w:val="FFFFFF"/>
              </w:rPr>
              <w:t>Earnings in</w:t>
            </w:r>
          </w:p>
        </w:tc>
        <w:tc>
          <w:tcPr>
            <w:tcW w:w="1200" w:type="dxa"/>
            <w:vAlign w:val="bottom"/>
            <w:shd w:val="clear" w:color="auto" w:fill="BF2115"/>
          </w:tcPr>
          <w:p>
            <w:pPr>
              <w:jc w:val="center"/>
              <w:ind w:left="9"/>
              <w:spacing w:after="0"/>
              <w:rPr>
                <w:sz w:val="20"/>
                <w:szCs w:val="20"/>
                <w:color w:val="auto"/>
              </w:rPr>
            </w:pPr>
            <w:r>
              <w:rPr>
                <w:rFonts w:ascii="Arial" w:cs="Arial" w:eastAsia="Arial" w:hAnsi="Arial"/>
                <w:sz w:val="14"/>
                <w:szCs w:val="14"/>
                <w:b w:val="1"/>
                <w:bCs w:val="1"/>
                <w:color w:val="FFFFFF"/>
              </w:rPr>
              <w:t>Withdrawals/</w:t>
            </w:r>
          </w:p>
        </w:tc>
        <w:tc>
          <w:tcPr>
            <w:tcW w:w="440" w:type="dxa"/>
            <w:vAlign w:val="bottom"/>
            <w:shd w:val="clear" w:color="auto" w:fill="BF2115"/>
          </w:tcPr>
          <w:p>
            <w:pPr>
              <w:spacing w:after="0"/>
              <w:rPr>
                <w:sz w:val="14"/>
                <w:szCs w:val="14"/>
                <w:color w:val="auto"/>
              </w:rPr>
            </w:pPr>
          </w:p>
        </w:tc>
        <w:tc>
          <w:tcPr>
            <w:tcW w:w="1420" w:type="dxa"/>
            <w:vAlign w:val="bottom"/>
            <w:shd w:val="clear" w:color="auto" w:fill="BF2115"/>
          </w:tcPr>
          <w:p>
            <w:pPr>
              <w:jc w:val="center"/>
              <w:ind w:right="149"/>
              <w:spacing w:after="0"/>
              <w:rPr>
                <w:sz w:val="20"/>
                <w:szCs w:val="20"/>
                <w:color w:val="auto"/>
              </w:rPr>
            </w:pPr>
            <w:r>
              <w:rPr>
                <w:rFonts w:ascii="Arial" w:cs="Arial" w:eastAsia="Arial" w:hAnsi="Arial"/>
                <w:sz w:val="14"/>
                <w:szCs w:val="14"/>
                <w:b w:val="1"/>
                <w:bCs w:val="1"/>
                <w:color w:val="FFFFFF"/>
              </w:rPr>
              <w:t>Balance at</w:t>
            </w:r>
          </w:p>
        </w:tc>
      </w:tr>
      <w:tr>
        <w:trPr>
          <w:trHeight w:val="176"/>
        </w:trPr>
        <w:tc>
          <w:tcPr>
            <w:tcW w:w="2520" w:type="dxa"/>
            <w:vAlign w:val="bottom"/>
            <w:shd w:val="clear" w:color="auto" w:fill="BF2115"/>
          </w:tcPr>
          <w:p>
            <w:pPr>
              <w:spacing w:after="0"/>
              <w:rPr>
                <w:sz w:val="15"/>
                <w:szCs w:val="15"/>
                <w:color w:val="auto"/>
              </w:rPr>
            </w:pPr>
          </w:p>
        </w:tc>
        <w:tc>
          <w:tcPr>
            <w:tcW w:w="1620" w:type="dxa"/>
            <w:vAlign w:val="bottom"/>
            <w:shd w:val="clear" w:color="auto" w:fill="BF2115"/>
          </w:tcPr>
          <w:p>
            <w:pPr>
              <w:jc w:val="center"/>
              <w:spacing w:after="0" w:line="176" w:lineRule="exact"/>
              <w:rPr>
                <w:sz w:val="20"/>
                <w:szCs w:val="20"/>
                <w:color w:val="auto"/>
              </w:rPr>
            </w:pPr>
            <w:r>
              <w:rPr>
                <w:rFonts w:ascii="Arial" w:cs="Arial" w:eastAsia="Arial" w:hAnsi="Arial"/>
                <w:sz w:val="14"/>
                <w:szCs w:val="14"/>
                <w:b w:val="1"/>
                <w:bCs w:val="1"/>
                <w:color w:val="FFFFFF"/>
                <w:w w:val="97"/>
              </w:rPr>
              <w:t>in Last FY</w:t>
            </w:r>
            <w:r>
              <w:rPr>
                <w:rFonts w:ascii="Arial" w:cs="Arial" w:eastAsia="Arial" w:hAnsi="Arial"/>
                <w:sz w:val="18"/>
                <w:szCs w:val="18"/>
                <w:b w:val="1"/>
                <w:bCs w:val="1"/>
                <w:color w:val="FFFFFF"/>
                <w:w w:val="97"/>
                <w:vertAlign w:val="superscript"/>
              </w:rPr>
              <w:t>1</w:t>
            </w:r>
          </w:p>
        </w:tc>
        <w:tc>
          <w:tcPr>
            <w:tcW w:w="1840" w:type="dxa"/>
            <w:vAlign w:val="bottom"/>
            <w:shd w:val="clear" w:color="auto" w:fill="BF2115"/>
          </w:tcPr>
          <w:p>
            <w:pPr>
              <w:jc w:val="center"/>
              <w:spacing w:after="0" w:line="176" w:lineRule="exact"/>
              <w:rPr>
                <w:sz w:val="20"/>
                <w:szCs w:val="20"/>
                <w:color w:val="auto"/>
              </w:rPr>
            </w:pPr>
            <w:r>
              <w:rPr>
                <w:rFonts w:ascii="Arial" w:cs="Arial" w:eastAsia="Arial" w:hAnsi="Arial"/>
                <w:sz w:val="14"/>
                <w:szCs w:val="14"/>
                <w:b w:val="1"/>
                <w:bCs w:val="1"/>
                <w:color w:val="FFFFFF"/>
              </w:rPr>
              <w:t>in Last FY</w:t>
            </w:r>
            <w:r>
              <w:rPr>
                <w:rFonts w:ascii="Arial" w:cs="Arial" w:eastAsia="Arial" w:hAnsi="Arial"/>
                <w:sz w:val="18"/>
                <w:szCs w:val="18"/>
                <w:b w:val="1"/>
                <w:bCs w:val="1"/>
                <w:color w:val="FFFFFF"/>
                <w:vertAlign w:val="superscript"/>
              </w:rPr>
              <w:t>2</w:t>
            </w:r>
          </w:p>
        </w:tc>
        <w:tc>
          <w:tcPr>
            <w:tcW w:w="1540" w:type="dxa"/>
            <w:vAlign w:val="bottom"/>
            <w:shd w:val="clear" w:color="auto" w:fill="BF2115"/>
          </w:tcPr>
          <w:p>
            <w:pPr>
              <w:jc w:val="center"/>
              <w:ind w:right="109"/>
              <w:spacing w:after="0" w:line="176" w:lineRule="exact"/>
              <w:rPr>
                <w:sz w:val="20"/>
                <w:szCs w:val="20"/>
                <w:color w:val="auto"/>
              </w:rPr>
            </w:pPr>
            <w:r>
              <w:rPr>
                <w:rFonts w:ascii="Arial" w:cs="Arial" w:eastAsia="Arial" w:hAnsi="Arial"/>
                <w:sz w:val="14"/>
                <w:szCs w:val="14"/>
                <w:b w:val="1"/>
                <w:bCs w:val="1"/>
                <w:color w:val="FFFFFF"/>
                <w:w w:val="97"/>
              </w:rPr>
              <w:t>Last FY</w:t>
            </w:r>
            <w:r>
              <w:rPr>
                <w:rFonts w:ascii="Arial" w:cs="Arial" w:eastAsia="Arial" w:hAnsi="Arial"/>
                <w:sz w:val="18"/>
                <w:szCs w:val="18"/>
                <w:b w:val="1"/>
                <w:bCs w:val="1"/>
                <w:color w:val="FFFFFF"/>
                <w:w w:val="97"/>
                <w:vertAlign w:val="superscript"/>
              </w:rPr>
              <w:t>3</w:t>
            </w:r>
          </w:p>
        </w:tc>
        <w:tc>
          <w:tcPr>
            <w:tcW w:w="1200" w:type="dxa"/>
            <w:vAlign w:val="bottom"/>
            <w:shd w:val="clear" w:color="auto" w:fill="BF2115"/>
          </w:tcPr>
          <w:p>
            <w:pPr>
              <w:jc w:val="center"/>
              <w:ind w:left="9"/>
              <w:spacing w:after="0"/>
              <w:rPr>
                <w:sz w:val="20"/>
                <w:szCs w:val="20"/>
                <w:color w:val="auto"/>
              </w:rPr>
            </w:pPr>
            <w:r>
              <w:rPr>
                <w:rFonts w:ascii="Arial" w:cs="Arial" w:eastAsia="Arial" w:hAnsi="Arial"/>
                <w:sz w:val="14"/>
                <w:szCs w:val="14"/>
                <w:b w:val="1"/>
                <w:bCs w:val="1"/>
                <w:color w:val="FFFFFF"/>
              </w:rPr>
              <w:t>Distributions</w:t>
            </w:r>
          </w:p>
        </w:tc>
        <w:tc>
          <w:tcPr>
            <w:tcW w:w="440" w:type="dxa"/>
            <w:vAlign w:val="bottom"/>
            <w:shd w:val="clear" w:color="auto" w:fill="BF2115"/>
          </w:tcPr>
          <w:p>
            <w:pPr>
              <w:spacing w:after="0"/>
              <w:rPr>
                <w:sz w:val="15"/>
                <w:szCs w:val="15"/>
                <w:color w:val="auto"/>
              </w:rPr>
            </w:pPr>
          </w:p>
        </w:tc>
        <w:tc>
          <w:tcPr>
            <w:tcW w:w="1420" w:type="dxa"/>
            <w:vAlign w:val="bottom"/>
            <w:shd w:val="clear" w:color="auto" w:fill="BF2115"/>
          </w:tcPr>
          <w:p>
            <w:pPr>
              <w:jc w:val="center"/>
              <w:ind w:right="129"/>
              <w:spacing w:after="0" w:line="176" w:lineRule="exact"/>
              <w:rPr>
                <w:sz w:val="20"/>
                <w:szCs w:val="20"/>
                <w:color w:val="auto"/>
              </w:rPr>
            </w:pPr>
            <w:r>
              <w:rPr>
                <w:rFonts w:ascii="Arial" w:cs="Arial" w:eastAsia="Arial" w:hAnsi="Arial"/>
                <w:sz w:val="14"/>
                <w:szCs w:val="14"/>
                <w:b w:val="1"/>
                <w:bCs w:val="1"/>
                <w:color w:val="FFFFFF"/>
                <w:w w:val="99"/>
              </w:rPr>
              <w:t>Last FYE</w:t>
            </w:r>
            <w:r>
              <w:rPr>
                <w:rFonts w:ascii="Arial" w:cs="Arial" w:eastAsia="Arial" w:hAnsi="Arial"/>
                <w:sz w:val="18"/>
                <w:szCs w:val="18"/>
                <w:b w:val="1"/>
                <w:bCs w:val="1"/>
                <w:color w:val="FFFFFF"/>
                <w:w w:val="99"/>
                <w:vertAlign w:val="superscript"/>
              </w:rPr>
              <w:t>4</w:t>
            </w:r>
          </w:p>
        </w:tc>
      </w:tr>
      <w:tr>
        <w:trPr>
          <w:trHeight w:val="209"/>
        </w:trPr>
        <w:tc>
          <w:tcPr>
            <w:tcW w:w="2520" w:type="dxa"/>
            <w:vAlign w:val="bottom"/>
            <w:shd w:val="clear" w:color="auto" w:fill="BF2115"/>
          </w:tcPr>
          <w:p>
            <w:pPr>
              <w:spacing w:after="0"/>
              <w:rPr>
                <w:sz w:val="18"/>
                <w:szCs w:val="18"/>
                <w:color w:val="auto"/>
              </w:rPr>
            </w:pPr>
          </w:p>
        </w:tc>
        <w:tc>
          <w:tcPr>
            <w:tcW w:w="1620" w:type="dxa"/>
            <w:vAlign w:val="bottom"/>
            <w:shd w:val="clear" w:color="auto" w:fill="BF2115"/>
          </w:tcPr>
          <w:p>
            <w:pPr>
              <w:jc w:val="center"/>
              <w:spacing w:after="0"/>
              <w:rPr>
                <w:sz w:val="20"/>
                <w:szCs w:val="20"/>
                <w:color w:val="auto"/>
              </w:rPr>
            </w:pPr>
            <w:r>
              <w:rPr>
                <w:rFonts w:ascii="Arial" w:cs="Arial" w:eastAsia="Arial" w:hAnsi="Arial"/>
                <w:sz w:val="14"/>
                <w:szCs w:val="14"/>
                <w:b w:val="1"/>
                <w:bCs w:val="1"/>
                <w:color w:val="FFFFFF"/>
                <w:w w:val="93"/>
              </w:rPr>
              <w:t>($)</w:t>
            </w:r>
          </w:p>
        </w:tc>
        <w:tc>
          <w:tcPr>
            <w:tcW w:w="1840" w:type="dxa"/>
            <w:vAlign w:val="bottom"/>
            <w:shd w:val="clear" w:color="auto" w:fill="BF2115"/>
          </w:tcPr>
          <w:p>
            <w:pPr>
              <w:jc w:val="center"/>
              <w:spacing w:after="0"/>
              <w:rPr>
                <w:sz w:val="20"/>
                <w:szCs w:val="20"/>
                <w:color w:val="auto"/>
              </w:rPr>
            </w:pPr>
            <w:r>
              <w:rPr>
                <w:rFonts w:ascii="Arial" w:cs="Arial" w:eastAsia="Arial" w:hAnsi="Arial"/>
                <w:sz w:val="14"/>
                <w:szCs w:val="14"/>
                <w:b w:val="1"/>
                <w:bCs w:val="1"/>
                <w:color w:val="FFFFFF"/>
              </w:rPr>
              <w:t>($)</w:t>
            </w:r>
          </w:p>
        </w:tc>
        <w:tc>
          <w:tcPr>
            <w:tcW w:w="1540" w:type="dxa"/>
            <w:vAlign w:val="bottom"/>
            <w:shd w:val="clear" w:color="auto" w:fill="BF2115"/>
          </w:tcPr>
          <w:p>
            <w:pPr>
              <w:jc w:val="center"/>
              <w:ind w:right="89"/>
              <w:spacing w:after="0"/>
              <w:rPr>
                <w:sz w:val="20"/>
                <w:szCs w:val="20"/>
                <w:color w:val="auto"/>
              </w:rPr>
            </w:pPr>
            <w:r>
              <w:rPr>
                <w:rFonts w:ascii="Arial" w:cs="Arial" w:eastAsia="Arial" w:hAnsi="Arial"/>
                <w:sz w:val="14"/>
                <w:szCs w:val="14"/>
                <w:b w:val="1"/>
                <w:bCs w:val="1"/>
                <w:color w:val="FFFFFF"/>
              </w:rPr>
              <w:t>($)</w:t>
            </w:r>
          </w:p>
        </w:tc>
        <w:tc>
          <w:tcPr>
            <w:tcW w:w="1200" w:type="dxa"/>
            <w:vAlign w:val="bottom"/>
            <w:shd w:val="clear" w:color="auto" w:fill="BF2115"/>
          </w:tcPr>
          <w:p>
            <w:pPr>
              <w:jc w:val="center"/>
              <w:spacing w:after="0"/>
              <w:rPr>
                <w:sz w:val="20"/>
                <w:szCs w:val="20"/>
                <w:color w:val="auto"/>
              </w:rPr>
            </w:pPr>
            <w:r>
              <w:rPr>
                <w:rFonts w:ascii="Arial" w:cs="Arial" w:eastAsia="Arial" w:hAnsi="Arial"/>
                <w:sz w:val="14"/>
                <w:szCs w:val="14"/>
                <w:b w:val="1"/>
                <w:bCs w:val="1"/>
                <w:color w:val="FFFFFF"/>
              </w:rPr>
              <w:t>($)</w:t>
            </w:r>
          </w:p>
        </w:tc>
        <w:tc>
          <w:tcPr>
            <w:tcW w:w="440" w:type="dxa"/>
            <w:vAlign w:val="bottom"/>
            <w:shd w:val="clear" w:color="auto" w:fill="BF2115"/>
          </w:tcPr>
          <w:p>
            <w:pPr>
              <w:spacing w:after="0"/>
              <w:rPr>
                <w:sz w:val="18"/>
                <w:szCs w:val="18"/>
                <w:color w:val="auto"/>
              </w:rPr>
            </w:pPr>
          </w:p>
        </w:tc>
        <w:tc>
          <w:tcPr>
            <w:tcW w:w="1420" w:type="dxa"/>
            <w:vAlign w:val="bottom"/>
            <w:shd w:val="clear" w:color="auto" w:fill="BF2115"/>
          </w:tcPr>
          <w:p>
            <w:pPr>
              <w:jc w:val="center"/>
              <w:ind w:right="149"/>
              <w:spacing w:after="0"/>
              <w:rPr>
                <w:sz w:val="20"/>
                <w:szCs w:val="20"/>
                <w:color w:val="auto"/>
              </w:rPr>
            </w:pPr>
            <w:r>
              <w:rPr>
                <w:rFonts w:ascii="Arial" w:cs="Arial" w:eastAsia="Arial" w:hAnsi="Arial"/>
                <w:sz w:val="14"/>
                <w:szCs w:val="14"/>
                <w:b w:val="1"/>
                <w:bCs w:val="1"/>
                <w:color w:val="FFFFFF"/>
                <w:w w:val="93"/>
              </w:rPr>
              <w:t>($)</w:t>
            </w:r>
          </w:p>
        </w:tc>
      </w:tr>
      <w:tr>
        <w:trPr>
          <w:trHeight w:val="206"/>
        </w:trPr>
        <w:tc>
          <w:tcPr>
            <w:tcW w:w="2520" w:type="dxa"/>
            <w:vAlign w:val="bottom"/>
          </w:tcPr>
          <w:p>
            <w:pPr>
              <w:ind w:left="20"/>
              <w:spacing w:after="0"/>
              <w:rPr>
                <w:sz w:val="20"/>
                <w:szCs w:val="20"/>
                <w:color w:val="auto"/>
              </w:rPr>
            </w:pPr>
            <w:r>
              <w:rPr>
                <w:rFonts w:ascii="Arial" w:cs="Arial" w:eastAsia="Arial" w:hAnsi="Arial"/>
                <w:sz w:val="14"/>
                <w:szCs w:val="14"/>
                <w:color w:val="auto"/>
              </w:rPr>
              <w:t>Richard M. Olson</w:t>
            </w:r>
          </w:p>
        </w:tc>
        <w:tc>
          <w:tcPr>
            <w:tcW w:w="162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20" w:type="dxa"/>
            <w:vAlign w:val="bottom"/>
          </w:tcPr>
          <w:p>
            <w:pPr>
              <w:spacing w:after="0"/>
              <w:rPr>
                <w:sz w:val="17"/>
                <w:szCs w:val="17"/>
                <w:color w:val="auto"/>
              </w:rPr>
            </w:pPr>
          </w:p>
        </w:tc>
      </w:tr>
      <w:tr>
        <w:trPr>
          <w:trHeight w:val="213"/>
        </w:trPr>
        <w:tc>
          <w:tcPr>
            <w:tcW w:w="2520" w:type="dxa"/>
            <w:vAlign w:val="bottom"/>
          </w:tcPr>
          <w:p>
            <w:pPr>
              <w:ind w:left="200"/>
              <w:spacing w:after="0"/>
              <w:rPr>
                <w:sz w:val="20"/>
                <w:szCs w:val="20"/>
                <w:color w:val="auto"/>
              </w:rPr>
            </w:pPr>
            <w:r>
              <w:rPr>
                <w:rFonts w:ascii="Arial" w:cs="Arial" w:eastAsia="Arial" w:hAnsi="Arial"/>
                <w:sz w:val="14"/>
                <w:szCs w:val="14"/>
                <w:color w:val="auto"/>
              </w:rPr>
              <w:t>Deferred Plan</w:t>
            </w:r>
          </w:p>
        </w:tc>
        <w:tc>
          <w:tcPr>
            <w:tcW w:w="1620" w:type="dxa"/>
            <w:vAlign w:val="bottom"/>
          </w:tcPr>
          <w:p>
            <w:pPr>
              <w:jc w:val="right"/>
              <w:spacing w:after="0"/>
              <w:rPr>
                <w:sz w:val="20"/>
                <w:szCs w:val="20"/>
                <w:color w:val="auto"/>
              </w:rPr>
            </w:pPr>
            <w:r>
              <w:rPr>
                <w:rFonts w:ascii="Arial" w:cs="Arial" w:eastAsia="Arial" w:hAnsi="Arial"/>
                <w:sz w:val="14"/>
                <w:szCs w:val="14"/>
                <w:color w:val="auto"/>
              </w:rPr>
              <w:t>0</w:t>
            </w:r>
          </w:p>
        </w:tc>
        <w:tc>
          <w:tcPr>
            <w:tcW w:w="1840" w:type="dxa"/>
            <w:vAlign w:val="bottom"/>
          </w:tcPr>
          <w:p>
            <w:pPr>
              <w:jc w:val="right"/>
              <w:spacing w:after="0"/>
              <w:rPr>
                <w:sz w:val="20"/>
                <w:szCs w:val="20"/>
                <w:color w:val="auto"/>
              </w:rPr>
            </w:pPr>
            <w:r>
              <w:rPr>
                <w:rFonts w:ascii="Arial" w:cs="Arial" w:eastAsia="Arial" w:hAnsi="Arial"/>
                <w:sz w:val="14"/>
                <w:szCs w:val="14"/>
                <w:color w:val="auto"/>
              </w:rPr>
              <w:t>0</w:t>
            </w:r>
          </w:p>
        </w:tc>
        <w:tc>
          <w:tcPr>
            <w:tcW w:w="1540" w:type="dxa"/>
            <w:vAlign w:val="bottom"/>
          </w:tcPr>
          <w:p>
            <w:pPr>
              <w:jc w:val="right"/>
              <w:ind w:right="109"/>
              <w:spacing w:after="0"/>
              <w:rPr>
                <w:sz w:val="20"/>
                <w:szCs w:val="20"/>
                <w:color w:val="auto"/>
              </w:rPr>
            </w:pPr>
            <w:r>
              <w:rPr>
                <w:rFonts w:ascii="Arial" w:cs="Arial" w:eastAsia="Arial" w:hAnsi="Arial"/>
                <w:sz w:val="14"/>
                <w:szCs w:val="14"/>
                <w:color w:val="auto"/>
              </w:rPr>
              <w:t>429,450</w:t>
            </w:r>
          </w:p>
        </w:tc>
        <w:tc>
          <w:tcPr>
            <w:tcW w:w="1200" w:type="dxa"/>
            <w:vAlign w:val="bottom"/>
          </w:tcPr>
          <w:p>
            <w:pPr>
              <w:spacing w:after="0"/>
              <w:rPr>
                <w:sz w:val="18"/>
                <w:szCs w:val="18"/>
                <w:color w:val="auto"/>
              </w:rPr>
            </w:pPr>
          </w:p>
        </w:tc>
        <w:tc>
          <w:tcPr>
            <w:tcW w:w="440" w:type="dxa"/>
            <w:vAlign w:val="bottom"/>
          </w:tcPr>
          <w:p>
            <w:pPr>
              <w:jc w:val="right"/>
              <w:ind w:right="169"/>
              <w:spacing w:after="0"/>
              <w:rPr>
                <w:sz w:val="20"/>
                <w:szCs w:val="20"/>
                <w:color w:val="auto"/>
              </w:rPr>
            </w:pPr>
            <w:r>
              <w:rPr>
                <w:rFonts w:ascii="Arial" w:cs="Arial" w:eastAsia="Arial" w:hAnsi="Arial"/>
                <w:sz w:val="14"/>
                <w:szCs w:val="14"/>
                <w:color w:val="auto"/>
              </w:rPr>
              <w:t>0</w:t>
            </w:r>
          </w:p>
        </w:tc>
        <w:tc>
          <w:tcPr>
            <w:tcW w:w="1420" w:type="dxa"/>
            <w:vAlign w:val="bottom"/>
          </w:tcPr>
          <w:p>
            <w:pPr>
              <w:jc w:val="right"/>
              <w:spacing w:after="0"/>
              <w:rPr>
                <w:sz w:val="20"/>
                <w:szCs w:val="20"/>
                <w:color w:val="auto"/>
              </w:rPr>
            </w:pPr>
            <w:r>
              <w:rPr>
                <w:rFonts w:ascii="Arial" w:cs="Arial" w:eastAsia="Arial" w:hAnsi="Arial"/>
                <w:sz w:val="14"/>
                <w:szCs w:val="14"/>
                <w:color w:val="auto"/>
              </w:rPr>
              <w:t>2,130,659</w:t>
            </w:r>
          </w:p>
        </w:tc>
      </w:tr>
      <w:tr>
        <w:trPr>
          <w:trHeight w:val="213"/>
        </w:trPr>
        <w:tc>
          <w:tcPr>
            <w:tcW w:w="2520" w:type="dxa"/>
            <w:vAlign w:val="bottom"/>
          </w:tcPr>
          <w:p>
            <w:pPr>
              <w:ind w:left="200"/>
              <w:spacing w:after="0"/>
              <w:rPr>
                <w:sz w:val="20"/>
                <w:szCs w:val="20"/>
                <w:color w:val="auto"/>
              </w:rPr>
            </w:pPr>
            <w:r>
              <w:rPr>
                <w:rFonts w:ascii="Arial" w:cs="Arial" w:eastAsia="Arial" w:hAnsi="Arial"/>
                <w:sz w:val="14"/>
                <w:szCs w:val="14"/>
                <w:color w:val="auto"/>
              </w:rPr>
              <w:t>Deferred Plan for Officers</w:t>
            </w:r>
          </w:p>
        </w:tc>
        <w:tc>
          <w:tcPr>
            <w:tcW w:w="1620" w:type="dxa"/>
            <w:vAlign w:val="bottom"/>
          </w:tcPr>
          <w:p>
            <w:pPr>
              <w:jc w:val="right"/>
              <w:spacing w:after="0"/>
              <w:rPr>
                <w:sz w:val="20"/>
                <w:szCs w:val="20"/>
                <w:color w:val="auto"/>
              </w:rPr>
            </w:pPr>
            <w:r>
              <w:rPr>
                <w:rFonts w:ascii="Arial" w:cs="Arial" w:eastAsia="Arial" w:hAnsi="Arial"/>
                <w:sz w:val="14"/>
                <w:szCs w:val="14"/>
                <w:color w:val="auto"/>
              </w:rPr>
              <w:t>0</w:t>
            </w:r>
          </w:p>
        </w:tc>
        <w:tc>
          <w:tcPr>
            <w:tcW w:w="1840" w:type="dxa"/>
            <w:vAlign w:val="bottom"/>
          </w:tcPr>
          <w:p>
            <w:pPr>
              <w:jc w:val="right"/>
              <w:spacing w:after="0"/>
              <w:rPr>
                <w:sz w:val="20"/>
                <w:szCs w:val="20"/>
                <w:color w:val="auto"/>
              </w:rPr>
            </w:pPr>
            <w:r>
              <w:rPr>
                <w:rFonts w:ascii="Arial" w:cs="Arial" w:eastAsia="Arial" w:hAnsi="Arial"/>
                <w:sz w:val="14"/>
                <w:szCs w:val="14"/>
                <w:color w:val="auto"/>
              </w:rPr>
              <w:t>0</w:t>
            </w:r>
          </w:p>
        </w:tc>
        <w:tc>
          <w:tcPr>
            <w:tcW w:w="1540" w:type="dxa"/>
            <w:vAlign w:val="bottom"/>
          </w:tcPr>
          <w:p>
            <w:pPr>
              <w:jc w:val="right"/>
              <w:ind w:right="109"/>
              <w:spacing w:after="0"/>
              <w:rPr>
                <w:sz w:val="20"/>
                <w:szCs w:val="20"/>
                <w:color w:val="auto"/>
              </w:rPr>
            </w:pPr>
            <w:r>
              <w:rPr>
                <w:rFonts w:ascii="Arial" w:cs="Arial" w:eastAsia="Arial" w:hAnsi="Arial"/>
                <w:sz w:val="14"/>
                <w:szCs w:val="14"/>
                <w:color w:val="auto"/>
              </w:rPr>
              <w:t>-440,138</w:t>
            </w:r>
          </w:p>
        </w:tc>
        <w:tc>
          <w:tcPr>
            <w:tcW w:w="1200" w:type="dxa"/>
            <w:vAlign w:val="bottom"/>
          </w:tcPr>
          <w:p>
            <w:pPr>
              <w:spacing w:after="0"/>
              <w:rPr>
                <w:sz w:val="18"/>
                <w:szCs w:val="18"/>
                <w:color w:val="auto"/>
              </w:rPr>
            </w:pPr>
          </w:p>
        </w:tc>
        <w:tc>
          <w:tcPr>
            <w:tcW w:w="440" w:type="dxa"/>
            <w:vAlign w:val="bottom"/>
          </w:tcPr>
          <w:p>
            <w:pPr>
              <w:jc w:val="right"/>
              <w:ind w:right="169"/>
              <w:spacing w:after="0"/>
              <w:rPr>
                <w:sz w:val="20"/>
                <w:szCs w:val="20"/>
                <w:color w:val="auto"/>
              </w:rPr>
            </w:pPr>
            <w:r>
              <w:rPr>
                <w:rFonts w:ascii="Arial" w:cs="Arial" w:eastAsia="Arial" w:hAnsi="Arial"/>
                <w:sz w:val="14"/>
                <w:szCs w:val="14"/>
                <w:color w:val="auto"/>
              </w:rPr>
              <w:t>0</w:t>
            </w:r>
          </w:p>
        </w:tc>
        <w:tc>
          <w:tcPr>
            <w:tcW w:w="1420" w:type="dxa"/>
            <w:vAlign w:val="bottom"/>
          </w:tcPr>
          <w:p>
            <w:pPr>
              <w:jc w:val="right"/>
              <w:spacing w:after="0"/>
              <w:rPr>
                <w:sz w:val="20"/>
                <w:szCs w:val="20"/>
                <w:color w:val="auto"/>
              </w:rPr>
            </w:pPr>
            <w:r>
              <w:rPr>
                <w:rFonts w:ascii="Arial" w:cs="Arial" w:eastAsia="Arial" w:hAnsi="Arial"/>
                <w:sz w:val="14"/>
                <w:szCs w:val="14"/>
                <w:color w:val="auto"/>
              </w:rPr>
              <w:t>13,416,754</w:t>
            </w:r>
          </w:p>
        </w:tc>
      </w:tr>
      <w:tr>
        <w:trPr>
          <w:trHeight w:val="217"/>
        </w:trPr>
        <w:tc>
          <w:tcPr>
            <w:tcW w:w="2520" w:type="dxa"/>
            <w:vAlign w:val="bottom"/>
          </w:tcPr>
          <w:p>
            <w:pPr>
              <w:ind w:left="200"/>
              <w:spacing w:after="0"/>
              <w:rPr>
                <w:sz w:val="20"/>
                <w:szCs w:val="20"/>
                <w:color w:val="auto"/>
              </w:rPr>
            </w:pPr>
            <w:r>
              <w:rPr>
                <w:rFonts w:ascii="Arial" w:cs="Arial" w:eastAsia="Arial" w:hAnsi="Arial"/>
                <w:sz w:val="14"/>
                <w:szCs w:val="14"/>
                <w:color w:val="auto"/>
              </w:rPr>
              <w:t>Supplemental Benefit Plan</w:t>
            </w:r>
          </w:p>
        </w:tc>
        <w:tc>
          <w:tcPr>
            <w:tcW w:w="1620" w:type="dxa"/>
            <w:vAlign w:val="bottom"/>
          </w:tcPr>
          <w:p>
            <w:pPr>
              <w:jc w:val="right"/>
              <w:spacing w:after="0"/>
              <w:rPr>
                <w:sz w:val="20"/>
                <w:szCs w:val="20"/>
                <w:color w:val="auto"/>
              </w:rPr>
            </w:pPr>
            <w:r>
              <w:rPr>
                <w:rFonts w:ascii="Arial" w:cs="Arial" w:eastAsia="Arial" w:hAnsi="Arial"/>
                <w:sz w:val="14"/>
                <w:szCs w:val="14"/>
                <w:color w:val="auto"/>
              </w:rPr>
              <w:t>0</w:t>
            </w:r>
          </w:p>
        </w:tc>
        <w:tc>
          <w:tcPr>
            <w:tcW w:w="1840" w:type="dxa"/>
            <w:vAlign w:val="bottom"/>
          </w:tcPr>
          <w:p>
            <w:pPr>
              <w:jc w:val="right"/>
              <w:spacing w:after="0"/>
              <w:rPr>
                <w:sz w:val="20"/>
                <w:szCs w:val="20"/>
                <w:color w:val="auto"/>
              </w:rPr>
            </w:pPr>
            <w:r>
              <w:rPr>
                <w:rFonts w:ascii="Arial" w:cs="Arial" w:eastAsia="Arial" w:hAnsi="Arial"/>
                <w:sz w:val="14"/>
                <w:szCs w:val="14"/>
                <w:color w:val="auto"/>
              </w:rPr>
              <w:t>92,612</w:t>
            </w:r>
          </w:p>
        </w:tc>
        <w:tc>
          <w:tcPr>
            <w:tcW w:w="1540" w:type="dxa"/>
            <w:vAlign w:val="bottom"/>
          </w:tcPr>
          <w:p>
            <w:pPr>
              <w:jc w:val="right"/>
              <w:ind w:right="109"/>
              <w:spacing w:after="0"/>
              <w:rPr>
                <w:sz w:val="20"/>
                <w:szCs w:val="20"/>
                <w:color w:val="auto"/>
              </w:rPr>
            </w:pPr>
            <w:r>
              <w:rPr>
                <w:rFonts w:ascii="Arial" w:cs="Arial" w:eastAsia="Arial" w:hAnsi="Arial"/>
                <w:sz w:val="14"/>
                <w:szCs w:val="14"/>
                <w:color w:val="auto"/>
              </w:rPr>
              <w:t>322,219</w:t>
            </w:r>
          </w:p>
        </w:tc>
        <w:tc>
          <w:tcPr>
            <w:tcW w:w="1200" w:type="dxa"/>
            <w:vAlign w:val="bottom"/>
          </w:tcPr>
          <w:p>
            <w:pPr>
              <w:spacing w:after="0"/>
              <w:rPr>
                <w:sz w:val="18"/>
                <w:szCs w:val="18"/>
                <w:color w:val="auto"/>
              </w:rPr>
            </w:pPr>
          </w:p>
        </w:tc>
        <w:tc>
          <w:tcPr>
            <w:tcW w:w="440" w:type="dxa"/>
            <w:vAlign w:val="bottom"/>
          </w:tcPr>
          <w:p>
            <w:pPr>
              <w:jc w:val="right"/>
              <w:ind w:right="169"/>
              <w:spacing w:after="0"/>
              <w:rPr>
                <w:sz w:val="20"/>
                <w:szCs w:val="20"/>
                <w:color w:val="auto"/>
              </w:rPr>
            </w:pPr>
            <w:r>
              <w:rPr>
                <w:rFonts w:ascii="Arial" w:cs="Arial" w:eastAsia="Arial" w:hAnsi="Arial"/>
                <w:sz w:val="14"/>
                <w:szCs w:val="14"/>
                <w:color w:val="auto"/>
              </w:rPr>
              <w:t>0</w:t>
            </w:r>
          </w:p>
        </w:tc>
        <w:tc>
          <w:tcPr>
            <w:tcW w:w="1420" w:type="dxa"/>
            <w:vAlign w:val="bottom"/>
          </w:tcPr>
          <w:p>
            <w:pPr>
              <w:jc w:val="right"/>
              <w:spacing w:after="0"/>
              <w:rPr>
                <w:sz w:val="20"/>
                <w:szCs w:val="20"/>
                <w:color w:val="auto"/>
              </w:rPr>
            </w:pPr>
            <w:r>
              <w:rPr>
                <w:rFonts w:ascii="Arial" w:cs="Arial" w:eastAsia="Arial" w:hAnsi="Arial"/>
                <w:sz w:val="14"/>
                <w:szCs w:val="14"/>
                <w:color w:val="auto"/>
              </w:rPr>
              <w:t>1,742,414</w:t>
            </w:r>
          </w:p>
        </w:tc>
      </w:tr>
      <w:tr>
        <w:trPr>
          <w:trHeight w:val="210"/>
        </w:trPr>
        <w:tc>
          <w:tcPr>
            <w:tcW w:w="2520" w:type="dxa"/>
            <w:vAlign w:val="bottom"/>
            <w:shd w:val="clear" w:color="auto" w:fill="DBDBDB"/>
          </w:tcPr>
          <w:p>
            <w:pPr>
              <w:ind w:left="20"/>
              <w:spacing w:after="0"/>
              <w:rPr>
                <w:sz w:val="20"/>
                <w:szCs w:val="20"/>
                <w:color w:val="auto"/>
              </w:rPr>
            </w:pPr>
            <w:r>
              <w:rPr>
                <w:rFonts w:ascii="Arial" w:cs="Arial" w:eastAsia="Arial" w:hAnsi="Arial"/>
                <w:sz w:val="14"/>
                <w:szCs w:val="14"/>
                <w:color w:val="auto"/>
              </w:rPr>
              <w:t>Angela C. Drake</w:t>
            </w:r>
          </w:p>
        </w:tc>
        <w:tc>
          <w:tcPr>
            <w:tcW w:w="1620" w:type="dxa"/>
            <w:vAlign w:val="bottom"/>
            <w:shd w:val="clear" w:color="auto" w:fill="DBDBDB"/>
          </w:tcPr>
          <w:p>
            <w:pPr>
              <w:spacing w:after="0"/>
              <w:rPr>
                <w:sz w:val="18"/>
                <w:szCs w:val="18"/>
                <w:color w:val="auto"/>
              </w:rPr>
            </w:pPr>
          </w:p>
        </w:tc>
        <w:tc>
          <w:tcPr>
            <w:tcW w:w="1840" w:type="dxa"/>
            <w:vAlign w:val="bottom"/>
            <w:shd w:val="clear" w:color="auto" w:fill="DBDBDB"/>
          </w:tcPr>
          <w:p>
            <w:pPr>
              <w:spacing w:after="0"/>
              <w:rPr>
                <w:sz w:val="18"/>
                <w:szCs w:val="18"/>
                <w:color w:val="auto"/>
              </w:rPr>
            </w:pPr>
          </w:p>
        </w:tc>
        <w:tc>
          <w:tcPr>
            <w:tcW w:w="1540" w:type="dxa"/>
            <w:vAlign w:val="bottom"/>
            <w:shd w:val="clear" w:color="auto" w:fill="DBDBDB"/>
          </w:tcPr>
          <w:p>
            <w:pPr>
              <w:spacing w:after="0"/>
              <w:rPr>
                <w:sz w:val="18"/>
                <w:szCs w:val="18"/>
                <w:color w:val="auto"/>
              </w:rPr>
            </w:pPr>
          </w:p>
        </w:tc>
        <w:tc>
          <w:tcPr>
            <w:tcW w:w="1200" w:type="dxa"/>
            <w:vAlign w:val="bottom"/>
            <w:shd w:val="clear" w:color="auto" w:fill="DBDBDB"/>
          </w:tcPr>
          <w:p>
            <w:pPr>
              <w:spacing w:after="0"/>
              <w:rPr>
                <w:sz w:val="18"/>
                <w:szCs w:val="18"/>
                <w:color w:val="auto"/>
              </w:rPr>
            </w:pPr>
          </w:p>
        </w:tc>
        <w:tc>
          <w:tcPr>
            <w:tcW w:w="440" w:type="dxa"/>
            <w:vAlign w:val="bottom"/>
            <w:shd w:val="clear" w:color="auto" w:fill="DBDBDB"/>
          </w:tcPr>
          <w:p>
            <w:pPr>
              <w:spacing w:after="0"/>
              <w:rPr>
                <w:sz w:val="18"/>
                <w:szCs w:val="18"/>
                <w:color w:val="auto"/>
              </w:rPr>
            </w:pPr>
          </w:p>
        </w:tc>
        <w:tc>
          <w:tcPr>
            <w:tcW w:w="1420" w:type="dxa"/>
            <w:vAlign w:val="bottom"/>
            <w:shd w:val="clear" w:color="auto" w:fill="DBDBDB"/>
          </w:tcPr>
          <w:p>
            <w:pPr>
              <w:spacing w:after="0"/>
              <w:rPr>
                <w:sz w:val="18"/>
                <w:szCs w:val="18"/>
                <w:color w:val="auto"/>
              </w:rPr>
            </w:pPr>
          </w:p>
        </w:tc>
      </w:tr>
      <w:tr>
        <w:trPr>
          <w:trHeight w:val="213"/>
        </w:trPr>
        <w:tc>
          <w:tcPr>
            <w:tcW w:w="2520" w:type="dxa"/>
            <w:vAlign w:val="bottom"/>
            <w:shd w:val="clear" w:color="auto" w:fill="DBDBDB"/>
          </w:tcPr>
          <w:p>
            <w:pPr>
              <w:ind w:left="200"/>
              <w:spacing w:after="0"/>
              <w:rPr>
                <w:sz w:val="20"/>
                <w:szCs w:val="20"/>
                <w:color w:val="auto"/>
              </w:rPr>
            </w:pPr>
            <w:r>
              <w:rPr>
                <w:rFonts w:ascii="Arial" w:cs="Arial" w:eastAsia="Arial" w:hAnsi="Arial"/>
                <w:sz w:val="14"/>
                <w:szCs w:val="14"/>
                <w:color w:val="auto"/>
              </w:rPr>
              <w:t>Deferred Plan</w:t>
            </w:r>
          </w:p>
        </w:tc>
        <w:tc>
          <w:tcPr>
            <w:tcW w:w="1620" w:type="dxa"/>
            <w:vAlign w:val="bottom"/>
            <w:shd w:val="clear" w:color="auto" w:fill="DBDBDB"/>
          </w:tcPr>
          <w:p>
            <w:pPr>
              <w:jc w:val="right"/>
              <w:spacing w:after="0"/>
              <w:rPr>
                <w:sz w:val="20"/>
                <w:szCs w:val="20"/>
                <w:color w:val="auto"/>
              </w:rPr>
            </w:pPr>
            <w:r>
              <w:rPr>
                <w:rFonts w:ascii="Arial" w:cs="Arial" w:eastAsia="Arial" w:hAnsi="Arial"/>
                <w:sz w:val="14"/>
                <w:szCs w:val="14"/>
                <w:color w:val="auto"/>
              </w:rPr>
              <w:t>0</w:t>
            </w:r>
          </w:p>
        </w:tc>
        <w:tc>
          <w:tcPr>
            <w:tcW w:w="1840" w:type="dxa"/>
            <w:vAlign w:val="bottom"/>
            <w:shd w:val="clear" w:color="auto" w:fill="DBDBDB"/>
          </w:tcPr>
          <w:p>
            <w:pPr>
              <w:jc w:val="right"/>
              <w:spacing w:after="0"/>
              <w:rPr>
                <w:sz w:val="20"/>
                <w:szCs w:val="20"/>
                <w:color w:val="auto"/>
              </w:rPr>
            </w:pPr>
            <w:r>
              <w:rPr>
                <w:rFonts w:ascii="Arial" w:cs="Arial" w:eastAsia="Arial" w:hAnsi="Arial"/>
                <w:sz w:val="14"/>
                <w:szCs w:val="14"/>
                <w:color w:val="auto"/>
              </w:rPr>
              <w:t>0</w:t>
            </w:r>
          </w:p>
        </w:tc>
        <w:tc>
          <w:tcPr>
            <w:tcW w:w="1540" w:type="dxa"/>
            <w:vAlign w:val="bottom"/>
            <w:shd w:val="clear" w:color="auto" w:fill="DBDBDB"/>
          </w:tcPr>
          <w:p>
            <w:pPr>
              <w:jc w:val="right"/>
              <w:ind w:right="109"/>
              <w:spacing w:after="0"/>
              <w:rPr>
                <w:sz w:val="20"/>
                <w:szCs w:val="20"/>
                <w:color w:val="auto"/>
              </w:rPr>
            </w:pPr>
            <w:r>
              <w:rPr>
                <w:rFonts w:ascii="Arial" w:cs="Arial" w:eastAsia="Arial" w:hAnsi="Arial"/>
                <w:sz w:val="14"/>
                <w:szCs w:val="14"/>
                <w:color w:val="auto"/>
              </w:rPr>
              <w:t>107,636</w:t>
            </w:r>
          </w:p>
        </w:tc>
        <w:tc>
          <w:tcPr>
            <w:tcW w:w="1200" w:type="dxa"/>
            <w:vAlign w:val="bottom"/>
            <w:shd w:val="clear" w:color="auto" w:fill="DBDBDB"/>
          </w:tcPr>
          <w:p>
            <w:pPr>
              <w:spacing w:after="0"/>
              <w:rPr>
                <w:sz w:val="18"/>
                <w:szCs w:val="18"/>
                <w:color w:val="auto"/>
              </w:rPr>
            </w:pPr>
          </w:p>
        </w:tc>
        <w:tc>
          <w:tcPr>
            <w:tcW w:w="440" w:type="dxa"/>
            <w:vAlign w:val="bottom"/>
            <w:shd w:val="clear" w:color="auto" w:fill="DBDBDB"/>
          </w:tcPr>
          <w:p>
            <w:pPr>
              <w:jc w:val="right"/>
              <w:ind w:right="169"/>
              <w:spacing w:after="0"/>
              <w:rPr>
                <w:sz w:val="20"/>
                <w:szCs w:val="20"/>
                <w:color w:val="auto"/>
              </w:rPr>
            </w:pPr>
            <w:r>
              <w:rPr>
                <w:rFonts w:ascii="Arial" w:cs="Arial" w:eastAsia="Arial" w:hAnsi="Arial"/>
                <w:sz w:val="14"/>
                <w:szCs w:val="14"/>
                <w:color w:val="auto"/>
              </w:rPr>
              <w:t>0</w:t>
            </w:r>
          </w:p>
        </w:tc>
        <w:tc>
          <w:tcPr>
            <w:tcW w:w="1420" w:type="dxa"/>
            <w:vAlign w:val="bottom"/>
            <w:shd w:val="clear" w:color="auto" w:fill="DBDBDB"/>
          </w:tcPr>
          <w:p>
            <w:pPr>
              <w:jc w:val="right"/>
              <w:spacing w:after="0"/>
              <w:rPr>
                <w:sz w:val="20"/>
                <w:szCs w:val="20"/>
                <w:color w:val="auto"/>
              </w:rPr>
            </w:pPr>
            <w:r>
              <w:rPr>
                <w:rFonts w:ascii="Arial" w:cs="Arial" w:eastAsia="Arial" w:hAnsi="Arial"/>
                <w:sz w:val="14"/>
                <w:szCs w:val="14"/>
                <w:color w:val="auto"/>
              </w:rPr>
              <w:t>509,937</w:t>
            </w:r>
          </w:p>
        </w:tc>
      </w:tr>
      <w:tr>
        <w:trPr>
          <w:trHeight w:val="213"/>
        </w:trPr>
        <w:tc>
          <w:tcPr>
            <w:tcW w:w="2520" w:type="dxa"/>
            <w:vAlign w:val="bottom"/>
            <w:shd w:val="clear" w:color="auto" w:fill="DBDBDB"/>
          </w:tcPr>
          <w:p>
            <w:pPr>
              <w:ind w:left="200"/>
              <w:spacing w:after="0"/>
              <w:rPr>
                <w:sz w:val="20"/>
                <w:szCs w:val="20"/>
                <w:color w:val="auto"/>
              </w:rPr>
            </w:pPr>
            <w:r>
              <w:rPr>
                <w:rFonts w:ascii="Arial" w:cs="Arial" w:eastAsia="Arial" w:hAnsi="Arial"/>
                <w:sz w:val="14"/>
                <w:szCs w:val="14"/>
                <w:color w:val="auto"/>
              </w:rPr>
              <w:t>Deferred Plan for Officers</w:t>
            </w:r>
          </w:p>
        </w:tc>
        <w:tc>
          <w:tcPr>
            <w:tcW w:w="1620" w:type="dxa"/>
            <w:vAlign w:val="bottom"/>
            <w:shd w:val="clear" w:color="auto" w:fill="DBDBDB"/>
          </w:tcPr>
          <w:p>
            <w:pPr>
              <w:jc w:val="right"/>
              <w:spacing w:after="0"/>
              <w:rPr>
                <w:sz w:val="20"/>
                <w:szCs w:val="20"/>
                <w:color w:val="auto"/>
              </w:rPr>
            </w:pPr>
            <w:r>
              <w:rPr>
                <w:rFonts w:ascii="Arial" w:cs="Arial" w:eastAsia="Arial" w:hAnsi="Arial"/>
                <w:sz w:val="14"/>
                <w:szCs w:val="14"/>
                <w:color w:val="auto"/>
              </w:rPr>
              <w:t>0</w:t>
            </w:r>
          </w:p>
        </w:tc>
        <w:tc>
          <w:tcPr>
            <w:tcW w:w="1840" w:type="dxa"/>
            <w:vAlign w:val="bottom"/>
            <w:shd w:val="clear" w:color="auto" w:fill="DBDBDB"/>
          </w:tcPr>
          <w:p>
            <w:pPr>
              <w:jc w:val="right"/>
              <w:spacing w:after="0"/>
              <w:rPr>
                <w:sz w:val="20"/>
                <w:szCs w:val="20"/>
                <w:color w:val="auto"/>
              </w:rPr>
            </w:pPr>
            <w:r>
              <w:rPr>
                <w:rFonts w:ascii="Arial" w:cs="Arial" w:eastAsia="Arial" w:hAnsi="Arial"/>
                <w:sz w:val="14"/>
                <w:szCs w:val="14"/>
                <w:color w:val="auto"/>
              </w:rPr>
              <w:t>0</w:t>
            </w:r>
          </w:p>
        </w:tc>
        <w:tc>
          <w:tcPr>
            <w:tcW w:w="1540" w:type="dxa"/>
            <w:vAlign w:val="bottom"/>
            <w:shd w:val="clear" w:color="auto" w:fill="DBDBDB"/>
          </w:tcPr>
          <w:p>
            <w:pPr>
              <w:jc w:val="right"/>
              <w:ind w:right="109"/>
              <w:spacing w:after="0"/>
              <w:rPr>
                <w:sz w:val="20"/>
                <w:szCs w:val="20"/>
                <w:color w:val="auto"/>
              </w:rPr>
            </w:pPr>
            <w:r>
              <w:rPr>
                <w:rFonts w:ascii="Arial" w:cs="Arial" w:eastAsia="Arial" w:hAnsi="Arial"/>
                <w:sz w:val="14"/>
                <w:szCs w:val="14"/>
                <w:color w:val="auto"/>
              </w:rPr>
              <w:t>705</w:t>
            </w:r>
          </w:p>
        </w:tc>
        <w:tc>
          <w:tcPr>
            <w:tcW w:w="1200" w:type="dxa"/>
            <w:vAlign w:val="bottom"/>
            <w:shd w:val="clear" w:color="auto" w:fill="DBDBDB"/>
          </w:tcPr>
          <w:p>
            <w:pPr>
              <w:spacing w:after="0"/>
              <w:rPr>
                <w:sz w:val="18"/>
                <w:szCs w:val="18"/>
                <w:color w:val="auto"/>
              </w:rPr>
            </w:pPr>
          </w:p>
        </w:tc>
        <w:tc>
          <w:tcPr>
            <w:tcW w:w="440" w:type="dxa"/>
            <w:vAlign w:val="bottom"/>
            <w:shd w:val="clear" w:color="auto" w:fill="DBDBDB"/>
          </w:tcPr>
          <w:p>
            <w:pPr>
              <w:jc w:val="right"/>
              <w:ind w:right="169"/>
              <w:spacing w:after="0"/>
              <w:rPr>
                <w:sz w:val="20"/>
                <w:szCs w:val="20"/>
                <w:color w:val="auto"/>
              </w:rPr>
            </w:pPr>
            <w:r>
              <w:rPr>
                <w:rFonts w:ascii="Arial" w:cs="Arial" w:eastAsia="Arial" w:hAnsi="Arial"/>
                <w:sz w:val="14"/>
                <w:szCs w:val="14"/>
                <w:color w:val="auto"/>
              </w:rPr>
              <w:t>0</w:t>
            </w:r>
          </w:p>
        </w:tc>
        <w:tc>
          <w:tcPr>
            <w:tcW w:w="1420" w:type="dxa"/>
            <w:vAlign w:val="bottom"/>
            <w:shd w:val="clear" w:color="auto" w:fill="DBDBDB"/>
          </w:tcPr>
          <w:p>
            <w:pPr>
              <w:jc w:val="right"/>
              <w:spacing w:after="0"/>
              <w:rPr>
                <w:sz w:val="20"/>
                <w:szCs w:val="20"/>
                <w:color w:val="auto"/>
              </w:rPr>
            </w:pPr>
            <w:r>
              <w:rPr>
                <w:rFonts w:ascii="Arial" w:cs="Arial" w:eastAsia="Arial" w:hAnsi="Arial"/>
                <w:sz w:val="14"/>
                <w:szCs w:val="14"/>
                <w:color w:val="auto"/>
              </w:rPr>
              <w:t>59,517</w:t>
            </w:r>
          </w:p>
        </w:tc>
      </w:tr>
      <w:tr>
        <w:trPr>
          <w:trHeight w:val="221"/>
        </w:trPr>
        <w:tc>
          <w:tcPr>
            <w:tcW w:w="2520" w:type="dxa"/>
            <w:vAlign w:val="bottom"/>
            <w:shd w:val="clear" w:color="auto" w:fill="DBDBDB"/>
          </w:tcPr>
          <w:p>
            <w:pPr>
              <w:ind w:left="200"/>
              <w:spacing w:after="0"/>
              <w:rPr>
                <w:sz w:val="20"/>
                <w:szCs w:val="20"/>
                <w:color w:val="auto"/>
              </w:rPr>
            </w:pPr>
            <w:r>
              <w:rPr>
                <w:rFonts w:ascii="Arial" w:cs="Arial" w:eastAsia="Arial" w:hAnsi="Arial"/>
                <w:sz w:val="14"/>
                <w:szCs w:val="14"/>
                <w:color w:val="auto"/>
              </w:rPr>
              <w:t>Supplemental Benefit Plan</w:t>
            </w:r>
          </w:p>
        </w:tc>
        <w:tc>
          <w:tcPr>
            <w:tcW w:w="1620" w:type="dxa"/>
            <w:vAlign w:val="bottom"/>
            <w:shd w:val="clear" w:color="auto" w:fill="DBDBDB"/>
          </w:tcPr>
          <w:p>
            <w:pPr>
              <w:jc w:val="right"/>
              <w:spacing w:after="0"/>
              <w:rPr>
                <w:sz w:val="20"/>
                <w:szCs w:val="20"/>
                <w:color w:val="auto"/>
              </w:rPr>
            </w:pPr>
            <w:r>
              <w:rPr>
                <w:rFonts w:ascii="Arial" w:cs="Arial" w:eastAsia="Arial" w:hAnsi="Arial"/>
                <w:sz w:val="14"/>
                <w:szCs w:val="14"/>
                <w:color w:val="auto"/>
              </w:rPr>
              <w:t>0</w:t>
            </w:r>
          </w:p>
        </w:tc>
        <w:tc>
          <w:tcPr>
            <w:tcW w:w="1840" w:type="dxa"/>
            <w:vAlign w:val="bottom"/>
            <w:shd w:val="clear" w:color="auto" w:fill="DBDBDB"/>
          </w:tcPr>
          <w:p>
            <w:pPr>
              <w:jc w:val="right"/>
              <w:spacing w:after="0"/>
              <w:rPr>
                <w:sz w:val="20"/>
                <w:szCs w:val="20"/>
                <w:color w:val="auto"/>
              </w:rPr>
            </w:pPr>
            <w:r>
              <w:rPr>
                <w:rFonts w:ascii="Arial" w:cs="Arial" w:eastAsia="Arial" w:hAnsi="Arial"/>
                <w:sz w:val="14"/>
                <w:szCs w:val="14"/>
                <w:color w:val="auto"/>
              </w:rPr>
              <w:t>23,898</w:t>
            </w:r>
          </w:p>
        </w:tc>
        <w:tc>
          <w:tcPr>
            <w:tcW w:w="1540" w:type="dxa"/>
            <w:vAlign w:val="bottom"/>
            <w:shd w:val="clear" w:color="auto" w:fill="DBDBDB"/>
          </w:tcPr>
          <w:p>
            <w:pPr>
              <w:jc w:val="right"/>
              <w:ind w:right="109"/>
              <w:spacing w:after="0"/>
              <w:rPr>
                <w:sz w:val="20"/>
                <w:szCs w:val="20"/>
                <w:color w:val="auto"/>
              </w:rPr>
            </w:pPr>
            <w:r>
              <w:rPr>
                <w:rFonts w:ascii="Arial" w:cs="Arial" w:eastAsia="Arial" w:hAnsi="Arial"/>
                <w:sz w:val="14"/>
                <w:szCs w:val="14"/>
                <w:color w:val="auto"/>
              </w:rPr>
              <w:t>17,069</w:t>
            </w:r>
          </w:p>
        </w:tc>
        <w:tc>
          <w:tcPr>
            <w:tcW w:w="1200" w:type="dxa"/>
            <w:vAlign w:val="bottom"/>
            <w:shd w:val="clear" w:color="auto" w:fill="DBDBDB"/>
          </w:tcPr>
          <w:p>
            <w:pPr>
              <w:spacing w:after="0"/>
              <w:rPr>
                <w:sz w:val="19"/>
                <w:szCs w:val="19"/>
                <w:color w:val="auto"/>
              </w:rPr>
            </w:pPr>
          </w:p>
        </w:tc>
        <w:tc>
          <w:tcPr>
            <w:tcW w:w="440" w:type="dxa"/>
            <w:vAlign w:val="bottom"/>
            <w:shd w:val="clear" w:color="auto" w:fill="DBDBDB"/>
          </w:tcPr>
          <w:p>
            <w:pPr>
              <w:jc w:val="right"/>
              <w:ind w:right="169"/>
              <w:spacing w:after="0"/>
              <w:rPr>
                <w:sz w:val="20"/>
                <w:szCs w:val="20"/>
                <w:color w:val="auto"/>
              </w:rPr>
            </w:pPr>
            <w:r>
              <w:rPr>
                <w:rFonts w:ascii="Arial" w:cs="Arial" w:eastAsia="Arial" w:hAnsi="Arial"/>
                <w:sz w:val="14"/>
                <w:szCs w:val="14"/>
                <w:color w:val="auto"/>
              </w:rPr>
              <w:t>0</w:t>
            </w:r>
          </w:p>
        </w:tc>
        <w:tc>
          <w:tcPr>
            <w:tcW w:w="1420" w:type="dxa"/>
            <w:vAlign w:val="bottom"/>
            <w:shd w:val="clear" w:color="auto" w:fill="DBDBDB"/>
          </w:tcPr>
          <w:p>
            <w:pPr>
              <w:jc w:val="right"/>
              <w:spacing w:after="0"/>
              <w:rPr>
                <w:sz w:val="20"/>
                <w:szCs w:val="20"/>
                <w:color w:val="auto"/>
              </w:rPr>
            </w:pPr>
            <w:r>
              <w:rPr>
                <w:rFonts w:ascii="Arial" w:cs="Arial" w:eastAsia="Arial" w:hAnsi="Arial"/>
                <w:sz w:val="14"/>
                <w:szCs w:val="14"/>
                <w:color w:val="auto"/>
              </w:rPr>
              <w:t>126,711</w:t>
            </w:r>
          </w:p>
        </w:tc>
      </w:tr>
      <w:tr>
        <w:trPr>
          <w:trHeight w:val="206"/>
        </w:trPr>
        <w:tc>
          <w:tcPr>
            <w:tcW w:w="2520" w:type="dxa"/>
            <w:vAlign w:val="bottom"/>
          </w:tcPr>
          <w:p>
            <w:pPr>
              <w:ind w:left="20"/>
              <w:spacing w:after="0"/>
              <w:rPr>
                <w:sz w:val="20"/>
                <w:szCs w:val="20"/>
                <w:color w:val="auto"/>
              </w:rPr>
            </w:pPr>
            <w:r>
              <w:rPr>
                <w:rFonts w:ascii="Arial" w:cs="Arial" w:eastAsia="Arial" w:hAnsi="Arial"/>
                <w:sz w:val="14"/>
                <w:szCs w:val="14"/>
                <w:color w:val="auto"/>
              </w:rPr>
              <w:t>Kevin N. Carpenter</w:t>
            </w:r>
          </w:p>
        </w:tc>
        <w:tc>
          <w:tcPr>
            <w:tcW w:w="162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20" w:type="dxa"/>
            <w:vAlign w:val="bottom"/>
          </w:tcPr>
          <w:p>
            <w:pPr>
              <w:spacing w:after="0"/>
              <w:rPr>
                <w:sz w:val="17"/>
                <w:szCs w:val="17"/>
                <w:color w:val="auto"/>
              </w:rPr>
            </w:pPr>
          </w:p>
        </w:tc>
      </w:tr>
      <w:tr>
        <w:trPr>
          <w:trHeight w:val="213"/>
        </w:trPr>
        <w:tc>
          <w:tcPr>
            <w:tcW w:w="2520" w:type="dxa"/>
            <w:vAlign w:val="bottom"/>
          </w:tcPr>
          <w:p>
            <w:pPr>
              <w:ind w:left="200"/>
              <w:spacing w:after="0"/>
              <w:rPr>
                <w:sz w:val="20"/>
                <w:szCs w:val="20"/>
                <w:color w:val="auto"/>
              </w:rPr>
            </w:pPr>
            <w:r>
              <w:rPr>
                <w:rFonts w:ascii="Arial" w:cs="Arial" w:eastAsia="Arial" w:hAnsi="Arial"/>
                <w:sz w:val="14"/>
                <w:szCs w:val="14"/>
                <w:color w:val="auto"/>
              </w:rPr>
              <w:t>Deferred Plan</w:t>
            </w:r>
          </w:p>
        </w:tc>
        <w:tc>
          <w:tcPr>
            <w:tcW w:w="1620" w:type="dxa"/>
            <w:vAlign w:val="bottom"/>
          </w:tcPr>
          <w:p>
            <w:pPr>
              <w:jc w:val="right"/>
              <w:spacing w:after="0"/>
              <w:rPr>
                <w:sz w:val="20"/>
                <w:szCs w:val="20"/>
                <w:color w:val="auto"/>
              </w:rPr>
            </w:pPr>
            <w:r>
              <w:rPr>
                <w:rFonts w:ascii="Arial" w:cs="Arial" w:eastAsia="Arial" w:hAnsi="Arial"/>
                <w:sz w:val="14"/>
                <w:szCs w:val="14"/>
                <w:color w:val="auto"/>
              </w:rPr>
              <w:t>122,819</w:t>
            </w:r>
          </w:p>
        </w:tc>
        <w:tc>
          <w:tcPr>
            <w:tcW w:w="1840" w:type="dxa"/>
            <w:vAlign w:val="bottom"/>
          </w:tcPr>
          <w:p>
            <w:pPr>
              <w:jc w:val="right"/>
              <w:spacing w:after="0"/>
              <w:rPr>
                <w:sz w:val="20"/>
                <w:szCs w:val="20"/>
                <w:color w:val="auto"/>
              </w:rPr>
            </w:pPr>
            <w:r>
              <w:rPr>
                <w:rFonts w:ascii="Arial" w:cs="Arial" w:eastAsia="Arial" w:hAnsi="Arial"/>
                <w:sz w:val="14"/>
                <w:szCs w:val="14"/>
                <w:color w:val="auto"/>
              </w:rPr>
              <w:t>0</w:t>
            </w:r>
          </w:p>
        </w:tc>
        <w:tc>
          <w:tcPr>
            <w:tcW w:w="1540" w:type="dxa"/>
            <w:vAlign w:val="bottom"/>
          </w:tcPr>
          <w:p>
            <w:pPr>
              <w:jc w:val="right"/>
              <w:ind w:right="109"/>
              <w:spacing w:after="0"/>
              <w:rPr>
                <w:sz w:val="20"/>
                <w:szCs w:val="20"/>
                <w:color w:val="auto"/>
              </w:rPr>
            </w:pPr>
            <w:r>
              <w:rPr>
                <w:rFonts w:ascii="Arial" w:cs="Arial" w:eastAsia="Arial" w:hAnsi="Arial"/>
                <w:sz w:val="14"/>
                <w:szCs w:val="14"/>
                <w:color w:val="auto"/>
              </w:rPr>
              <w:t>29,421</w:t>
            </w:r>
          </w:p>
        </w:tc>
        <w:tc>
          <w:tcPr>
            <w:tcW w:w="1200" w:type="dxa"/>
            <w:vAlign w:val="bottom"/>
          </w:tcPr>
          <w:p>
            <w:pPr>
              <w:spacing w:after="0"/>
              <w:rPr>
                <w:sz w:val="18"/>
                <w:szCs w:val="18"/>
                <w:color w:val="auto"/>
              </w:rPr>
            </w:pPr>
          </w:p>
        </w:tc>
        <w:tc>
          <w:tcPr>
            <w:tcW w:w="440" w:type="dxa"/>
            <w:vAlign w:val="bottom"/>
          </w:tcPr>
          <w:p>
            <w:pPr>
              <w:jc w:val="right"/>
              <w:ind w:right="169"/>
              <w:spacing w:after="0"/>
              <w:rPr>
                <w:sz w:val="20"/>
                <w:szCs w:val="20"/>
                <w:color w:val="auto"/>
              </w:rPr>
            </w:pPr>
            <w:r>
              <w:rPr>
                <w:rFonts w:ascii="Arial" w:cs="Arial" w:eastAsia="Arial" w:hAnsi="Arial"/>
                <w:sz w:val="14"/>
                <w:szCs w:val="14"/>
                <w:color w:val="auto"/>
              </w:rPr>
              <w:t>0</w:t>
            </w:r>
          </w:p>
        </w:tc>
        <w:tc>
          <w:tcPr>
            <w:tcW w:w="1420" w:type="dxa"/>
            <w:vAlign w:val="bottom"/>
          </w:tcPr>
          <w:p>
            <w:pPr>
              <w:jc w:val="right"/>
              <w:spacing w:after="0"/>
              <w:rPr>
                <w:sz w:val="20"/>
                <w:szCs w:val="20"/>
                <w:color w:val="auto"/>
              </w:rPr>
            </w:pPr>
            <w:r>
              <w:rPr>
                <w:rFonts w:ascii="Arial" w:cs="Arial" w:eastAsia="Arial" w:hAnsi="Arial"/>
                <w:sz w:val="14"/>
                <w:szCs w:val="14"/>
                <w:color w:val="auto"/>
              </w:rPr>
              <w:t>313,945</w:t>
            </w:r>
          </w:p>
        </w:tc>
      </w:tr>
      <w:tr>
        <w:trPr>
          <w:trHeight w:val="213"/>
        </w:trPr>
        <w:tc>
          <w:tcPr>
            <w:tcW w:w="2520" w:type="dxa"/>
            <w:vAlign w:val="bottom"/>
          </w:tcPr>
          <w:p>
            <w:pPr>
              <w:ind w:left="200"/>
              <w:spacing w:after="0"/>
              <w:rPr>
                <w:sz w:val="20"/>
                <w:szCs w:val="20"/>
                <w:color w:val="auto"/>
              </w:rPr>
            </w:pPr>
            <w:r>
              <w:rPr>
                <w:rFonts w:ascii="Arial" w:cs="Arial" w:eastAsia="Arial" w:hAnsi="Arial"/>
                <w:sz w:val="14"/>
                <w:szCs w:val="14"/>
                <w:color w:val="auto"/>
              </w:rPr>
              <w:t>Deferred Plan for Officers</w:t>
            </w:r>
          </w:p>
        </w:tc>
        <w:tc>
          <w:tcPr>
            <w:tcW w:w="1620" w:type="dxa"/>
            <w:vAlign w:val="bottom"/>
          </w:tcPr>
          <w:p>
            <w:pPr>
              <w:jc w:val="right"/>
              <w:spacing w:after="0"/>
              <w:rPr>
                <w:sz w:val="20"/>
                <w:szCs w:val="20"/>
                <w:color w:val="auto"/>
              </w:rPr>
            </w:pPr>
            <w:r>
              <w:rPr>
                <w:rFonts w:ascii="Arial" w:cs="Arial" w:eastAsia="Arial" w:hAnsi="Arial"/>
                <w:sz w:val="14"/>
                <w:szCs w:val="14"/>
                <w:color w:val="auto"/>
              </w:rPr>
              <w:t>0</w:t>
            </w:r>
          </w:p>
        </w:tc>
        <w:tc>
          <w:tcPr>
            <w:tcW w:w="1840" w:type="dxa"/>
            <w:vAlign w:val="bottom"/>
          </w:tcPr>
          <w:p>
            <w:pPr>
              <w:jc w:val="right"/>
              <w:spacing w:after="0"/>
              <w:rPr>
                <w:sz w:val="20"/>
                <w:szCs w:val="20"/>
                <w:color w:val="auto"/>
              </w:rPr>
            </w:pPr>
            <w:r>
              <w:rPr>
                <w:rFonts w:ascii="Arial" w:cs="Arial" w:eastAsia="Arial" w:hAnsi="Arial"/>
                <w:sz w:val="14"/>
                <w:szCs w:val="14"/>
                <w:color w:val="auto"/>
              </w:rPr>
              <w:t>0</w:t>
            </w:r>
          </w:p>
        </w:tc>
        <w:tc>
          <w:tcPr>
            <w:tcW w:w="1540" w:type="dxa"/>
            <w:vAlign w:val="bottom"/>
          </w:tcPr>
          <w:p>
            <w:pPr>
              <w:jc w:val="right"/>
              <w:ind w:right="109"/>
              <w:spacing w:after="0"/>
              <w:rPr>
                <w:sz w:val="20"/>
                <w:szCs w:val="20"/>
                <w:color w:val="auto"/>
              </w:rPr>
            </w:pPr>
            <w:r>
              <w:rPr>
                <w:rFonts w:ascii="Arial" w:cs="Arial" w:eastAsia="Arial" w:hAnsi="Arial"/>
                <w:sz w:val="14"/>
                <w:szCs w:val="14"/>
                <w:color w:val="auto"/>
              </w:rPr>
              <w:t>0</w:t>
            </w:r>
          </w:p>
        </w:tc>
        <w:tc>
          <w:tcPr>
            <w:tcW w:w="1200" w:type="dxa"/>
            <w:vAlign w:val="bottom"/>
          </w:tcPr>
          <w:p>
            <w:pPr>
              <w:spacing w:after="0"/>
              <w:rPr>
                <w:sz w:val="18"/>
                <w:szCs w:val="18"/>
                <w:color w:val="auto"/>
              </w:rPr>
            </w:pPr>
          </w:p>
        </w:tc>
        <w:tc>
          <w:tcPr>
            <w:tcW w:w="440" w:type="dxa"/>
            <w:vAlign w:val="bottom"/>
          </w:tcPr>
          <w:p>
            <w:pPr>
              <w:jc w:val="right"/>
              <w:ind w:right="169"/>
              <w:spacing w:after="0"/>
              <w:rPr>
                <w:sz w:val="20"/>
                <w:szCs w:val="20"/>
                <w:color w:val="auto"/>
              </w:rPr>
            </w:pPr>
            <w:r>
              <w:rPr>
                <w:rFonts w:ascii="Arial" w:cs="Arial" w:eastAsia="Arial" w:hAnsi="Arial"/>
                <w:sz w:val="14"/>
                <w:szCs w:val="14"/>
                <w:color w:val="auto"/>
              </w:rPr>
              <w:t>0</w:t>
            </w:r>
          </w:p>
        </w:tc>
        <w:tc>
          <w:tcPr>
            <w:tcW w:w="1420" w:type="dxa"/>
            <w:vAlign w:val="bottom"/>
          </w:tcPr>
          <w:p>
            <w:pPr>
              <w:jc w:val="right"/>
              <w:spacing w:after="0"/>
              <w:rPr>
                <w:sz w:val="20"/>
                <w:szCs w:val="20"/>
                <w:color w:val="auto"/>
              </w:rPr>
            </w:pPr>
            <w:r>
              <w:rPr>
                <w:rFonts w:ascii="Arial" w:cs="Arial" w:eastAsia="Arial" w:hAnsi="Arial"/>
                <w:sz w:val="14"/>
                <w:szCs w:val="14"/>
                <w:color w:val="auto"/>
              </w:rPr>
              <w:t>0</w:t>
            </w:r>
          </w:p>
        </w:tc>
      </w:tr>
      <w:tr>
        <w:trPr>
          <w:trHeight w:val="217"/>
        </w:trPr>
        <w:tc>
          <w:tcPr>
            <w:tcW w:w="2520" w:type="dxa"/>
            <w:vAlign w:val="bottom"/>
          </w:tcPr>
          <w:p>
            <w:pPr>
              <w:ind w:left="200"/>
              <w:spacing w:after="0"/>
              <w:rPr>
                <w:sz w:val="20"/>
                <w:szCs w:val="20"/>
                <w:color w:val="auto"/>
              </w:rPr>
            </w:pPr>
            <w:r>
              <w:rPr>
                <w:rFonts w:ascii="Arial" w:cs="Arial" w:eastAsia="Arial" w:hAnsi="Arial"/>
                <w:sz w:val="14"/>
                <w:szCs w:val="14"/>
                <w:color w:val="auto"/>
              </w:rPr>
              <w:t>Supplemental Benefit Plan</w:t>
            </w:r>
          </w:p>
        </w:tc>
        <w:tc>
          <w:tcPr>
            <w:tcW w:w="1620" w:type="dxa"/>
            <w:vAlign w:val="bottom"/>
          </w:tcPr>
          <w:p>
            <w:pPr>
              <w:jc w:val="right"/>
              <w:spacing w:after="0"/>
              <w:rPr>
                <w:sz w:val="20"/>
                <w:szCs w:val="20"/>
                <w:color w:val="auto"/>
              </w:rPr>
            </w:pPr>
            <w:r>
              <w:rPr>
                <w:rFonts w:ascii="Arial" w:cs="Arial" w:eastAsia="Arial" w:hAnsi="Arial"/>
                <w:sz w:val="14"/>
                <w:szCs w:val="14"/>
                <w:color w:val="auto"/>
              </w:rPr>
              <w:t>0</w:t>
            </w:r>
          </w:p>
        </w:tc>
        <w:tc>
          <w:tcPr>
            <w:tcW w:w="1840" w:type="dxa"/>
            <w:vAlign w:val="bottom"/>
          </w:tcPr>
          <w:p>
            <w:pPr>
              <w:jc w:val="right"/>
              <w:spacing w:after="0"/>
              <w:rPr>
                <w:sz w:val="20"/>
                <w:szCs w:val="20"/>
                <w:color w:val="auto"/>
              </w:rPr>
            </w:pPr>
            <w:r>
              <w:rPr>
                <w:rFonts w:ascii="Arial" w:cs="Arial" w:eastAsia="Arial" w:hAnsi="Arial"/>
                <w:sz w:val="14"/>
                <w:szCs w:val="14"/>
                <w:color w:val="auto"/>
              </w:rPr>
              <w:t>18,115</w:t>
            </w:r>
          </w:p>
        </w:tc>
        <w:tc>
          <w:tcPr>
            <w:tcW w:w="1540" w:type="dxa"/>
            <w:vAlign w:val="bottom"/>
          </w:tcPr>
          <w:p>
            <w:pPr>
              <w:jc w:val="right"/>
              <w:ind w:right="109"/>
              <w:spacing w:after="0"/>
              <w:rPr>
                <w:sz w:val="20"/>
                <w:szCs w:val="20"/>
                <w:color w:val="auto"/>
              </w:rPr>
            </w:pPr>
            <w:r>
              <w:rPr>
                <w:rFonts w:ascii="Arial" w:cs="Arial" w:eastAsia="Arial" w:hAnsi="Arial"/>
                <w:sz w:val="14"/>
                <w:szCs w:val="14"/>
                <w:color w:val="auto"/>
              </w:rPr>
              <w:t>10,166</w:t>
            </w:r>
          </w:p>
        </w:tc>
        <w:tc>
          <w:tcPr>
            <w:tcW w:w="1200" w:type="dxa"/>
            <w:vAlign w:val="bottom"/>
          </w:tcPr>
          <w:p>
            <w:pPr>
              <w:spacing w:after="0"/>
              <w:rPr>
                <w:sz w:val="18"/>
                <w:szCs w:val="18"/>
                <w:color w:val="auto"/>
              </w:rPr>
            </w:pPr>
          </w:p>
        </w:tc>
        <w:tc>
          <w:tcPr>
            <w:tcW w:w="440" w:type="dxa"/>
            <w:vAlign w:val="bottom"/>
          </w:tcPr>
          <w:p>
            <w:pPr>
              <w:jc w:val="right"/>
              <w:ind w:right="169"/>
              <w:spacing w:after="0"/>
              <w:rPr>
                <w:sz w:val="20"/>
                <w:szCs w:val="20"/>
                <w:color w:val="auto"/>
              </w:rPr>
            </w:pPr>
            <w:r>
              <w:rPr>
                <w:rFonts w:ascii="Arial" w:cs="Arial" w:eastAsia="Arial" w:hAnsi="Arial"/>
                <w:sz w:val="14"/>
                <w:szCs w:val="14"/>
                <w:color w:val="auto"/>
              </w:rPr>
              <w:t>0</w:t>
            </w:r>
          </w:p>
        </w:tc>
        <w:tc>
          <w:tcPr>
            <w:tcW w:w="1420" w:type="dxa"/>
            <w:vAlign w:val="bottom"/>
          </w:tcPr>
          <w:p>
            <w:pPr>
              <w:jc w:val="right"/>
              <w:spacing w:after="0"/>
              <w:rPr>
                <w:sz w:val="20"/>
                <w:szCs w:val="20"/>
                <w:color w:val="auto"/>
              </w:rPr>
            </w:pPr>
            <w:r>
              <w:rPr>
                <w:rFonts w:ascii="Arial" w:cs="Arial" w:eastAsia="Arial" w:hAnsi="Arial"/>
                <w:sz w:val="14"/>
                <w:szCs w:val="14"/>
                <w:color w:val="auto"/>
              </w:rPr>
              <w:t>82,002</w:t>
            </w:r>
          </w:p>
        </w:tc>
      </w:tr>
      <w:tr>
        <w:trPr>
          <w:trHeight w:val="210"/>
        </w:trPr>
        <w:tc>
          <w:tcPr>
            <w:tcW w:w="2520" w:type="dxa"/>
            <w:vAlign w:val="bottom"/>
            <w:shd w:val="clear" w:color="auto" w:fill="DBDBDB"/>
          </w:tcPr>
          <w:p>
            <w:pPr>
              <w:ind w:left="20"/>
              <w:spacing w:after="0"/>
              <w:rPr>
                <w:sz w:val="20"/>
                <w:szCs w:val="20"/>
                <w:color w:val="auto"/>
              </w:rPr>
            </w:pPr>
            <w:r>
              <w:rPr>
                <w:rFonts w:ascii="Arial" w:cs="Arial" w:eastAsia="Arial" w:hAnsi="Arial"/>
                <w:sz w:val="14"/>
                <w:szCs w:val="14"/>
                <w:color w:val="auto"/>
              </w:rPr>
              <w:t>Amy E. Dahl</w:t>
            </w:r>
          </w:p>
        </w:tc>
        <w:tc>
          <w:tcPr>
            <w:tcW w:w="1620" w:type="dxa"/>
            <w:vAlign w:val="bottom"/>
            <w:shd w:val="clear" w:color="auto" w:fill="DBDBDB"/>
          </w:tcPr>
          <w:p>
            <w:pPr>
              <w:spacing w:after="0"/>
              <w:rPr>
                <w:sz w:val="18"/>
                <w:szCs w:val="18"/>
                <w:color w:val="auto"/>
              </w:rPr>
            </w:pPr>
          </w:p>
        </w:tc>
        <w:tc>
          <w:tcPr>
            <w:tcW w:w="1840" w:type="dxa"/>
            <w:vAlign w:val="bottom"/>
            <w:shd w:val="clear" w:color="auto" w:fill="DBDBDB"/>
          </w:tcPr>
          <w:p>
            <w:pPr>
              <w:spacing w:after="0"/>
              <w:rPr>
                <w:sz w:val="18"/>
                <w:szCs w:val="18"/>
                <w:color w:val="auto"/>
              </w:rPr>
            </w:pPr>
          </w:p>
        </w:tc>
        <w:tc>
          <w:tcPr>
            <w:tcW w:w="1540" w:type="dxa"/>
            <w:vAlign w:val="bottom"/>
            <w:shd w:val="clear" w:color="auto" w:fill="DBDBDB"/>
          </w:tcPr>
          <w:p>
            <w:pPr>
              <w:spacing w:after="0"/>
              <w:rPr>
                <w:sz w:val="18"/>
                <w:szCs w:val="18"/>
                <w:color w:val="auto"/>
              </w:rPr>
            </w:pPr>
          </w:p>
        </w:tc>
        <w:tc>
          <w:tcPr>
            <w:tcW w:w="1200" w:type="dxa"/>
            <w:vAlign w:val="bottom"/>
            <w:shd w:val="clear" w:color="auto" w:fill="DBDBDB"/>
          </w:tcPr>
          <w:p>
            <w:pPr>
              <w:spacing w:after="0"/>
              <w:rPr>
                <w:sz w:val="18"/>
                <w:szCs w:val="18"/>
                <w:color w:val="auto"/>
              </w:rPr>
            </w:pPr>
          </w:p>
        </w:tc>
        <w:tc>
          <w:tcPr>
            <w:tcW w:w="440" w:type="dxa"/>
            <w:vAlign w:val="bottom"/>
            <w:shd w:val="clear" w:color="auto" w:fill="DBDBDB"/>
          </w:tcPr>
          <w:p>
            <w:pPr>
              <w:spacing w:after="0"/>
              <w:rPr>
                <w:sz w:val="18"/>
                <w:szCs w:val="18"/>
                <w:color w:val="auto"/>
              </w:rPr>
            </w:pPr>
          </w:p>
        </w:tc>
        <w:tc>
          <w:tcPr>
            <w:tcW w:w="1420" w:type="dxa"/>
            <w:vAlign w:val="bottom"/>
            <w:shd w:val="clear" w:color="auto" w:fill="DBDBDB"/>
          </w:tcPr>
          <w:p>
            <w:pPr>
              <w:spacing w:after="0"/>
              <w:rPr>
                <w:sz w:val="18"/>
                <w:szCs w:val="18"/>
                <w:color w:val="auto"/>
              </w:rPr>
            </w:pPr>
          </w:p>
        </w:tc>
      </w:tr>
      <w:tr>
        <w:trPr>
          <w:trHeight w:val="213"/>
        </w:trPr>
        <w:tc>
          <w:tcPr>
            <w:tcW w:w="2520" w:type="dxa"/>
            <w:vAlign w:val="bottom"/>
            <w:shd w:val="clear" w:color="auto" w:fill="DBDBDB"/>
          </w:tcPr>
          <w:p>
            <w:pPr>
              <w:ind w:left="180"/>
              <w:spacing w:after="0"/>
              <w:rPr>
                <w:sz w:val="20"/>
                <w:szCs w:val="20"/>
                <w:color w:val="auto"/>
              </w:rPr>
            </w:pPr>
            <w:r>
              <w:rPr>
                <w:rFonts w:ascii="Arial" w:cs="Arial" w:eastAsia="Arial" w:hAnsi="Arial"/>
                <w:sz w:val="14"/>
                <w:szCs w:val="14"/>
                <w:color w:val="auto"/>
              </w:rPr>
              <w:t>Deferred Plan</w:t>
            </w:r>
          </w:p>
        </w:tc>
        <w:tc>
          <w:tcPr>
            <w:tcW w:w="1620" w:type="dxa"/>
            <w:vAlign w:val="bottom"/>
            <w:shd w:val="clear" w:color="auto" w:fill="DBDBDB"/>
          </w:tcPr>
          <w:p>
            <w:pPr>
              <w:jc w:val="right"/>
              <w:spacing w:after="0"/>
              <w:rPr>
                <w:sz w:val="20"/>
                <w:szCs w:val="20"/>
                <w:color w:val="auto"/>
              </w:rPr>
            </w:pPr>
            <w:r>
              <w:rPr>
                <w:rFonts w:ascii="Arial" w:cs="Arial" w:eastAsia="Arial" w:hAnsi="Arial"/>
                <w:sz w:val="14"/>
                <w:szCs w:val="14"/>
                <w:color w:val="auto"/>
              </w:rPr>
              <w:t>336,309</w:t>
            </w:r>
          </w:p>
        </w:tc>
        <w:tc>
          <w:tcPr>
            <w:tcW w:w="1840" w:type="dxa"/>
            <w:vAlign w:val="bottom"/>
            <w:shd w:val="clear" w:color="auto" w:fill="DBDBDB"/>
          </w:tcPr>
          <w:p>
            <w:pPr>
              <w:jc w:val="right"/>
              <w:spacing w:after="0"/>
              <w:rPr>
                <w:sz w:val="20"/>
                <w:szCs w:val="20"/>
                <w:color w:val="auto"/>
              </w:rPr>
            </w:pPr>
            <w:r>
              <w:rPr>
                <w:rFonts w:ascii="Arial" w:cs="Arial" w:eastAsia="Arial" w:hAnsi="Arial"/>
                <w:sz w:val="14"/>
                <w:szCs w:val="14"/>
                <w:color w:val="auto"/>
              </w:rPr>
              <w:t>0</w:t>
            </w:r>
          </w:p>
        </w:tc>
        <w:tc>
          <w:tcPr>
            <w:tcW w:w="1540" w:type="dxa"/>
            <w:vAlign w:val="bottom"/>
            <w:shd w:val="clear" w:color="auto" w:fill="DBDBDB"/>
          </w:tcPr>
          <w:p>
            <w:pPr>
              <w:jc w:val="right"/>
              <w:ind w:right="109"/>
              <w:spacing w:after="0"/>
              <w:rPr>
                <w:sz w:val="20"/>
                <w:szCs w:val="20"/>
                <w:color w:val="auto"/>
              </w:rPr>
            </w:pPr>
            <w:r>
              <w:rPr>
                <w:rFonts w:ascii="Arial" w:cs="Arial" w:eastAsia="Arial" w:hAnsi="Arial"/>
                <w:sz w:val="14"/>
                <w:szCs w:val="14"/>
                <w:color w:val="auto"/>
              </w:rPr>
              <w:t>317,737</w:t>
            </w:r>
          </w:p>
        </w:tc>
        <w:tc>
          <w:tcPr>
            <w:tcW w:w="1200" w:type="dxa"/>
            <w:vAlign w:val="bottom"/>
            <w:shd w:val="clear" w:color="auto" w:fill="DBDBDB"/>
          </w:tcPr>
          <w:p>
            <w:pPr>
              <w:spacing w:after="0"/>
              <w:rPr>
                <w:sz w:val="18"/>
                <w:szCs w:val="18"/>
                <w:color w:val="auto"/>
              </w:rPr>
            </w:pPr>
          </w:p>
        </w:tc>
        <w:tc>
          <w:tcPr>
            <w:tcW w:w="440" w:type="dxa"/>
            <w:vAlign w:val="bottom"/>
            <w:shd w:val="clear" w:color="auto" w:fill="DBDBDB"/>
          </w:tcPr>
          <w:p>
            <w:pPr>
              <w:jc w:val="right"/>
              <w:ind w:right="169"/>
              <w:spacing w:after="0"/>
              <w:rPr>
                <w:sz w:val="20"/>
                <w:szCs w:val="20"/>
                <w:color w:val="auto"/>
              </w:rPr>
            </w:pPr>
            <w:r>
              <w:rPr>
                <w:rFonts w:ascii="Arial" w:cs="Arial" w:eastAsia="Arial" w:hAnsi="Arial"/>
                <w:sz w:val="14"/>
                <w:szCs w:val="14"/>
                <w:color w:val="auto"/>
              </w:rPr>
              <w:t>0</w:t>
            </w:r>
          </w:p>
        </w:tc>
        <w:tc>
          <w:tcPr>
            <w:tcW w:w="1420" w:type="dxa"/>
            <w:vAlign w:val="bottom"/>
            <w:shd w:val="clear" w:color="auto" w:fill="DBDBDB"/>
          </w:tcPr>
          <w:p>
            <w:pPr>
              <w:jc w:val="right"/>
              <w:spacing w:after="0"/>
              <w:rPr>
                <w:sz w:val="20"/>
                <w:szCs w:val="20"/>
                <w:color w:val="auto"/>
              </w:rPr>
            </w:pPr>
            <w:r>
              <w:rPr>
                <w:rFonts w:ascii="Arial" w:cs="Arial" w:eastAsia="Arial" w:hAnsi="Arial"/>
                <w:sz w:val="14"/>
                <w:szCs w:val="14"/>
                <w:color w:val="auto"/>
              </w:rPr>
              <w:t>1,977,163</w:t>
            </w:r>
          </w:p>
        </w:tc>
      </w:tr>
      <w:tr>
        <w:trPr>
          <w:trHeight w:val="213"/>
        </w:trPr>
        <w:tc>
          <w:tcPr>
            <w:tcW w:w="2520" w:type="dxa"/>
            <w:vAlign w:val="bottom"/>
            <w:shd w:val="clear" w:color="auto" w:fill="DBDBDB"/>
          </w:tcPr>
          <w:p>
            <w:pPr>
              <w:ind w:left="180"/>
              <w:spacing w:after="0"/>
              <w:rPr>
                <w:sz w:val="20"/>
                <w:szCs w:val="20"/>
                <w:color w:val="auto"/>
              </w:rPr>
            </w:pPr>
            <w:r>
              <w:rPr>
                <w:rFonts w:ascii="Arial" w:cs="Arial" w:eastAsia="Arial" w:hAnsi="Arial"/>
                <w:sz w:val="14"/>
                <w:szCs w:val="14"/>
                <w:color w:val="auto"/>
              </w:rPr>
              <w:t>Deferred Plan for Officers</w:t>
            </w:r>
          </w:p>
        </w:tc>
        <w:tc>
          <w:tcPr>
            <w:tcW w:w="1620" w:type="dxa"/>
            <w:vAlign w:val="bottom"/>
            <w:shd w:val="clear" w:color="auto" w:fill="DBDBDB"/>
          </w:tcPr>
          <w:p>
            <w:pPr>
              <w:jc w:val="right"/>
              <w:spacing w:after="0"/>
              <w:rPr>
                <w:sz w:val="20"/>
                <w:szCs w:val="20"/>
                <w:color w:val="auto"/>
              </w:rPr>
            </w:pPr>
            <w:r>
              <w:rPr>
                <w:rFonts w:ascii="Arial" w:cs="Arial" w:eastAsia="Arial" w:hAnsi="Arial"/>
                <w:sz w:val="14"/>
                <w:szCs w:val="14"/>
                <w:color w:val="auto"/>
              </w:rPr>
              <w:t>0</w:t>
            </w:r>
          </w:p>
        </w:tc>
        <w:tc>
          <w:tcPr>
            <w:tcW w:w="1840" w:type="dxa"/>
            <w:vAlign w:val="bottom"/>
            <w:shd w:val="clear" w:color="auto" w:fill="DBDBDB"/>
          </w:tcPr>
          <w:p>
            <w:pPr>
              <w:jc w:val="right"/>
              <w:spacing w:after="0"/>
              <w:rPr>
                <w:sz w:val="20"/>
                <w:szCs w:val="20"/>
                <w:color w:val="auto"/>
              </w:rPr>
            </w:pPr>
            <w:r>
              <w:rPr>
                <w:rFonts w:ascii="Arial" w:cs="Arial" w:eastAsia="Arial" w:hAnsi="Arial"/>
                <w:sz w:val="14"/>
                <w:szCs w:val="14"/>
                <w:color w:val="auto"/>
              </w:rPr>
              <w:t>0</w:t>
            </w:r>
          </w:p>
        </w:tc>
        <w:tc>
          <w:tcPr>
            <w:tcW w:w="1540" w:type="dxa"/>
            <w:vAlign w:val="bottom"/>
            <w:shd w:val="clear" w:color="auto" w:fill="DBDBDB"/>
          </w:tcPr>
          <w:p>
            <w:pPr>
              <w:jc w:val="right"/>
              <w:ind w:right="109"/>
              <w:spacing w:after="0"/>
              <w:rPr>
                <w:sz w:val="20"/>
                <w:szCs w:val="20"/>
                <w:color w:val="auto"/>
              </w:rPr>
            </w:pPr>
            <w:r>
              <w:rPr>
                <w:rFonts w:ascii="Arial" w:cs="Arial" w:eastAsia="Arial" w:hAnsi="Arial"/>
                <w:sz w:val="14"/>
                <w:szCs w:val="14"/>
                <w:color w:val="auto"/>
              </w:rPr>
              <w:t>-78,555</w:t>
            </w:r>
          </w:p>
        </w:tc>
        <w:tc>
          <w:tcPr>
            <w:tcW w:w="1200" w:type="dxa"/>
            <w:vAlign w:val="bottom"/>
            <w:shd w:val="clear" w:color="auto" w:fill="DBDBDB"/>
          </w:tcPr>
          <w:p>
            <w:pPr>
              <w:spacing w:after="0"/>
              <w:rPr>
                <w:sz w:val="18"/>
                <w:szCs w:val="18"/>
                <w:color w:val="auto"/>
              </w:rPr>
            </w:pPr>
          </w:p>
        </w:tc>
        <w:tc>
          <w:tcPr>
            <w:tcW w:w="440" w:type="dxa"/>
            <w:vAlign w:val="bottom"/>
            <w:shd w:val="clear" w:color="auto" w:fill="DBDBDB"/>
          </w:tcPr>
          <w:p>
            <w:pPr>
              <w:jc w:val="right"/>
              <w:ind w:right="169"/>
              <w:spacing w:after="0"/>
              <w:rPr>
                <w:sz w:val="20"/>
                <w:szCs w:val="20"/>
                <w:color w:val="auto"/>
              </w:rPr>
            </w:pPr>
            <w:r>
              <w:rPr>
                <w:rFonts w:ascii="Arial" w:cs="Arial" w:eastAsia="Arial" w:hAnsi="Arial"/>
                <w:sz w:val="14"/>
                <w:szCs w:val="14"/>
                <w:color w:val="auto"/>
              </w:rPr>
              <w:t>0</w:t>
            </w:r>
          </w:p>
        </w:tc>
        <w:tc>
          <w:tcPr>
            <w:tcW w:w="1420" w:type="dxa"/>
            <w:vAlign w:val="bottom"/>
            <w:shd w:val="clear" w:color="auto" w:fill="DBDBDB"/>
          </w:tcPr>
          <w:p>
            <w:pPr>
              <w:jc w:val="right"/>
              <w:spacing w:after="0"/>
              <w:rPr>
                <w:sz w:val="20"/>
                <w:szCs w:val="20"/>
                <w:color w:val="auto"/>
              </w:rPr>
            </w:pPr>
            <w:r>
              <w:rPr>
                <w:rFonts w:ascii="Arial" w:cs="Arial" w:eastAsia="Arial" w:hAnsi="Arial"/>
                <w:sz w:val="14"/>
                <w:szCs w:val="14"/>
                <w:color w:val="auto"/>
              </w:rPr>
              <w:t>1,490,145</w:t>
            </w:r>
          </w:p>
        </w:tc>
      </w:tr>
      <w:tr>
        <w:trPr>
          <w:trHeight w:val="221"/>
        </w:trPr>
        <w:tc>
          <w:tcPr>
            <w:tcW w:w="2520" w:type="dxa"/>
            <w:vAlign w:val="bottom"/>
            <w:shd w:val="clear" w:color="auto" w:fill="DBDBDB"/>
          </w:tcPr>
          <w:p>
            <w:pPr>
              <w:ind w:left="180"/>
              <w:spacing w:after="0"/>
              <w:rPr>
                <w:sz w:val="20"/>
                <w:szCs w:val="20"/>
                <w:color w:val="auto"/>
              </w:rPr>
            </w:pPr>
            <w:r>
              <w:rPr>
                <w:rFonts w:ascii="Arial" w:cs="Arial" w:eastAsia="Arial" w:hAnsi="Arial"/>
                <w:sz w:val="14"/>
                <w:szCs w:val="14"/>
                <w:color w:val="auto"/>
              </w:rPr>
              <w:t>Supplemental Benefit Plan</w:t>
            </w:r>
          </w:p>
        </w:tc>
        <w:tc>
          <w:tcPr>
            <w:tcW w:w="1620" w:type="dxa"/>
            <w:vAlign w:val="bottom"/>
            <w:shd w:val="clear" w:color="auto" w:fill="DBDBDB"/>
          </w:tcPr>
          <w:p>
            <w:pPr>
              <w:jc w:val="right"/>
              <w:spacing w:after="0"/>
              <w:rPr>
                <w:sz w:val="20"/>
                <w:szCs w:val="20"/>
                <w:color w:val="auto"/>
              </w:rPr>
            </w:pPr>
            <w:r>
              <w:rPr>
                <w:rFonts w:ascii="Arial" w:cs="Arial" w:eastAsia="Arial" w:hAnsi="Arial"/>
                <w:sz w:val="14"/>
                <w:szCs w:val="14"/>
                <w:color w:val="auto"/>
              </w:rPr>
              <w:t>0</w:t>
            </w:r>
          </w:p>
        </w:tc>
        <w:tc>
          <w:tcPr>
            <w:tcW w:w="1840" w:type="dxa"/>
            <w:vAlign w:val="bottom"/>
            <w:shd w:val="clear" w:color="auto" w:fill="DBDBDB"/>
          </w:tcPr>
          <w:p>
            <w:pPr>
              <w:jc w:val="right"/>
              <w:spacing w:after="0"/>
              <w:rPr>
                <w:sz w:val="20"/>
                <w:szCs w:val="20"/>
                <w:color w:val="auto"/>
              </w:rPr>
            </w:pPr>
            <w:r>
              <w:rPr>
                <w:rFonts w:ascii="Arial" w:cs="Arial" w:eastAsia="Arial" w:hAnsi="Arial"/>
                <w:sz w:val="14"/>
                <w:szCs w:val="14"/>
                <w:color w:val="auto"/>
              </w:rPr>
              <w:t>30,334</w:t>
            </w:r>
          </w:p>
        </w:tc>
        <w:tc>
          <w:tcPr>
            <w:tcW w:w="1540" w:type="dxa"/>
            <w:vAlign w:val="bottom"/>
            <w:shd w:val="clear" w:color="auto" w:fill="DBDBDB"/>
          </w:tcPr>
          <w:p>
            <w:pPr>
              <w:jc w:val="right"/>
              <w:ind w:right="109"/>
              <w:spacing w:after="0"/>
              <w:rPr>
                <w:sz w:val="20"/>
                <w:szCs w:val="20"/>
                <w:color w:val="auto"/>
              </w:rPr>
            </w:pPr>
            <w:r>
              <w:rPr>
                <w:rFonts w:ascii="Arial" w:cs="Arial" w:eastAsia="Arial" w:hAnsi="Arial"/>
                <w:sz w:val="14"/>
                <w:szCs w:val="14"/>
                <w:color w:val="auto"/>
              </w:rPr>
              <w:t>79,533</w:t>
            </w:r>
          </w:p>
        </w:tc>
        <w:tc>
          <w:tcPr>
            <w:tcW w:w="1200" w:type="dxa"/>
            <w:vAlign w:val="bottom"/>
            <w:shd w:val="clear" w:color="auto" w:fill="DBDBDB"/>
          </w:tcPr>
          <w:p>
            <w:pPr>
              <w:spacing w:after="0"/>
              <w:rPr>
                <w:sz w:val="19"/>
                <w:szCs w:val="19"/>
                <w:color w:val="auto"/>
              </w:rPr>
            </w:pPr>
          </w:p>
        </w:tc>
        <w:tc>
          <w:tcPr>
            <w:tcW w:w="440" w:type="dxa"/>
            <w:vAlign w:val="bottom"/>
            <w:shd w:val="clear" w:color="auto" w:fill="DBDBDB"/>
          </w:tcPr>
          <w:p>
            <w:pPr>
              <w:jc w:val="right"/>
              <w:ind w:right="169"/>
              <w:spacing w:after="0"/>
              <w:rPr>
                <w:sz w:val="20"/>
                <w:szCs w:val="20"/>
                <w:color w:val="auto"/>
              </w:rPr>
            </w:pPr>
            <w:r>
              <w:rPr>
                <w:rFonts w:ascii="Arial" w:cs="Arial" w:eastAsia="Arial" w:hAnsi="Arial"/>
                <w:sz w:val="14"/>
                <w:szCs w:val="14"/>
                <w:color w:val="auto"/>
              </w:rPr>
              <w:t>0</w:t>
            </w:r>
          </w:p>
        </w:tc>
        <w:tc>
          <w:tcPr>
            <w:tcW w:w="1420" w:type="dxa"/>
            <w:vAlign w:val="bottom"/>
            <w:shd w:val="clear" w:color="auto" w:fill="DBDBDB"/>
          </w:tcPr>
          <w:p>
            <w:pPr>
              <w:jc w:val="right"/>
              <w:spacing w:after="0"/>
              <w:rPr>
                <w:sz w:val="20"/>
                <w:szCs w:val="20"/>
                <w:color w:val="auto"/>
              </w:rPr>
            </w:pPr>
            <w:r>
              <w:rPr>
                <w:rFonts w:ascii="Arial" w:cs="Arial" w:eastAsia="Arial" w:hAnsi="Arial"/>
                <w:sz w:val="14"/>
                <w:szCs w:val="14"/>
                <w:color w:val="auto"/>
              </w:rPr>
              <w:t>398,586</w:t>
            </w:r>
          </w:p>
        </w:tc>
      </w:tr>
      <w:tr>
        <w:trPr>
          <w:trHeight w:val="206"/>
        </w:trPr>
        <w:tc>
          <w:tcPr>
            <w:tcW w:w="2520" w:type="dxa"/>
            <w:vAlign w:val="bottom"/>
          </w:tcPr>
          <w:p>
            <w:pPr>
              <w:ind w:left="20"/>
              <w:spacing w:after="0"/>
              <w:rPr>
                <w:sz w:val="20"/>
                <w:szCs w:val="20"/>
                <w:color w:val="auto"/>
              </w:rPr>
            </w:pPr>
            <w:r>
              <w:rPr>
                <w:rFonts w:ascii="Arial" w:cs="Arial" w:eastAsia="Arial" w:hAnsi="Arial"/>
                <w:sz w:val="14"/>
                <w:szCs w:val="14"/>
                <w:color w:val="auto"/>
              </w:rPr>
              <w:t>Joanna M. Totsky</w:t>
            </w:r>
          </w:p>
        </w:tc>
        <w:tc>
          <w:tcPr>
            <w:tcW w:w="162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20" w:type="dxa"/>
            <w:vAlign w:val="bottom"/>
          </w:tcPr>
          <w:p>
            <w:pPr>
              <w:spacing w:after="0"/>
              <w:rPr>
                <w:sz w:val="17"/>
                <w:szCs w:val="17"/>
                <w:color w:val="auto"/>
              </w:rPr>
            </w:pPr>
          </w:p>
        </w:tc>
      </w:tr>
      <w:tr>
        <w:trPr>
          <w:trHeight w:val="213"/>
        </w:trPr>
        <w:tc>
          <w:tcPr>
            <w:tcW w:w="2520" w:type="dxa"/>
            <w:vAlign w:val="bottom"/>
          </w:tcPr>
          <w:p>
            <w:pPr>
              <w:ind w:left="200"/>
              <w:spacing w:after="0"/>
              <w:rPr>
                <w:sz w:val="20"/>
                <w:szCs w:val="20"/>
                <w:color w:val="auto"/>
              </w:rPr>
            </w:pPr>
            <w:r>
              <w:rPr>
                <w:rFonts w:ascii="Arial" w:cs="Arial" w:eastAsia="Arial" w:hAnsi="Arial"/>
                <w:sz w:val="14"/>
                <w:szCs w:val="14"/>
                <w:color w:val="auto"/>
              </w:rPr>
              <w:t>Deferred Plan</w:t>
            </w:r>
          </w:p>
        </w:tc>
        <w:tc>
          <w:tcPr>
            <w:tcW w:w="1620" w:type="dxa"/>
            <w:vAlign w:val="bottom"/>
          </w:tcPr>
          <w:p>
            <w:pPr>
              <w:jc w:val="right"/>
              <w:spacing w:after="0"/>
              <w:rPr>
                <w:sz w:val="20"/>
                <w:szCs w:val="20"/>
                <w:color w:val="auto"/>
              </w:rPr>
            </w:pPr>
            <w:r>
              <w:rPr>
                <w:rFonts w:ascii="Arial" w:cs="Arial" w:eastAsia="Arial" w:hAnsi="Arial"/>
                <w:sz w:val="14"/>
                <w:szCs w:val="14"/>
                <w:color w:val="auto"/>
              </w:rPr>
              <w:t>0</w:t>
            </w:r>
          </w:p>
        </w:tc>
        <w:tc>
          <w:tcPr>
            <w:tcW w:w="1840" w:type="dxa"/>
            <w:vAlign w:val="bottom"/>
          </w:tcPr>
          <w:p>
            <w:pPr>
              <w:jc w:val="right"/>
              <w:spacing w:after="0"/>
              <w:rPr>
                <w:sz w:val="20"/>
                <w:szCs w:val="20"/>
                <w:color w:val="auto"/>
              </w:rPr>
            </w:pPr>
            <w:r>
              <w:rPr>
                <w:rFonts w:ascii="Arial" w:cs="Arial" w:eastAsia="Arial" w:hAnsi="Arial"/>
                <w:sz w:val="14"/>
                <w:szCs w:val="14"/>
                <w:color w:val="auto"/>
              </w:rPr>
              <w:t>0</w:t>
            </w:r>
          </w:p>
        </w:tc>
        <w:tc>
          <w:tcPr>
            <w:tcW w:w="1540" w:type="dxa"/>
            <w:vAlign w:val="bottom"/>
          </w:tcPr>
          <w:p>
            <w:pPr>
              <w:jc w:val="right"/>
              <w:ind w:right="109"/>
              <w:spacing w:after="0"/>
              <w:rPr>
                <w:sz w:val="20"/>
                <w:szCs w:val="20"/>
                <w:color w:val="auto"/>
              </w:rPr>
            </w:pPr>
            <w:r>
              <w:rPr>
                <w:rFonts w:ascii="Arial" w:cs="Arial" w:eastAsia="Arial" w:hAnsi="Arial"/>
                <w:sz w:val="14"/>
                <w:szCs w:val="14"/>
                <w:color w:val="auto"/>
              </w:rPr>
              <w:t>0</w:t>
            </w:r>
          </w:p>
        </w:tc>
        <w:tc>
          <w:tcPr>
            <w:tcW w:w="1200" w:type="dxa"/>
            <w:vAlign w:val="bottom"/>
          </w:tcPr>
          <w:p>
            <w:pPr>
              <w:spacing w:after="0"/>
              <w:rPr>
                <w:sz w:val="18"/>
                <w:szCs w:val="18"/>
                <w:color w:val="auto"/>
              </w:rPr>
            </w:pPr>
          </w:p>
        </w:tc>
        <w:tc>
          <w:tcPr>
            <w:tcW w:w="440" w:type="dxa"/>
            <w:vAlign w:val="bottom"/>
          </w:tcPr>
          <w:p>
            <w:pPr>
              <w:jc w:val="right"/>
              <w:ind w:right="169"/>
              <w:spacing w:after="0"/>
              <w:rPr>
                <w:sz w:val="20"/>
                <w:szCs w:val="20"/>
                <w:color w:val="auto"/>
              </w:rPr>
            </w:pPr>
            <w:r>
              <w:rPr>
                <w:rFonts w:ascii="Arial" w:cs="Arial" w:eastAsia="Arial" w:hAnsi="Arial"/>
                <w:sz w:val="14"/>
                <w:szCs w:val="14"/>
                <w:color w:val="auto"/>
              </w:rPr>
              <w:t>0</w:t>
            </w:r>
          </w:p>
        </w:tc>
        <w:tc>
          <w:tcPr>
            <w:tcW w:w="1420" w:type="dxa"/>
            <w:vAlign w:val="bottom"/>
          </w:tcPr>
          <w:p>
            <w:pPr>
              <w:jc w:val="right"/>
              <w:spacing w:after="0"/>
              <w:rPr>
                <w:sz w:val="20"/>
                <w:szCs w:val="20"/>
                <w:color w:val="auto"/>
              </w:rPr>
            </w:pPr>
            <w:r>
              <w:rPr>
                <w:rFonts w:ascii="Arial" w:cs="Arial" w:eastAsia="Arial" w:hAnsi="Arial"/>
                <w:sz w:val="14"/>
                <w:szCs w:val="14"/>
                <w:color w:val="auto"/>
              </w:rPr>
              <w:t>0</w:t>
            </w:r>
          </w:p>
        </w:tc>
      </w:tr>
      <w:tr>
        <w:trPr>
          <w:trHeight w:val="213"/>
        </w:trPr>
        <w:tc>
          <w:tcPr>
            <w:tcW w:w="2520" w:type="dxa"/>
            <w:vAlign w:val="bottom"/>
          </w:tcPr>
          <w:p>
            <w:pPr>
              <w:ind w:left="200"/>
              <w:spacing w:after="0"/>
              <w:rPr>
                <w:sz w:val="20"/>
                <w:szCs w:val="20"/>
                <w:color w:val="auto"/>
              </w:rPr>
            </w:pPr>
            <w:r>
              <w:rPr>
                <w:rFonts w:ascii="Arial" w:cs="Arial" w:eastAsia="Arial" w:hAnsi="Arial"/>
                <w:sz w:val="14"/>
                <w:szCs w:val="14"/>
                <w:color w:val="auto"/>
              </w:rPr>
              <w:t>Deferred Plan for Officers</w:t>
            </w:r>
          </w:p>
        </w:tc>
        <w:tc>
          <w:tcPr>
            <w:tcW w:w="1620" w:type="dxa"/>
            <w:vAlign w:val="bottom"/>
          </w:tcPr>
          <w:p>
            <w:pPr>
              <w:jc w:val="right"/>
              <w:spacing w:after="0"/>
              <w:rPr>
                <w:sz w:val="20"/>
                <w:szCs w:val="20"/>
                <w:color w:val="auto"/>
              </w:rPr>
            </w:pPr>
            <w:r>
              <w:rPr>
                <w:rFonts w:ascii="Arial" w:cs="Arial" w:eastAsia="Arial" w:hAnsi="Arial"/>
                <w:sz w:val="14"/>
                <w:szCs w:val="14"/>
                <w:color w:val="auto"/>
              </w:rPr>
              <w:t>0</w:t>
            </w:r>
          </w:p>
        </w:tc>
        <w:tc>
          <w:tcPr>
            <w:tcW w:w="1840" w:type="dxa"/>
            <w:vAlign w:val="bottom"/>
          </w:tcPr>
          <w:p>
            <w:pPr>
              <w:jc w:val="right"/>
              <w:spacing w:after="0"/>
              <w:rPr>
                <w:sz w:val="20"/>
                <w:szCs w:val="20"/>
                <w:color w:val="auto"/>
              </w:rPr>
            </w:pPr>
            <w:r>
              <w:rPr>
                <w:rFonts w:ascii="Arial" w:cs="Arial" w:eastAsia="Arial" w:hAnsi="Arial"/>
                <w:sz w:val="14"/>
                <w:szCs w:val="14"/>
                <w:color w:val="auto"/>
              </w:rPr>
              <w:t>0</w:t>
            </w:r>
          </w:p>
        </w:tc>
        <w:tc>
          <w:tcPr>
            <w:tcW w:w="1540" w:type="dxa"/>
            <w:vAlign w:val="bottom"/>
          </w:tcPr>
          <w:p>
            <w:pPr>
              <w:jc w:val="right"/>
              <w:ind w:right="109"/>
              <w:spacing w:after="0"/>
              <w:rPr>
                <w:sz w:val="20"/>
                <w:szCs w:val="20"/>
                <w:color w:val="auto"/>
              </w:rPr>
            </w:pPr>
            <w:r>
              <w:rPr>
                <w:rFonts w:ascii="Arial" w:cs="Arial" w:eastAsia="Arial" w:hAnsi="Arial"/>
                <w:sz w:val="14"/>
                <w:szCs w:val="14"/>
                <w:color w:val="auto"/>
              </w:rPr>
              <w:t>0</w:t>
            </w:r>
          </w:p>
        </w:tc>
        <w:tc>
          <w:tcPr>
            <w:tcW w:w="1200" w:type="dxa"/>
            <w:vAlign w:val="bottom"/>
          </w:tcPr>
          <w:p>
            <w:pPr>
              <w:spacing w:after="0"/>
              <w:rPr>
                <w:sz w:val="18"/>
                <w:szCs w:val="18"/>
                <w:color w:val="auto"/>
              </w:rPr>
            </w:pPr>
          </w:p>
        </w:tc>
        <w:tc>
          <w:tcPr>
            <w:tcW w:w="440" w:type="dxa"/>
            <w:vAlign w:val="bottom"/>
          </w:tcPr>
          <w:p>
            <w:pPr>
              <w:jc w:val="right"/>
              <w:ind w:right="169"/>
              <w:spacing w:after="0"/>
              <w:rPr>
                <w:sz w:val="20"/>
                <w:szCs w:val="20"/>
                <w:color w:val="auto"/>
              </w:rPr>
            </w:pPr>
            <w:r>
              <w:rPr>
                <w:rFonts w:ascii="Arial" w:cs="Arial" w:eastAsia="Arial" w:hAnsi="Arial"/>
                <w:sz w:val="14"/>
                <w:szCs w:val="14"/>
                <w:color w:val="auto"/>
              </w:rPr>
              <w:t>0</w:t>
            </w:r>
          </w:p>
        </w:tc>
        <w:tc>
          <w:tcPr>
            <w:tcW w:w="1420" w:type="dxa"/>
            <w:vAlign w:val="bottom"/>
          </w:tcPr>
          <w:p>
            <w:pPr>
              <w:jc w:val="right"/>
              <w:spacing w:after="0"/>
              <w:rPr>
                <w:sz w:val="20"/>
                <w:szCs w:val="20"/>
                <w:color w:val="auto"/>
              </w:rPr>
            </w:pPr>
            <w:r>
              <w:rPr>
                <w:rFonts w:ascii="Arial" w:cs="Arial" w:eastAsia="Arial" w:hAnsi="Arial"/>
                <w:sz w:val="14"/>
                <w:szCs w:val="14"/>
                <w:color w:val="auto"/>
              </w:rPr>
              <w:t>0</w:t>
            </w:r>
          </w:p>
        </w:tc>
      </w:tr>
      <w:tr>
        <w:trPr>
          <w:trHeight w:val="213"/>
        </w:trPr>
        <w:tc>
          <w:tcPr>
            <w:tcW w:w="2520" w:type="dxa"/>
            <w:vAlign w:val="bottom"/>
          </w:tcPr>
          <w:p>
            <w:pPr>
              <w:ind w:left="200"/>
              <w:spacing w:after="0"/>
              <w:rPr>
                <w:sz w:val="20"/>
                <w:szCs w:val="20"/>
                <w:color w:val="auto"/>
              </w:rPr>
            </w:pPr>
            <w:r>
              <w:rPr>
                <w:rFonts w:ascii="Arial" w:cs="Arial" w:eastAsia="Arial" w:hAnsi="Arial"/>
                <w:sz w:val="14"/>
                <w:szCs w:val="14"/>
                <w:color w:val="auto"/>
              </w:rPr>
              <w:t>Supplemental Benefit Plan</w:t>
            </w:r>
          </w:p>
        </w:tc>
        <w:tc>
          <w:tcPr>
            <w:tcW w:w="1620" w:type="dxa"/>
            <w:vAlign w:val="bottom"/>
          </w:tcPr>
          <w:p>
            <w:pPr>
              <w:jc w:val="right"/>
              <w:spacing w:after="0"/>
              <w:rPr>
                <w:sz w:val="20"/>
                <w:szCs w:val="20"/>
                <w:color w:val="auto"/>
              </w:rPr>
            </w:pPr>
            <w:r>
              <w:rPr>
                <w:rFonts w:ascii="Arial" w:cs="Arial" w:eastAsia="Arial" w:hAnsi="Arial"/>
                <w:sz w:val="14"/>
                <w:szCs w:val="14"/>
                <w:color w:val="auto"/>
              </w:rPr>
              <w:t>0</w:t>
            </w:r>
          </w:p>
        </w:tc>
        <w:tc>
          <w:tcPr>
            <w:tcW w:w="1840" w:type="dxa"/>
            <w:vAlign w:val="bottom"/>
          </w:tcPr>
          <w:p>
            <w:pPr>
              <w:jc w:val="right"/>
              <w:spacing w:after="0"/>
              <w:rPr>
                <w:sz w:val="20"/>
                <w:szCs w:val="20"/>
                <w:color w:val="auto"/>
              </w:rPr>
            </w:pPr>
            <w:r>
              <w:rPr>
                <w:rFonts w:ascii="Arial" w:cs="Arial" w:eastAsia="Arial" w:hAnsi="Arial"/>
                <w:sz w:val="14"/>
                <w:szCs w:val="14"/>
                <w:color w:val="auto"/>
              </w:rPr>
              <w:t>18,411</w:t>
            </w:r>
          </w:p>
        </w:tc>
        <w:tc>
          <w:tcPr>
            <w:tcW w:w="1540" w:type="dxa"/>
            <w:vAlign w:val="bottom"/>
          </w:tcPr>
          <w:p>
            <w:pPr>
              <w:jc w:val="right"/>
              <w:ind w:right="109"/>
              <w:spacing w:after="0"/>
              <w:rPr>
                <w:sz w:val="20"/>
                <w:szCs w:val="20"/>
                <w:color w:val="auto"/>
              </w:rPr>
            </w:pPr>
            <w:r>
              <w:rPr>
                <w:rFonts w:ascii="Arial" w:cs="Arial" w:eastAsia="Arial" w:hAnsi="Arial"/>
                <w:sz w:val="14"/>
                <w:szCs w:val="14"/>
                <w:color w:val="auto"/>
              </w:rPr>
              <w:t>0</w:t>
            </w:r>
          </w:p>
        </w:tc>
        <w:tc>
          <w:tcPr>
            <w:tcW w:w="1200" w:type="dxa"/>
            <w:vAlign w:val="bottom"/>
          </w:tcPr>
          <w:p>
            <w:pPr>
              <w:spacing w:after="0"/>
              <w:rPr>
                <w:sz w:val="18"/>
                <w:szCs w:val="18"/>
                <w:color w:val="auto"/>
              </w:rPr>
            </w:pPr>
          </w:p>
        </w:tc>
        <w:tc>
          <w:tcPr>
            <w:tcW w:w="440" w:type="dxa"/>
            <w:vAlign w:val="bottom"/>
          </w:tcPr>
          <w:p>
            <w:pPr>
              <w:jc w:val="right"/>
              <w:ind w:right="169"/>
              <w:spacing w:after="0"/>
              <w:rPr>
                <w:sz w:val="20"/>
                <w:szCs w:val="20"/>
                <w:color w:val="auto"/>
              </w:rPr>
            </w:pPr>
            <w:r>
              <w:rPr>
                <w:rFonts w:ascii="Arial" w:cs="Arial" w:eastAsia="Arial" w:hAnsi="Arial"/>
                <w:sz w:val="14"/>
                <w:szCs w:val="14"/>
                <w:color w:val="auto"/>
              </w:rPr>
              <w:t>0</w:t>
            </w:r>
          </w:p>
        </w:tc>
        <w:tc>
          <w:tcPr>
            <w:tcW w:w="1420" w:type="dxa"/>
            <w:vAlign w:val="bottom"/>
          </w:tcPr>
          <w:p>
            <w:pPr>
              <w:jc w:val="right"/>
              <w:spacing w:after="0"/>
              <w:rPr>
                <w:sz w:val="20"/>
                <w:szCs w:val="20"/>
                <w:color w:val="auto"/>
              </w:rPr>
            </w:pPr>
            <w:r>
              <w:rPr>
                <w:rFonts w:ascii="Arial" w:cs="Arial" w:eastAsia="Arial" w:hAnsi="Arial"/>
                <w:sz w:val="14"/>
                <w:szCs w:val="14"/>
                <w:color w:val="auto"/>
              </w:rPr>
              <w:t>18,411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114935</wp:posOffset>
            </wp:positionV>
            <wp:extent cx="1991360" cy="82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1991360" cy="8255"/>
                    </a:xfrm>
                    <a:prstGeom prst="rect">
                      <a:avLst/>
                    </a:prstGeom>
                    <a:noFill/>
                  </pic:spPr>
                </pic:pic>
              </a:graphicData>
            </a:graphic>
          </wp:anchor>
        </w:drawing>
      </w:r>
    </w:p>
    <w:p>
      <w:pPr>
        <w:spacing w:after="0" w:line="251" w:lineRule="exact"/>
        <w:rPr>
          <w:sz w:val="20"/>
          <w:szCs w:val="20"/>
          <w:color w:val="auto"/>
        </w:rPr>
      </w:pPr>
    </w:p>
    <w:p>
      <w:pPr>
        <w:jc w:val="both"/>
        <w:ind w:left="320" w:hanging="313"/>
        <w:spacing w:after="0" w:line="253" w:lineRule="auto"/>
        <w:tabs>
          <w:tab w:leader="none" w:pos="308" w:val="left"/>
        </w:tabs>
        <w:numPr>
          <w:ilvl w:val="0"/>
          <w:numId w:val="72"/>
        </w:numPr>
        <w:rPr>
          <w:rFonts w:ascii="Arial" w:cs="Arial" w:eastAsia="Arial" w:hAnsi="Arial"/>
          <w:sz w:val="17"/>
          <w:szCs w:val="17"/>
          <w:color w:val="auto"/>
        </w:rPr>
      </w:pPr>
      <w:r>
        <w:rPr>
          <w:rFonts w:ascii="Arial" w:cs="Arial" w:eastAsia="Arial" w:hAnsi="Arial"/>
          <w:sz w:val="17"/>
          <w:szCs w:val="17"/>
          <w:color w:val="auto"/>
        </w:rPr>
        <w:t>Executive contributions of base salary and annual cash incentive award payouts are included in the Salary column and the Non-Equity Incentive Plan Compensation column, respectively, of the Summary Compensation Table. Executive contributions of the fiscal 2022 to fiscal 2024 performance share award payouts are included in the Value Realized on Vesting column of the Option Exercises and Stock Vested for Fiscal 2024 table, but are not included in the Summary Compensation Table as that table reflects the grant of the fiscal 2024 to fiscal 2026 performance share awards at target value. Our NEOs deferred the following components of compensation during fiscal 2024:</w:t>
      </w:r>
    </w:p>
    <w:p>
      <w:pPr>
        <w:spacing w:after="0" w:line="14" w:lineRule="exact"/>
        <w:rPr>
          <w:sz w:val="20"/>
          <w:szCs w:val="20"/>
          <w:color w:val="auto"/>
        </w:rPr>
      </w:pPr>
    </w:p>
    <w:tbl>
      <w:tblPr>
        <w:tblLayout w:type="fixed"/>
        <w:tblInd w:w="320" w:type="dxa"/>
        <w:tblCellMar>
          <w:top w:w="0" w:type="dxa"/>
          <w:left w:w="0" w:type="dxa"/>
          <w:bottom w:w="0" w:type="dxa"/>
          <w:right w:w="0" w:type="dxa"/>
        </w:tblCellMar>
      </w:tblPr>
      <w:tr>
        <w:trPr>
          <w:trHeight w:val="240"/>
        </w:trPr>
        <w:tc>
          <w:tcPr>
            <w:tcW w:w="1920" w:type="dxa"/>
            <w:vAlign w:val="bottom"/>
            <w:shd w:val="clear" w:color="auto" w:fill="BF2115"/>
          </w:tcPr>
          <w:p>
            <w:pPr>
              <w:ind w:left="20"/>
              <w:spacing w:after="0"/>
              <w:rPr>
                <w:sz w:val="20"/>
                <w:szCs w:val="20"/>
                <w:color w:val="auto"/>
              </w:rPr>
            </w:pPr>
            <w:r>
              <w:rPr>
                <w:rFonts w:ascii="Arial" w:cs="Arial" w:eastAsia="Arial" w:hAnsi="Arial"/>
                <w:sz w:val="16"/>
                <w:szCs w:val="16"/>
                <w:b w:val="1"/>
                <w:bCs w:val="1"/>
                <w:color w:val="FFFFFF"/>
              </w:rPr>
              <w:t>Name</w:t>
            </w:r>
          </w:p>
        </w:tc>
        <w:tc>
          <w:tcPr>
            <w:tcW w:w="5980" w:type="dxa"/>
            <w:vAlign w:val="bottom"/>
            <w:shd w:val="clear" w:color="auto" w:fill="BF2115"/>
          </w:tcPr>
          <w:p>
            <w:pPr>
              <w:ind w:left="20"/>
              <w:spacing w:after="0"/>
              <w:rPr>
                <w:sz w:val="20"/>
                <w:szCs w:val="20"/>
                <w:color w:val="auto"/>
              </w:rPr>
            </w:pPr>
            <w:r>
              <w:rPr>
                <w:rFonts w:ascii="Arial" w:cs="Arial" w:eastAsia="Arial" w:hAnsi="Arial"/>
                <w:sz w:val="16"/>
                <w:szCs w:val="16"/>
                <w:b w:val="1"/>
                <w:bCs w:val="1"/>
                <w:color w:val="FFFFFF"/>
              </w:rPr>
              <w:t>Deferrals</w:t>
            </w:r>
          </w:p>
        </w:tc>
        <w:tc>
          <w:tcPr>
            <w:tcW w:w="1800" w:type="dxa"/>
            <w:vAlign w:val="bottom"/>
            <w:shd w:val="clear" w:color="auto" w:fill="BF2115"/>
          </w:tcPr>
          <w:p>
            <w:pPr>
              <w:jc w:val="right"/>
              <w:ind w:right="400"/>
              <w:spacing w:after="0"/>
              <w:rPr>
                <w:sz w:val="20"/>
                <w:szCs w:val="20"/>
                <w:color w:val="auto"/>
              </w:rPr>
            </w:pPr>
            <w:r>
              <w:rPr>
                <w:rFonts w:ascii="Arial" w:cs="Arial" w:eastAsia="Arial" w:hAnsi="Arial"/>
                <w:sz w:val="16"/>
                <w:szCs w:val="16"/>
                <w:b w:val="1"/>
                <w:bCs w:val="1"/>
                <w:color w:val="FFFFFF"/>
              </w:rPr>
              <w:t>Amount ($)</w:t>
            </w:r>
          </w:p>
        </w:tc>
      </w:tr>
      <w:tr>
        <w:trPr>
          <w:trHeight w:val="211"/>
        </w:trPr>
        <w:tc>
          <w:tcPr>
            <w:tcW w:w="1920" w:type="dxa"/>
            <w:vAlign w:val="bottom"/>
          </w:tcPr>
          <w:p>
            <w:pPr>
              <w:ind w:left="20"/>
              <w:spacing w:after="0"/>
              <w:rPr>
                <w:sz w:val="20"/>
                <w:szCs w:val="20"/>
                <w:color w:val="auto"/>
              </w:rPr>
            </w:pPr>
            <w:r>
              <w:rPr>
                <w:rFonts w:ascii="Arial" w:cs="Arial" w:eastAsia="Arial" w:hAnsi="Arial"/>
                <w:sz w:val="16"/>
                <w:szCs w:val="16"/>
                <w:color w:val="auto"/>
              </w:rPr>
              <w:t>Mr. Carpenter</w:t>
            </w:r>
          </w:p>
        </w:tc>
        <w:tc>
          <w:tcPr>
            <w:tcW w:w="5980" w:type="dxa"/>
            <w:vAlign w:val="bottom"/>
          </w:tcPr>
          <w:p>
            <w:pPr>
              <w:ind w:left="20"/>
              <w:spacing w:after="0"/>
              <w:rPr>
                <w:sz w:val="20"/>
                <w:szCs w:val="20"/>
                <w:color w:val="auto"/>
              </w:rPr>
            </w:pPr>
            <w:r>
              <w:rPr>
                <w:rFonts w:ascii="Arial" w:cs="Arial" w:eastAsia="Arial" w:hAnsi="Arial"/>
                <w:sz w:val="16"/>
                <w:szCs w:val="16"/>
                <w:color w:val="auto"/>
              </w:rPr>
              <w:t>15% of base salary from November 2023 through December 2023</w:t>
            </w:r>
          </w:p>
        </w:tc>
        <w:tc>
          <w:tcPr>
            <w:tcW w:w="1800" w:type="dxa"/>
            <w:vAlign w:val="bottom"/>
          </w:tcPr>
          <w:p>
            <w:pPr>
              <w:jc w:val="right"/>
              <w:spacing w:after="0"/>
              <w:rPr>
                <w:sz w:val="20"/>
                <w:szCs w:val="20"/>
                <w:color w:val="auto"/>
              </w:rPr>
            </w:pPr>
            <w:r>
              <w:rPr>
                <w:rFonts w:ascii="Arial" w:cs="Arial" w:eastAsia="Arial" w:hAnsi="Arial"/>
                <w:sz w:val="16"/>
                <w:szCs w:val="16"/>
                <w:color w:val="auto"/>
              </w:rPr>
              <w:t>11,076</w:t>
            </w:r>
          </w:p>
        </w:tc>
      </w:tr>
      <w:tr>
        <w:trPr>
          <w:trHeight w:val="239"/>
        </w:trPr>
        <w:tc>
          <w:tcPr>
            <w:tcW w:w="1920" w:type="dxa"/>
            <w:vAlign w:val="bottom"/>
          </w:tcPr>
          <w:p>
            <w:pPr>
              <w:spacing w:after="0"/>
              <w:rPr>
                <w:sz w:val="20"/>
                <w:szCs w:val="20"/>
                <w:color w:val="auto"/>
              </w:rPr>
            </w:pPr>
          </w:p>
        </w:tc>
        <w:tc>
          <w:tcPr>
            <w:tcW w:w="5980" w:type="dxa"/>
            <w:vAlign w:val="bottom"/>
          </w:tcPr>
          <w:p>
            <w:pPr>
              <w:ind w:left="20"/>
              <w:spacing w:after="0"/>
              <w:rPr>
                <w:sz w:val="20"/>
                <w:szCs w:val="20"/>
                <w:color w:val="auto"/>
              </w:rPr>
            </w:pPr>
            <w:r>
              <w:rPr>
                <w:rFonts w:ascii="Arial" w:cs="Arial" w:eastAsia="Arial" w:hAnsi="Arial"/>
                <w:sz w:val="16"/>
                <w:szCs w:val="16"/>
                <w:color w:val="auto"/>
              </w:rPr>
              <w:t>20% of base salary from January 2024 through October 2024</w:t>
            </w:r>
          </w:p>
        </w:tc>
        <w:tc>
          <w:tcPr>
            <w:tcW w:w="1800" w:type="dxa"/>
            <w:vAlign w:val="bottom"/>
          </w:tcPr>
          <w:p>
            <w:pPr>
              <w:jc w:val="right"/>
              <w:spacing w:after="0"/>
              <w:rPr>
                <w:sz w:val="20"/>
                <w:szCs w:val="20"/>
                <w:color w:val="auto"/>
              </w:rPr>
            </w:pPr>
            <w:r>
              <w:rPr>
                <w:rFonts w:ascii="Arial" w:cs="Arial" w:eastAsia="Arial" w:hAnsi="Arial"/>
                <w:sz w:val="16"/>
                <w:szCs w:val="16"/>
                <w:color w:val="auto"/>
              </w:rPr>
              <w:t>85,835</w:t>
            </w:r>
          </w:p>
        </w:tc>
      </w:tr>
      <w:tr>
        <w:trPr>
          <w:trHeight w:val="240"/>
        </w:trPr>
        <w:tc>
          <w:tcPr>
            <w:tcW w:w="1920" w:type="dxa"/>
            <w:vAlign w:val="bottom"/>
          </w:tcPr>
          <w:p>
            <w:pPr>
              <w:spacing w:after="0"/>
              <w:rPr>
                <w:sz w:val="20"/>
                <w:szCs w:val="20"/>
                <w:color w:val="auto"/>
              </w:rPr>
            </w:pPr>
          </w:p>
        </w:tc>
        <w:tc>
          <w:tcPr>
            <w:tcW w:w="5980" w:type="dxa"/>
            <w:vAlign w:val="bottom"/>
          </w:tcPr>
          <w:p>
            <w:pPr>
              <w:ind w:left="20"/>
              <w:spacing w:after="0"/>
              <w:rPr>
                <w:sz w:val="20"/>
                <w:szCs w:val="20"/>
                <w:color w:val="auto"/>
              </w:rPr>
            </w:pPr>
            <w:r>
              <w:rPr>
                <w:rFonts w:ascii="Arial" w:cs="Arial" w:eastAsia="Arial" w:hAnsi="Arial"/>
                <w:sz w:val="16"/>
                <w:szCs w:val="16"/>
                <w:color w:val="auto"/>
              </w:rPr>
              <w:t>20% of the fiscal 2024 annual cash incentive award</w:t>
            </w:r>
          </w:p>
        </w:tc>
        <w:tc>
          <w:tcPr>
            <w:tcW w:w="1800" w:type="dxa"/>
            <w:vAlign w:val="bottom"/>
          </w:tcPr>
          <w:p>
            <w:pPr>
              <w:jc w:val="right"/>
              <w:spacing w:after="0"/>
              <w:rPr>
                <w:sz w:val="20"/>
                <w:szCs w:val="20"/>
                <w:color w:val="auto"/>
              </w:rPr>
            </w:pPr>
            <w:r>
              <w:rPr>
                <w:rFonts w:ascii="Arial" w:cs="Arial" w:eastAsia="Arial" w:hAnsi="Arial"/>
                <w:sz w:val="16"/>
                <w:szCs w:val="16"/>
                <w:color w:val="auto"/>
              </w:rPr>
              <w:t>25,908</w:t>
            </w:r>
          </w:p>
        </w:tc>
      </w:tr>
      <w:tr>
        <w:trPr>
          <w:trHeight w:val="30"/>
        </w:trPr>
        <w:tc>
          <w:tcPr>
            <w:tcW w:w="1920" w:type="dxa"/>
            <w:vAlign w:val="bottom"/>
          </w:tcPr>
          <w:p>
            <w:pPr>
              <w:spacing w:after="0"/>
              <w:rPr>
                <w:sz w:val="2"/>
                <w:szCs w:val="2"/>
                <w:color w:val="auto"/>
              </w:rPr>
            </w:pPr>
          </w:p>
        </w:tc>
        <w:tc>
          <w:tcPr>
            <w:tcW w:w="5980" w:type="dxa"/>
            <w:vAlign w:val="bottom"/>
          </w:tcPr>
          <w:p>
            <w:pPr>
              <w:spacing w:after="0"/>
              <w:rPr>
                <w:sz w:val="2"/>
                <w:szCs w:val="2"/>
                <w:color w:val="auto"/>
              </w:rPr>
            </w:pPr>
          </w:p>
        </w:tc>
        <w:tc>
          <w:tcPr>
            <w:tcW w:w="1800" w:type="dxa"/>
            <w:vAlign w:val="bottom"/>
          </w:tcPr>
          <w:p>
            <w:pPr>
              <w:spacing w:after="0"/>
              <w:rPr>
                <w:sz w:val="2"/>
                <w:szCs w:val="2"/>
                <w:color w:val="auto"/>
              </w:rPr>
            </w:pPr>
          </w:p>
        </w:tc>
      </w:tr>
      <w:tr>
        <w:trPr>
          <w:trHeight w:val="211"/>
        </w:trPr>
        <w:tc>
          <w:tcPr>
            <w:tcW w:w="1920" w:type="dxa"/>
            <w:vAlign w:val="bottom"/>
            <w:shd w:val="clear" w:color="auto" w:fill="DBDBDB"/>
          </w:tcPr>
          <w:p>
            <w:pPr>
              <w:ind w:left="20"/>
              <w:spacing w:after="0"/>
              <w:rPr>
                <w:sz w:val="20"/>
                <w:szCs w:val="20"/>
                <w:color w:val="auto"/>
              </w:rPr>
            </w:pPr>
            <w:r>
              <w:rPr>
                <w:rFonts w:ascii="Arial" w:cs="Arial" w:eastAsia="Arial" w:hAnsi="Arial"/>
                <w:sz w:val="16"/>
                <w:szCs w:val="16"/>
                <w:color w:val="auto"/>
              </w:rPr>
              <w:t>Ms. Dahl</w:t>
            </w:r>
          </w:p>
        </w:tc>
        <w:tc>
          <w:tcPr>
            <w:tcW w:w="5980" w:type="dxa"/>
            <w:vAlign w:val="bottom"/>
            <w:shd w:val="clear" w:color="auto" w:fill="DBDBDB"/>
          </w:tcPr>
          <w:p>
            <w:pPr>
              <w:ind w:left="20"/>
              <w:spacing w:after="0"/>
              <w:rPr>
                <w:sz w:val="20"/>
                <w:szCs w:val="20"/>
                <w:color w:val="auto"/>
              </w:rPr>
            </w:pPr>
            <w:r>
              <w:rPr>
                <w:rFonts w:ascii="Arial" w:cs="Arial" w:eastAsia="Arial" w:hAnsi="Arial"/>
                <w:sz w:val="16"/>
                <w:szCs w:val="16"/>
                <w:color w:val="auto"/>
              </w:rPr>
              <w:t>20% of base salary from November 2023 through December 2023</w:t>
            </w:r>
          </w:p>
        </w:tc>
        <w:tc>
          <w:tcPr>
            <w:tcW w:w="180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16,338</w:t>
            </w:r>
          </w:p>
        </w:tc>
      </w:tr>
      <w:tr>
        <w:trPr>
          <w:trHeight w:val="239"/>
        </w:trPr>
        <w:tc>
          <w:tcPr>
            <w:tcW w:w="1920" w:type="dxa"/>
            <w:vAlign w:val="bottom"/>
            <w:shd w:val="clear" w:color="auto" w:fill="DBDBDB"/>
          </w:tcPr>
          <w:p>
            <w:pPr>
              <w:spacing w:after="0"/>
              <w:rPr>
                <w:sz w:val="20"/>
                <w:szCs w:val="20"/>
                <w:color w:val="auto"/>
              </w:rPr>
            </w:pPr>
          </w:p>
        </w:tc>
        <w:tc>
          <w:tcPr>
            <w:tcW w:w="5980" w:type="dxa"/>
            <w:vAlign w:val="bottom"/>
            <w:shd w:val="clear" w:color="auto" w:fill="DBDBDB"/>
          </w:tcPr>
          <w:p>
            <w:pPr>
              <w:ind w:left="20"/>
              <w:spacing w:after="0"/>
              <w:rPr>
                <w:sz w:val="20"/>
                <w:szCs w:val="20"/>
                <w:color w:val="auto"/>
              </w:rPr>
            </w:pPr>
            <w:r>
              <w:rPr>
                <w:rFonts w:ascii="Arial" w:cs="Arial" w:eastAsia="Arial" w:hAnsi="Arial"/>
                <w:sz w:val="16"/>
                <w:szCs w:val="16"/>
                <w:color w:val="auto"/>
              </w:rPr>
              <w:t>20% of base salary from January 2024 through October 2024</w:t>
            </w:r>
          </w:p>
        </w:tc>
        <w:tc>
          <w:tcPr>
            <w:tcW w:w="1800" w:type="dxa"/>
            <w:vAlign w:val="bottom"/>
            <w:shd w:val="clear" w:color="auto" w:fill="DBDBDB"/>
          </w:tcPr>
          <w:p>
            <w:pPr>
              <w:jc w:val="right"/>
              <w:spacing w:after="0"/>
              <w:rPr>
                <w:sz w:val="20"/>
                <w:szCs w:val="20"/>
                <w:color w:val="auto"/>
              </w:rPr>
            </w:pPr>
            <w:r>
              <w:rPr>
                <w:rFonts w:ascii="Arial" w:cs="Arial" w:eastAsia="Arial" w:hAnsi="Arial"/>
                <w:sz w:val="16"/>
                <w:szCs w:val="16"/>
                <w:color w:val="auto"/>
              </w:rPr>
              <w:t>92,756</w:t>
            </w:r>
          </w:p>
        </w:tc>
      </w:tr>
      <w:tr>
        <w:trPr>
          <w:trHeight w:val="240"/>
        </w:trPr>
        <w:tc>
          <w:tcPr>
            <w:tcW w:w="1920" w:type="dxa"/>
            <w:vAlign w:val="bottom"/>
            <w:shd w:val="clear" w:color="auto" w:fill="DBDBDB"/>
          </w:tcPr>
          <w:p>
            <w:pPr>
              <w:spacing w:after="0"/>
              <w:rPr>
                <w:sz w:val="20"/>
                <w:szCs w:val="20"/>
                <w:color w:val="auto"/>
              </w:rPr>
            </w:pPr>
          </w:p>
        </w:tc>
        <w:tc>
          <w:tcPr>
            <w:tcW w:w="5980" w:type="dxa"/>
            <w:vAlign w:val="bottom"/>
            <w:shd w:val="clear" w:color="auto" w:fill="DBDBDB"/>
          </w:tcPr>
          <w:p>
            <w:pPr>
              <w:ind w:left="20"/>
              <w:spacing w:after="0"/>
              <w:rPr>
                <w:sz w:val="20"/>
                <w:szCs w:val="20"/>
                <w:color w:val="auto"/>
              </w:rPr>
            </w:pPr>
            <w:r>
              <w:rPr>
                <w:rFonts w:ascii="Arial" w:cs="Arial" w:eastAsia="Arial" w:hAnsi="Arial"/>
                <w:sz w:val="16"/>
                <w:szCs w:val="16"/>
                <w:color w:val="auto"/>
              </w:rPr>
              <w:t>75% of the fiscal 2024 annual cash incentive award</w:t>
            </w:r>
          </w:p>
        </w:tc>
        <w:tc>
          <w:tcPr>
            <w:tcW w:w="1800" w:type="dxa"/>
            <w:vAlign w:val="bottom"/>
            <w:shd w:val="clear" w:color="auto" w:fill="DBDBDB"/>
          </w:tcPr>
          <w:p>
            <w:pPr>
              <w:jc w:val="right"/>
              <w:spacing w:after="0"/>
              <w:rPr>
                <w:sz w:val="20"/>
                <w:szCs w:val="20"/>
                <w:color w:val="auto"/>
              </w:rPr>
            </w:pPr>
            <w:r>
              <w:rPr>
                <w:rFonts w:ascii="Arial" w:cs="Arial" w:eastAsia="Arial" w:hAnsi="Arial"/>
                <w:sz w:val="16"/>
                <w:szCs w:val="16"/>
                <w:color w:val="auto"/>
              </w:rPr>
              <w:t>227,215</w:t>
            </w:r>
          </w:p>
        </w:tc>
      </w:tr>
      <w:tr>
        <w:trPr>
          <w:trHeight w:val="240"/>
        </w:trPr>
        <w:tc>
          <w:tcPr>
            <w:tcW w:w="1920" w:type="dxa"/>
            <w:vAlign w:val="bottom"/>
            <w:shd w:val="clear" w:color="auto" w:fill="DBDBDB"/>
          </w:tcPr>
          <w:p>
            <w:pPr>
              <w:spacing w:after="0"/>
              <w:rPr>
                <w:sz w:val="20"/>
                <w:szCs w:val="20"/>
                <w:color w:val="auto"/>
              </w:rPr>
            </w:pPr>
          </w:p>
        </w:tc>
        <w:tc>
          <w:tcPr>
            <w:tcW w:w="5980" w:type="dxa"/>
            <w:vAlign w:val="bottom"/>
            <w:shd w:val="clear" w:color="auto" w:fill="DBDBDB"/>
          </w:tcPr>
          <w:p>
            <w:pPr>
              <w:ind w:left="20"/>
              <w:spacing w:after="0"/>
              <w:rPr>
                <w:sz w:val="20"/>
                <w:szCs w:val="20"/>
                <w:color w:val="auto"/>
              </w:rPr>
            </w:pPr>
            <w:r>
              <w:rPr>
                <w:rFonts w:ascii="Arial" w:cs="Arial" w:eastAsia="Arial" w:hAnsi="Arial"/>
                <w:sz w:val="16"/>
                <w:szCs w:val="16"/>
                <w:color w:val="auto"/>
              </w:rPr>
              <w:t>100% of the fiscal 2022 to 2024 performance share award</w:t>
            </w:r>
          </w:p>
        </w:tc>
        <w:tc>
          <w:tcPr>
            <w:tcW w:w="180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175,585</w:t>
            </w:r>
          </w:p>
        </w:tc>
      </w:tr>
      <w:tr>
        <w:trPr>
          <w:trHeight w:val="30"/>
        </w:trPr>
        <w:tc>
          <w:tcPr>
            <w:tcW w:w="1920" w:type="dxa"/>
            <w:vAlign w:val="bottom"/>
            <w:shd w:val="clear" w:color="auto" w:fill="DBDBDB"/>
          </w:tcPr>
          <w:p>
            <w:pPr>
              <w:spacing w:after="0"/>
              <w:rPr>
                <w:sz w:val="2"/>
                <w:szCs w:val="2"/>
                <w:color w:val="auto"/>
              </w:rPr>
            </w:pPr>
          </w:p>
        </w:tc>
        <w:tc>
          <w:tcPr>
            <w:tcW w:w="5980" w:type="dxa"/>
            <w:vAlign w:val="bottom"/>
            <w:shd w:val="clear" w:color="auto" w:fill="DBDBDB"/>
          </w:tcPr>
          <w:p>
            <w:pPr>
              <w:spacing w:after="0"/>
              <w:rPr>
                <w:sz w:val="2"/>
                <w:szCs w:val="2"/>
                <w:color w:val="auto"/>
              </w:rPr>
            </w:pPr>
          </w:p>
        </w:tc>
        <w:tc>
          <w:tcPr>
            <w:tcW w:w="1800" w:type="dxa"/>
            <w:vAlign w:val="bottom"/>
            <w:shd w:val="clear" w:color="auto" w:fill="DBDBDB"/>
          </w:tcPr>
          <w:p>
            <w:pPr>
              <w:spacing w:after="0"/>
              <w:rPr>
                <w:sz w:val="2"/>
                <w:szCs w:val="2"/>
                <w:color w:val="auto"/>
              </w:rPr>
            </w:pPr>
          </w:p>
        </w:tc>
      </w:tr>
    </w:tbl>
    <w:p>
      <w:pPr>
        <w:spacing w:after="0" w:line="290" w:lineRule="exact"/>
        <w:rPr>
          <w:sz w:val="20"/>
          <w:szCs w:val="20"/>
          <w:color w:val="auto"/>
        </w:rPr>
      </w:pPr>
    </w:p>
    <w:p>
      <w:pPr>
        <w:ind w:left="320" w:hanging="313"/>
        <w:spacing w:after="0" w:line="262" w:lineRule="auto"/>
        <w:tabs>
          <w:tab w:leader="none" w:pos="308" w:val="left"/>
        </w:tabs>
        <w:numPr>
          <w:ilvl w:val="0"/>
          <w:numId w:val="73"/>
        </w:numPr>
        <w:rPr>
          <w:rFonts w:ascii="Arial" w:cs="Arial" w:eastAsia="Arial" w:hAnsi="Arial"/>
          <w:sz w:val="18"/>
          <w:szCs w:val="18"/>
          <w:color w:val="auto"/>
        </w:rPr>
      </w:pPr>
      <w:r>
        <w:rPr>
          <w:rFonts w:ascii="Arial" w:cs="Arial" w:eastAsia="Arial" w:hAnsi="Arial"/>
          <w:sz w:val="18"/>
          <w:szCs w:val="18"/>
          <w:color w:val="auto"/>
        </w:rPr>
        <w:t>Amounts reported represent Company contributions to the Supplemental Benefit Plan in fiscal 2024. These amounts are included in the All Other Compensation column of the Summary Compensation Table and the related footnote.</w:t>
      </w:r>
    </w:p>
    <w:p>
      <w:pPr>
        <w:spacing w:after="0" w:line="1" w:lineRule="exact"/>
        <w:rPr>
          <w:rFonts w:ascii="Arial" w:cs="Arial" w:eastAsia="Arial" w:hAnsi="Arial"/>
          <w:sz w:val="18"/>
          <w:szCs w:val="18"/>
          <w:color w:val="auto"/>
        </w:rPr>
      </w:pPr>
    </w:p>
    <w:p>
      <w:pPr>
        <w:jc w:val="both"/>
        <w:ind w:left="320" w:hanging="313"/>
        <w:spacing w:after="0" w:line="237" w:lineRule="auto"/>
        <w:tabs>
          <w:tab w:leader="none" w:pos="308" w:val="left"/>
        </w:tabs>
        <w:numPr>
          <w:ilvl w:val="0"/>
          <w:numId w:val="73"/>
        </w:numPr>
        <w:rPr>
          <w:rFonts w:ascii="Arial" w:cs="Arial" w:eastAsia="Arial" w:hAnsi="Arial"/>
          <w:sz w:val="18"/>
          <w:szCs w:val="18"/>
          <w:color w:val="auto"/>
        </w:rPr>
      </w:pPr>
      <w:r>
        <w:rPr>
          <w:rFonts w:ascii="Arial" w:cs="Arial" w:eastAsia="Arial" w:hAnsi="Arial"/>
          <w:sz w:val="18"/>
          <w:szCs w:val="18"/>
          <w:color w:val="auto"/>
        </w:rPr>
        <w:t>Aggregate earnings comprise interest, dividends, capital gains and appreciation/depreciation of investment results during the fiscal year based on each NEO's selected fund allocation. None of these amounts are included in the Summary Compensation Table because earnings were not preferential or above-market. The funds listed below are consistent with or comparable to those funds provided in our Retirement Plan and do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108" w:right="339" w:bottom="1440" w:gutter="0" w:footer="0" w:header="0"/>
        </w:sectPr>
      </w:pPr>
    </w:p>
    <w:bookmarkStart w:id="69" w:name="page70"/>
    <w:bookmarkEnd w:id="69"/>
    <w:p>
      <w:pPr>
        <w:ind w:left="313"/>
        <w:spacing w:after="0"/>
        <w:rPr>
          <w:sz w:val="20"/>
          <w:szCs w:val="20"/>
          <w:color w:val="auto"/>
        </w:rPr>
      </w:pPr>
      <w:r>
        <w:rPr>
          <w:rFonts w:ascii="Arial" w:cs="Arial" w:eastAsia="Arial" w:hAnsi="Arial"/>
          <w:sz w:val="18"/>
          <w:szCs w:val="18"/>
          <w:color w:val="auto"/>
        </w:rPr>
        <w:t>not include any preferential or above-market interest. The rates for fiscal 2024 are provided in the following table:</w:t>
      </w:r>
    </w:p>
    <w:p>
      <w:pPr>
        <w:spacing w:after="0" w:line="103" w:lineRule="exact"/>
        <w:rPr>
          <w:sz w:val="20"/>
          <w:szCs w:val="20"/>
          <w:color w:val="auto"/>
        </w:rPr>
      </w:pPr>
    </w:p>
    <w:tbl>
      <w:tblPr>
        <w:tblLayout w:type="fixed"/>
        <w:tblInd w:w="313" w:type="dxa"/>
        <w:tblCellMar>
          <w:top w:w="0" w:type="dxa"/>
          <w:left w:w="0" w:type="dxa"/>
          <w:bottom w:w="0" w:type="dxa"/>
          <w:right w:w="0" w:type="dxa"/>
        </w:tblCellMar>
      </w:tblPr>
      <w:tr>
        <w:trPr>
          <w:trHeight w:val="240"/>
        </w:trPr>
        <w:tc>
          <w:tcPr>
            <w:tcW w:w="4440" w:type="dxa"/>
            <w:vAlign w:val="bottom"/>
            <w:shd w:val="clear" w:color="auto" w:fill="BF2115"/>
          </w:tcPr>
          <w:p>
            <w:pPr>
              <w:ind w:left="20"/>
              <w:spacing w:after="0"/>
              <w:rPr>
                <w:sz w:val="20"/>
                <w:szCs w:val="20"/>
                <w:color w:val="auto"/>
              </w:rPr>
            </w:pPr>
            <w:r>
              <w:rPr>
                <w:rFonts w:ascii="Arial" w:cs="Arial" w:eastAsia="Arial" w:hAnsi="Arial"/>
                <w:sz w:val="16"/>
                <w:szCs w:val="16"/>
                <w:b w:val="1"/>
                <w:bCs w:val="1"/>
                <w:color w:val="FFFFFF"/>
              </w:rPr>
              <w:t>Fund Name</w:t>
            </w:r>
          </w:p>
        </w:tc>
        <w:tc>
          <w:tcPr>
            <w:tcW w:w="3220" w:type="dxa"/>
            <w:vAlign w:val="bottom"/>
            <w:shd w:val="clear" w:color="auto" w:fill="BF2115"/>
          </w:tcPr>
          <w:p>
            <w:pPr>
              <w:jc w:val="right"/>
              <w:ind w:right="620"/>
              <w:spacing w:after="0"/>
              <w:rPr>
                <w:sz w:val="20"/>
                <w:szCs w:val="20"/>
                <w:color w:val="auto"/>
              </w:rPr>
            </w:pPr>
            <w:r>
              <w:rPr>
                <w:rFonts w:ascii="Arial" w:cs="Arial" w:eastAsia="Arial" w:hAnsi="Arial"/>
                <w:sz w:val="16"/>
                <w:szCs w:val="16"/>
                <w:b w:val="1"/>
                <w:bCs w:val="1"/>
                <w:color w:val="FFFFFF"/>
              </w:rPr>
              <w:t>Change from Fiscal 2023</w:t>
            </w:r>
          </w:p>
        </w:tc>
      </w:tr>
      <w:tr>
        <w:trPr>
          <w:trHeight w:val="211"/>
        </w:trPr>
        <w:tc>
          <w:tcPr>
            <w:tcW w:w="4440" w:type="dxa"/>
            <w:vAlign w:val="bottom"/>
          </w:tcPr>
          <w:p>
            <w:pPr>
              <w:ind w:left="20"/>
              <w:spacing w:after="0"/>
              <w:rPr>
                <w:sz w:val="20"/>
                <w:szCs w:val="20"/>
                <w:color w:val="auto"/>
              </w:rPr>
            </w:pPr>
            <w:r>
              <w:rPr>
                <w:rFonts w:ascii="Arial" w:cs="Arial" w:eastAsia="Arial" w:hAnsi="Arial"/>
                <w:sz w:val="16"/>
                <w:szCs w:val="16"/>
                <w:color w:val="auto"/>
              </w:rPr>
              <w:t>American Funds Europacific Growth Fund R6</w:t>
            </w:r>
          </w:p>
        </w:tc>
        <w:tc>
          <w:tcPr>
            <w:tcW w:w="3220" w:type="dxa"/>
            <w:vAlign w:val="bottom"/>
          </w:tcPr>
          <w:p>
            <w:pPr>
              <w:jc w:val="right"/>
              <w:spacing w:after="0"/>
              <w:rPr>
                <w:sz w:val="20"/>
                <w:szCs w:val="20"/>
                <w:color w:val="auto"/>
              </w:rPr>
            </w:pPr>
            <w:r>
              <w:rPr>
                <w:rFonts w:ascii="Arial" w:cs="Arial" w:eastAsia="Arial" w:hAnsi="Arial"/>
                <w:sz w:val="16"/>
                <w:szCs w:val="16"/>
                <w:color w:val="auto"/>
              </w:rPr>
              <w:t>23.52 %</w:t>
            </w:r>
          </w:p>
        </w:tc>
      </w:tr>
      <w:tr>
        <w:trPr>
          <w:trHeight w:val="29"/>
        </w:trPr>
        <w:tc>
          <w:tcPr>
            <w:tcW w:w="4440" w:type="dxa"/>
            <w:vAlign w:val="bottom"/>
          </w:tcPr>
          <w:p>
            <w:pPr>
              <w:spacing w:after="0"/>
              <w:rPr>
                <w:sz w:val="2"/>
                <w:szCs w:val="2"/>
                <w:color w:val="auto"/>
              </w:rPr>
            </w:pPr>
          </w:p>
        </w:tc>
        <w:tc>
          <w:tcPr>
            <w:tcW w:w="3220" w:type="dxa"/>
            <w:vAlign w:val="bottom"/>
          </w:tcPr>
          <w:p>
            <w:pPr>
              <w:spacing w:after="0"/>
              <w:rPr>
                <w:sz w:val="2"/>
                <w:szCs w:val="2"/>
                <w:color w:val="auto"/>
              </w:rPr>
            </w:pPr>
          </w:p>
        </w:tc>
      </w:tr>
      <w:tr>
        <w:trPr>
          <w:trHeight w:val="220"/>
        </w:trPr>
        <w:tc>
          <w:tcPr>
            <w:tcW w:w="444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6"/>
                <w:szCs w:val="16"/>
                <w:color w:val="auto"/>
              </w:rPr>
              <w:t>Artisan Mid Cap Investor Fund</w:t>
            </w:r>
          </w:p>
        </w:tc>
        <w:tc>
          <w:tcPr>
            <w:tcW w:w="322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6"/>
                <w:szCs w:val="16"/>
                <w:color w:val="auto"/>
              </w:rPr>
              <w:t>24.98 %</w:t>
            </w:r>
          </w:p>
        </w:tc>
      </w:tr>
      <w:tr>
        <w:trPr>
          <w:trHeight w:val="211"/>
        </w:trPr>
        <w:tc>
          <w:tcPr>
            <w:tcW w:w="4440" w:type="dxa"/>
            <w:vAlign w:val="bottom"/>
          </w:tcPr>
          <w:p>
            <w:pPr>
              <w:ind w:left="20"/>
              <w:spacing w:after="0"/>
              <w:rPr>
                <w:sz w:val="20"/>
                <w:szCs w:val="20"/>
                <w:color w:val="auto"/>
              </w:rPr>
            </w:pPr>
            <w:r>
              <w:rPr>
                <w:rFonts w:ascii="Arial" w:cs="Arial" w:eastAsia="Arial" w:hAnsi="Arial"/>
                <w:sz w:val="16"/>
                <w:szCs w:val="16"/>
                <w:color w:val="auto"/>
              </w:rPr>
              <w:t>Fidelity Treasury Only Money Market Fund</w:t>
            </w:r>
          </w:p>
        </w:tc>
        <w:tc>
          <w:tcPr>
            <w:tcW w:w="3220" w:type="dxa"/>
            <w:vAlign w:val="bottom"/>
          </w:tcPr>
          <w:p>
            <w:pPr>
              <w:jc w:val="right"/>
              <w:spacing w:after="0"/>
              <w:rPr>
                <w:sz w:val="20"/>
                <w:szCs w:val="20"/>
                <w:color w:val="auto"/>
              </w:rPr>
            </w:pPr>
            <w:r>
              <w:rPr>
                <w:rFonts w:ascii="Arial" w:cs="Arial" w:eastAsia="Arial" w:hAnsi="Arial"/>
                <w:sz w:val="16"/>
                <w:szCs w:val="16"/>
                <w:color w:val="auto"/>
              </w:rPr>
              <w:t>5.03 %</w:t>
            </w:r>
          </w:p>
        </w:tc>
      </w:tr>
      <w:tr>
        <w:trPr>
          <w:trHeight w:val="29"/>
        </w:trPr>
        <w:tc>
          <w:tcPr>
            <w:tcW w:w="4440" w:type="dxa"/>
            <w:vAlign w:val="bottom"/>
          </w:tcPr>
          <w:p>
            <w:pPr>
              <w:spacing w:after="0"/>
              <w:rPr>
                <w:sz w:val="2"/>
                <w:szCs w:val="2"/>
                <w:color w:val="auto"/>
              </w:rPr>
            </w:pPr>
          </w:p>
        </w:tc>
        <w:tc>
          <w:tcPr>
            <w:tcW w:w="3220" w:type="dxa"/>
            <w:vAlign w:val="bottom"/>
          </w:tcPr>
          <w:p>
            <w:pPr>
              <w:spacing w:after="0"/>
              <w:rPr>
                <w:sz w:val="2"/>
                <w:szCs w:val="2"/>
                <w:color w:val="auto"/>
              </w:rPr>
            </w:pPr>
          </w:p>
        </w:tc>
      </w:tr>
      <w:tr>
        <w:trPr>
          <w:trHeight w:val="220"/>
        </w:trPr>
        <w:tc>
          <w:tcPr>
            <w:tcW w:w="444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6"/>
                <w:szCs w:val="16"/>
                <w:color w:val="auto"/>
              </w:rPr>
              <w:t>Fidelity US Bond Index</w:t>
            </w:r>
          </w:p>
        </w:tc>
        <w:tc>
          <w:tcPr>
            <w:tcW w:w="322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6"/>
                <w:szCs w:val="16"/>
                <w:color w:val="auto"/>
              </w:rPr>
              <w:t>10.53 %</w:t>
            </w:r>
          </w:p>
        </w:tc>
      </w:tr>
      <w:tr>
        <w:trPr>
          <w:trHeight w:val="211"/>
        </w:trPr>
        <w:tc>
          <w:tcPr>
            <w:tcW w:w="4440" w:type="dxa"/>
            <w:vAlign w:val="bottom"/>
          </w:tcPr>
          <w:p>
            <w:pPr>
              <w:ind w:left="20"/>
              <w:spacing w:after="0"/>
              <w:rPr>
                <w:sz w:val="20"/>
                <w:szCs w:val="20"/>
                <w:color w:val="auto"/>
              </w:rPr>
            </w:pPr>
            <w:r>
              <w:rPr>
                <w:rFonts w:ascii="Arial" w:cs="Arial" w:eastAsia="Arial" w:hAnsi="Arial"/>
                <w:sz w:val="16"/>
                <w:szCs w:val="16"/>
                <w:color w:val="auto"/>
              </w:rPr>
              <w:t>Goldman Sachs Small Cap Value Institutional Fund</w:t>
            </w:r>
          </w:p>
        </w:tc>
        <w:tc>
          <w:tcPr>
            <w:tcW w:w="3220" w:type="dxa"/>
            <w:vAlign w:val="bottom"/>
          </w:tcPr>
          <w:p>
            <w:pPr>
              <w:jc w:val="right"/>
              <w:spacing w:after="0"/>
              <w:rPr>
                <w:sz w:val="20"/>
                <w:szCs w:val="20"/>
                <w:color w:val="auto"/>
              </w:rPr>
            </w:pPr>
            <w:r>
              <w:rPr>
                <w:rFonts w:ascii="Arial" w:cs="Arial" w:eastAsia="Arial" w:hAnsi="Arial"/>
                <w:sz w:val="16"/>
                <w:szCs w:val="16"/>
                <w:color w:val="auto"/>
              </w:rPr>
              <w:t>27.31 %</w:t>
            </w:r>
          </w:p>
        </w:tc>
      </w:tr>
      <w:tr>
        <w:trPr>
          <w:trHeight w:val="29"/>
        </w:trPr>
        <w:tc>
          <w:tcPr>
            <w:tcW w:w="4440" w:type="dxa"/>
            <w:vAlign w:val="bottom"/>
          </w:tcPr>
          <w:p>
            <w:pPr>
              <w:spacing w:after="0"/>
              <w:rPr>
                <w:sz w:val="2"/>
                <w:szCs w:val="2"/>
                <w:color w:val="auto"/>
              </w:rPr>
            </w:pPr>
          </w:p>
        </w:tc>
        <w:tc>
          <w:tcPr>
            <w:tcW w:w="3220" w:type="dxa"/>
            <w:vAlign w:val="bottom"/>
          </w:tcPr>
          <w:p>
            <w:pPr>
              <w:spacing w:after="0"/>
              <w:rPr>
                <w:sz w:val="2"/>
                <w:szCs w:val="2"/>
                <w:color w:val="auto"/>
              </w:rPr>
            </w:pPr>
          </w:p>
        </w:tc>
      </w:tr>
      <w:tr>
        <w:trPr>
          <w:trHeight w:val="220"/>
        </w:trPr>
        <w:tc>
          <w:tcPr>
            <w:tcW w:w="444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6"/>
                <w:szCs w:val="16"/>
                <w:color w:val="auto"/>
              </w:rPr>
              <w:t>JPMorgan Mid Cap Value I Fund</w:t>
            </w:r>
          </w:p>
        </w:tc>
        <w:tc>
          <w:tcPr>
            <w:tcW w:w="322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6"/>
                <w:szCs w:val="16"/>
                <w:color w:val="auto"/>
              </w:rPr>
              <w:t>32.70 %</w:t>
            </w:r>
          </w:p>
        </w:tc>
      </w:tr>
      <w:tr>
        <w:trPr>
          <w:trHeight w:val="211"/>
        </w:trPr>
        <w:tc>
          <w:tcPr>
            <w:tcW w:w="4440" w:type="dxa"/>
            <w:vAlign w:val="bottom"/>
          </w:tcPr>
          <w:p>
            <w:pPr>
              <w:ind w:left="20"/>
              <w:spacing w:after="0"/>
              <w:rPr>
                <w:sz w:val="20"/>
                <w:szCs w:val="20"/>
                <w:color w:val="auto"/>
              </w:rPr>
            </w:pPr>
            <w:r>
              <w:rPr>
                <w:rFonts w:ascii="Arial" w:cs="Arial" w:eastAsia="Arial" w:hAnsi="Arial"/>
                <w:sz w:val="16"/>
                <w:szCs w:val="16"/>
                <w:color w:val="auto"/>
              </w:rPr>
              <w:t>PGIM Total Return Bond R6</w:t>
            </w:r>
          </w:p>
        </w:tc>
        <w:tc>
          <w:tcPr>
            <w:tcW w:w="3220" w:type="dxa"/>
            <w:vAlign w:val="bottom"/>
          </w:tcPr>
          <w:p>
            <w:pPr>
              <w:jc w:val="right"/>
              <w:spacing w:after="0"/>
              <w:rPr>
                <w:sz w:val="20"/>
                <w:szCs w:val="20"/>
                <w:color w:val="auto"/>
              </w:rPr>
            </w:pPr>
            <w:r>
              <w:rPr>
                <w:rFonts w:ascii="Arial" w:cs="Arial" w:eastAsia="Arial" w:hAnsi="Arial"/>
                <w:sz w:val="16"/>
                <w:szCs w:val="16"/>
                <w:color w:val="auto"/>
              </w:rPr>
              <w:t>12.71 %</w:t>
            </w:r>
          </w:p>
        </w:tc>
      </w:tr>
      <w:tr>
        <w:trPr>
          <w:trHeight w:val="29"/>
        </w:trPr>
        <w:tc>
          <w:tcPr>
            <w:tcW w:w="4440" w:type="dxa"/>
            <w:vAlign w:val="bottom"/>
          </w:tcPr>
          <w:p>
            <w:pPr>
              <w:spacing w:after="0"/>
              <w:rPr>
                <w:sz w:val="2"/>
                <w:szCs w:val="2"/>
                <w:color w:val="auto"/>
              </w:rPr>
            </w:pPr>
          </w:p>
        </w:tc>
        <w:tc>
          <w:tcPr>
            <w:tcW w:w="3220" w:type="dxa"/>
            <w:vAlign w:val="bottom"/>
          </w:tcPr>
          <w:p>
            <w:pPr>
              <w:spacing w:after="0"/>
              <w:rPr>
                <w:sz w:val="2"/>
                <w:szCs w:val="2"/>
                <w:color w:val="auto"/>
              </w:rPr>
            </w:pPr>
          </w:p>
        </w:tc>
      </w:tr>
      <w:tr>
        <w:trPr>
          <w:trHeight w:val="220"/>
        </w:trPr>
        <w:tc>
          <w:tcPr>
            <w:tcW w:w="444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6"/>
                <w:szCs w:val="16"/>
                <w:color w:val="auto"/>
              </w:rPr>
              <w:t>PIMCO International Bond Fund (Unhedged)</w:t>
            </w:r>
          </w:p>
        </w:tc>
        <w:tc>
          <w:tcPr>
            <w:tcW w:w="322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6"/>
                <w:szCs w:val="16"/>
                <w:color w:val="auto"/>
              </w:rPr>
              <w:t>11.70 %</w:t>
            </w:r>
          </w:p>
        </w:tc>
      </w:tr>
      <w:tr>
        <w:trPr>
          <w:trHeight w:val="211"/>
        </w:trPr>
        <w:tc>
          <w:tcPr>
            <w:tcW w:w="4440" w:type="dxa"/>
            <w:vAlign w:val="bottom"/>
          </w:tcPr>
          <w:p>
            <w:pPr>
              <w:ind w:left="20"/>
              <w:spacing w:after="0"/>
              <w:rPr>
                <w:sz w:val="20"/>
                <w:szCs w:val="20"/>
                <w:color w:val="auto"/>
              </w:rPr>
            </w:pPr>
            <w:r>
              <w:rPr>
                <w:rFonts w:ascii="Arial" w:cs="Arial" w:eastAsia="Arial" w:hAnsi="Arial"/>
                <w:sz w:val="16"/>
                <w:szCs w:val="16"/>
                <w:color w:val="auto"/>
              </w:rPr>
              <w:t>T. Rowe Price International Discovery Fund</w:t>
            </w:r>
          </w:p>
        </w:tc>
        <w:tc>
          <w:tcPr>
            <w:tcW w:w="3220" w:type="dxa"/>
            <w:vAlign w:val="bottom"/>
          </w:tcPr>
          <w:p>
            <w:pPr>
              <w:jc w:val="right"/>
              <w:spacing w:after="0"/>
              <w:rPr>
                <w:sz w:val="20"/>
                <w:szCs w:val="20"/>
                <w:color w:val="auto"/>
              </w:rPr>
            </w:pPr>
            <w:r>
              <w:rPr>
                <w:rFonts w:ascii="Arial" w:cs="Arial" w:eastAsia="Arial" w:hAnsi="Arial"/>
                <w:sz w:val="16"/>
                <w:szCs w:val="16"/>
                <w:color w:val="auto"/>
              </w:rPr>
              <w:t>24.63 %</w:t>
            </w:r>
          </w:p>
        </w:tc>
      </w:tr>
      <w:tr>
        <w:trPr>
          <w:trHeight w:val="29"/>
        </w:trPr>
        <w:tc>
          <w:tcPr>
            <w:tcW w:w="4440" w:type="dxa"/>
            <w:vAlign w:val="bottom"/>
          </w:tcPr>
          <w:p>
            <w:pPr>
              <w:spacing w:after="0"/>
              <w:rPr>
                <w:sz w:val="2"/>
                <w:szCs w:val="2"/>
                <w:color w:val="auto"/>
              </w:rPr>
            </w:pPr>
          </w:p>
        </w:tc>
        <w:tc>
          <w:tcPr>
            <w:tcW w:w="3220" w:type="dxa"/>
            <w:vAlign w:val="bottom"/>
          </w:tcPr>
          <w:p>
            <w:pPr>
              <w:spacing w:after="0"/>
              <w:rPr>
                <w:sz w:val="2"/>
                <w:szCs w:val="2"/>
                <w:color w:val="auto"/>
              </w:rPr>
            </w:pPr>
          </w:p>
        </w:tc>
      </w:tr>
      <w:tr>
        <w:trPr>
          <w:trHeight w:val="220"/>
        </w:trPr>
        <w:tc>
          <w:tcPr>
            <w:tcW w:w="444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6"/>
                <w:szCs w:val="16"/>
                <w:color w:val="auto"/>
              </w:rPr>
              <w:t>The Toro Company</w:t>
            </w:r>
          </w:p>
        </w:tc>
        <w:tc>
          <w:tcPr>
            <w:tcW w:w="322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6"/>
                <w:szCs w:val="16"/>
                <w:color w:val="auto"/>
              </w:rPr>
              <w:t>1.09 %</w:t>
            </w:r>
          </w:p>
        </w:tc>
      </w:tr>
      <w:tr>
        <w:trPr>
          <w:trHeight w:val="211"/>
        </w:trPr>
        <w:tc>
          <w:tcPr>
            <w:tcW w:w="4440" w:type="dxa"/>
            <w:vAlign w:val="bottom"/>
          </w:tcPr>
          <w:p>
            <w:pPr>
              <w:ind w:left="20"/>
              <w:spacing w:after="0"/>
              <w:rPr>
                <w:sz w:val="20"/>
                <w:szCs w:val="20"/>
                <w:color w:val="auto"/>
              </w:rPr>
            </w:pPr>
            <w:r>
              <w:rPr>
                <w:rFonts w:ascii="Arial" w:cs="Arial" w:eastAsia="Arial" w:hAnsi="Arial"/>
                <w:sz w:val="16"/>
                <w:szCs w:val="16"/>
                <w:color w:val="auto"/>
              </w:rPr>
              <w:t>Vanguard Explorer Fund Admiral Shares</w:t>
            </w:r>
          </w:p>
        </w:tc>
        <w:tc>
          <w:tcPr>
            <w:tcW w:w="3220" w:type="dxa"/>
            <w:vAlign w:val="bottom"/>
          </w:tcPr>
          <w:p>
            <w:pPr>
              <w:jc w:val="right"/>
              <w:spacing w:after="0"/>
              <w:rPr>
                <w:sz w:val="20"/>
                <w:szCs w:val="20"/>
                <w:color w:val="auto"/>
              </w:rPr>
            </w:pPr>
            <w:r>
              <w:rPr>
                <w:rFonts w:ascii="Arial" w:cs="Arial" w:eastAsia="Arial" w:hAnsi="Arial"/>
                <w:sz w:val="16"/>
                <w:szCs w:val="16"/>
                <w:color w:val="auto"/>
              </w:rPr>
              <w:t>31.76 %</w:t>
            </w:r>
          </w:p>
        </w:tc>
      </w:tr>
      <w:tr>
        <w:trPr>
          <w:trHeight w:val="29"/>
        </w:trPr>
        <w:tc>
          <w:tcPr>
            <w:tcW w:w="4440" w:type="dxa"/>
            <w:vAlign w:val="bottom"/>
          </w:tcPr>
          <w:p>
            <w:pPr>
              <w:spacing w:after="0"/>
              <w:rPr>
                <w:sz w:val="2"/>
                <w:szCs w:val="2"/>
                <w:color w:val="auto"/>
              </w:rPr>
            </w:pPr>
          </w:p>
        </w:tc>
        <w:tc>
          <w:tcPr>
            <w:tcW w:w="3220" w:type="dxa"/>
            <w:vAlign w:val="bottom"/>
          </w:tcPr>
          <w:p>
            <w:pPr>
              <w:spacing w:after="0"/>
              <w:rPr>
                <w:sz w:val="2"/>
                <w:szCs w:val="2"/>
                <w:color w:val="auto"/>
              </w:rPr>
            </w:pPr>
          </w:p>
        </w:tc>
      </w:tr>
      <w:tr>
        <w:trPr>
          <w:trHeight w:val="220"/>
        </w:trPr>
        <w:tc>
          <w:tcPr>
            <w:tcW w:w="444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6"/>
                <w:szCs w:val="16"/>
                <w:color w:val="auto"/>
              </w:rPr>
              <w:t>Vanguard Institutional Index Fund Institutional Shares</w:t>
            </w:r>
          </w:p>
        </w:tc>
        <w:tc>
          <w:tcPr>
            <w:tcW w:w="322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6"/>
                <w:szCs w:val="16"/>
                <w:color w:val="auto"/>
              </w:rPr>
              <w:t>37.97 %</w:t>
            </w:r>
          </w:p>
        </w:tc>
      </w:tr>
      <w:tr>
        <w:trPr>
          <w:trHeight w:val="211"/>
        </w:trPr>
        <w:tc>
          <w:tcPr>
            <w:tcW w:w="4440" w:type="dxa"/>
            <w:vAlign w:val="bottom"/>
          </w:tcPr>
          <w:p>
            <w:pPr>
              <w:ind w:left="20"/>
              <w:spacing w:after="0"/>
              <w:rPr>
                <w:sz w:val="20"/>
                <w:szCs w:val="20"/>
                <w:color w:val="auto"/>
              </w:rPr>
            </w:pPr>
            <w:r>
              <w:rPr>
                <w:rFonts w:ascii="Arial" w:cs="Arial" w:eastAsia="Arial" w:hAnsi="Arial"/>
                <w:sz w:val="16"/>
                <w:szCs w:val="16"/>
                <w:color w:val="auto"/>
              </w:rPr>
              <w:t>Vanguard Mid Cap Index Fund Admiral Shares</w:t>
            </w:r>
          </w:p>
        </w:tc>
        <w:tc>
          <w:tcPr>
            <w:tcW w:w="3220" w:type="dxa"/>
            <w:vAlign w:val="bottom"/>
          </w:tcPr>
          <w:p>
            <w:pPr>
              <w:jc w:val="right"/>
              <w:spacing w:after="0"/>
              <w:rPr>
                <w:sz w:val="20"/>
                <w:szCs w:val="20"/>
                <w:color w:val="auto"/>
              </w:rPr>
            </w:pPr>
            <w:r>
              <w:rPr>
                <w:rFonts w:ascii="Arial" w:cs="Arial" w:eastAsia="Arial" w:hAnsi="Arial"/>
                <w:sz w:val="16"/>
                <w:szCs w:val="16"/>
                <w:color w:val="auto"/>
              </w:rPr>
              <w:t>34.61 %</w:t>
            </w:r>
          </w:p>
        </w:tc>
      </w:tr>
      <w:tr>
        <w:trPr>
          <w:trHeight w:val="29"/>
        </w:trPr>
        <w:tc>
          <w:tcPr>
            <w:tcW w:w="4440" w:type="dxa"/>
            <w:vAlign w:val="bottom"/>
          </w:tcPr>
          <w:p>
            <w:pPr>
              <w:spacing w:after="0"/>
              <w:rPr>
                <w:sz w:val="2"/>
                <w:szCs w:val="2"/>
                <w:color w:val="auto"/>
              </w:rPr>
            </w:pPr>
          </w:p>
        </w:tc>
        <w:tc>
          <w:tcPr>
            <w:tcW w:w="3220" w:type="dxa"/>
            <w:vAlign w:val="bottom"/>
          </w:tcPr>
          <w:p>
            <w:pPr>
              <w:spacing w:after="0"/>
              <w:rPr>
                <w:sz w:val="2"/>
                <w:szCs w:val="2"/>
                <w:color w:val="auto"/>
              </w:rPr>
            </w:pPr>
          </w:p>
        </w:tc>
      </w:tr>
      <w:tr>
        <w:trPr>
          <w:trHeight w:val="220"/>
        </w:trPr>
        <w:tc>
          <w:tcPr>
            <w:tcW w:w="444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6"/>
                <w:szCs w:val="16"/>
                <w:color w:val="auto"/>
              </w:rPr>
              <w:t>Vanguard Small Cap Index Fund Admiral Shares</w:t>
            </w:r>
          </w:p>
        </w:tc>
        <w:tc>
          <w:tcPr>
            <w:tcW w:w="322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6"/>
                <w:szCs w:val="16"/>
                <w:color w:val="auto"/>
              </w:rPr>
              <w:t>34.34 %</w:t>
            </w:r>
          </w:p>
        </w:tc>
      </w:tr>
      <w:tr>
        <w:trPr>
          <w:trHeight w:val="211"/>
        </w:trPr>
        <w:tc>
          <w:tcPr>
            <w:tcW w:w="4440" w:type="dxa"/>
            <w:vAlign w:val="bottom"/>
          </w:tcPr>
          <w:p>
            <w:pPr>
              <w:ind w:left="20"/>
              <w:spacing w:after="0"/>
              <w:rPr>
                <w:sz w:val="20"/>
                <w:szCs w:val="20"/>
                <w:color w:val="auto"/>
              </w:rPr>
            </w:pPr>
            <w:r>
              <w:rPr>
                <w:rFonts w:ascii="Arial" w:cs="Arial" w:eastAsia="Arial" w:hAnsi="Arial"/>
                <w:sz w:val="16"/>
                <w:szCs w:val="16"/>
                <w:color w:val="auto"/>
              </w:rPr>
              <w:t>Vanguard Target Retirement 2020 Fund</w:t>
            </w:r>
          </w:p>
        </w:tc>
        <w:tc>
          <w:tcPr>
            <w:tcW w:w="3220" w:type="dxa"/>
            <w:vAlign w:val="bottom"/>
          </w:tcPr>
          <w:p>
            <w:pPr>
              <w:jc w:val="right"/>
              <w:spacing w:after="0"/>
              <w:rPr>
                <w:sz w:val="20"/>
                <w:szCs w:val="20"/>
                <w:color w:val="auto"/>
              </w:rPr>
            </w:pPr>
            <w:r>
              <w:rPr>
                <w:rFonts w:ascii="Arial" w:cs="Arial" w:eastAsia="Arial" w:hAnsi="Arial"/>
                <w:sz w:val="16"/>
                <w:szCs w:val="16"/>
                <w:color w:val="auto"/>
              </w:rPr>
              <w:t>18.00 %</w:t>
            </w:r>
          </w:p>
        </w:tc>
      </w:tr>
      <w:tr>
        <w:trPr>
          <w:trHeight w:val="29"/>
        </w:trPr>
        <w:tc>
          <w:tcPr>
            <w:tcW w:w="4440" w:type="dxa"/>
            <w:vAlign w:val="bottom"/>
          </w:tcPr>
          <w:p>
            <w:pPr>
              <w:spacing w:after="0"/>
              <w:rPr>
                <w:sz w:val="2"/>
                <w:szCs w:val="2"/>
                <w:color w:val="auto"/>
              </w:rPr>
            </w:pPr>
          </w:p>
        </w:tc>
        <w:tc>
          <w:tcPr>
            <w:tcW w:w="3220" w:type="dxa"/>
            <w:vAlign w:val="bottom"/>
          </w:tcPr>
          <w:p>
            <w:pPr>
              <w:spacing w:after="0"/>
              <w:rPr>
                <w:sz w:val="2"/>
                <w:szCs w:val="2"/>
                <w:color w:val="auto"/>
              </w:rPr>
            </w:pPr>
          </w:p>
        </w:tc>
      </w:tr>
      <w:tr>
        <w:trPr>
          <w:trHeight w:val="220"/>
        </w:trPr>
        <w:tc>
          <w:tcPr>
            <w:tcW w:w="444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6"/>
                <w:szCs w:val="16"/>
                <w:color w:val="auto"/>
              </w:rPr>
              <w:t>Vanguard Target Retirement 2025 Fund</w:t>
            </w:r>
          </w:p>
        </w:tc>
        <w:tc>
          <w:tcPr>
            <w:tcW w:w="322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6"/>
                <w:szCs w:val="16"/>
                <w:color w:val="auto"/>
              </w:rPr>
              <w:t>21.13 %</w:t>
            </w:r>
          </w:p>
        </w:tc>
      </w:tr>
      <w:tr>
        <w:trPr>
          <w:trHeight w:val="211"/>
        </w:trPr>
        <w:tc>
          <w:tcPr>
            <w:tcW w:w="4440" w:type="dxa"/>
            <w:vAlign w:val="bottom"/>
          </w:tcPr>
          <w:p>
            <w:pPr>
              <w:ind w:left="20"/>
              <w:spacing w:after="0"/>
              <w:rPr>
                <w:sz w:val="20"/>
                <w:szCs w:val="20"/>
                <w:color w:val="auto"/>
              </w:rPr>
            </w:pPr>
            <w:r>
              <w:rPr>
                <w:rFonts w:ascii="Arial" w:cs="Arial" w:eastAsia="Arial" w:hAnsi="Arial"/>
                <w:sz w:val="16"/>
                <w:szCs w:val="16"/>
                <w:color w:val="auto"/>
              </w:rPr>
              <w:t>Vanguard Target Retirement 2030 Fund</w:t>
            </w:r>
          </w:p>
        </w:tc>
        <w:tc>
          <w:tcPr>
            <w:tcW w:w="3220" w:type="dxa"/>
            <w:vAlign w:val="bottom"/>
          </w:tcPr>
          <w:p>
            <w:pPr>
              <w:jc w:val="right"/>
              <w:spacing w:after="0"/>
              <w:rPr>
                <w:sz w:val="20"/>
                <w:szCs w:val="20"/>
                <w:color w:val="auto"/>
              </w:rPr>
            </w:pPr>
            <w:r>
              <w:rPr>
                <w:rFonts w:ascii="Arial" w:cs="Arial" w:eastAsia="Arial" w:hAnsi="Arial"/>
                <w:sz w:val="16"/>
                <w:szCs w:val="16"/>
                <w:color w:val="auto"/>
              </w:rPr>
              <w:t>23.41 %</w:t>
            </w:r>
          </w:p>
        </w:tc>
      </w:tr>
      <w:tr>
        <w:trPr>
          <w:trHeight w:val="29"/>
        </w:trPr>
        <w:tc>
          <w:tcPr>
            <w:tcW w:w="4440" w:type="dxa"/>
            <w:vAlign w:val="bottom"/>
          </w:tcPr>
          <w:p>
            <w:pPr>
              <w:spacing w:after="0"/>
              <w:rPr>
                <w:sz w:val="2"/>
                <w:szCs w:val="2"/>
                <w:color w:val="auto"/>
              </w:rPr>
            </w:pPr>
          </w:p>
        </w:tc>
        <w:tc>
          <w:tcPr>
            <w:tcW w:w="3220" w:type="dxa"/>
            <w:vAlign w:val="bottom"/>
          </w:tcPr>
          <w:p>
            <w:pPr>
              <w:spacing w:after="0"/>
              <w:rPr>
                <w:sz w:val="2"/>
                <w:szCs w:val="2"/>
                <w:color w:val="auto"/>
              </w:rPr>
            </w:pPr>
          </w:p>
        </w:tc>
      </w:tr>
      <w:tr>
        <w:trPr>
          <w:trHeight w:val="220"/>
        </w:trPr>
        <w:tc>
          <w:tcPr>
            <w:tcW w:w="444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6"/>
                <w:szCs w:val="16"/>
                <w:color w:val="auto"/>
              </w:rPr>
              <w:t>Vanguard Target Retirement 2035 Fund</w:t>
            </w:r>
          </w:p>
        </w:tc>
        <w:tc>
          <w:tcPr>
            <w:tcW w:w="322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6"/>
                <w:szCs w:val="16"/>
                <w:color w:val="auto"/>
              </w:rPr>
              <w:t>25.12 %</w:t>
            </w:r>
          </w:p>
        </w:tc>
      </w:tr>
      <w:tr>
        <w:trPr>
          <w:trHeight w:val="211"/>
        </w:trPr>
        <w:tc>
          <w:tcPr>
            <w:tcW w:w="4440" w:type="dxa"/>
            <w:vAlign w:val="bottom"/>
          </w:tcPr>
          <w:p>
            <w:pPr>
              <w:ind w:left="20"/>
              <w:spacing w:after="0"/>
              <w:rPr>
                <w:sz w:val="20"/>
                <w:szCs w:val="20"/>
                <w:color w:val="auto"/>
              </w:rPr>
            </w:pPr>
            <w:r>
              <w:rPr>
                <w:rFonts w:ascii="Arial" w:cs="Arial" w:eastAsia="Arial" w:hAnsi="Arial"/>
                <w:sz w:val="16"/>
                <w:szCs w:val="16"/>
                <w:color w:val="auto"/>
              </w:rPr>
              <w:t>Vanguard Target Retirement 2040 Fund</w:t>
            </w:r>
          </w:p>
        </w:tc>
        <w:tc>
          <w:tcPr>
            <w:tcW w:w="3220" w:type="dxa"/>
            <w:vAlign w:val="bottom"/>
          </w:tcPr>
          <w:p>
            <w:pPr>
              <w:jc w:val="right"/>
              <w:spacing w:after="0"/>
              <w:rPr>
                <w:sz w:val="20"/>
                <w:szCs w:val="20"/>
                <w:color w:val="auto"/>
              </w:rPr>
            </w:pPr>
            <w:r>
              <w:rPr>
                <w:rFonts w:ascii="Arial" w:cs="Arial" w:eastAsia="Arial" w:hAnsi="Arial"/>
                <w:sz w:val="16"/>
                <w:szCs w:val="16"/>
                <w:color w:val="auto"/>
              </w:rPr>
              <w:t>26.76 %</w:t>
            </w:r>
          </w:p>
        </w:tc>
      </w:tr>
      <w:tr>
        <w:trPr>
          <w:trHeight w:val="29"/>
        </w:trPr>
        <w:tc>
          <w:tcPr>
            <w:tcW w:w="4440" w:type="dxa"/>
            <w:vAlign w:val="bottom"/>
          </w:tcPr>
          <w:p>
            <w:pPr>
              <w:spacing w:after="0"/>
              <w:rPr>
                <w:sz w:val="2"/>
                <w:szCs w:val="2"/>
                <w:color w:val="auto"/>
              </w:rPr>
            </w:pPr>
          </w:p>
        </w:tc>
        <w:tc>
          <w:tcPr>
            <w:tcW w:w="3220" w:type="dxa"/>
            <w:vAlign w:val="bottom"/>
          </w:tcPr>
          <w:p>
            <w:pPr>
              <w:spacing w:after="0"/>
              <w:rPr>
                <w:sz w:val="2"/>
                <w:szCs w:val="2"/>
                <w:color w:val="auto"/>
              </w:rPr>
            </w:pPr>
          </w:p>
        </w:tc>
      </w:tr>
      <w:tr>
        <w:trPr>
          <w:trHeight w:val="220"/>
        </w:trPr>
        <w:tc>
          <w:tcPr>
            <w:tcW w:w="444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6"/>
                <w:szCs w:val="16"/>
                <w:color w:val="auto"/>
              </w:rPr>
              <w:t>Vanguard Target Retirement 2045 Fund</w:t>
            </w:r>
          </w:p>
        </w:tc>
        <w:tc>
          <w:tcPr>
            <w:tcW w:w="322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6"/>
                <w:szCs w:val="16"/>
                <w:color w:val="auto"/>
              </w:rPr>
              <w:t>28.35 %</w:t>
            </w:r>
          </w:p>
        </w:tc>
      </w:tr>
      <w:tr>
        <w:trPr>
          <w:trHeight w:val="211"/>
        </w:trPr>
        <w:tc>
          <w:tcPr>
            <w:tcW w:w="4440" w:type="dxa"/>
            <w:vAlign w:val="bottom"/>
          </w:tcPr>
          <w:p>
            <w:pPr>
              <w:ind w:left="20"/>
              <w:spacing w:after="0"/>
              <w:rPr>
                <w:sz w:val="20"/>
                <w:szCs w:val="20"/>
                <w:color w:val="auto"/>
              </w:rPr>
            </w:pPr>
            <w:r>
              <w:rPr>
                <w:rFonts w:ascii="Arial" w:cs="Arial" w:eastAsia="Arial" w:hAnsi="Arial"/>
                <w:sz w:val="16"/>
                <w:szCs w:val="16"/>
                <w:color w:val="auto"/>
              </w:rPr>
              <w:t>Vanguard Target Retirement 2050 Fund</w:t>
            </w:r>
          </w:p>
        </w:tc>
        <w:tc>
          <w:tcPr>
            <w:tcW w:w="3220" w:type="dxa"/>
            <w:vAlign w:val="bottom"/>
          </w:tcPr>
          <w:p>
            <w:pPr>
              <w:jc w:val="right"/>
              <w:spacing w:after="0"/>
              <w:rPr>
                <w:sz w:val="20"/>
                <w:szCs w:val="20"/>
                <w:color w:val="auto"/>
              </w:rPr>
            </w:pPr>
            <w:r>
              <w:rPr>
                <w:rFonts w:ascii="Arial" w:cs="Arial" w:eastAsia="Arial" w:hAnsi="Arial"/>
                <w:sz w:val="16"/>
                <w:szCs w:val="16"/>
                <w:color w:val="auto"/>
              </w:rPr>
              <w:t>29.58 %</w:t>
            </w:r>
          </w:p>
        </w:tc>
      </w:tr>
      <w:tr>
        <w:trPr>
          <w:trHeight w:val="29"/>
        </w:trPr>
        <w:tc>
          <w:tcPr>
            <w:tcW w:w="4440" w:type="dxa"/>
            <w:vAlign w:val="bottom"/>
          </w:tcPr>
          <w:p>
            <w:pPr>
              <w:spacing w:after="0"/>
              <w:rPr>
                <w:sz w:val="2"/>
                <w:szCs w:val="2"/>
                <w:color w:val="auto"/>
              </w:rPr>
            </w:pPr>
          </w:p>
        </w:tc>
        <w:tc>
          <w:tcPr>
            <w:tcW w:w="3220" w:type="dxa"/>
            <w:vAlign w:val="bottom"/>
          </w:tcPr>
          <w:p>
            <w:pPr>
              <w:spacing w:after="0"/>
              <w:rPr>
                <w:sz w:val="2"/>
                <w:szCs w:val="2"/>
                <w:color w:val="auto"/>
              </w:rPr>
            </w:pPr>
          </w:p>
        </w:tc>
      </w:tr>
      <w:tr>
        <w:trPr>
          <w:trHeight w:val="220"/>
        </w:trPr>
        <w:tc>
          <w:tcPr>
            <w:tcW w:w="444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6"/>
                <w:szCs w:val="16"/>
                <w:color w:val="auto"/>
              </w:rPr>
              <w:t>Vanguard Target Retirement 2055 Fund</w:t>
            </w:r>
          </w:p>
        </w:tc>
        <w:tc>
          <w:tcPr>
            <w:tcW w:w="322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6"/>
                <w:szCs w:val="16"/>
                <w:color w:val="auto"/>
              </w:rPr>
              <w:t>29.61 %</w:t>
            </w:r>
          </w:p>
        </w:tc>
      </w:tr>
      <w:tr>
        <w:trPr>
          <w:trHeight w:val="211"/>
        </w:trPr>
        <w:tc>
          <w:tcPr>
            <w:tcW w:w="4440" w:type="dxa"/>
            <w:vAlign w:val="bottom"/>
          </w:tcPr>
          <w:p>
            <w:pPr>
              <w:ind w:left="20"/>
              <w:spacing w:after="0"/>
              <w:rPr>
                <w:sz w:val="20"/>
                <w:szCs w:val="20"/>
                <w:color w:val="auto"/>
              </w:rPr>
            </w:pPr>
            <w:r>
              <w:rPr>
                <w:rFonts w:ascii="Arial" w:cs="Arial" w:eastAsia="Arial" w:hAnsi="Arial"/>
                <w:sz w:val="16"/>
                <w:szCs w:val="16"/>
                <w:color w:val="auto"/>
              </w:rPr>
              <w:t>Vanguard Target Retirement 2060 Fund</w:t>
            </w:r>
          </w:p>
        </w:tc>
        <w:tc>
          <w:tcPr>
            <w:tcW w:w="3220" w:type="dxa"/>
            <w:vAlign w:val="bottom"/>
          </w:tcPr>
          <w:p>
            <w:pPr>
              <w:jc w:val="right"/>
              <w:spacing w:after="0"/>
              <w:rPr>
                <w:sz w:val="20"/>
                <w:szCs w:val="20"/>
                <w:color w:val="auto"/>
              </w:rPr>
            </w:pPr>
            <w:r>
              <w:rPr>
                <w:rFonts w:ascii="Arial" w:cs="Arial" w:eastAsia="Arial" w:hAnsi="Arial"/>
                <w:sz w:val="16"/>
                <w:szCs w:val="16"/>
                <w:color w:val="auto"/>
              </w:rPr>
              <w:t>29.60 %</w:t>
            </w:r>
          </w:p>
        </w:tc>
      </w:tr>
      <w:tr>
        <w:trPr>
          <w:trHeight w:val="29"/>
        </w:trPr>
        <w:tc>
          <w:tcPr>
            <w:tcW w:w="4440" w:type="dxa"/>
            <w:vAlign w:val="bottom"/>
          </w:tcPr>
          <w:p>
            <w:pPr>
              <w:spacing w:after="0"/>
              <w:rPr>
                <w:sz w:val="2"/>
                <w:szCs w:val="2"/>
                <w:color w:val="auto"/>
              </w:rPr>
            </w:pPr>
          </w:p>
        </w:tc>
        <w:tc>
          <w:tcPr>
            <w:tcW w:w="3220" w:type="dxa"/>
            <w:vAlign w:val="bottom"/>
          </w:tcPr>
          <w:p>
            <w:pPr>
              <w:spacing w:after="0"/>
              <w:rPr>
                <w:sz w:val="2"/>
                <w:szCs w:val="2"/>
                <w:color w:val="auto"/>
              </w:rPr>
            </w:pPr>
          </w:p>
        </w:tc>
      </w:tr>
      <w:tr>
        <w:trPr>
          <w:trHeight w:val="220"/>
        </w:trPr>
        <w:tc>
          <w:tcPr>
            <w:tcW w:w="444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6"/>
                <w:szCs w:val="16"/>
                <w:color w:val="auto"/>
              </w:rPr>
              <w:t>Vanguard Target Retirement 2065 Fund</w:t>
            </w:r>
          </w:p>
        </w:tc>
        <w:tc>
          <w:tcPr>
            <w:tcW w:w="322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6"/>
                <w:szCs w:val="16"/>
                <w:color w:val="auto"/>
              </w:rPr>
              <w:t>29.61 %</w:t>
            </w:r>
          </w:p>
        </w:tc>
      </w:tr>
      <w:tr>
        <w:trPr>
          <w:trHeight w:val="211"/>
        </w:trPr>
        <w:tc>
          <w:tcPr>
            <w:tcW w:w="4440" w:type="dxa"/>
            <w:vAlign w:val="bottom"/>
          </w:tcPr>
          <w:p>
            <w:pPr>
              <w:ind w:left="20"/>
              <w:spacing w:after="0"/>
              <w:rPr>
                <w:sz w:val="20"/>
                <w:szCs w:val="20"/>
                <w:color w:val="auto"/>
              </w:rPr>
            </w:pPr>
            <w:r>
              <w:rPr>
                <w:rFonts w:ascii="Arial" w:cs="Arial" w:eastAsia="Arial" w:hAnsi="Arial"/>
                <w:sz w:val="16"/>
                <w:szCs w:val="16"/>
                <w:color w:val="auto"/>
              </w:rPr>
              <w:t>Vanguard Target Retirement Income Fund</w:t>
            </w:r>
          </w:p>
        </w:tc>
        <w:tc>
          <w:tcPr>
            <w:tcW w:w="3220" w:type="dxa"/>
            <w:vAlign w:val="bottom"/>
          </w:tcPr>
          <w:p>
            <w:pPr>
              <w:jc w:val="right"/>
              <w:spacing w:after="0"/>
              <w:rPr>
                <w:sz w:val="20"/>
                <w:szCs w:val="20"/>
                <w:color w:val="auto"/>
              </w:rPr>
            </w:pPr>
            <w:r>
              <w:rPr>
                <w:rFonts w:ascii="Arial" w:cs="Arial" w:eastAsia="Arial" w:hAnsi="Arial"/>
                <w:sz w:val="16"/>
                <w:szCs w:val="16"/>
                <w:color w:val="auto"/>
              </w:rPr>
              <w:t>15.80 %</w:t>
            </w:r>
          </w:p>
        </w:tc>
      </w:tr>
    </w:tbl>
    <w:p>
      <w:pPr>
        <w:spacing w:after="0" w:line="92" w:lineRule="exact"/>
        <w:rPr>
          <w:sz w:val="20"/>
          <w:szCs w:val="20"/>
          <w:color w:val="auto"/>
        </w:rPr>
      </w:pPr>
    </w:p>
    <w:p>
      <w:pPr>
        <w:jc w:val="both"/>
        <w:ind w:left="313" w:hanging="313"/>
        <w:spacing w:after="0" w:line="254" w:lineRule="auto"/>
        <w:tabs>
          <w:tab w:leader="none" w:pos="301" w:val="left"/>
        </w:tabs>
        <w:numPr>
          <w:ilvl w:val="0"/>
          <w:numId w:val="74"/>
        </w:numPr>
        <w:rPr>
          <w:rFonts w:ascii="Arial" w:cs="Arial" w:eastAsia="Arial" w:hAnsi="Arial"/>
          <w:sz w:val="18"/>
          <w:szCs w:val="18"/>
          <w:color w:val="auto"/>
        </w:rPr>
      </w:pPr>
      <w:r>
        <w:rPr>
          <w:rFonts w:ascii="Arial" w:cs="Arial" w:eastAsia="Arial" w:hAnsi="Arial"/>
          <w:sz w:val="18"/>
          <w:szCs w:val="18"/>
          <w:color w:val="auto"/>
        </w:rPr>
        <w:t>Amounts reported represent the total balance at October 31, 2024, the last day of fiscal 2024, plus any NEO's or Company contributions for fiscal 2024 that were paid, or expected to be paid, after October 31, 2024. Includes the following amounts reported in the Summary Compensation Table in the Base Salary or Non-Equity Incentive Plan Compensation column for fiscal years 2022 and 2023:</w:t>
      </w:r>
    </w:p>
    <w:p>
      <w:pPr>
        <w:spacing w:after="0" w:line="53" w:lineRule="exact"/>
        <w:rPr>
          <w:sz w:val="20"/>
          <w:szCs w:val="20"/>
          <w:color w:val="auto"/>
        </w:rPr>
      </w:pPr>
    </w:p>
    <w:tbl>
      <w:tblPr>
        <w:tblLayout w:type="fixed"/>
        <w:tblInd w:w="393" w:type="dxa"/>
        <w:tblCellMar>
          <w:top w:w="0" w:type="dxa"/>
          <w:left w:w="0" w:type="dxa"/>
          <w:bottom w:w="0" w:type="dxa"/>
          <w:right w:w="0" w:type="dxa"/>
        </w:tblCellMar>
      </w:tblPr>
      <w:tr>
        <w:trPr>
          <w:trHeight w:val="240"/>
        </w:trPr>
        <w:tc>
          <w:tcPr>
            <w:tcW w:w="3860" w:type="dxa"/>
            <w:vAlign w:val="bottom"/>
            <w:shd w:val="clear" w:color="auto" w:fill="BF2115"/>
          </w:tcPr>
          <w:p>
            <w:pPr>
              <w:ind w:left="20"/>
              <w:spacing w:after="0"/>
              <w:rPr>
                <w:sz w:val="20"/>
                <w:szCs w:val="20"/>
                <w:color w:val="auto"/>
              </w:rPr>
            </w:pPr>
            <w:r>
              <w:rPr>
                <w:rFonts w:ascii="Arial" w:cs="Arial" w:eastAsia="Arial" w:hAnsi="Arial"/>
                <w:sz w:val="16"/>
                <w:szCs w:val="16"/>
                <w:b w:val="1"/>
                <w:bCs w:val="1"/>
                <w:color w:val="FFFFFF"/>
              </w:rPr>
              <w:t>Name</w:t>
            </w:r>
          </w:p>
        </w:tc>
        <w:tc>
          <w:tcPr>
            <w:tcW w:w="3720" w:type="dxa"/>
            <w:vAlign w:val="bottom"/>
            <w:shd w:val="clear" w:color="auto" w:fill="BF2115"/>
          </w:tcPr>
          <w:p>
            <w:pPr>
              <w:jc w:val="right"/>
              <w:spacing w:after="0"/>
              <w:rPr>
                <w:sz w:val="20"/>
                <w:szCs w:val="20"/>
                <w:color w:val="auto"/>
              </w:rPr>
            </w:pPr>
            <w:r>
              <w:rPr>
                <w:rFonts w:ascii="Arial" w:cs="Arial" w:eastAsia="Arial" w:hAnsi="Arial"/>
                <w:sz w:val="16"/>
                <w:szCs w:val="16"/>
                <w:b w:val="1"/>
                <w:bCs w:val="1"/>
                <w:color w:val="FFFFFF"/>
              </w:rPr>
              <w:t>Amount ($)</w:t>
            </w:r>
          </w:p>
        </w:tc>
      </w:tr>
      <w:tr>
        <w:trPr>
          <w:trHeight w:val="211"/>
        </w:trPr>
        <w:tc>
          <w:tcPr>
            <w:tcW w:w="3860" w:type="dxa"/>
            <w:vAlign w:val="bottom"/>
          </w:tcPr>
          <w:p>
            <w:pPr>
              <w:ind w:left="20"/>
              <w:spacing w:after="0"/>
              <w:rPr>
                <w:sz w:val="20"/>
                <w:szCs w:val="20"/>
                <w:color w:val="auto"/>
              </w:rPr>
            </w:pPr>
            <w:r>
              <w:rPr>
                <w:rFonts w:ascii="Arial" w:cs="Arial" w:eastAsia="Arial" w:hAnsi="Arial"/>
                <w:sz w:val="16"/>
                <w:szCs w:val="16"/>
                <w:color w:val="auto"/>
              </w:rPr>
              <w:t>Mr. Olson</w:t>
            </w:r>
          </w:p>
        </w:tc>
        <w:tc>
          <w:tcPr>
            <w:tcW w:w="3720" w:type="dxa"/>
            <w:vAlign w:val="bottom"/>
          </w:tcPr>
          <w:p>
            <w:pPr>
              <w:jc w:val="right"/>
              <w:spacing w:after="0"/>
              <w:rPr>
                <w:sz w:val="20"/>
                <w:szCs w:val="20"/>
                <w:color w:val="auto"/>
              </w:rPr>
            </w:pPr>
            <w:r>
              <w:rPr>
                <w:rFonts w:ascii="Arial" w:cs="Arial" w:eastAsia="Arial" w:hAnsi="Arial"/>
                <w:sz w:val="16"/>
                <w:szCs w:val="16"/>
                <w:color w:val="auto"/>
              </w:rPr>
              <w:t>0</w:t>
            </w:r>
          </w:p>
        </w:tc>
      </w:tr>
      <w:tr>
        <w:trPr>
          <w:trHeight w:val="29"/>
        </w:trPr>
        <w:tc>
          <w:tcPr>
            <w:tcW w:w="3860" w:type="dxa"/>
            <w:vAlign w:val="bottom"/>
          </w:tcPr>
          <w:p>
            <w:pPr>
              <w:spacing w:after="0"/>
              <w:rPr>
                <w:sz w:val="2"/>
                <w:szCs w:val="2"/>
                <w:color w:val="auto"/>
              </w:rPr>
            </w:pPr>
          </w:p>
        </w:tc>
        <w:tc>
          <w:tcPr>
            <w:tcW w:w="3720" w:type="dxa"/>
            <w:vAlign w:val="bottom"/>
          </w:tcPr>
          <w:p>
            <w:pPr>
              <w:spacing w:after="0"/>
              <w:rPr>
                <w:sz w:val="2"/>
                <w:szCs w:val="2"/>
                <w:color w:val="auto"/>
              </w:rPr>
            </w:pPr>
          </w:p>
        </w:tc>
      </w:tr>
      <w:tr>
        <w:trPr>
          <w:trHeight w:val="220"/>
        </w:trPr>
        <w:tc>
          <w:tcPr>
            <w:tcW w:w="386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6"/>
                <w:szCs w:val="16"/>
                <w:color w:val="auto"/>
              </w:rPr>
              <w:t>Ms. Drake</w:t>
            </w:r>
          </w:p>
        </w:tc>
        <w:tc>
          <w:tcPr>
            <w:tcW w:w="372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6"/>
                <w:szCs w:val="16"/>
                <w:color w:val="auto"/>
              </w:rPr>
              <w:t>0</w:t>
            </w:r>
          </w:p>
        </w:tc>
      </w:tr>
      <w:tr>
        <w:trPr>
          <w:trHeight w:val="211"/>
        </w:trPr>
        <w:tc>
          <w:tcPr>
            <w:tcW w:w="3860" w:type="dxa"/>
            <w:vAlign w:val="bottom"/>
          </w:tcPr>
          <w:p>
            <w:pPr>
              <w:ind w:left="20"/>
              <w:spacing w:after="0"/>
              <w:rPr>
                <w:sz w:val="20"/>
                <w:szCs w:val="20"/>
                <w:color w:val="auto"/>
              </w:rPr>
            </w:pPr>
            <w:r>
              <w:rPr>
                <w:rFonts w:ascii="Arial" w:cs="Arial" w:eastAsia="Arial" w:hAnsi="Arial"/>
                <w:sz w:val="16"/>
                <w:szCs w:val="16"/>
                <w:color w:val="auto"/>
              </w:rPr>
              <w:t>Mr. Carpenter</w:t>
            </w:r>
          </w:p>
        </w:tc>
        <w:tc>
          <w:tcPr>
            <w:tcW w:w="3720" w:type="dxa"/>
            <w:vAlign w:val="bottom"/>
          </w:tcPr>
          <w:p>
            <w:pPr>
              <w:jc w:val="right"/>
              <w:spacing w:after="0"/>
              <w:rPr>
                <w:sz w:val="20"/>
                <w:szCs w:val="20"/>
                <w:color w:val="auto"/>
              </w:rPr>
            </w:pPr>
            <w:r>
              <w:rPr>
                <w:rFonts w:ascii="Arial" w:cs="Arial" w:eastAsia="Arial" w:hAnsi="Arial"/>
                <w:sz w:val="16"/>
                <w:szCs w:val="16"/>
                <w:color w:val="auto"/>
              </w:rPr>
              <w:t>0</w:t>
            </w:r>
          </w:p>
        </w:tc>
      </w:tr>
      <w:tr>
        <w:trPr>
          <w:trHeight w:val="29"/>
        </w:trPr>
        <w:tc>
          <w:tcPr>
            <w:tcW w:w="3860" w:type="dxa"/>
            <w:vAlign w:val="bottom"/>
          </w:tcPr>
          <w:p>
            <w:pPr>
              <w:spacing w:after="0"/>
              <w:rPr>
                <w:sz w:val="2"/>
                <w:szCs w:val="2"/>
                <w:color w:val="auto"/>
              </w:rPr>
            </w:pPr>
          </w:p>
        </w:tc>
        <w:tc>
          <w:tcPr>
            <w:tcW w:w="3720" w:type="dxa"/>
            <w:vAlign w:val="bottom"/>
          </w:tcPr>
          <w:p>
            <w:pPr>
              <w:spacing w:after="0"/>
              <w:rPr>
                <w:sz w:val="2"/>
                <w:szCs w:val="2"/>
                <w:color w:val="auto"/>
              </w:rPr>
            </w:pPr>
          </w:p>
        </w:tc>
      </w:tr>
      <w:tr>
        <w:trPr>
          <w:trHeight w:val="220"/>
        </w:trPr>
        <w:tc>
          <w:tcPr>
            <w:tcW w:w="386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6"/>
                <w:szCs w:val="16"/>
                <w:color w:val="auto"/>
              </w:rPr>
              <w:t>Ms. Dahl</w:t>
            </w:r>
          </w:p>
        </w:tc>
        <w:tc>
          <w:tcPr>
            <w:tcW w:w="372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6"/>
                <w:szCs w:val="16"/>
                <w:color w:val="auto"/>
              </w:rPr>
              <w:t>0</w:t>
            </w:r>
          </w:p>
        </w:tc>
      </w:tr>
      <w:tr>
        <w:trPr>
          <w:trHeight w:val="211"/>
        </w:trPr>
        <w:tc>
          <w:tcPr>
            <w:tcW w:w="3860" w:type="dxa"/>
            <w:vAlign w:val="bottom"/>
          </w:tcPr>
          <w:p>
            <w:pPr>
              <w:ind w:left="20"/>
              <w:spacing w:after="0"/>
              <w:rPr>
                <w:sz w:val="20"/>
                <w:szCs w:val="20"/>
                <w:color w:val="auto"/>
              </w:rPr>
            </w:pPr>
            <w:r>
              <w:rPr>
                <w:rFonts w:ascii="Arial" w:cs="Arial" w:eastAsia="Arial" w:hAnsi="Arial"/>
                <w:sz w:val="16"/>
                <w:szCs w:val="16"/>
                <w:color w:val="auto"/>
              </w:rPr>
              <w:t>Ms. Totsky</w:t>
            </w:r>
          </w:p>
        </w:tc>
        <w:tc>
          <w:tcPr>
            <w:tcW w:w="3720" w:type="dxa"/>
            <w:vAlign w:val="bottom"/>
          </w:tcPr>
          <w:p>
            <w:pPr>
              <w:jc w:val="right"/>
              <w:spacing w:after="0"/>
              <w:rPr>
                <w:sz w:val="20"/>
                <w:szCs w:val="20"/>
                <w:color w:val="auto"/>
              </w:rPr>
            </w:pPr>
            <w:r>
              <w:rPr>
                <w:rFonts w:ascii="Arial" w:cs="Arial" w:eastAsia="Arial" w:hAnsi="Arial"/>
                <w:sz w:val="16"/>
                <w:szCs w:val="16"/>
                <w:color w:val="auto"/>
              </w:rPr>
              <w:t>0</w:t>
            </w:r>
          </w:p>
        </w:tc>
      </w:tr>
    </w:tbl>
    <w:p>
      <w:pPr>
        <w:spacing w:after="0" w:line="159" w:lineRule="exact"/>
        <w:rPr>
          <w:sz w:val="20"/>
          <w:szCs w:val="20"/>
          <w:color w:val="auto"/>
        </w:rPr>
      </w:pPr>
    </w:p>
    <w:p>
      <w:pPr>
        <w:ind w:left="393"/>
        <w:spacing w:after="0" w:line="262" w:lineRule="auto"/>
        <w:rPr>
          <w:sz w:val="20"/>
          <w:szCs w:val="20"/>
          <w:color w:val="auto"/>
        </w:rPr>
      </w:pPr>
      <w:r>
        <w:rPr>
          <w:rFonts w:ascii="Arial" w:cs="Arial" w:eastAsia="Arial" w:hAnsi="Arial"/>
          <w:sz w:val="18"/>
          <w:szCs w:val="18"/>
          <w:color w:val="auto"/>
        </w:rPr>
        <w:t>Includes the following amounts reported in the Summary Compensation Table in the "All Other Compensation" column for fiscal years 2022 and 2023.</w:t>
      </w:r>
    </w:p>
    <w:p>
      <w:pPr>
        <w:spacing w:after="0" w:line="59" w:lineRule="exact"/>
        <w:rPr>
          <w:sz w:val="20"/>
          <w:szCs w:val="20"/>
          <w:color w:val="auto"/>
        </w:rPr>
      </w:pPr>
    </w:p>
    <w:tbl>
      <w:tblPr>
        <w:tblLayout w:type="fixed"/>
        <w:tblInd w:w="393" w:type="dxa"/>
        <w:tblCellMar>
          <w:top w:w="0" w:type="dxa"/>
          <w:left w:w="0" w:type="dxa"/>
          <w:bottom w:w="0" w:type="dxa"/>
          <w:right w:w="0" w:type="dxa"/>
        </w:tblCellMar>
      </w:tblPr>
      <w:tr>
        <w:trPr>
          <w:trHeight w:val="240"/>
        </w:trPr>
        <w:tc>
          <w:tcPr>
            <w:tcW w:w="3860" w:type="dxa"/>
            <w:vAlign w:val="bottom"/>
            <w:shd w:val="clear" w:color="auto" w:fill="BF2115"/>
          </w:tcPr>
          <w:p>
            <w:pPr>
              <w:ind w:left="20"/>
              <w:spacing w:after="0"/>
              <w:rPr>
                <w:sz w:val="20"/>
                <w:szCs w:val="20"/>
                <w:color w:val="auto"/>
              </w:rPr>
            </w:pPr>
            <w:r>
              <w:rPr>
                <w:rFonts w:ascii="Arial" w:cs="Arial" w:eastAsia="Arial" w:hAnsi="Arial"/>
                <w:sz w:val="16"/>
                <w:szCs w:val="16"/>
                <w:b w:val="1"/>
                <w:bCs w:val="1"/>
                <w:color w:val="FFFFFF"/>
              </w:rPr>
              <w:t>Name</w:t>
            </w:r>
          </w:p>
        </w:tc>
        <w:tc>
          <w:tcPr>
            <w:tcW w:w="3720" w:type="dxa"/>
            <w:vAlign w:val="bottom"/>
            <w:shd w:val="clear" w:color="auto" w:fill="BF2115"/>
          </w:tcPr>
          <w:p>
            <w:pPr>
              <w:jc w:val="right"/>
              <w:spacing w:after="0"/>
              <w:rPr>
                <w:sz w:val="20"/>
                <w:szCs w:val="20"/>
                <w:color w:val="auto"/>
              </w:rPr>
            </w:pPr>
            <w:r>
              <w:rPr>
                <w:rFonts w:ascii="Arial" w:cs="Arial" w:eastAsia="Arial" w:hAnsi="Arial"/>
                <w:sz w:val="16"/>
                <w:szCs w:val="16"/>
                <w:b w:val="1"/>
                <w:bCs w:val="1"/>
                <w:color w:val="FFFFFF"/>
              </w:rPr>
              <w:t>Amount ($)</w:t>
            </w:r>
          </w:p>
        </w:tc>
      </w:tr>
      <w:tr>
        <w:trPr>
          <w:trHeight w:val="211"/>
        </w:trPr>
        <w:tc>
          <w:tcPr>
            <w:tcW w:w="3860" w:type="dxa"/>
            <w:vAlign w:val="bottom"/>
          </w:tcPr>
          <w:p>
            <w:pPr>
              <w:ind w:left="20"/>
              <w:spacing w:after="0"/>
              <w:rPr>
                <w:sz w:val="20"/>
                <w:szCs w:val="20"/>
                <w:color w:val="auto"/>
              </w:rPr>
            </w:pPr>
            <w:r>
              <w:rPr>
                <w:rFonts w:ascii="Arial" w:cs="Arial" w:eastAsia="Arial" w:hAnsi="Arial"/>
                <w:sz w:val="16"/>
                <w:szCs w:val="16"/>
                <w:color w:val="auto"/>
              </w:rPr>
              <w:t>Mr. Olson</w:t>
            </w:r>
          </w:p>
        </w:tc>
        <w:tc>
          <w:tcPr>
            <w:tcW w:w="3720" w:type="dxa"/>
            <w:vAlign w:val="bottom"/>
          </w:tcPr>
          <w:p>
            <w:pPr>
              <w:jc w:val="right"/>
              <w:spacing w:after="0"/>
              <w:rPr>
                <w:sz w:val="20"/>
                <w:szCs w:val="20"/>
                <w:color w:val="auto"/>
              </w:rPr>
            </w:pPr>
            <w:r>
              <w:rPr>
                <w:rFonts w:ascii="Arial" w:cs="Arial" w:eastAsia="Arial" w:hAnsi="Arial"/>
                <w:sz w:val="16"/>
                <w:szCs w:val="16"/>
                <w:color w:val="auto"/>
              </w:rPr>
              <w:t>437,213</w:t>
            </w:r>
          </w:p>
        </w:tc>
      </w:tr>
      <w:tr>
        <w:trPr>
          <w:trHeight w:val="29"/>
        </w:trPr>
        <w:tc>
          <w:tcPr>
            <w:tcW w:w="3860" w:type="dxa"/>
            <w:vAlign w:val="bottom"/>
          </w:tcPr>
          <w:p>
            <w:pPr>
              <w:spacing w:after="0"/>
              <w:rPr>
                <w:sz w:val="2"/>
                <w:szCs w:val="2"/>
                <w:color w:val="auto"/>
              </w:rPr>
            </w:pPr>
          </w:p>
        </w:tc>
        <w:tc>
          <w:tcPr>
            <w:tcW w:w="3720" w:type="dxa"/>
            <w:vAlign w:val="bottom"/>
          </w:tcPr>
          <w:p>
            <w:pPr>
              <w:spacing w:after="0"/>
              <w:rPr>
                <w:sz w:val="2"/>
                <w:szCs w:val="2"/>
                <w:color w:val="auto"/>
              </w:rPr>
            </w:pPr>
          </w:p>
        </w:tc>
      </w:tr>
      <w:tr>
        <w:trPr>
          <w:trHeight w:val="220"/>
        </w:trPr>
        <w:tc>
          <w:tcPr>
            <w:tcW w:w="386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6"/>
                <w:szCs w:val="16"/>
                <w:color w:val="auto"/>
              </w:rPr>
              <w:t>Ms. Drake</w:t>
            </w:r>
          </w:p>
        </w:tc>
        <w:tc>
          <w:tcPr>
            <w:tcW w:w="372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6"/>
                <w:szCs w:val="16"/>
                <w:color w:val="auto"/>
              </w:rPr>
              <w:t>0</w:t>
            </w:r>
          </w:p>
        </w:tc>
      </w:tr>
      <w:tr>
        <w:trPr>
          <w:trHeight w:val="211"/>
        </w:trPr>
        <w:tc>
          <w:tcPr>
            <w:tcW w:w="3860" w:type="dxa"/>
            <w:vAlign w:val="bottom"/>
          </w:tcPr>
          <w:p>
            <w:pPr>
              <w:ind w:left="20"/>
              <w:spacing w:after="0"/>
              <w:rPr>
                <w:sz w:val="20"/>
                <w:szCs w:val="20"/>
                <w:color w:val="auto"/>
              </w:rPr>
            </w:pPr>
            <w:r>
              <w:rPr>
                <w:rFonts w:ascii="Arial" w:cs="Arial" w:eastAsia="Arial" w:hAnsi="Arial"/>
                <w:sz w:val="16"/>
                <w:szCs w:val="16"/>
                <w:color w:val="auto"/>
              </w:rPr>
              <w:t>Mr. Carpenter</w:t>
            </w:r>
          </w:p>
        </w:tc>
        <w:tc>
          <w:tcPr>
            <w:tcW w:w="3720" w:type="dxa"/>
            <w:vAlign w:val="bottom"/>
          </w:tcPr>
          <w:p>
            <w:pPr>
              <w:spacing w:after="0"/>
              <w:rPr>
                <w:sz w:val="18"/>
                <w:szCs w:val="18"/>
                <w:color w:val="auto"/>
              </w:rPr>
            </w:pPr>
          </w:p>
        </w:tc>
      </w:tr>
      <w:tr>
        <w:trPr>
          <w:trHeight w:val="29"/>
        </w:trPr>
        <w:tc>
          <w:tcPr>
            <w:tcW w:w="3860" w:type="dxa"/>
            <w:vAlign w:val="bottom"/>
          </w:tcPr>
          <w:p>
            <w:pPr>
              <w:spacing w:after="0"/>
              <w:rPr>
                <w:sz w:val="2"/>
                <w:szCs w:val="2"/>
                <w:color w:val="auto"/>
              </w:rPr>
            </w:pPr>
          </w:p>
        </w:tc>
        <w:tc>
          <w:tcPr>
            <w:tcW w:w="3720" w:type="dxa"/>
            <w:vAlign w:val="bottom"/>
          </w:tcPr>
          <w:p>
            <w:pPr>
              <w:spacing w:after="0"/>
              <w:rPr>
                <w:sz w:val="2"/>
                <w:szCs w:val="2"/>
                <w:color w:val="auto"/>
              </w:rPr>
            </w:pPr>
          </w:p>
        </w:tc>
      </w:tr>
      <w:tr>
        <w:trPr>
          <w:trHeight w:val="220"/>
        </w:trPr>
        <w:tc>
          <w:tcPr>
            <w:tcW w:w="386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6"/>
                <w:szCs w:val="16"/>
                <w:color w:val="auto"/>
              </w:rPr>
              <w:t>Ms. Dahl</w:t>
            </w:r>
          </w:p>
        </w:tc>
        <w:tc>
          <w:tcPr>
            <w:tcW w:w="372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6"/>
                <w:szCs w:val="16"/>
                <w:color w:val="auto"/>
              </w:rPr>
              <w:t>0</w:t>
            </w:r>
          </w:p>
        </w:tc>
      </w:tr>
      <w:tr>
        <w:trPr>
          <w:trHeight w:val="211"/>
        </w:trPr>
        <w:tc>
          <w:tcPr>
            <w:tcW w:w="3860" w:type="dxa"/>
            <w:vAlign w:val="bottom"/>
          </w:tcPr>
          <w:p>
            <w:pPr>
              <w:ind w:left="20"/>
              <w:spacing w:after="0"/>
              <w:rPr>
                <w:sz w:val="20"/>
                <w:szCs w:val="20"/>
                <w:color w:val="auto"/>
              </w:rPr>
            </w:pPr>
            <w:r>
              <w:rPr>
                <w:rFonts w:ascii="Arial" w:cs="Arial" w:eastAsia="Arial" w:hAnsi="Arial"/>
                <w:sz w:val="16"/>
                <w:szCs w:val="16"/>
                <w:color w:val="auto"/>
              </w:rPr>
              <w:t>Ms. Totsky</w:t>
            </w:r>
          </w:p>
        </w:tc>
        <w:tc>
          <w:tcPr>
            <w:tcW w:w="3720" w:type="dxa"/>
            <w:vAlign w:val="bottom"/>
          </w:tcPr>
          <w:p>
            <w:pPr>
              <w:jc w:val="right"/>
              <w:spacing w:after="0"/>
              <w:rPr>
                <w:sz w:val="20"/>
                <w:szCs w:val="20"/>
                <w:color w:val="auto"/>
              </w:rPr>
            </w:pPr>
            <w:r>
              <w:rPr>
                <w:rFonts w:ascii="Arial" w:cs="Arial" w:eastAsia="Arial" w:hAnsi="Arial"/>
                <w:sz w:val="16"/>
                <w:szCs w:val="16"/>
                <w:color w:val="auto"/>
              </w:rPr>
              <w:t>75,920</w:t>
            </w:r>
          </w:p>
        </w:tc>
      </w:tr>
    </w:tbl>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12"/>
        <w:spacing w:after="0"/>
        <w:rPr>
          <w:sz w:val="20"/>
          <w:szCs w:val="20"/>
          <w:color w:val="auto"/>
        </w:rPr>
      </w:pPr>
      <w:r>
        <w:rPr>
          <w:rFonts w:ascii="Arial" w:cs="Arial" w:eastAsia="Arial" w:hAnsi="Arial"/>
          <w:sz w:val="21"/>
          <w:szCs w:val="21"/>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71120</wp:posOffset>
            </wp:positionV>
            <wp:extent cx="7159625" cy="425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33"/>
          </w:cols>
          <w:pgMar w:left="327" w:top="1097" w:right="339" w:bottom="1440" w:gutter="0" w:footer="0" w:header="0"/>
        </w:sectPr>
      </w:pPr>
    </w:p>
    <w:bookmarkStart w:id="70" w:name="page71"/>
    <w:bookmarkEnd w:id="70"/>
    <w:p>
      <w:pPr>
        <w:spacing w:after="0"/>
        <w:rPr>
          <w:sz w:val="20"/>
          <w:szCs w:val="20"/>
          <w:color w:val="auto"/>
        </w:rPr>
      </w:pPr>
      <w:r>
        <w:rPr>
          <w:rFonts w:ascii="Arial" w:cs="Arial" w:eastAsia="Arial" w:hAnsi="Arial"/>
          <w:sz w:val="20"/>
          <w:szCs w:val="20"/>
          <w:b w:val="1"/>
          <w:bCs w:val="1"/>
          <w:color w:val="C00000"/>
        </w:rPr>
        <w:t>Pay Versus Performance (PvP)</w:t>
      </w:r>
    </w:p>
    <w:p>
      <w:pPr>
        <w:spacing w:after="0" w:line="137" w:lineRule="exact"/>
        <w:rPr>
          <w:sz w:val="20"/>
          <w:szCs w:val="20"/>
          <w:color w:val="auto"/>
        </w:rPr>
      </w:pPr>
    </w:p>
    <w:p>
      <w:pPr>
        <w:ind w:left="320"/>
        <w:spacing w:after="0"/>
        <w:rPr>
          <w:sz w:val="20"/>
          <w:szCs w:val="20"/>
          <w:color w:val="auto"/>
        </w:rPr>
      </w:pPr>
      <w:r>
        <w:rPr>
          <w:rFonts w:ascii="Arial" w:cs="Arial" w:eastAsia="Arial" w:hAnsi="Arial"/>
          <w:sz w:val="18"/>
          <w:szCs w:val="18"/>
          <w:color w:val="auto"/>
        </w:rPr>
        <w:t>As required by Item 402(v) of Regulation S-K, we are providing the following information regarding the relationship between executive</w:t>
      </w:r>
    </w:p>
    <w:p>
      <w:pPr>
        <w:spacing w:after="0" w:line="9" w:lineRule="exact"/>
        <w:rPr>
          <w:sz w:val="20"/>
          <w:szCs w:val="20"/>
          <w:color w:val="auto"/>
        </w:rPr>
      </w:pPr>
    </w:p>
    <w:p>
      <w:pPr>
        <w:jc w:val="both"/>
        <w:spacing w:after="0" w:line="237" w:lineRule="auto"/>
        <w:rPr>
          <w:sz w:val="20"/>
          <w:szCs w:val="20"/>
          <w:color w:val="auto"/>
        </w:rPr>
      </w:pPr>
      <w:r>
        <w:rPr>
          <w:rFonts w:ascii="Arial" w:cs="Arial" w:eastAsia="Arial" w:hAnsi="Arial"/>
          <w:sz w:val="17"/>
          <w:szCs w:val="17"/>
          <w:color w:val="auto"/>
        </w:rPr>
        <w:t>compensation and our financial performance for each of the last four completed fiscal years. In determining the “Compensation Actually Paid” (CAP) for PvP purposes to our NEOs, we are required to make various adjustments to amounts reported in the Summary Compensation Table,</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as the SEC’s valuation methods for this section differ from those required in the Summary Compensation Table.</w:t>
      </w:r>
    </w:p>
    <w:p>
      <w:pPr>
        <w:spacing w:after="0" w:line="137" w:lineRule="exact"/>
        <w:rPr>
          <w:sz w:val="20"/>
          <w:szCs w:val="20"/>
          <w:color w:val="auto"/>
        </w:rPr>
      </w:pPr>
    </w:p>
    <w:p>
      <w:pPr>
        <w:jc w:val="both"/>
        <w:ind w:firstLine="320"/>
        <w:spacing w:after="0" w:line="241" w:lineRule="auto"/>
        <w:rPr>
          <w:sz w:val="20"/>
          <w:szCs w:val="20"/>
          <w:color w:val="auto"/>
        </w:rPr>
      </w:pPr>
      <w:r>
        <w:rPr>
          <w:rFonts w:ascii="Arial" w:cs="Arial" w:eastAsia="Arial" w:hAnsi="Arial"/>
          <w:sz w:val="17"/>
          <w:szCs w:val="17"/>
          <w:color w:val="auto"/>
        </w:rPr>
        <w:t>Due to the valuation components, the CAP dollar amounts for a particular fiscal year do not reflect the actual amounts of compensation earned or paid during that year. The PvP table below summarizes compensation values reported in our Summary Compensation Table, as well as the adjusted values required in this section for each of the fiscal 2021 through 2024. For our NEOs other than our principal executive officer</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(PEO), compensation is reported as an average.</w:t>
      </w:r>
    </w:p>
    <w:p>
      <w:pPr>
        <w:spacing w:after="0" w:line="204" w:lineRule="exact"/>
        <w:rPr>
          <w:sz w:val="20"/>
          <w:szCs w:val="20"/>
          <w:color w:val="auto"/>
        </w:rPr>
      </w:pPr>
    </w:p>
    <w:p>
      <w:pPr>
        <w:ind w:left="320"/>
        <w:spacing w:after="0"/>
        <w:rPr>
          <w:sz w:val="20"/>
          <w:szCs w:val="20"/>
          <w:color w:val="auto"/>
        </w:rPr>
      </w:pPr>
      <w:r>
        <w:rPr>
          <w:rFonts w:ascii="Arial" w:cs="Arial" w:eastAsia="Arial" w:hAnsi="Arial"/>
          <w:sz w:val="18"/>
          <w:szCs w:val="18"/>
          <w:color w:val="auto"/>
        </w:rPr>
        <w:t>For purposes of the tables below, the PEO and non-PEO NEOs for each of fiscal 2021 through 2024 are the following:</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640" w:type="dxa"/>
            <w:vAlign w:val="bottom"/>
            <w:shd w:val="clear" w:color="auto" w:fill="BF2115"/>
          </w:tcPr>
          <w:p>
            <w:pPr>
              <w:jc w:val="right"/>
              <w:spacing w:after="0"/>
              <w:rPr>
                <w:sz w:val="20"/>
                <w:szCs w:val="20"/>
                <w:color w:val="auto"/>
              </w:rPr>
            </w:pPr>
            <w:r>
              <w:rPr>
                <w:rFonts w:ascii="Arial" w:cs="Arial" w:eastAsia="Arial" w:hAnsi="Arial"/>
                <w:sz w:val="16"/>
                <w:szCs w:val="16"/>
                <w:b w:val="1"/>
                <w:bCs w:val="1"/>
                <w:color w:val="FFFFFF"/>
              </w:rPr>
              <w:t>Year</w:t>
            </w:r>
          </w:p>
        </w:tc>
        <w:tc>
          <w:tcPr>
            <w:tcW w:w="1600" w:type="dxa"/>
            <w:vAlign w:val="bottom"/>
            <w:shd w:val="clear" w:color="auto" w:fill="BF2115"/>
          </w:tcPr>
          <w:p>
            <w:pPr>
              <w:jc w:val="right"/>
              <w:ind w:right="160"/>
              <w:spacing w:after="0"/>
              <w:rPr>
                <w:sz w:val="20"/>
                <w:szCs w:val="20"/>
                <w:color w:val="auto"/>
              </w:rPr>
            </w:pPr>
            <w:r>
              <w:rPr>
                <w:rFonts w:ascii="Arial" w:cs="Arial" w:eastAsia="Arial" w:hAnsi="Arial"/>
                <w:sz w:val="16"/>
                <w:szCs w:val="16"/>
                <w:b w:val="1"/>
                <w:bCs w:val="1"/>
                <w:color w:val="FFFFFF"/>
              </w:rPr>
              <w:t>PEO</w:t>
            </w:r>
          </w:p>
        </w:tc>
        <w:tc>
          <w:tcPr>
            <w:tcW w:w="1420" w:type="dxa"/>
            <w:vAlign w:val="bottom"/>
            <w:shd w:val="clear" w:color="auto" w:fill="BF2115"/>
          </w:tcPr>
          <w:p>
            <w:pPr>
              <w:spacing w:after="0"/>
              <w:rPr>
                <w:sz w:val="20"/>
                <w:szCs w:val="20"/>
                <w:color w:val="auto"/>
              </w:rPr>
            </w:pPr>
          </w:p>
        </w:tc>
        <w:tc>
          <w:tcPr>
            <w:tcW w:w="1560" w:type="dxa"/>
            <w:vAlign w:val="bottom"/>
            <w:shd w:val="clear" w:color="auto" w:fill="BF2115"/>
          </w:tcPr>
          <w:p>
            <w:pPr>
              <w:spacing w:after="0"/>
              <w:rPr>
                <w:sz w:val="20"/>
                <w:szCs w:val="20"/>
                <w:color w:val="auto"/>
              </w:rPr>
            </w:pPr>
          </w:p>
        </w:tc>
        <w:tc>
          <w:tcPr>
            <w:tcW w:w="2940" w:type="dxa"/>
            <w:vAlign w:val="bottom"/>
            <w:gridSpan w:val="2"/>
            <w:shd w:val="clear" w:color="auto" w:fill="BF2115"/>
          </w:tcPr>
          <w:p>
            <w:pPr>
              <w:jc w:val="right"/>
              <w:ind w:right="521"/>
              <w:spacing w:after="0"/>
              <w:rPr>
                <w:sz w:val="20"/>
                <w:szCs w:val="20"/>
                <w:color w:val="auto"/>
              </w:rPr>
            </w:pPr>
            <w:r>
              <w:rPr>
                <w:rFonts w:ascii="Arial" w:cs="Arial" w:eastAsia="Arial" w:hAnsi="Arial"/>
                <w:sz w:val="16"/>
                <w:szCs w:val="16"/>
                <w:b w:val="1"/>
                <w:bCs w:val="1"/>
                <w:color w:val="FFFFFF"/>
              </w:rPr>
              <w:t>Non-PEO NEOs</w:t>
            </w:r>
          </w:p>
        </w:tc>
        <w:tc>
          <w:tcPr>
            <w:tcW w:w="1180" w:type="dxa"/>
            <w:vAlign w:val="bottom"/>
            <w:shd w:val="clear" w:color="auto" w:fill="BF2115"/>
          </w:tcPr>
          <w:p>
            <w:pPr>
              <w:spacing w:after="0"/>
              <w:rPr>
                <w:sz w:val="20"/>
                <w:szCs w:val="20"/>
                <w:color w:val="auto"/>
              </w:rPr>
            </w:pPr>
          </w:p>
        </w:tc>
        <w:tc>
          <w:tcPr>
            <w:tcW w:w="880" w:type="dxa"/>
            <w:vAlign w:val="bottom"/>
            <w:shd w:val="clear" w:color="auto" w:fill="BF2115"/>
          </w:tcPr>
          <w:p>
            <w:pPr>
              <w:spacing w:after="0"/>
              <w:rPr>
                <w:sz w:val="20"/>
                <w:szCs w:val="20"/>
                <w:color w:val="auto"/>
              </w:rPr>
            </w:pPr>
          </w:p>
        </w:tc>
        <w:tc>
          <w:tcPr>
            <w:tcW w:w="1020" w:type="dxa"/>
            <w:vAlign w:val="bottom"/>
            <w:shd w:val="clear" w:color="auto" w:fill="BF2115"/>
          </w:tcPr>
          <w:p>
            <w:pPr>
              <w:spacing w:after="0"/>
              <w:rPr>
                <w:sz w:val="20"/>
                <w:szCs w:val="20"/>
                <w:color w:val="auto"/>
              </w:rPr>
            </w:pPr>
          </w:p>
        </w:tc>
        <w:tc>
          <w:tcPr>
            <w:tcW w:w="0" w:type="dxa"/>
            <w:vAlign w:val="bottom"/>
          </w:tcPr>
          <w:p>
            <w:pPr>
              <w:spacing w:after="0"/>
              <w:rPr>
                <w:sz w:val="1"/>
                <w:szCs w:val="1"/>
                <w:color w:val="auto"/>
              </w:rPr>
            </w:pPr>
          </w:p>
        </w:tc>
      </w:tr>
      <w:tr>
        <w:trPr>
          <w:trHeight w:val="211"/>
        </w:trPr>
        <w:tc>
          <w:tcPr>
            <w:tcW w:w="640" w:type="dxa"/>
            <w:vAlign w:val="bottom"/>
          </w:tcPr>
          <w:p>
            <w:pPr>
              <w:jc w:val="right"/>
              <w:ind w:right="180"/>
              <w:spacing w:after="0"/>
              <w:rPr>
                <w:sz w:val="20"/>
                <w:szCs w:val="20"/>
                <w:color w:val="auto"/>
              </w:rPr>
            </w:pPr>
            <w:r>
              <w:rPr>
                <w:rFonts w:ascii="Arial" w:cs="Arial" w:eastAsia="Arial" w:hAnsi="Arial"/>
                <w:sz w:val="16"/>
                <w:szCs w:val="16"/>
                <w:color w:val="auto"/>
              </w:rPr>
              <w:t>2024</w:t>
            </w:r>
          </w:p>
        </w:tc>
        <w:tc>
          <w:tcPr>
            <w:tcW w:w="1600" w:type="dxa"/>
            <w:vAlign w:val="bottom"/>
          </w:tcPr>
          <w:p>
            <w:pPr>
              <w:jc w:val="right"/>
              <w:spacing w:after="0"/>
              <w:rPr>
                <w:sz w:val="20"/>
                <w:szCs w:val="20"/>
                <w:color w:val="auto"/>
              </w:rPr>
            </w:pPr>
            <w:r>
              <w:rPr>
                <w:rFonts w:ascii="Arial" w:cs="Arial" w:eastAsia="Arial" w:hAnsi="Arial"/>
                <w:sz w:val="16"/>
                <w:szCs w:val="16"/>
                <w:color w:val="auto"/>
              </w:rPr>
              <w:t>Richard M. Olson</w:t>
            </w:r>
          </w:p>
        </w:tc>
        <w:tc>
          <w:tcPr>
            <w:tcW w:w="5920" w:type="dxa"/>
            <w:vAlign w:val="bottom"/>
            <w:gridSpan w:val="4"/>
          </w:tcPr>
          <w:p>
            <w:pPr>
              <w:ind w:left="500"/>
              <w:spacing w:after="0"/>
              <w:rPr>
                <w:sz w:val="20"/>
                <w:szCs w:val="20"/>
                <w:color w:val="auto"/>
              </w:rPr>
            </w:pPr>
            <w:r>
              <w:rPr>
                <w:rFonts w:ascii="Arial" w:cs="Arial" w:eastAsia="Arial" w:hAnsi="Arial"/>
                <w:sz w:val="16"/>
                <w:szCs w:val="16"/>
                <w:color w:val="auto"/>
              </w:rPr>
              <w:t>Angela C. Drake, Kevin N. Carpenter, Amy E. Dahl and Joanna M. Totsky</w:t>
            </w:r>
          </w:p>
        </w:tc>
        <w:tc>
          <w:tcPr>
            <w:tcW w:w="1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9"/>
        </w:trPr>
        <w:tc>
          <w:tcPr>
            <w:tcW w:w="640" w:type="dxa"/>
            <w:vAlign w:val="bottom"/>
          </w:tcPr>
          <w:p>
            <w:pPr>
              <w:spacing w:after="0"/>
              <w:rPr>
                <w:sz w:val="2"/>
                <w:szCs w:val="2"/>
                <w:color w:val="auto"/>
              </w:rPr>
            </w:pPr>
          </w:p>
        </w:tc>
        <w:tc>
          <w:tcPr>
            <w:tcW w:w="1600" w:type="dxa"/>
            <w:vAlign w:val="bottom"/>
          </w:tcPr>
          <w:p>
            <w:pPr>
              <w:spacing w:after="0"/>
              <w:rPr>
                <w:sz w:val="2"/>
                <w:szCs w:val="2"/>
                <w:color w:val="auto"/>
              </w:rPr>
            </w:pPr>
          </w:p>
        </w:tc>
        <w:tc>
          <w:tcPr>
            <w:tcW w:w="7980" w:type="dxa"/>
            <w:vAlign w:val="bottom"/>
            <w:gridSpan w:val="6"/>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640" w:type="dxa"/>
            <w:vAlign w:val="bottom"/>
            <w:tcBorders>
              <w:bottom w:val="single" w:sz="8" w:color="DBDBDB"/>
            </w:tcBorders>
            <w:shd w:val="clear" w:color="auto" w:fill="DBDBDB"/>
          </w:tcPr>
          <w:p>
            <w:pPr>
              <w:jc w:val="right"/>
              <w:ind w:right="180"/>
              <w:spacing w:after="0"/>
              <w:rPr>
                <w:sz w:val="20"/>
                <w:szCs w:val="20"/>
                <w:color w:val="auto"/>
              </w:rPr>
            </w:pPr>
            <w:r>
              <w:rPr>
                <w:rFonts w:ascii="Arial" w:cs="Arial" w:eastAsia="Arial" w:hAnsi="Arial"/>
                <w:sz w:val="16"/>
                <w:szCs w:val="16"/>
                <w:color w:val="auto"/>
              </w:rPr>
              <w:t>2023</w:t>
            </w:r>
          </w:p>
        </w:tc>
        <w:tc>
          <w:tcPr>
            <w:tcW w:w="160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6"/>
                <w:szCs w:val="16"/>
                <w:color w:val="auto"/>
              </w:rPr>
              <w:t>Richard M. Olson</w:t>
            </w:r>
          </w:p>
        </w:tc>
        <w:tc>
          <w:tcPr>
            <w:tcW w:w="7980" w:type="dxa"/>
            <w:vAlign w:val="bottom"/>
            <w:tcBorders>
              <w:bottom w:val="single" w:sz="8" w:color="DBDBDB"/>
            </w:tcBorders>
            <w:gridSpan w:val="6"/>
            <w:shd w:val="clear" w:color="auto" w:fill="DBDBDB"/>
          </w:tcPr>
          <w:p>
            <w:pPr>
              <w:ind w:left="500"/>
              <w:spacing w:after="0"/>
              <w:rPr>
                <w:sz w:val="20"/>
                <w:szCs w:val="20"/>
                <w:color w:val="auto"/>
              </w:rPr>
            </w:pPr>
            <w:r>
              <w:rPr>
                <w:rFonts w:ascii="Arial" w:cs="Arial" w:eastAsia="Arial" w:hAnsi="Arial"/>
                <w:sz w:val="16"/>
                <w:szCs w:val="16"/>
                <w:color w:val="auto"/>
                <w:w w:val="99"/>
              </w:rPr>
              <w:t>Angela C. Drake, Renee J. Peterson, Amy E. Dahl, Joanna M. Totsky, Greg Janey and Richard W. Rodier</w:t>
            </w:r>
          </w:p>
        </w:tc>
        <w:tc>
          <w:tcPr>
            <w:tcW w:w="1020" w:type="dxa"/>
            <w:vAlign w:val="bottom"/>
            <w:tcBorders>
              <w:bottom w:val="single" w:sz="8" w:color="DBDBDB"/>
            </w:tcBorders>
            <w:shd w:val="clear" w:color="auto" w:fill="DBDBDB"/>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640" w:type="dxa"/>
            <w:vAlign w:val="bottom"/>
          </w:tcPr>
          <w:p>
            <w:pPr>
              <w:jc w:val="right"/>
              <w:ind w:right="180"/>
              <w:spacing w:after="0"/>
              <w:rPr>
                <w:sz w:val="20"/>
                <w:szCs w:val="20"/>
                <w:color w:val="auto"/>
              </w:rPr>
            </w:pPr>
            <w:r>
              <w:rPr>
                <w:rFonts w:ascii="Arial" w:cs="Arial" w:eastAsia="Arial" w:hAnsi="Arial"/>
                <w:sz w:val="16"/>
                <w:szCs w:val="16"/>
                <w:color w:val="auto"/>
              </w:rPr>
              <w:t>2022</w:t>
            </w:r>
          </w:p>
        </w:tc>
        <w:tc>
          <w:tcPr>
            <w:tcW w:w="1600" w:type="dxa"/>
            <w:vAlign w:val="bottom"/>
          </w:tcPr>
          <w:p>
            <w:pPr>
              <w:jc w:val="right"/>
              <w:spacing w:after="0"/>
              <w:rPr>
                <w:sz w:val="20"/>
                <w:szCs w:val="20"/>
                <w:color w:val="auto"/>
              </w:rPr>
            </w:pPr>
            <w:r>
              <w:rPr>
                <w:rFonts w:ascii="Arial" w:cs="Arial" w:eastAsia="Arial" w:hAnsi="Arial"/>
                <w:sz w:val="16"/>
                <w:szCs w:val="16"/>
                <w:color w:val="auto"/>
              </w:rPr>
              <w:t>Richard M. Olson</w:t>
            </w:r>
          </w:p>
        </w:tc>
        <w:tc>
          <w:tcPr>
            <w:tcW w:w="5920" w:type="dxa"/>
            <w:vAlign w:val="bottom"/>
            <w:gridSpan w:val="4"/>
          </w:tcPr>
          <w:p>
            <w:pPr>
              <w:ind w:left="500"/>
              <w:spacing w:after="0"/>
              <w:rPr>
                <w:sz w:val="20"/>
                <w:szCs w:val="20"/>
                <w:color w:val="auto"/>
              </w:rPr>
            </w:pPr>
            <w:r>
              <w:rPr>
                <w:rFonts w:ascii="Arial" w:cs="Arial" w:eastAsia="Arial" w:hAnsi="Arial"/>
                <w:sz w:val="16"/>
                <w:szCs w:val="16"/>
                <w:color w:val="auto"/>
                <w:w w:val="99"/>
              </w:rPr>
              <w:t>Renee J. Peterson, Kevin N. Carpenter, Richard W. Rodier and Amy E. Dahl</w:t>
            </w:r>
          </w:p>
        </w:tc>
        <w:tc>
          <w:tcPr>
            <w:tcW w:w="1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9"/>
        </w:trPr>
        <w:tc>
          <w:tcPr>
            <w:tcW w:w="640" w:type="dxa"/>
            <w:vAlign w:val="bottom"/>
          </w:tcPr>
          <w:p>
            <w:pPr>
              <w:spacing w:after="0"/>
              <w:rPr>
                <w:sz w:val="2"/>
                <w:szCs w:val="2"/>
                <w:color w:val="auto"/>
              </w:rPr>
            </w:pPr>
          </w:p>
        </w:tc>
        <w:tc>
          <w:tcPr>
            <w:tcW w:w="1600" w:type="dxa"/>
            <w:vAlign w:val="bottom"/>
          </w:tcPr>
          <w:p>
            <w:pPr>
              <w:spacing w:after="0"/>
              <w:rPr>
                <w:sz w:val="2"/>
                <w:szCs w:val="2"/>
                <w:color w:val="auto"/>
              </w:rPr>
            </w:pPr>
          </w:p>
        </w:tc>
        <w:tc>
          <w:tcPr>
            <w:tcW w:w="7100" w:type="dxa"/>
            <w:vAlign w:val="bottom"/>
            <w:gridSpan w:val="5"/>
          </w:tcPr>
          <w:p>
            <w:pPr>
              <w:spacing w:after="0"/>
              <w:rPr>
                <w:sz w:val="2"/>
                <w:szCs w:val="2"/>
                <w:color w:val="auto"/>
              </w:rPr>
            </w:pPr>
          </w:p>
        </w:tc>
        <w:tc>
          <w:tcPr>
            <w:tcW w:w="8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640" w:type="dxa"/>
            <w:vAlign w:val="bottom"/>
            <w:tcBorders>
              <w:bottom w:val="single" w:sz="8" w:color="DBDBDB"/>
            </w:tcBorders>
            <w:shd w:val="clear" w:color="auto" w:fill="DBDBDB"/>
          </w:tcPr>
          <w:p>
            <w:pPr>
              <w:jc w:val="right"/>
              <w:ind w:right="180"/>
              <w:spacing w:after="0"/>
              <w:rPr>
                <w:sz w:val="20"/>
                <w:szCs w:val="20"/>
                <w:color w:val="auto"/>
              </w:rPr>
            </w:pPr>
            <w:r>
              <w:rPr>
                <w:rFonts w:ascii="Arial" w:cs="Arial" w:eastAsia="Arial" w:hAnsi="Arial"/>
                <w:sz w:val="16"/>
                <w:szCs w:val="16"/>
                <w:color w:val="auto"/>
              </w:rPr>
              <w:t>2021</w:t>
            </w:r>
          </w:p>
        </w:tc>
        <w:tc>
          <w:tcPr>
            <w:tcW w:w="160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6"/>
                <w:szCs w:val="16"/>
                <w:color w:val="auto"/>
              </w:rPr>
              <w:t>Richard M. Olson</w:t>
            </w:r>
          </w:p>
        </w:tc>
        <w:tc>
          <w:tcPr>
            <w:tcW w:w="7100" w:type="dxa"/>
            <w:vAlign w:val="bottom"/>
            <w:tcBorders>
              <w:bottom w:val="single" w:sz="8" w:color="DBDBDB"/>
            </w:tcBorders>
            <w:gridSpan w:val="5"/>
            <w:shd w:val="clear" w:color="auto" w:fill="DBDBDB"/>
          </w:tcPr>
          <w:p>
            <w:pPr>
              <w:ind w:left="500"/>
              <w:spacing w:after="0"/>
              <w:rPr>
                <w:sz w:val="20"/>
                <w:szCs w:val="20"/>
                <w:color w:val="auto"/>
              </w:rPr>
            </w:pPr>
            <w:r>
              <w:rPr>
                <w:rFonts w:ascii="Arial" w:cs="Arial" w:eastAsia="Arial" w:hAnsi="Arial"/>
                <w:sz w:val="16"/>
                <w:szCs w:val="16"/>
                <w:color w:val="auto"/>
              </w:rPr>
              <w:t>Renee J. Peterson, Richard W. Rodier, Amy E. Dahl and Bradley A. Hamilton</w:t>
            </w:r>
          </w:p>
        </w:tc>
        <w:tc>
          <w:tcPr>
            <w:tcW w:w="880" w:type="dxa"/>
            <w:vAlign w:val="bottom"/>
            <w:tcBorders>
              <w:bottom w:val="single" w:sz="8" w:color="DBDBDB"/>
            </w:tcBorders>
            <w:shd w:val="clear" w:color="auto" w:fill="DBDBDB"/>
          </w:tcPr>
          <w:p>
            <w:pPr>
              <w:spacing w:after="0"/>
              <w:rPr>
                <w:sz w:val="19"/>
                <w:szCs w:val="19"/>
                <w:color w:val="auto"/>
              </w:rPr>
            </w:pPr>
          </w:p>
        </w:tc>
        <w:tc>
          <w:tcPr>
            <w:tcW w:w="1020" w:type="dxa"/>
            <w:vAlign w:val="bottom"/>
            <w:tcBorders>
              <w:bottom w:val="single" w:sz="8" w:color="DBDBDB"/>
            </w:tcBorders>
            <w:shd w:val="clear" w:color="auto" w:fill="DBDBDB"/>
          </w:tcPr>
          <w:p>
            <w:pPr>
              <w:spacing w:after="0"/>
              <w:rPr>
                <w:sz w:val="19"/>
                <w:szCs w:val="19"/>
                <w:color w:val="auto"/>
              </w:rPr>
            </w:pPr>
          </w:p>
        </w:tc>
        <w:tc>
          <w:tcPr>
            <w:tcW w:w="0" w:type="dxa"/>
            <w:vAlign w:val="bottom"/>
          </w:tcPr>
          <w:p>
            <w:pPr>
              <w:spacing w:after="0"/>
              <w:rPr>
                <w:sz w:val="1"/>
                <w:szCs w:val="1"/>
                <w:color w:val="auto"/>
              </w:rPr>
            </w:pPr>
          </w:p>
        </w:tc>
      </w:tr>
      <w:tr>
        <w:trPr>
          <w:trHeight w:val="133"/>
        </w:trPr>
        <w:tc>
          <w:tcPr>
            <w:tcW w:w="640" w:type="dxa"/>
            <w:vAlign w:val="bottom"/>
          </w:tcPr>
          <w:p>
            <w:pPr>
              <w:spacing w:after="0"/>
              <w:rPr>
                <w:sz w:val="11"/>
                <w:szCs w:val="11"/>
                <w:color w:val="auto"/>
              </w:rPr>
            </w:pPr>
          </w:p>
        </w:tc>
        <w:tc>
          <w:tcPr>
            <w:tcW w:w="1600" w:type="dxa"/>
            <w:vAlign w:val="bottom"/>
          </w:tcPr>
          <w:p>
            <w:pPr>
              <w:spacing w:after="0"/>
              <w:rPr>
                <w:sz w:val="11"/>
                <w:szCs w:val="11"/>
                <w:color w:val="auto"/>
              </w:rPr>
            </w:pPr>
          </w:p>
        </w:tc>
        <w:tc>
          <w:tcPr>
            <w:tcW w:w="1420" w:type="dxa"/>
            <w:vAlign w:val="bottom"/>
          </w:tcPr>
          <w:p>
            <w:pPr>
              <w:spacing w:after="0"/>
              <w:rPr>
                <w:sz w:val="11"/>
                <w:szCs w:val="11"/>
                <w:color w:val="auto"/>
              </w:rPr>
            </w:pPr>
          </w:p>
        </w:tc>
        <w:tc>
          <w:tcPr>
            <w:tcW w:w="1560" w:type="dxa"/>
            <w:vAlign w:val="bottom"/>
          </w:tcPr>
          <w:p>
            <w:pPr>
              <w:spacing w:after="0"/>
              <w:rPr>
                <w:sz w:val="11"/>
                <w:szCs w:val="11"/>
                <w:color w:val="auto"/>
              </w:rPr>
            </w:pPr>
          </w:p>
        </w:tc>
        <w:tc>
          <w:tcPr>
            <w:tcW w:w="1520" w:type="dxa"/>
            <w:vAlign w:val="bottom"/>
          </w:tcPr>
          <w:p>
            <w:pPr>
              <w:spacing w:after="0"/>
              <w:rPr>
                <w:sz w:val="11"/>
                <w:szCs w:val="11"/>
                <w:color w:val="auto"/>
              </w:rPr>
            </w:pPr>
          </w:p>
        </w:tc>
        <w:tc>
          <w:tcPr>
            <w:tcW w:w="2600" w:type="dxa"/>
            <w:vAlign w:val="bottom"/>
            <w:gridSpan w:val="2"/>
          </w:tcPr>
          <w:p>
            <w:pPr>
              <w:spacing w:after="0"/>
              <w:rPr>
                <w:sz w:val="11"/>
                <w:szCs w:val="11"/>
                <w:color w:val="auto"/>
              </w:rPr>
            </w:pPr>
          </w:p>
        </w:tc>
        <w:tc>
          <w:tcPr>
            <w:tcW w:w="8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40"/>
        </w:trPr>
        <w:tc>
          <w:tcPr>
            <w:tcW w:w="640" w:type="dxa"/>
            <w:vAlign w:val="bottom"/>
            <w:shd w:val="clear" w:color="auto" w:fill="BF2115"/>
          </w:tcPr>
          <w:p>
            <w:pPr>
              <w:spacing w:after="0"/>
              <w:rPr>
                <w:sz w:val="20"/>
                <w:szCs w:val="20"/>
                <w:color w:val="auto"/>
              </w:rPr>
            </w:pPr>
          </w:p>
        </w:tc>
        <w:tc>
          <w:tcPr>
            <w:tcW w:w="1600" w:type="dxa"/>
            <w:vAlign w:val="bottom"/>
            <w:shd w:val="clear" w:color="auto" w:fill="BF2115"/>
          </w:tcPr>
          <w:p>
            <w:pPr>
              <w:spacing w:after="0"/>
              <w:rPr>
                <w:sz w:val="20"/>
                <w:szCs w:val="20"/>
                <w:color w:val="auto"/>
              </w:rPr>
            </w:pPr>
          </w:p>
        </w:tc>
        <w:tc>
          <w:tcPr>
            <w:tcW w:w="1420" w:type="dxa"/>
            <w:vAlign w:val="bottom"/>
            <w:shd w:val="clear" w:color="auto" w:fill="BF2115"/>
          </w:tcPr>
          <w:p>
            <w:pPr>
              <w:spacing w:after="0"/>
              <w:rPr>
                <w:sz w:val="20"/>
                <w:szCs w:val="20"/>
                <w:color w:val="auto"/>
              </w:rPr>
            </w:pPr>
          </w:p>
        </w:tc>
        <w:tc>
          <w:tcPr>
            <w:tcW w:w="1560" w:type="dxa"/>
            <w:vAlign w:val="bottom"/>
            <w:shd w:val="clear" w:color="auto" w:fill="BF2115"/>
          </w:tcPr>
          <w:p>
            <w:pPr>
              <w:spacing w:after="0"/>
              <w:rPr>
                <w:sz w:val="20"/>
                <w:szCs w:val="20"/>
                <w:color w:val="auto"/>
              </w:rPr>
            </w:pPr>
          </w:p>
        </w:tc>
        <w:tc>
          <w:tcPr>
            <w:tcW w:w="1520" w:type="dxa"/>
            <w:vAlign w:val="bottom"/>
            <w:shd w:val="clear" w:color="auto" w:fill="BF2115"/>
          </w:tcPr>
          <w:p>
            <w:pPr>
              <w:spacing w:after="0"/>
              <w:rPr>
                <w:sz w:val="20"/>
                <w:szCs w:val="20"/>
                <w:color w:val="auto"/>
              </w:rPr>
            </w:pPr>
          </w:p>
        </w:tc>
        <w:tc>
          <w:tcPr>
            <w:tcW w:w="2600" w:type="dxa"/>
            <w:vAlign w:val="bottom"/>
            <w:gridSpan w:val="2"/>
            <w:shd w:val="clear" w:color="auto" w:fill="BF2115"/>
          </w:tcPr>
          <w:p>
            <w:pPr>
              <w:jc w:val="right"/>
              <w:ind w:right="321"/>
              <w:spacing w:after="0"/>
              <w:rPr>
                <w:sz w:val="20"/>
                <w:szCs w:val="20"/>
                <w:color w:val="auto"/>
              </w:rPr>
            </w:pPr>
            <w:r>
              <w:rPr>
                <w:rFonts w:ascii="Arial" w:cs="Arial" w:eastAsia="Arial" w:hAnsi="Arial"/>
                <w:sz w:val="16"/>
                <w:szCs w:val="16"/>
                <w:b w:val="1"/>
                <w:bCs w:val="1"/>
                <w:color w:val="FFFFFF"/>
              </w:rPr>
              <w:t>Value of Initial Fixed $100</w:t>
            </w:r>
          </w:p>
        </w:tc>
        <w:tc>
          <w:tcPr>
            <w:tcW w:w="880" w:type="dxa"/>
            <w:vAlign w:val="bottom"/>
            <w:shd w:val="clear" w:color="auto" w:fill="BF2115"/>
          </w:tcPr>
          <w:p>
            <w:pPr>
              <w:spacing w:after="0"/>
              <w:rPr>
                <w:sz w:val="20"/>
                <w:szCs w:val="20"/>
                <w:color w:val="auto"/>
              </w:rPr>
            </w:pPr>
          </w:p>
        </w:tc>
        <w:tc>
          <w:tcPr>
            <w:tcW w:w="1020" w:type="dxa"/>
            <w:vAlign w:val="bottom"/>
            <w:shd w:val="clear" w:color="auto" w:fill="BF2115"/>
          </w:tcPr>
          <w:p>
            <w:pPr>
              <w:spacing w:after="0"/>
              <w:rPr>
                <w:sz w:val="20"/>
                <w:szCs w:val="20"/>
                <w:color w:val="auto"/>
              </w:rPr>
            </w:pPr>
          </w:p>
        </w:tc>
        <w:tc>
          <w:tcPr>
            <w:tcW w:w="0" w:type="dxa"/>
            <w:vAlign w:val="bottom"/>
          </w:tcPr>
          <w:p>
            <w:pPr>
              <w:spacing w:after="0"/>
              <w:rPr>
                <w:sz w:val="1"/>
                <w:szCs w:val="1"/>
                <w:color w:val="auto"/>
              </w:rPr>
            </w:pPr>
          </w:p>
        </w:tc>
      </w:tr>
      <w:tr>
        <w:trPr>
          <w:trHeight w:val="221"/>
        </w:trPr>
        <w:tc>
          <w:tcPr>
            <w:tcW w:w="640" w:type="dxa"/>
            <w:vAlign w:val="bottom"/>
            <w:shd w:val="clear" w:color="auto" w:fill="BF2115"/>
          </w:tcPr>
          <w:p>
            <w:pPr>
              <w:spacing w:after="0"/>
              <w:rPr>
                <w:sz w:val="19"/>
                <w:szCs w:val="19"/>
                <w:color w:val="auto"/>
              </w:rPr>
            </w:pPr>
          </w:p>
        </w:tc>
        <w:tc>
          <w:tcPr>
            <w:tcW w:w="1600" w:type="dxa"/>
            <w:vAlign w:val="bottom"/>
            <w:shd w:val="clear" w:color="auto" w:fill="BF2115"/>
          </w:tcPr>
          <w:p>
            <w:pPr>
              <w:spacing w:after="0"/>
              <w:rPr>
                <w:sz w:val="19"/>
                <w:szCs w:val="19"/>
                <w:color w:val="auto"/>
              </w:rPr>
            </w:pPr>
          </w:p>
        </w:tc>
        <w:tc>
          <w:tcPr>
            <w:tcW w:w="1420" w:type="dxa"/>
            <w:vAlign w:val="bottom"/>
            <w:shd w:val="clear" w:color="auto" w:fill="BF2115"/>
          </w:tcPr>
          <w:p>
            <w:pPr>
              <w:spacing w:after="0"/>
              <w:rPr>
                <w:sz w:val="19"/>
                <w:szCs w:val="19"/>
                <w:color w:val="auto"/>
              </w:rPr>
            </w:pPr>
          </w:p>
        </w:tc>
        <w:tc>
          <w:tcPr>
            <w:tcW w:w="1560" w:type="dxa"/>
            <w:vAlign w:val="bottom"/>
            <w:shd w:val="clear" w:color="auto" w:fill="BF2115"/>
          </w:tcPr>
          <w:p>
            <w:pPr>
              <w:spacing w:after="0"/>
              <w:rPr>
                <w:sz w:val="19"/>
                <w:szCs w:val="19"/>
                <w:color w:val="auto"/>
              </w:rPr>
            </w:pPr>
          </w:p>
        </w:tc>
        <w:tc>
          <w:tcPr>
            <w:tcW w:w="1520" w:type="dxa"/>
            <w:vAlign w:val="bottom"/>
            <w:shd w:val="clear" w:color="auto" w:fill="BF2115"/>
          </w:tcPr>
          <w:p>
            <w:pPr>
              <w:spacing w:after="0"/>
              <w:rPr>
                <w:sz w:val="19"/>
                <w:szCs w:val="19"/>
                <w:color w:val="auto"/>
              </w:rPr>
            </w:pPr>
          </w:p>
        </w:tc>
        <w:tc>
          <w:tcPr>
            <w:tcW w:w="2600" w:type="dxa"/>
            <w:vAlign w:val="bottom"/>
            <w:gridSpan w:val="2"/>
            <w:shd w:val="clear" w:color="auto" w:fill="BF2115"/>
          </w:tcPr>
          <w:p>
            <w:pPr>
              <w:jc w:val="right"/>
              <w:ind w:right="441"/>
              <w:spacing w:after="0"/>
              <w:rPr>
                <w:sz w:val="20"/>
                <w:szCs w:val="20"/>
                <w:color w:val="auto"/>
              </w:rPr>
            </w:pPr>
            <w:r>
              <w:rPr>
                <w:rFonts w:ascii="Arial" w:cs="Arial" w:eastAsia="Arial" w:hAnsi="Arial"/>
                <w:sz w:val="16"/>
                <w:szCs w:val="16"/>
                <w:b w:val="1"/>
                <w:bCs w:val="1"/>
                <w:color w:val="FFFFFF"/>
              </w:rPr>
              <w:t>Investment Based On:</w:t>
            </w:r>
          </w:p>
        </w:tc>
        <w:tc>
          <w:tcPr>
            <w:tcW w:w="880" w:type="dxa"/>
            <w:vAlign w:val="bottom"/>
            <w:shd w:val="clear" w:color="auto" w:fill="BF2115"/>
          </w:tcPr>
          <w:p>
            <w:pPr>
              <w:spacing w:after="0"/>
              <w:rPr>
                <w:sz w:val="19"/>
                <w:szCs w:val="19"/>
                <w:color w:val="auto"/>
              </w:rPr>
            </w:pPr>
          </w:p>
        </w:tc>
        <w:tc>
          <w:tcPr>
            <w:tcW w:w="1020" w:type="dxa"/>
            <w:vAlign w:val="bottom"/>
            <w:shd w:val="clear" w:color="auto" w:fill="BF2115"/>
          </w:tcPr>
          <w:p>
            <w:pPr>
              <w:spacing w:after="0"/>
              <w:rPr>
                <w:sz w:val="19"/>
                <w:szCs w:val="19"/>
                <w:color w:val="auto"/>
              </w:rPr>
            </w:pPr>
          </w:p>
        </w:tc>
        <w:tc>
          <w:tcPr>
            <w:tcW w:w="0" w:type="dxa"/>
            <w:vAlign w:val="bottom"/>
          </w:tcPr>
          <w:p>
            <w:pPr>
              <w:spacing w:after="0"/>
              <w:rPr>
                <w:sz w:val="1"/>
                <w:szCs w:val="1"/>
                <w:color w:val="auto"/>
              </w:rPr>
            </w:pPr>
          </w:p>
        </w:tc>
      </w:tr>
      <w:tr>
        <w:trPr>
          <w:trHeight w:val="246"/>
        </w:trPr>
        <w:tc>
          <w:tcPr>
            <w:tcW w:w="640" w:type="dxa"/>
            <w:vAlign w:val="bottom"/>
            <w:shd w:val="clear" w:color="auto" w:fill="BF2115"/>
          </w:tcPr>
          <w:p>
            <w:pPr>
              <w:spacing w:after="0"/>
              <w:rPr>
                <w:sz w:val="21"/>
                <w:szCs w:val="21"/>
                <w:color w:val="auto"/>
              </w:rPr>
            </w:pPr>
          </w:p>
        </w:tc>
        <w:tc>
          <w:tcPr>
            <w:tcW w:w="1600" w:type="dxa"/>
            <w:vAlign w:val="bottom"/>
            <w:vMerge w:val="restart"/>
            <w:shd w:val="clear" w:color="auto" w:fill="BF2115"/>
          </w:tcPr>
          <w:p>
            <w:pPr>
              <w:jc w:val="center"/>
              <w:ind w:right="60"/>
              <w:spacing w:after="0"/>
              <w:rPr>
                <w:sz w:val="20"/>
                <w:szCs w:val="20"/>
                <w:color w:val="auto"/>
              </w:rPr>
            </w:pPr>
            <w:r>
              <w:rPr>
                <w:rFonts w:ascii="Arial" w:cs="Arial" w:eastAsia="Arial" w:hAnsi="Arial"/>
                <w:sz w:val="16"/>
                <w:szCs w:val="16"/>
                <w:b w:val="1"/>
                <w:bCs w:val="1"/>
                <w:color w:val="FFFFFF"/>
              </w:rPr>
              <w:t>Summary</w:t>
            </w:r>
          </w:p>
        </w:tc>
        <w:tc>
          <w:tcPr>
            <w:tcW w:w="1420" w:type="dxa"/>
            <w:vAlign w:val="bottom"/>
            <w:vMerge w:val="restart"/>
            <w:shd w:val="clear" w:color="auto" w:fill="BF2115"/>
          </w:tcPr>
          <w:p>
            <w:pPr>
              <w:jc w:val="center"/>
              <w:ind w:right="41"/>
              <w:spacing w:after="0"/>
              <w:rPr>
                <w:sz w:val="20"/>
                <w:szCs w:val="20"/>
                <w:color w:val="auto"/>
              </w:rPr>
            </w:pPr>
            <w:r>
              <w:rPr>
                <w:rFonts w:ascii="Arial" w:cs="Arial" w:eastAsia="Arial" w:hAnsi="Arial"/>
                <w:sz w:val="16"/>
                <w:szCs w:val="16"/>
                <w:b w:val="1"/>
                <w:bCs w:val="1"/>
                <w:color w:val="FFFFFF"/>
                <w:w w:val="98"/>
              </w:rPr>
              <w:t>Compensation</w:t>
            </w:r>
          </w:p>
        </w:tc>
        <w:tc>
          <w:tcPr>
            <w:tcW w:w="1560" w:type="dxa"/>
            <w:vAlign w:val="bottom"/>
            <w:shd w:val="clear" w:color="auto" w:fill="BF2115"/>
          </w:tcPr>
          <w:p>
            <w:pPr>
              <w:jc w:val="center"/>
              <w:ind w:right="2"/>
              <w:spacing w:after="0"/>
              <w:rPr>
                <w:sz w:val="20"/>
                <w:szCs w:val="20"/>
                <w:color w:val="auto"/>
              </w:rPr>
            </w:pPr>
            <w:r>
              <w:rPr>
                <w:rFonts w:ascii="Arial" w:cs="Arial" w:eastAsia="Arial" w:hAnsi="Arial"/>
                <w:sz w:val="15"/>
                <w:szCs w:val="15"/>
                <w:b w:val="1"/>
                <w:bCs w:val="1"/>
                <w:color w:val="FFFFFF"/>
              </w:rPr>
              <w:t>Average Summary</w:t>
            </w:r>
          </w:p>
        </w:tc>
        <w:tc>
          <w:tcPr>
            <w:tcW w:w="1520" w:type="dxa"/>
            <w:vAlign w:val="bottom"/>
            <w:shd w:val="clear" w:color="auto" w:fill="BF2115"/>
          </w:tcPr>
          <w:p>
            <w:pPr>
              <w:jc w:val="center"/>
              <w:ind w:right="83"/>
              <w:spacing w:after="0"/>
              <w:rPr>
                <w:sz w:val="20"/>
                <w:szCs w:val="20"/>
                <w:color w:val="auto"/>
              </w:rPr>
            </w:pPr>
            <w:r>
              <w:rPr>
                <w:rFonts w:ascii="Arial" w:cs="Arial" w:eastAsia="Arial" w:hAnsi="Arial"/>
                <w:sz w:val="15"/>
                <w:szCs w:val="15"/>
                <w:b w:val="1"/>
                <w:bCs w:val="1"/>
                <w:color w:val="FFFFFF"/>
              </w:rPr>
              <w:t>Average</w:t>
            </w:r>
          </w:p>
        </w:tc>
        <w:tc>
          <w:tcPr>
            <w:tcW w:w="1420" w:type="dxa"/>
            <w:vAlign w:val="bottom"/>
            <w:vMerge w:val="restart"/>
            <w:shd w:val="clear" w:color="auto" w:fill="BF2115"/>
          </w:tcPr>
          <w:p>
            <w:pPr>
              <w:jc w:val="center"/>
              <w:ind w:right="181"/>
              <w:spacing w:after="0"/>
              <w:rPr>
                <w:sz w:val="20"/>
                <w:szCs w:val="20"/>
                <w:color w:val="auto"/>
              </w:rPr>
            </w:pPr>
            <w:r>
              <w:rPr>
                <w:rFonts w:ascii="Arial" w:cs="Arial" w:eastAsia="Arial" w:hAnsi="Arial"/>
                <w:sz w:val="16"/>
                <w:szCs w:val="16"/>
                <w:b w:val="1"/>
                <w:bCs w:val="1"/>
                <w:color w:val="FFFFFF"/>
                <w:w w:val="94"/>
              </w:rPr>
              <w:t>Total</w:t>
            </w:r>
          </w:p>
        </w:tc>
        <w:tc>
          <w:tcPr>
            <w:tcW w:w="1180" w:type="dxa"/>
            <w:vAlign w:val="bottom"/>
            <w:shd w:val="clear" w:color="auto" w:fill="BF2115"/>
          </w:tcPr>
          <w:p>
            <w:pPr>
              <w:jc w:val="center"/>
              <w:ind w:right="161"/>
              <w:spacing w:after="0"/>
              <w:rPr>
                <w:sz w:val="20"/>
                <w:szCs w:val="20"/>
                <w:color w:val="auto"/>
              </w:rPr>
            </w:pPr>
            <w:r>
              <w:rPr>
                <w:rFonts w:ascii="Arial" w:cs="Arial" w:eastAsia="Arial" w:hAnsi="Arial"/>
                <w:sz w:val="16"/>
                <w:szCs w:val="16"/>
                <w:b w:val="1"/>
                <w:bCs w:val="1"/>
                <w:color w:val="FFFFFF"/>
                <w:w w:val="98"/>
              </w:rPr>
              <w:t>Peer Group</w:t>
            </w:r>
          </w:p>
        </w:tc>
        <w:tc>
          <w:tcPr>
            <w:tcW w:w="880" w:type="dxa"/>
            <w:vAlign w:val="bottom"/>
            <w:shd w:val="clear" w:color="auto" w:fill="BF2115"/>
          </w:tcPr>
          <w:p>
            <w:pPr>
              <w:spacing w:after="0"/>
              <w:rPr>
                <w:sz w:val="21"/>
                <w:szCs w:val="21"/>
                <w:color w:val="auto"/>
              </w:rPr>
            </w:pPr>
          </w:p>
        </w:tc>
        <w:tc>
          <w:tcPr>
            <w:tcW w:w="1020" w:type="dxa"/>
            <w:vAlign w:val="bottom"/>
            <w:shd w:val="clear" w:color="auto" w:fill="BF2115"/>
          </w:tcPr>
          <w:p>
            <w:pPr>
              <w:spacing w:after="0"/>
              <w:rPr>
                <w:sz w:val="21"/>
                <w:szCs w:val="21"/>
                <w:color w:val="auto"/>
              </w:rPr>
            </w:pPr>
          </w:p>
        </w:tc>
        <w:tc>
          <w:tcPr>
            <w:tcW w:w="0" w:type="dxa"/>
            <w:vAlign w:val="bottom"/>
          </w:tcPr>
          <w:p>
            <w:pPr>
              <w:spacing w:after="0"/>
              <w:rPr>
                <w:sz w:val="1"/>
                <w:szCs w:val="1"/>
                <w:color w:val="auto"/>
              </w:rPr>
            </w:pPr>
          </w:p>
        </w:tc>
      </w:tr>
      <w:tr>
        <w:trPr>
          <w:trHeight w:val="147"/>
        </w:trPr>
        <w:tc>
          <w:tcPr>
            <w:tcW w:w="640" w:type="dxa"/>
            <w:vAlign w:val="bottom"/>
            <w:shd w:val="clear" w:color="auto" w:fill="BF2115"/>
          </w:tcPr>
          <w:p>
            <w:pPr>
              <w:spacing w:after="0"/>
              <w:rPr>
                <w:sz w:val="12"/>
                <w:szCs w:val="12"/>
                <w:color w:val="auto"/>
              </w:rPr>
            </w:pPr>
          </w:p>
        </w:tc>
        <w:tc>
          <w:tcPr>
            <w:tcW w:w="1600" w:type="dxa"/>
            <w:vAlign w:val="bottom"/>
            <w:vMerge w:val="continue"/>
            <w:shd w:val="clear" w:color="auto" w:fill="BF2115"/>
          </w:tcPr>
          <w:p>
            <w:pPr>
              <w:spacing w:after="0"/>
              <w:rPr>
                <w:sz w:val="12"/>
                <w:szCs w:val="12"/>
                <w:color w:val="auto"/>
              </w:rPr>
            </w:pPr>
          </w:p>
        </w:tc>
        <w:tc>
          <w:tcPr>
            <w:tcW w:w="1420" w:type="dxa"/>
            <w:vAlign w:val="bottom"/>
            <w:vMerge w:val="continue"/>
            <w:shd w:val="clear" w:color="auto" w:fill="BF2115"/>
          </w:tcPr>
          <w:p>
            <w:pPr>
              <w:spacing w:after="0"/>
              <w:rPr>
                <w:sz w:val="12"/>
                <w:szCs w:val="12"/>
                <w:color w:val="auto"/>
              </w:rPr>
            </w:pPr>
          </w:p>
        </w:tc>
        <w:tc>
          <w:tcPr>
            <w:tcW w:w="1560" w:type="dxa"/>
            <w:vAlign w:val="bottom"/>
            <w:shd w:val="clear" w:color="auto" w:fill="BF2115"/>
          </w:tcPr>
          <w:p>
            <w:pPr>
              <w:jc w:val="center"/>
              <w:ind w:right="2"/>
              <w:spacing w:after="0" w:line="147" w:lineRule="exact"/>
              <w:rPr>
                <w:sz w:val="20"/>
                <w:szCs w:val="20"/>
                <w:color w:val="auto"/>
              </w:rPr>
            </w:pPr>
            <w:r>
              <w:rPr>
                <w:rFonts w:ascii="Arial" w:cs="Arial" w:eastAsia="Arial" w:hAnsi="Arial"/>
                <w:sz w:val="15"/>
                <w:szCs w:val="15"/>
                <w:b w:val="1"/>
                <w:bCs w:val="1"/>
                <w:color w:val="FFFFFF"/>
                <w:w w:val="99"/>
              </w:rPr>
              <w:t>Compensation</w:t>
            </w:r>
          </w:p>
        </w:tc>
        <w:tc>
          <w:tcPr>
            <w:tcW w:w="1520" w:type="dxa"/>
            <w:vAlign w:val="bottom"/>
            <w:shd w:val="clear" w:color="auto" w:fill="BF2115"/>
          </w:tcPr>
          <w:p>
            <w:pPr>
              <w:jc w:val="center"/>
              <w:ind w:right="83"/>
              <w:spacing w:after="0" w:line="147" w:lineRule="exact"/>
              <w:rPr>
                <w:sz w:val="20"/>
                <w:szCs w:val="20"/>
                <w:color w:val="auto"/>
              </w:rPr>
            </w:pPr>
            <w:r>
              <w:rPr>
                <w:rFonts w:ascii="Arial" w:cs="Arial" w:eastAsia="Arial" w:hAnsi="Arial"/>
                <w:sz w:val="15"/>
                <w:szCs w:val="15"/>
                <w:b w:val="1"/>
                <w:bCs w:val="1"/>
                <w:color w:val="FFFFFF"/>
                <w:w w:val="99"/>
              </w:rPr>
              <w:t>Compensation</w:t>
            </w:r>
          </w:p>
        </w:tc>
        <w:tc>
          <w:tcPr>
            <w:tcW w:w="1420" w:type="dxa"/>
            <w:vAlign w:val="bottom"/>
            <w:vMerge w:val="continue"/>
            <w:shd w:val="clear" w:color="auto" w:fill="BF2115"/>
          </w:tcPr>
          <w:p>
            <w:pPr>
              <w:spacing w:after="0"/>
              <w:rPr>
                <w:sz w:val="12"/>
                <w:szCs w:val="12"/>
                <w:color w:val="auto"/>
              </w:rPr>
            </w:pPr>
          </w:p>
        </w:tc>
        <w:tc>
          <w:tcPr>
            <w:tcW w:w="1180" w:type="dxa"/>
            <w:vAlign w:val="bottom"/>
            <w:shd w:val="clear" w:color="auto" w:fill="BF2115"/>
          </w:tcPr>
          <w:p>
            <w:pPr>
              <w:jc w:val="center"/>
              <w:ind w:right="161"/>
              <w:spacing w:after="0" w:line="147" w:lineRule="exact"/>
              <w:rPr>
                <w:sz w:val="20"/>
                <w:szCs w:val="20"/>
                <w:color w:val="auto"/>
              </w:rPr>
            </w:pPr>
            <w:r>
              <w:rPr>
                <w:rFonts w:ascii="Arial" w:cs="Arial" w:eastAsia="Arial" w:hAnsi="Arial"/>
                <w:sz w:val="16"/>
                <w:szCs w:val="16"/>
                <w:b w:val="1"/>
                <w:bCs w:val="1"/>
                <w:color w:val="FFFFFF"/>
                <w:w w:val="99"/>
              </w:rPr>
              <w:t>Total</w:t>
            </w:r>
          </w:p>
        </w:tc>
        <w:tc>
          <w:tcPr>
            <w:tcW w:w="880" w:type="dxa"/>
            <w:vAlign w:val="bottom"/>
            <w:vMerge w:val="restart"/>
            <w:shd w:val="clear" w:color="auto" w:fill="BF2115"/>
          </w:tcPr>
          <w:p>
            <w:pPr>
              <w:jc w:val="center"/>
              <w:ind w:right="22"/>
              <w:spacing w:after="0"/>
              <w:rPr>
                <w:sz w:val="20"/>
                <w:szCs w:val="20"/>
                <w:color w:val="auto"/>
              </w:rPr>
            </w:pPr>
            <w:r>
              <w:rPr>
                <w:rFonts w:ascii="Arial" w:cs="Arial" w:eastAsia="Arial" w:hAnsi="Arial"/>
                <w:sz w:val="16"/>
                <w:szCs w:val="16"/>
                <w:b w:val="1"/>
                <w:bCs w:val="1"/>
                <w:color w:val="FFFFFF"/>
              </w:rPr>
              <w:t>Net</w:t>
            </w:r>
          </w:p>
        </w:tc>
        <w:tc>
          <w:tcPr>
            <w:tcW w:w="1020" w:type="dxa"/>
            <w:vAlign w:val="bottom"/>
            <w:vMerge w:val="restart"/>
            <w:shd w:val="clear" w:color="auto" w:fill="BF2115"/>
          </w:tcPr>
          <w:p>
            <w:pPr>
              <w:jc w:val="center"/>
              <w:spacing w:after="0"/>
              <w:rPr>
                <w:sz w:val="20"/>
                <w:szCs w:val="20"/>
                <w:color w:val="auto"/>
              </w:rPr>
            </w:pPr>
            <w:r>
              <w:rPr>
                <w:rFonts w:ascii="Arial" w:cs="Arial" w:eastAsia="Arial" w:hAnsi="Arial"/>
                <w:sz w:val="16"/>
                <w:szCs w:val="16"/>
                <w:b w:val="1"/>
                <w:bCs w:val="1"/>
                <w:color w:val="FFFFFF"/>
                <w:w w:val="99"/>
              </w:rPr>
              <w:t>Adjusted</w:t>
            </w:r>
          </w:p>
        </w:tc>
        <w:tc>
          <w:tcPr>
            <w:tcW w:w="0" w:type="dxa"/>
            <w:vAlign w:val="bottom"/>
          </w:tcPr>
          <w:p>
            <w:pPr>
              <w:spacing w:after="0"/>
              <w:rPr>
                <w:sz w:val="1"/>
                <w:szCs w:val="1"/>
                <w:color w:val="auto"/>
              </w:rPr>
            </w:pPr>
          </w:p>
        </w:tc>
      </w:tr>
      <w:tr>
        <w:trPr>
          <w:trHeight w:val="160"/>
        </w:trPr>
        <w:tc>
          <w:tcPr>
            <w:tcW w:w="640" w:type="dxa"/>
            <w:vAlign w:val="bottom"/>
            <w:shd w:val="clear" w:color="auto" w:fill="BF2115"/>
          </w:tcPr>
          <w:p>
            <w:pPr>
              <w:spacing w:after="0"/>
              <w:rPr>
                <w:sz w:val="13"/>
                <w:szCs w:val="13"/>
                <w:color w:val="auto"/>
              </w:rPr>
            </w:pPr>
          </w:p>
        </w:tc>
        <w:tc>
          <w:tcPr>
            <w:tcW w:w="1600" w:type="dxa"/>
            <w:vAlign w:val="bottom"/>
            <w:shd w:val="clear" w:color="auto" w:fill="BF2115"/>
          </w:tcPr>
          <w:p>
            <w:pPr>
              <w:jc w:val="center"/>
              <w:ind w:right="40"/>
              <w:spacing w:after="0" w:line="160" w:lineRule="exact"/>
              <w:rPr>
                <w:sz w:val="20"/>
                <w:szCs w:val="20"/>
                <w:color w:val="auto"/>
              </w:rPr>
            </w:pPr>
            <w:r>
              <w:rPr>
                <w:rFonts w:ascii="Arial" w:cs="Arial" w:eastAsia="Arial" w:hAnsi="Arial"/>
                <w:sz w:val="16"/>
                <w:szCs w:val="16"/>
                <w:b w:val="1"/>
                <w:bCs w:val="1"/>
                <w:color w:val="FFFFFF"/>
              </w:rPr>
              <w:t>Compensation</w:t>
            </w:r>
          </w:p>
        </w:tc>
        <w:tc>
          <w:tcPr>
            <w:tcW w:w="1420" w:type="dxa"/>
            <w:vAlign w:val="bottom"/>
            <w:shd w:val="clear" w:color="auto" w:fill="BF2115"/>
          </w:tcPr>
          <w:p>
            <w:pPr>
              <w:jc w:val="center"/>
              <w:ind w:right="61"/>
              <w:spacing w:after="0" w:line="160" w:lineRule="exact"/>
              <w:rPr>
                <w:sz w:val="20"/>
                <w:szCs w:val="20"/>
                <w:color w:val="auto"/>
              </w:rPr>
            </w:pPr>
            <w:r>
              <w:rPr>
                <w:rFonts w:ascii="Arial" w:cs="Arial" w:eastAsia="Arial" w:hAnsi="Arial"/>
                <w:sz w:val="16"/>
                <w:szCs w:val="16"/>
                <w:b w:val="1"/>
                <w:bCs w:val="1"/>
                <w:color w:val="FFFFFF"/>
                <w:w w:val="99"/>
              </w:rPr>
              <w:t>Actually Paid to</w:t>
            </w:r>
          </w:p>
        </w:tc>
        <w:tc>
          <w:tcPr>
            <w:tcW w:w="1560" w:type="dxa"/>
            <w:vAlign w:val="bottom"/>
            <w:shd w:val="clear" w:color="auto" w:fill="BF2115"/>
          </w:tcPr>
          <w:p>
            <w:pPr>
              <w:jc w:val="center"/>
              <w:ind w:right="2"/>
              <w:spacing w:after="0" w:line="160" w:lineRule="exact"/>
              <w:rPr>
                <w:sz w:val="20"/>
                <w:szCs w:val="20"/>
                <w:color w:val="auto"/>
              </w:rPr>
            </w:pPr>
            <w:r>
              <w:rPr>
                <w:rFonts w:ascii="Arial" w:cs="Arial" w:eastAsia="Arial" w:hAnsi="Arial"/>
                <w:sz w:val="15"/>
                <w:szCs w:val="15"/>
                <w:b w:val="1"/>
                <w:bCs w:val="1"/>
                <w:color w:val="FFFFFF"/>
                <w:w w:val="98"/>
              </w:rPr>
              <w:t>Table Total for Non-</w:t>
            </w:r>
          </w:p>
        </w:tc>
        <w:tc>
          <w:tcPr>
            <w:tcW w:w="1520" w:type="dxa"/>
            <w:vAlign w:val="bottom"/>
            <w:shd w:val="clear" w:color="auto" w:fill="BF2115"/>
          </w:tcPr>
          <w:p>
            <w:pPr>
              <w:jc w:val="center"/>
              <w:ind w:right="63"/>
              <w:spacing w:after="0" w:line="160" w:lineRule="exact"/>
              <w:rPr>
                <w:sz w:val="20"/>
                <w:szCs w:val="20"/>
                <w:color w:val="auto"/>
              </w:rPr>
            </w:pPr>
            <w:r>
              <w:rPr>
                <w:rFonts w:ascii="Arial" w:cs="Arial" w:eastAsia="Arial" w:hAnsi="Arial"/>
                <w:sz w:val="15"/>
                <w:szCs w:val="15"/>
                <w:b w:val="1"/>
                <w:bCs w:val="1"/>
                <w:color w:val="FFFFFF"/>
              </w:rPr>
              <w:t>Actually Paid to</w:t>
            </w:r>
          </w:p>
        </w:tc>
        <w:tc>
          <w:tcPr>
            <w:tcW w:w="1420" w:type="dxa"/>
            <w:vAlign w:val="bottom"/>
            <w:shd w:val="clear" w:color="auto" w:fill="BF2115"/>
          </w:tcPr>
          <w:p>
            <w:pPr>
              <w:jc w:val="center"/>
              <w:ind w:right="181"/>
              <w:spacing w:after="0" w:line="160" w:lineRule="exact"/>
              <w:rPr>
                <w:sz w:val="20"/>
                <w:szCs w:val="20"/>
                <w:color w:val="auto"/>
              </w:rPr>
            </w:pPr>
            <w:r>
              <w:rPr>
                <w:rFonts w:ascii="Arial" w:cs="Arial" w:eastAsia="Arial" w:hAnsi="Arial"/>
                <w:sz w:val="16"/>
                <w:szCs w:val="16"/>
                <w:b w:val="1"/>
                <w:bCs w:val="1"/>
                <w:color w:val="FFFFFF"/>
                <w:w w:val="98"/>
              </w:rPr>
              <w:t>Shareholder</w:t>
            </w:r>
          </w:p>
        </w:tc>
        <w:tc>
          <w:tcPr>
            <w:tcW w:w="1180" w:type="dxa"/>
            <w:vAlign w:val="bottom"/>
            <w:shd w:val="clear" w:color="auto" w:fill="BF2115"/>
          </w:tcPr>
          <w:p>
            <w:pPr>
              <w:jc w:val="center"/>
              <w:ind w:right="161"/>
              <w:spacing w:after="0" w:line="160" w:lineRule="exact"/>
              <w:rPr>
                <w:sz w:val="20"/>
                <w:szCs w:val="20"/>
                <w:color w:val="auto"/>
              </w:rPr>
            </w:pPr>
            <w:r>
              <w:rPr>
                <w:rFonts w:ascii="Arial" w:cs="Arial" w:eastAsia="Arial" w:hAnsi="Arial"/>
                <w:sz w:val="16"/>
                <w:szCs w:val="16"/>
                <w:b w:val="1"/>
                <w:bCs w:val="1"/>
                <w:color w:val="FFFFFF"/>
              </w:rPr>
              <w:t>Shareholder</w:t>
            </w:r>
          </w:p>
        </w:tc>
        <w:tc>
          <w:tcPr>
            <w:tcW w:w="880" w:type="dxa"/>
            <w:vAlign w:val="bottom"/>
            <w:vMerge w:val="continue"/>
            <w:shd w:val="clear" w:color="auto" w:fill="BF2115"/>
          </w:tcPr>
          <w:p>
            <w:pPr>
              <w:spacing w:after="0"/>
              <w:rPr>
                <w:sz w:val="13"/>
                <w:szCs w:val="13"/>
                <w:color w:val="auto"/>
              </w:rPr>
            </w:pPr>
          </w:p>
        </w:tc>
        <w:tc>
          <w:tcPr>
            <w:tcW w:w="1020" w:type="dxa"/>
            <w:vAlign w:val="bottom"/>
            <w:vMerge w:val="continue"/>
            <w:shd w:val="clear" w:color="auto" w:fill="BF2115"/>
          </w:tcPr>
          <w:p>
            <w:pPr>
              <w:spacing w:after="0"/>
              <w:rPr>
                <w:sz w:val="13"/>
                <w:szCs w:val="13"/>
                <w:color w:val="auto"/>
              </w:rPr>
            </w:pPr>
          </w:p>
        </w:tc>
        <w:tc>
          <w:tcPr>
            <w:tcW w:w="0" w:type="dxa"/>
            <w:vAlign w:val="bottom"/>
          </w:tcPr>
          <w:p>
            <w:pPr>
              <w:spacing w:after="0"/>
              <w:rPr>
                <w:sz w:val="1"/>
                <w:szCs w:val="1"/>
                <w:color w:val="auto"/>
              </w:rPr>
            </w:pPr>
          </w:p>
        </w:tc>
      </w:tr>
      <w:tr>
        <w:trPr>
          <w:trHeight w:val="147"/>
        </w:trPr>
        <w:tc>
          <w:tcPr>
            <w:tcW w:w="640" w:type="dxa"/>
            <w:vAlign w:val="bottom"/>
            <w:vMerge w:val="restart"/>
            <w:shd w:val="clear" w:color="auto" w:fill="BF2115"/>
          </w:tcPr>
          <w:p>
            <w:pPr>
              <w:jc w:val="right"/>
              <w:ind w:right="80"/>
              <w:spacing w:after="0"/>
              <w:rPr>
                <w:sz w:val="20"/>
                <w:szCs w:val="20"/>
                <w:color w:val="auto"/>
              </w:rPr>
            </w:pPr>
            <w:r>
              <w:rPr>
                <w:rFonts w:ascii="Arial" w:cs="Arial" w:eastAsia="Arial" w:hAnsi="Arial"/>
                <w:sz w:val="16"/>
                <w:szCs w:val="16"/>
                <w:b w:val="1"/>
                <w:bCs w:val="1"/>
                <w:color w:val="FFFFFF"/>
              </w:rPr>
              <w:t>Year</w:t>
            </w:r>
          </w:p>
        </w:tc>
        <w:tc>
          <w:tcPr>
            <w:tcW w:w="1600" w:type="dxa"/>
            <w:vAlign w:val="bottom"/>
            <w:shd w:val="clear" w:color="auto" w:fill="BF2115"/>
          </w:tcPr>
          <w:p>
            <w:pPr>
              <w:jc w:val="center"/>
              <w:ind w:right="60"/>
              <w:spacing w:after="0" w:line="147" w:lineRule="exact"/>
              <w:rPr>
                <w:sz w:val="20"/>
                <w:szCs w:val="20"/>
                <w:color w:val="auto"/>
              </w:rPr>
            </w:pPr>
            <w:r>
              <w:rPr>
                <w:rFonts w:ascii="Arial" w:cs="Arial" w:eastAsia="Arial" w:hAnsi="Arial"/>
                <w:sz w:val="16"/>
                <w:szCs w:val="16"/>
                <w:b w:val="1"/>
                <w:bCs w:val="1"/>
                <w:color w:val="FFFFFF"/>
                <w:w w:val="98"/>
              </w:rPr>
              <w:t>Table Total for PEO</w:t>
            </w:r>
          </w:p>
        </w:tc>
        <w:tc>
          <w:tcPr>
            <w:tcW w:w="1420" w:type="dxa"/>
            <w:vAlign w:val="bottom"/>
            <w:shd w:val="clear" w:color="auto" w:fill="BF2115"/>
          </w:tcPr>
          <w:p>
            <w:pPr>
              <w:jc w:val="center"/>
              <w:ind w:right="41"/>
              <w:spacing w:after="0" w:line="147" w:lineRule="exact"/>
              <w:rPr>
                <w:sz w:val="20"/>
                <w:szCs w:val="20"/>
                <w:color w:val="auto"/>
              </w:rPr>
            </w:pPr>
            <w:r>
              <w:rPr>
                <w:rFonts w:ascii="Arial" w:cs="Arial" w:eastAsia="Arial" w:hAnsi="Arial"/>
                <w:sz w:val="14"/>
                <w:szCs w:val="14"/>
                <w:b w:val="1"/>
                <w:bCs w:val="1"/>
                <w:color w:val="FFFFFF"/>
              </w:rPr>
              <w:t>PEO</w:t>
            </w:r>
            <w:r>
              <w:rPr>
                <w:rFonts w:ascii="Arial" w:cs="Arial" w:eastAsia="Arial" w:hAnsi="Arial"/>
                <w:sz w:val="17"/>
                <w:szCs w:val="17"/>
                <w:b w:val="1"/>
                <w:bCs w:val="1"/>
                <w:color w:val="FFFFFF"/>
                <w:vertAlign w:val="superscript"/>
              </w:rPr>
              <w:t>1</w:t>
            </w:r>
          </w:p>
        </w:tc>
        <w:tc>
          <w:tcPr>
            <w:tcW w:w="1560" w:type="dxa"/>
            <w:vAlign w:val="bottom"/>
            <w:shd w:val="clear" w:color="auto" w:fill="BF2115"/>
          </w:tcPr>
          <w:p>
            <w:pPr>
              <w:jc w:val="center"/>
              <w:ind w:right="42"/>
              <w:spacing w:after="0" w:line="147" w:lineRule="exact"/>
              <w:rPr>
                <w:sz w:val="20"/>
                <w:szCs w:val="20"/>
                <w:color w:val="auto"/>
              </w:rPr>
            </w:pPr>
            <w:r>
              <w:rPr>
                <w:rFonts w:ascii="Arial" w:cs="Arial" w:eastAsia="Arial" w:hAnsi="Arial"/>
                <w:sz w:val="15"/>
                <w:szCs w:val="15"/>
                <w:b w:val="1"/>
                <w:bCs w:val="1"/>
                <w:color w:val="FFFFFF"/>
                <w:w w:val="99"/>
              </w:rPr>
              <w:t>PEO NEOs</w:t>
            </w:r>
          </w:p>
        </w:tc>
        <w:tc>
          <w:tcPr>
            <w:tcW w:w="1520" w:type="dxa"/>
            <w:vAlign w:val="bottom"/>
            <w:shd w:val="clear" w:color="auto" w:fill="BF2115"/>
          </w:tcPr>
          <w:p>
            <w:pPr>
              <w:jc w:val="center"/>
              <w:ind w:right="63"/>
              <w:spacing w:after="0" w:line="147" w:lineRule="exact"/>
              <w:rPr>
                <w:sz w:val="20"/>
                <w:szCs w:val="20"/>
                <w:color w:val="auto"/>
              </w:rPr>
            </w:pPr>
            <w:r>
              <w:rPr>
                <w:rFonts w:ascii="Arial" w:cs="Arial" w:eastAsia="Arial" w:hAnsi="Arial"/>
                <w:sz w:val="14"/>
                <w:szCs w:val="14"/>
                <w:b w:val="1"/>
                <w:bCs w:val="1"/>
                <w:color w:val="FFFFFF"/>
              </w:rPr>
              <w:t>Non-PEO NEOs</w:t>
            </w:r>
            <w:r>
              <w:rPr>
                <w:rFonts w:ascii="Arial" w:cs="Arial" w:eastAsia="Arial" w:hAnsi="Arial"/>
                <w:sz w:val="17"/>
                <w:szCs w:val="17"/>
                <w:b w:val="1"/>
                <w:bCs w:val="1"/>
                <w:color w:val="FFFFFF"/>
                <w:vertAlign w:val="superscript"/>
              </w:rPr>
              <w:t>1</w:t>
            </w:r>
          </w:p>
        </w:tc>
        <w:tc>
          <w:tcPr>
            <w:tcW w:w="1420" w:type="dxa"/>
            <w:vAlign w:val="bottom"/>
            <w:shd w:val="clear" w:color="auto" w:fill="BF2115"/>
          </w:tcPr>
          <w:p>
            <w:pPr>
              <w:jc w:val="center"/>
              <w:ind w:right="181"/>
              <w:spacing w:after="0" w:line="147" w:lineRule="exact"/>
              <w:rPr>
                <w:sz w:val="20"/>
                <w:szCs w:val="20"/>
                <w:color w:val="auto"/>
              </w:rPr>
            </w:pPr>
            <w:r>
              <w:rPr>
                <w:rFonts w:ascii="Arial" w:cs="Arial" w:eastAsia="Arial" w:hAnsi="Arial"/>
                <w:sz w:val="14"/>
                <w:szCs w:val="14"/>
                <w:b w:val="1"/>
                <w:bCs w:val="1"/>
                <w:color w:val="FFFFFF"/>
              </w:rPr>
              <w:t>Return</w:t>
            </w:r>
            <w:r>
              <w:rPr>
                <w:rFonts w:ascii="Arial" w:cs="Arial" w:eastAsia="Arial" w:hAnsi="Arial"/>
                <w:sz w:val="17"/>
                <w:szCs w:val="17"/>
                <w:b w:val="1"/>
                <w:bCs w:val="1"/>
                <w:color w:val="FFFFFF"/>
                <w:vertAlign w:val="superscript"/>
              </w:rPr>
              <w:t>2</w:t>
            </w:r>
          </w:p>
        </w:tc>
        <w:tc>
          <w:tcPr>
            <w:tcW w:w="1180" w:type="dxa"/>
            <w:vAlign w:val="bottom"/>
            <w:shd w:val="clear" w:color="auto" w:fill="BF2115"/>
          </w:tcPr>
          <w:p>
            <w:pPr>
              <w:jc w:val="center"/>
              <w:ind w:right="161"/>
              <w:spacing w:after="0" w:line="147" w:lineRule="exact"/>
              <w:rPr>
                <w:sz w:val="20"/>
                <w:szCs w:val="20"/>
                <w:color w:val="auto"/>
              </w:rPr>
            </w:pPr>
            <w:r>
              <w:rPr>
                <w:rFonts w:ascii="Arial" w:cs="Arial" w:eastAsia="Arial" w:hAnsi="Arial"/>
                <w:sz w:val="14"/>
                <w:szCs w:val="14"/>
                <w:b w:val="1"/>
                <w:bCs w:val="1"/>
                <w:color w:val="FFFFFF"/>
              </w:rPr>
              <w:t>Return</w:t>
            </w:r>
            <w:r>
              <w:rPr>
                <w:rFonts w:ascii="Arial" w:cs="Arial" w:eastAsia="Arial" w:hAnsi="Arial"/>
                <w:sz w:val="17"/>
                <w:szCs w:val="17"/>
                <w:b w:val="1"/>
                <w:bCs w:val="1"/>
                <w:color w:val="FFFFFF"/>
                <w:vertAlign w:val="superscript"/>
              </w:rPr>
              <w:t>3</w:t>
            </w:r>
          </w:p>
        </w:tc>
        <w:tc>
          <w:tcPr>
            <w:tcW w:w="880" w:type="dxa"/>
            <w:vAlign w:val="bottom"/>
            <w:shd w:val="clear" w:color="auto" w:fill="BF2115"/>
          </w:tcPr>
          <w:p>
            <w:pPr>
              <w:jc w:val="center"/>
              <w:ind w:right="22"/>
              <w:spacing w:after="0" w:line="147" w:lineRule="exact"/>
              <w:rPr>
                <w:sz w:val="20"/>
                <w:szCs w:val="20"/>
                <w:color w:val="auto"/>
              </w:rPr>
            </w:pPr>
            <w:r>
              <w:rPr>
                <w:rFonts w:ascii="Arial" w:cs="Arial" w:eastAsia="Arial" w:hAnsi="Arial"/>
                <w:sz w:val="14"/>
                <w:szCs w:val="14"/>
                <w:b w:val="1"/>
                <w:bCs w:val="1"/>
                <w:color w:val="FFFFFF"/>
              </w:rPr>
              <w:t>Income</w:t>
            </w:r>
            <w:r>
              <w:rPr>
                <w:rFonts w:ascii="Arial" w:cs="Arial" w:eastAsia="Arial" w:hAnsi="Arial"/>
                <w:sz w:val="17"/>
                <w:szCs w:val="17"/>
                <w:b w:val="1"/>
                <w:bCs w:val="1"/>
                <w:color w:val="FFFFFF"/>
                <w:vertAlign w:val="superscript"/>
              </w:rPr>
              <w:t>4</w:t>
            </w:r>
          </w:p>
        </w:tc>
        <w:tc>
          <w:tcPr>
            <w:tcW w:w="1020" w:type="dxa"/>
            <w:vAlign w:val="bottom"/>
            <w:shd w:val="clear" w:color="auto" w:fill="BF2115"/>
          </w:tcPr>
          <w:p>
            <w:pPr>
              <w:jc w:val="center"/>
              <w:spacing w:after="0" w:line="147" w:lineRule="exact"/>
              <w:rPr>
                <w:sz w:val="20"/>
                <w:szCs w:val="20"/>
                <w:color w:val="auto"/>
              </w:rPr>
            </w:pPr>
            <w:r>
              <w:rPr>
                <w:rFonts w:ascii="Arial" w:cs="Arial" w:eastAsia="Arial" w:hAnsi="Arial"/>
                <w:sz w:val="14"/>
                <w:szCs w:val="14"/>
                <w:b w:val="1"/>
                <w:bCs w:val="1"/>
                <w:color w:val="FFFFFF"/>
              </w:rPr>
              <w:t>Diluted EPS</w:t>
            </w:r>
            <w:r>
              <w:rPr>
                <w:rFonts w:ascii="Arial" w:cs="Arial" w:eastAsia="Arial" w:hAnsi="Arial"/>
                <w:sz w:val="17"/>
                <w:szCs w:val="17"/>
                <w:b w:val="1"/>
                <w:bCs w:val="1"/>
                <w:color w:val="FFFFFF"/>
                <w:vertAlign w:val="superscript"/>
              </w:rPr>
              <w:t>5</w:t>
            </w:r>
          </w:p>
        </w:tc>
        <w:tc>
          <w:tcPr>
            <w:tcW w:w="0" w:type="dxa"/>
            <w:vAlign w:val="bottom"/>
          </w:tcPr>
          <w:p>
            <w:pPr>
              <w:spacing w:after="0"/>
              <w:rPr>
                <w:sz w:val="1"/>
                <w:szCs w:val="1"/>
                <w:color w:val="auto"/>
              </w:rPr>
            </w:pPr>
          </w:p>
        </w:tc>
      </w:tr>
      <w:tr>
        <w:trPr>
          <w:trHeight w:val="213"/>
        </w:trPr>
        <w:tc>
          <w:tcPr>
            <w:tcW w:w="640" w:type="dxa"/>
            <w:vAlign w:val="bottom"/>
            <w:vMerge w:val="continue"/>
            <w:shd w:val="clear" w:color="auto" w:fill="BF2115"/>
          </w:tcPr>
          <w:p>
            <w:pPr>
              <w:spacing w:after="0"/>
              <w:rPr>
                <w:sz w:val="18"/>
                <w:szCs w:val="18"/>
                <w:color w:val="auto"/>
              </w:rPr>
            </w:pPr>
          </w:p>
        </w:tc>
        <w:tc>
          <w:tcPr>
            <w:tcW w:w="1600" w:type="dxa"/>
            <w:vAlign w:val="bottom"/>
            <w:shd w:val="clear" w:color="auto" w:fill="BF2115"/>
          </w:tcPr>
          <w:p>
            <w:pPr>
              <w:jc w:val="center"/>
              <w:ind w:right="40"/>
              <w:spacing w:after="0"/>
              <w:rPr>
                <w:sz w:val="20"/>
                <w:szCs w:val="20"/>
                <w:color w:val="auto"/>
              </w:rPr>
            </w:pPr>
            <w:r>
              <w:rPr>
                <w:rFonts w:ascii="Arial" w:cs="Arial" w:eastAsia="Arial" w:hAnsi="Arial"/>
                <w:sz w:val="16"/>
                <w:szCs w:val="16"/>
                <w:b w:val="1"/>
                <w:bCs w:val="1"/>
                <w:color w:val="FFFFFF"/>
              </w:rPr>
              <w:t>($)</w:t>
            </w:r>
          </w:p>
        </w:tc>
        <w:tc>
          <w:tcPr>
            <w:tcW w:w="1420" w:type="dxa"/>
            <w:vAlign w:val="bottom"/>
            <w:shd w:val="clear" w:color="auto" w:fill="BF2115"/>
          </w:tcPr>
          <w:p>
            <w:pPr>
              <w:jc w:val="center"/>
              <w:ind w:right="41"/>
              <w:spacing w:after="0"/>
              <w:rPr>
                <w:sz w:val="20"/>
                <w:szCs w:val="20"/>
                <w:color w:val="auto"/>
              </w:rPr>
            </w:pPr>
            <w:r>
              <w:rPr>
                <w:rFonts w:ascii="Arial" w:cs="Arial" w:eastAsia="Arial" w:hAnsi="Arial"/>
                <w:sz w:val="16"/>
                <w:szCs w:val="16"/>
                <w:b w:val="1"/>
                <w:bCs w:val="1"/>
                <w:color w:val="FFFFFF"/>
                <w:w w:val="91"/>
              </w:rPr>
              <w:t>($)</w:t>
            </w:r>
          </w:p>
        </w:tc>
        <w:tc>
          <w:tcPr>
            <w:tcW w:w="1560" w:type="dxa"/>
            <w:vAlign w:val="bottom"/>
            <w:shd w:val="clear" w:color="auto" w:fill="BF2115"/>
          </w:tcPr>
          <w:p>
            <w:pPr>
              <w:jc w:val="center"/>
              <w:spacing w:after="0"/>
              <w:rPr>
                <w:sz w:val="20"/>
                <w:szCs w:val="20"/>
                <w:color w:val="auto"/>
              </w:rPr>
            </w:pPr>
            <w:r>
              <w:rPr>
                <w:rFonts w:ascii="Arial" w:cs="Arial" w:eastAsia="Arial" w:hAnsi="Arial"/>
                <w:sz w:val="15"/>
                <w:szCs w:val="15"/>
                <w:b w:val="1"/>
                <w:bCs w:val="1"/>
                <w:color w:val="FFFFFF"/>
                <w:w w:val="97"/>
              </w:rPr>
              <w:t>($)</w:t>
            </w:r>
          </w:p>
        </w:tc>
        <w:tc>
          <w:tcPr>
            <w:tcW w:w="1520" w:type="dxa"/>
            <w:vAlign w:val="bottom"/>
            <w:shd w:val="clear" w:color="auto" w:fill="BF2115"/>
          </w:tcPr>
          <w:p>
            <w:pPr>
              <w:jc w:val="center"/>
              <w:ind w:right="63"/>
              <w:spacing w:after="0"/>
              <w:rPr>
                <w:sz w:val="20"/>
                <w:szCs w:val="20"/>
                <w:color w:val="auto"/>
              </w:rPr>
            </w:pPr>
            <w:r>
              <w:rPr>
                <w:rFonts w:ascii="Arial" w:cs="Arial" w:eastAsia="Arial" w:hAnsi="Arial"/>
                <w:sz w:val="15"/>
                <w:szCs w:val="15"/>
                <w:b w:val="1"/>
                <w:bCs w:val="1"/>
                <w:color w:val="FFFFFF"/>
                <w:w w:val="97"/>
              </w:rPr>
              <w:t>($)</w:t>
            </w:r>
          </w:p>
        </w:tc>
        <w:tc>
          <w:tcPr>
            <w:tcW w:w="1420" w:type="dxa"/>
            <w:vAlign w:val="bottom"/>
            <w:shd w:val="clear" w:color="auto" w:fill="BF2115"/>
          </w:tcPr>
          <w:p>
            <w:pPr>
              <w:jc w:val="center"/>
              <w:ind w:right="181"/>
              <w:spacing w:after="0"/>
              <w:rPr>
                <w:sz w:val="20"/>
                <w:szCs w:val="20"/>
                <w:color w:val="auto"/>
              </w:rPr>
            </w:pPr>
            <w:r>
              <w:rPr>
                <w:rFonts w:ascii="Arial" w:cs="Arial" w:eastAsia="Arial" w:hAnsi="Arial"/>
                <w:sz w:val="16"/>
                <w:szCs w:val="16"/>
                <w:b w:val="1"/>
                <w:bCs w:val="1"/>
                <w:color w:val="FFFFFF"/>
              </w:rPr>
              <w:t>($)</w:t>
            </w:r>
          </w:p>
        </w:tc>
        <w:tc>
          <w:tcPr>
            <w:tcW w:w="1180" w:type="dxa"/>
            <w:vAlign w:val="bottom"/>
            <w:shd w:val="clear" w:color="auto" w:fill="BF2115"/>
          </w:tcPr>
          <w:p>
            <w:pPr>
              <w:jc w:val="center"/>
              <w:ind w:right="141"/>
              <w:spacing w:after="0"/>
              <w:rPr>
                <w:sz w:val="20"/>
                <w:szCs w:val="20"/>
                <w:color w:val="auto"/>
              </w:rPr>
            </w:pPr>
            <w:r>
              <w:rPr>
                <w:rFonts w:ascii="Arial" w:cs="Arial" w:eastAsia="Arial" w:hAnsi="Arial"/>
                <w:sz w:val="16"/>
                <w:szCs w:val="16"/>
                <w:b w:val="1"/>
                <w:bCs w:val="1"/>
                <w:color w:val="FFFFFF"/>
              </w:rPr>
              <w:t>($)</w:t>
            </w:r>
          </w:p>
        </w:tc>
        <w:tc>
          <w:tcPr>
            <w:tcW w:w="880" w:type="dxa"/>
            <w:vAlign w:val="bottom"/>
            <w:shd w:val="clear" w:color="auto" w:fill="BF2115"/>
          </w:tcPr>
          <w:p>
            <w:pPr>
              <w:jc w:val="center"/>
              <w:ind w:right="2"/>
              <w:spacing w:after="0"/>
              <w:rPr>
                <w:sz w:val="20"/>
                <w:szCs w:val="20"/>
                <w:color w:val="auto"/>
              </w:rPr>
            </w:pPr>
            <w:r>
              <w:rPr>
                <w:rFonts w:ascii="Arial" w:cs="Arial" w:eastAsia="Arial" w:hAnsi="Arial"/>
                <w:sz w:val="16"/>
                <w:szCs w:val="16"/>
                <w:b w:val="1"/>
                <w:bCs w:val="1"/>
                <w:color w:val="FFFFFF"/>
              </w:rPr>
              <w:t>($)</w:t>
            </w:r>
          </w:p>
        </w:tc>
        <w:tc>
          <w:tcPr>
            <w:tcW w:w="1020" w:type="dxa"/>
            <w:vAlign w:val="bottom"/>
            <w:shd w:val="clear" w:color="auto" w:fill="BF2115"/>
          </w:tcPr>
          <w:p>
            <w:pPr>
              <w:jc w:val="center"/>
              <w:spacing w:after="0"/>
              <w:rPr>
                <w:sz w:val="20"/>
                <w:szCs w:val="20"/>
                <w:color w:val="auto"/>
              </w:rPr>
            </w:pPr>
            <w:r>
              <w:rPr>
                <w:rFonts w:ascii="Arial" w:cs="Arial" w:eastAsia="Arial" w:hAnsi="Arial"/>
                <w:sz w:val="16"/>
                <w:szCs w:val="16"/>
                <w:b w:val="1"/>
                <w:bCs w:val="1"/>
                <w:color w:val="FFFFFF"/>
              </w:rPr>
              <w:t>($)</w:t>
            </w:r>
          </w:p>
        </w:tc>
        <w:tc>
          <w:tcPr>
            <w:tcW w:w="0" w:type="dxa"/>
            <w:vAlign w:val="bottom"/>
          </w:tcPr>
          <w:p>
            <w:pPr>
              <w:spacing w:after="0"/>
              <w:rPr>
                <w:sz w:val="1"/>
                <w:szCs w:val="1"/>
                <w:color w:val="auto"/>
              </w:rPr>
            </w:pPr>
          </w:p>
        </w:tc>
      </w:tr>
      <w:tr>
        <w:trPr>
          <w:trHeight w:val="212"/>
        </w:trPr>
        <w:tc>
          <w:tcPr>
            <w:tcW w:w="640" w:type="dxa"/>
            <w:vAlign w:val="bottom"/>
          </w:tcPr>
          <w:p>
            <w:pPr>
              <w:jc w:val="right"/>
              <w:ind w:right="180"/>
              <w:spacing w:after="0"/>
              <w:rPr>
                <w:sz w:val="20"/>
                <w:szCs w:val="20"/>
                <w:color w:val="auto"/>
              </w:rPr>
            </w:pPr>
            <w:r>
              <w:rPr>
                <w:rFonts w:ascii="Arial" w:cs="Arial" w:eastAsia="Arial" w:hAnsi="Arial"/>
                <w:sz w:val="16"/>
                <w:szCs w:val="16"/>
                <w:color w:val="auto"/>
              </w:rPr>
              <w:t>2024</w:t>
            </w:r>
          </w:p>
        </w:tc>
        <w:tc>
          <w:tcPr>
            <w:tcW w:w="1600" w:type="dxa"/>
            <w:vAlign w:val="bottom"/>
          </w:tcPr>
          <w:p>
            <w:pPr>
              <w:jc w:val="right"/>
              <w:ind w:right="40"/>
              <w:spacing w:after="0"/>
              <w:rPr>
                <w:sz w:val="20"/>
                <w:szCs w:val="20"/>
                <w:color w:val="auto"/>
              </w:rPr>
            </w:pPr>
            <w:r>
              <w:rPr>
                <w:rFonts w:ascii="Arial" w:cs="Arial" w:eastAsia="Arial" w:hAnsi="Arial"/>
                <w:sz w:val="16"/>
                <w:szCs w:val="16"/>
                <w:color w:val="auto"/>
              </w:rPr>
              <w:t>8,278,439</w:t>
            </w:r>
          </w:p>
        </w:tc>
        <w:tc>
          <w:tcPr>
            <w:tcW w:w="1420" w:type="dxa"/>
            <w:vAlign w:val="bottom"/>
          </w:tcPr>
          <w:p>
            <w:pPr>
              <w:jc w:val="right"/>
              <w:ind w:right="1"/>
              <w:spacing w:after="0"/>
              <w:rPr>
                <w:sz w:val="20"/>
                <w:szCs w:val="20"/>
                <w:color w:val="auto"/>
              </w:rPr>
            </w:pPr>
            <w:r>
              <w:rPr>
                <w:rFonts w:ascii="Arial" w:cs="Arial" w:eastAsia="Arial" w:hAnsi="Arial"/>
                <w:sz w:val="16"/>
                <w:szCs w:val="16"/>
                <w:color w:val="auto"/>
              </w:rPr>
              <w:t>3,733,008</w:t>
            </w:r>
          </w:p>
        </w:tc>
        <w:tc>
          <w:tcPr>
            <w:tcW w:w="1560" w:type="dxa"/>
            <w:vAlign w:val="bottom"/>
          </w:tcPr>
          <w:p>
            <w:pPr>
              <w:jc w:val="right"/>
              <w:ind w:right="62"/>
              <w:spacing w:after="0"/>
              <w:rPr>
                <w:sz w:val="20"/>
                <w:szCs w:val="20"/>
                <w:color w:val="auto"/>
              </w:rPr>
            </w:pPr>
            <w:r>
              <w:rPr>
                <w:rFonts w:ascii="Arial" w:cs="Arial" w:eastAsia="Arial" w:hAnsi="Arial"/>
                <w:sz w:val="16"/>
                <w:szCs w:val="16"/>
                <w:color w:val="auto"/>
              </w:rPr>
              <w:t>1,967,920</w:t>
            </w:r>
          </w:p>
        </w:tc>
        <w:tc>
          <w:tcPr>
            <w:tcW w:w="1520" w:type="dxa"/>
            <w:vAlign w:val="bottom"/>
          </w:tcPr>
          <w:p>
            <w:pPr>
              <w:jc w:val="right"/>
              <w:ind w:right="83"/>
              <w:spacing w:after="0"/>
              <w:rPr>
                <w:sz w:val="20"/>
                <w:szCs w:val="20"/>
                <w:color w:val="auto"/>
              </w:rPr>
            </w:pPr>
            <w:r>
              <w:rPr>
                <w:rFonts w:ascii="Arial" w:cs="Arial" w:eastAsia="Arial" w:hAnsi="Arial"/>
                <w:sz w:val="16"/>
                <w:szCs w:val="16"/>
                <w:color w:val="auto"/>
              </w:rPr>
              <w:t>1,268,683</w:t>
            </w:r>
          </w:p>
        </w:tc>
        <w:tc>
          <w:tcPr>
            <w:tcW w:w="1420" w:type="dxa"/>
            <w:vAlign w:val="bottom"/>
          </w:tcPr>
          <w:p>
            <w:pPr>
              <w:jc w:val="right"/>
              <w:ind w:right="121"/>
              <w:spacing w:after="0"/>
              <w:rPr>
                <w:sz w:val="20"/>
                <w:szCs w:val="20"/>
                <w:color w:val="auto"/>
              </w:rPr>
            </w:pPr>
            <w:r>
              <w:rPr>
                <w:rFonts w:ascii="Arial" w:cs="Arial" w:eastAsia="Arial" w:hAnsi="Arial"/>
                <w:sz w:val="16"/>
                <w:szCs w:val="16"/>
                <w:color w:val="auto"/>
              </w:rPr>
              <w:t>103</w:t>
            </w:r>
          </w:p>
        </w:tc>
        <w:tc>
          <w:tcPr>
            <w:tcW w:w="1180" w:type="dxa"/>
            <w:vAlign w:val="bottom"/>
          </w:tcPr>
          <w:p>
            <w:pPr>
              <w:jc w:val="right"/>
              <w:ind w:right="1"/>
              <w:spacing w:after="0"/>
              <w:rPr>
                <w:sz w:val="20"/>
                <w:szCs w:val="20"/>
                <w:color w:val="auto"/>
              </w:rPr>
            </w:pPr>
            <w:r>
              <w:rPr>
                <w:rFonts w:ascii="Arial" w:cs="Arial" w:eastAsia="Arial" w:hAnsi="Arial"/>
                <w:sz w:val="16"/>
                <w:szCs w:val="16"/>
                <w:color w:val="auto"/>
              </w:rPr>
              <w:t>171</w:t>
            </w:r>
          </w:p>
        </w:tc>
        <w:tc>
          <w:tcPr>
            <w:tcW w:w="880" w:type="dxa"/>
            <w:vAlign w:val="bottom"/>
          </w:tcPr>
          <w:p>
            <w:pPr>
              <w:jc w:val="right"/>
              <w:ind w:right="22"/>
              <w:spacing w:after="0"/>
              <w:rPr>
                <w:sz w:val="20"/>
                <w:szCs w:val="20"/>
                <w:color w:val="auto"/>
              </w:rPr>
            </w:pPr>
            <w:r>
              <w:rPr>
                <w:rFonts w:ascii="Arial" w:cs="Arial" w:eastAsia="Arial" w:hAnsi="Arial"/>
                <w:sz w:val="16"/>
                <w:szCs w:val="16"/>
                <w:color w:val="auto"/>
              </w:rPr>
              <w:t>418.9</w:t>
            </w:r>
          </w:p>
        </w:tc>
        <w:tc>
          <w:tcPr>
            <w:tcW w:w="1020" w:type="dxa"/>
            <w:vAlign w:val="bottom"/>
          </w:tcPr>
          <w:p>
            <w:pPr>
              <w:jc w:val="right"/>
              <w:spacing w:after="0"/>
              <w:rPr>
                <w:sz w:val="20"/>
                <w:szCs w:val="20"/>
                <w:color w:val="auto"/>
              </w:rPr>
            </w:pPr>
            <w:r>
              <w:rPr>
                <w:rFonts w:ascii="Arial" w:cs="Arial" w:eastAsia="Arial" w:hAnsi="Arial"/>
                <w:sz w:val="16"/>
                <w:szCs w:val="16"/>
                <w:color w:val="auto"/>
              </w:rPr>
              <w:t>4.17</w:t>
            </w:r>
          </w:p>
        </w:tc>
        <w:tc>
          <w:tcPr>
            <w:tcW w:w="0" w:type="dxa"/>
            <w:vAlign w:val="bottom"/>
          </w:tcPr>
          <w:p>
            <w:pPr>
              <w:spacing w:after="0"/>
              <w:rPr>
                <w:sz w:val="1"/>
                <w:szCs w:val="1"/>
                <w:color w:val="auto"/>
              </w:rPr>
            </w:pPr>
          </w:p>
        </w:tc>
      </w:tr>
      <w:tr>
        <w:trPr>
          <w:trHeight w:val="215"/>
        </w:trPr>
        <w:tc>
          <w:tcPr>
            <w:tcW w:w="640" w:type="dxa"/>
            <w:vAlign w:val="bottom"/>
            <w:shd w:val="clear" w:color="auto" w:fill="DBDBDB"/>
          </w:tcPr>
          <w:p>
            <w:pPr>
              <w:jc w:val="right"/>
              <w:ind w:right="180"/>
              <w:spacing w:after="0"/>
              <w:rPr>
                <w:sz w:val="20"/>
                <w:szCs w:val="20"/>
                <w:color w:val="auto"/>
              </w:rPr>
            </w:pPr>
            <w:r>
              <w:rPr>
                <w:rFonts w:ascii="Arial" w:cs="Arial" w:eastAsia="Arial" w:hAnsi="Arial"/>
                <w:sz w:val="16"/>
                <w:szCs w:val="16"/>
                <w:color w:val="auto"/>
              </w:rPr>
              <w:t>2023</w:t>
            </w:r>
          </w:p>
        </w:tc>
        <w:tc>
          <w:tcPr>
            <w:tcW w:w="1600" w:type="dxa"/>
            <w:vAlign w:val="bottom"/>
            <w:shd w:val="clear" w:color="auto" w:fill="DBDBDB"/>
          </w:tcPr>
          <w:p>
            <w:pPr>
              <w:jc w:val="right"/>
              <w:ind w:right="40"/>
              <w:spacing w:after="0"/>
              <w:rPr>
                <w:sz w:val="20"/>
                <w:szCs w:val="20"/>
                <w:color w:val="auto"/>
              </w:rPr>
            </w:pPr>
            <w:r>
              <w:rPr>
                <w:rFonts w:ascii="Arial" w:cs="Arial" w:eastAsia="Arial" w:hAnsi="Arial"/>
                <w:sz w:val="16"/>
                <w:szCs w:val="16"/>
                <w:color w:val="auto"/>
              </w:rPr>
              <w:t>9,025,811</w:t>
            </w:r>
          </w:p>
        </w:tc>
        <w:tc>
          <w:tcPr>
            <w:tcW w:w="1420" w:type="dxa"/>
            <w:vAlign w:val="bottom"/>
            <w:shd w:val="clear" w:color="auto" w:fill="DBDBDB"/>
          </w:tcPr>
          <w:p>
            <w:pPr>
              <w:jc w:val="right"/>
              <w:ind w:right="1"/>
              <w:spacing w:after="0"/>
              <w:rPr>
                <w:sz w:val="20"/>
                <w:szCs w:val="20"/>
                <w:color w:val="auto"/>
              </w:rPr>
            </w:pPr>
            <w:r>
              <w:rPr>
                <w:rFonts w:ascii="Arial" w:cs="Arial" w:eastAsia="Arial" w:hAnsi="Arial"/>
                <w:sz w:val="16"/>
                <w:szCs w:val="16"/>
                <w:color w:val="auto"/>
              </w:rPr>
              <w:t>547,678</w:t>
            </w:r>
          </w:p>
        </w:tc>
        <w:tc>
          <w:tcPr>
            <w:tcW w:w="1560" w:type="dxa"/>
            <w:vAlign w:val="bottom"/>
            <w:shd w:val="clear" w:color="auto" w:fill="DBDBDB"/>
          </w:tcPr>
          <w:p>
            <w:pPr>
              <w:jc w:val="right"/>
              <w:ind w:right="62"/>
              <w:spacing w:after="0"/>
              <w:rPr>
                <w:sz w:val="20"/>
                <w:szCs w:val="20"/>
                <w:color w:val="auto"/>
              </w:rPr>
            </w:pPr>
            <w:r>
              <w:rPr>
                <w:rFonts w:ascii="Arial" w:cs="Arial" w:eastAsia="Arial" w:hAnsi="Arial"/>
                <w:sz w:val="16"/>
                <w:szCs w:val="16"/>
                <w:color w:val="auto"/>
              </w:rPr>
              <w:t>1,905,612</w:t>
            </w:r>
          </w:p>
        </w:tc>
        <w:tc>
          <w:tcPr>
            <w:tcW w:w="1520" w:type="dxa"/>
            <w:vAlign w:val="bottom"/>
            <w:shd w:val="clear" w:color="auto" w:fill="DBDBDB"/>
          </w:tcPr>
          <w:p>
            <w:pPr>
              <w:jc w:val="right"/>
              <w:ind w:right="83"/>
              <w:spacing w:after="0"/>
              <w:rPr>
                <w:sz w:val="20"/>
                <w:szCs w:val="20"/>
                <w:color w:val="auto"/>
              </w:rPr>
            </w:pPr>
            <w:r>
              <w:rPr>
                <w:rFonts w:ascii="Arial" w:cs="Arial" w:eastAsia="Arial" w:hAnsi="Arial"/>
                <w:sz w:val="16"/>
                <w:szCs w:val="16"/>
                <w:color w:val="auto"/>
              </w:rPr>
              <w:t>485,389</w:t>
            </w:r>
          </w:p>
        </w:tc>
        <w:tc>
          <w:tcPr>
            <w:tcW w:w="1420" w:type="dxa"/>
            <w:vAlign w:val="bottom"/>
            <w:shd w:val="clear" w:color="auto" w:fill="DBDBDB"/>
          </w:tcPr>
          <w:p>
            <w:pPr>
              <w:jc w:val="right"/>
              <w:ind w:right="121"/>
              <w:spacing w:after="0"/>
              <w:rPr>
                <w:sz w:val="20"/>
                <w:szCs w:val="20"/>
                <w:color w:val="auto"/>
              </w:rPr>
            </w:pPr>
            <w:r>
              <w:rPr>
                <w:rFonts w:ascii="Arial" w:cs="Arial" w:eastAsia="Arial" w:hAnsi="Arial"/>
                <w:sz w:val="16"/>
                <w:szCs w:val="16"/>
                <w:color w:val="auto"/>
              </w:rPr>
              <w:t>102</w:t>
            </w:r>
          </w:p>
        </w:tc>
        <w:tc>
          <w:tcPr>
            <w:tcW w:w="1180" w:type="dxa"/>
            <w:vAlign w:val="bottom"/>
            <w:shd w:val="clear" w:color="auto" w:fill="DBDBDB"/>
          </w:tcPr>
          <w:p>
            <w:pPr>
              <w:jc w:val="right"/>
              <w:ind w:right="1"/>
              <w:spacing w:after="0"/>
              <w:rPr>
                <w:sz w:val="20"/>
                <w:szCs w:val="20"/>
                <w:color w:val="auto"/>
              </w:rPr>
            </w:pPr>
            <w:r>
              <w:rPr>
                <w:rFonts w:ascii="Arial" w:cs="Arial" w:eastAsia="Arial" w:hAnsi="Arial"/>
                <w:sz w:val="16"/>
                <w:szCs w:val="16"/>
                <w:color w:val="auto"/>
              </w:rPr>
              <w:t>125</w:t>
            </w:r>
          </w:p>
        </w:tc>
        <w:tc>
          <w:tcPr>
            <w:tcW w:w="880" w:type="dxa"/>
            <w:vAlign w:val="bottom"/>
            <w:shd w:val="clear" w:color="auto" w:fill="DBDBDB"/>
          </w:tcPr>
          <w:p>
            <w:pPr>
              <w:jc w:val="right"/>
              <w:ind w:right="22"/>
              <w:spacing w:after="0"/>
              <w:rPr>
                <w:sz w:val="20"/>
                <w:szCs w:val="20"/>
                <w:color w:val="auto"/>
              </w:rPr>
            </w:pPr>
            <w:r>
              <w:rPr>
                <w:rFonts w:ascii="Arial" w:cs="Arial" w:eastAsia="Arial" w:hAnsi="Arial"/>
                <w:sz w:val="16"/>
                <w:szCs w:val="16"/>
                <w:color w:val="auto"/>
              </w:rPr>
              <w:t>329.7</w:t>
            </w:r>
          </w:p>
        </w:tc>
        <w:tc>
          <w:tcPr>
            <w:tcW w:w="1020" w:type="dxa"/>
            <w:vAlign w:val="bottom"/>
            <w:shd w:val="clear" w:color="auto" w:fill="DBDBDB"/>
          </w:tcPr>
          <w:p>
            <w:pPr>
              <w:jc w:val="right"/>
              <w:spacing w:after="0"/>
              <w:rPr>
                <w:sz w:val="20"/>
                <w:szCs w:val="20"/>
                <w:color w:val="auto"/>
              </w:rPr>
            </w:pPr>
            <w:r>
              <w:rPr>
                <w:rFonts w:ascii="Arial" w:cs="Arial" w:eastAsia="Arial" w:hAnsi="Arial"/>
                <w:sz w:val="16"/>
                <w:szCs w:val="16"/>
                <w:color w:val="auto"/>
              </w:rPr>
              <w:t>4.21</w:t>
            </w:r>
          </w:p>
        </w:tc>
        <w:tc>
          <w:tcPr>
            <w:tcW w:w="0" w:type="dxa"/>
            <w:vAlign w:val="bottom"/>
          </w:tcPr>
          <w:p>
            <w:pPr>
              <w:spacing w:after="0"/>
              <w:rPr>
                <w:sz w:val="1"/>
                <w:szCs w:val="1"/>
                <w:color w:val="auto"/>
              </w:rPr>
            </w:pPr>
          </w:p>
        </w:tc>
      </w:tr>
      <w:tr>
        <w:trPr>
          <w:trHeight w:val="212"/>
        </w:trPr>
        <w:tc>
          <w:tcPr>
            <w:tcW w:w="640" w:type="dxa"/>
            <w:vAlign w:val="bottom"/>
          </w:tcPr>
          <w:p>
            <w:pPr>
              <w:jc w:val="right"/>
              <w:ind w:right="180"/>
              <w:spacing w:after="0"/>
              <w:rPr>
                <w:sz w:val="20"/>
                <w:szCs w:val="20"/>
                <w:color w:val="auto"/>
              </w:rPr>
            </w:pPr>
            <w:r>
              <w:rPr>
                <w:rFonts w:ascii="Arial" w:cs="Arial" w:eastAsia="Arial" w:hAnsi="Arial"/>
                <w:sz w:val="16"/>
                <w:szCs w:val="16"/>
                <w:color w:val="auto"/>
              </w:rPr>
              <w:t>2022</w:t>
            </w:r>
          </w:p>
        </w:tc>
        <w:tc>
          <w:tcPr>
            <w:tcW w:w="1600" w:type="dxa"/>
            <w:vAlign w:val="bottom"/>
          </w:tcPr>
          <w:p>
            <w:pPr>
              <w:jc w:val="right"/>
              <w:ind w:right="40"/>
              <w:spacing w:after="0"/>
              <w:rPr>
                <w:sz w:val="20"/>
                <w:szCs w:val="20"/>
                <w:color w:val="auto"/>
              </w:rPr>
            </w:pPr>
            <w:r>
              <w:rPr>
                <w:rFonts w:ascii="Arial" w:cs="Arial" w:eastAsia="Arial" w:hAnsi="Arial"/>
                <w:sz w:val="16"/>
                <w:szCs w:val="16"/>
                <w:color w:val="auto"/>
              </w:rPr>
              <w:t>7,311,953</w:t>
            </w:r>
          </w:p>
        </w:tc>
        <w:tc>
          <w:tcPr>
            <w:tcW w:w="1420" w:type="dxa"/>
            <w:vAlign w:val="bottom"/>
          </w:tcPr>
          <w:p>
            <w:pPr>
              <w:jc w:val="right"/>
              <w:spacing w:after="0"/>
              <w:rPr>
                <w:sz w:val="20"/>
                <w:szCs w:val="20"/>
                <w:color w:val="auto"/>
              </w:rPr>
            </w:pPr>
            <w:r>
              <w:rPr>
                <w:rFonts w:ascii="Arial" w:cs="Arial" w:eastAsia="Arial" w:hAnsi="Arial"/>
                <w:sz w:val="16"/>
                <w:szCs w:val="16"/>
                <w:color w:val="auto"/>
              </w:rPr>
              <w:t>10,442,137</w:t>
            </w:r>
          </w:p>
        </w:tc>
        <w:tc>
          <w:tcPr>
            <w:tcW w:w="1560" w:type="dxa"/>
            <w:vAlign w:val="bottom"/>
          </w:tcPr>
          <w:p>
            <w:pPr>
              <w:jc w:val="right"/>
              <w:ind w:right="2"/>
              <w:spacing w:after="0"/>
              <w:rPr>
                <w:sz w:val="20"/>
                <w:szCs w:val="20"/>
                <w:color w:val="auto"/>
              </w:rPr>
            </w:pPr>
            <w:r>
              <w:rPr>
                <w:rFonts w:ascii="Arial" w:cs="Arial" w:eastAsia="Arial" w:hAnsi="Arial"/>
                <w:sz w:val="16"/>
                <w:szCs w:val="16"/>
                <w:color w:val="auto"/>
              </w:rPr>
              <w:t>2,316,841</w:t>
            </w:r>
          </w:p>
        </w:tc>
        <w:tc>
          <w:tcPr>
            <w:tcW w:w="1520" w:type="dxa"/>
            <w:vAlign w:val="bottom"/>
          </w:tcPr>
          <w:p>
            <w:pPr>
              <w:jc w:val="right"/>
              <w:ind w:right="23"/>
              <w:spacing w:after="0"/>
              <w:rPr>
                <w:sz w:val="20"/>
                <w:szCs w:val="20"/>
                <w:color w:val="auto"/>
              </w:rPr>
            </w:pPr>
            <w:r>
              <w:rPr>
                <w:rFonts w:ascii="Arial" w:cs="Arial" w:eastAsia="Arial" w:hAnsi="Arial"/>
                <w:sz w:val="16"/>
                <w:szCs w:val="16"/>
                <w:color w:val="auto"/>
              </w:rPr>
              <w:t>2,831,673</w:t>
            </w:r>
          </w:p>
        </w:tc>
        <w:tc>
          <w:tcPr>
            <w:tcW w:w="1420" w:type="dxa"/>
            <w:vAlign w:val="bottom"/>
          </w:tcPr>
          <w:p>
            <w:pPr>
              <w:jc w:val="right"/>
              <w:ind w:right="121"/>
              <w:spacing w:after="0"/>
              <w:rPr>
                <w:sz w:val="20"/>
                <w:szCs w:val="20"/>
                <w:color w:val="auto"/>
              </w:rPr>
            </w:pPr>
            <w:r>
              <w:rPr>
                <w:rFonts w:ascii="Arial" w:cs="Arial" w:eastAsia="Arial" w:hAnsi="Arial"/>
                <w:sz w:val="16"/>
                <w:szCs w:val="16"/>
                <w:color w:val="auto"/>
              </w:rPr>
              <w:t>132</w:t>
            </w:r>
          </w:p>
        </w:tc>
        <w:tc>
          <w:tcPr>
            <w:tcW w:w="1180" w:type="dxa"/>
            <w:vAlign w:val="bottom"/>
          </w:tcPr>
          <w:p>
            <w:pPr>
              <w:jc w:val="right"/>
              <w:ind w:right="1"/>
              <w:spacing w:after="0"/>
              <w:rPr>
                <w:sz w:val="20"/>
                <w:szCs w:val="20"/>
                <w:color w:val="auto"/>
              </w:rPr>
            </w:pPr>
            <w:r>
              <w:rPr>
                <w:rFonts w:ascii="Arial" w:cs="Arial" w:eastAsia="Arial" w:hAnsi="Arial"/>
                <w:sz w:val="16"/>
                <w:szCs w:val="16"/>
                <w:color w:val="auto"/>
              </w:rPr>
              <w:t>115</w:t>
            </w:r>
          </w:p>
        </w:tc>
        <w:tc>
          <w:tcPr>
            <w:tcW w:w="880" w:type="dxa"/>
            <w:vAlign w:val="bottom"/>
          </w:tcPr>
          <w:p>
            <w:pPr>
              <w:jc w:val="right"/>
              <w:ind w:right="22"/>
              <w:spacing w:after="0"/>
              <w:rPr>
                <w:sz w:val="20"/>
                <w:szCs w:val="20"/>
                <w:color w:val="auto"/>
              </w:rPr>
            </w:pPr>
            <w:r>
              <w:rPr>
                <w:rFonts w:ascii="Arial" w:cs="Arial" w:eastAsia="Arial" w:hAnsi="Arial"/>
                <w:sz w:val="16"/>
                <w:szCs w:val="16"/>
                <w:color w:val="auto"/>
              </w:rPr>
              <w:t>443.3</w:t>
            </w:r>
          </w:p>
        </w:tc>
        <w:tc>
          <w:tcPr>
            <w:tcW w:w="1020" w:type="dxa"/>
            <w:vAlign w:val="bottom"/>
          </w:tcPr>
          <w:p>
            <w:pPr>
              <w:jc w:val="right"/>
              <w:spacing w:after="0"/>
              <w:rPr>
                <w:sz w:val="20"/>
                <w:szCs w:val="20"/>
                <w:color w:val="auto"/>
              </w:rPr>
            </w:pPr>
            <w:r>
              <w:rPr>
                <w:rFonts w:ascii="Arial" w:cs="Arial" w:eastAsia="Arial" w:hAnsi="Arial"/>
                <w:sz w:val="16"/>
                <w:szCs w:val="16"/>
                <w:color w:val="auto"/>
              </w:rPr>
              <w:t>4.16</w:t>
            </w:r>
          </w:p>
        </w:tc>
        <w:tc>
          <w:tcPr>
            <w:tcW w:w="0" w:type="dxa"/>
            <w:vAlign w:val="bottom"/>
          </w:tcPr>
          <w:p>
            <w:pPr>
              <w:spacing w:after="0"/>
              <w:rPr>
                <w:sz w:val="1"/>
                <w:szCs w:val="1"/>
                <w:color w:val="auto"/>
              </w:rPr>
            </w:pPr>
          </w:p>
        </w:tc>
      </w:tr>
      <w:tr>
        <w:trPr>
          <w:trHeight w:val="215"/>
        </w:trPr>
        <w:tc>
          <w:tcPr>
            <w:tcW w:w="640" w:type="dxa"/>
            <w:vAlign w:val="bottom"/>
            <w:shd w:val="clear" w:color="auto" w:fill="DBDBDB"/>
          </w:tcPr>
          <w:p>
            <w:pPr>
              <w:jc w:val="right"/>
              <w:ind w:right="180"/>
              <w:spacing w:after="0"/>
              <w:rPr>
                <w:sz w:val="20"/>
                <w:szCs w:val="20"/>
                <w:color w:val="auto"/>
              </w:rPr>
            </w:pPr>
            <w:r>
              <w:rPr>
                <w:rFonts w:ascii="Arial" w:cs="Arial" w:eastAsia="Arial" w:hAnsi="Arial"/>
                <w:sz w:val="16"/>
                <w:szCs w:val="16"/>
                <w:color w:val="auto"/>
              </w:rPr>
              <w:t>2021</w:t>
            </w:r>
          </w:p>
        </w:tc>
        <w:tc>
          <w:tcPr>
            <w:tcW w:w="1600" w:type="dxa"/>
            <w:vAlign w:val="bottom"/>
            <w:shd w:val="clear" w:color="auto" w:fill="DBDBDB"/>
          </w:tcPr>
          <w:p>
            <w:pPr>
              <w:jc w:val="right"/>
              <w:ind w:right="40"/>
              <w:spacing w:after="0"/>
              <w:rPr>
                <w:sz w:val="20"/>
                <w:szCs w:val="20"/>
                <w:color w:val="auto"/>
              </w:rPr>
            </w:pPr>
            <w:r>
              <w:rPr>
                <w:rFonts w:ascii="Arial" w:cs="Arial" w:eastAsia="Arial" w:hAnsi="Arial"/>
                <w:sz w:val="16"/>
                <w:szCs w:val="16"/>
                <w:color w:val="auto"/>
              </w:rPr>
              <w:t>8,629,851</w:t>
            </w:r>
          </w:p>
        </w:tc>
        <w:tc>
          <w:tcPr>
            <w:tcW w:w="142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14,493,119</w:t>
            </w:r>
          </w:p>
        </w:tc>
        <w:tc>
          <w:tcPr>
            <w:tcW w:w="1560" w:type="dxa"/>
            <w:vAlign w:val="bottom"/>
            <w:shd w:val="clear" w:color="auto" w:fill="DBDBDB"/>
          </w:tcPr>
          <w:p>
            <w:pPr>
              <w:jc w:val="right"/>
              <w:ind w:right="2"/>
              <w:spacing w:after="0"/>
              <w:rPr>
                <w:sz w:val="20"/>
                <w:szCs w:val="20"/>
                <w:color w:val="auto"/>
              </w:rPr>
            </w:pPr>
            <w:r>
              <w:rPr>
                <w:rFonts w:ascii="Arial" w:cs="Arial" w:eastAsia="Arial" w:hAnsi="Arial"/>
                <w:sz w:val="16"/>
                <w:szCs w:val="16"/>
                <w:color w:val="auto"/>
              </w:rPr>
              <w:t>2,244,282</w:t>
            </w:r>
          </w:p>
        </w:tc>
        <w:tc>
          <w:tcPr>
            <w:tcW w:w="1520" w:type="dxa"/>
            <w:vAlign w:val="bottom"/>
            <w:shd w:val="clear" w:color="auto" w:fill="DBDBDB"/>
          </w:tcPr>
          <w:p>
            <w:pPr>
              <w:jc w:val="right"/>
              <w:ind w:right="23"/>
              <w:spacing w:after="0"/>
              <w:rPr>
                <w:sz w:val="20"/>
                <w:szCs w:val="20"/>
                <w:color w:val="auto"/>
              </w:rPr>
            </w:pPr>
            <w:r>
              <w:rPr>
                <w:rFonts w:ascii="Arial" w:cs="Arial" w:eastAsia="Arial" w:hAnsi="Arial"/>
                <w:sz w:val="16"/>
                <w:szCs w:val="16"/>
                <w:color w:val="auto"/>
              </w:rPr>
              <w:t>3,334,008</w:t>
            </w:r>
          </w:p>
        </w:tc>
        <w:tc>
          <w:tcPr>
            <w:tcW w:w="1420" w:type="dxa"/>
            <w:vAlign w:val="bottom"/>
            <w:shd w:val="clear" w:color="auto" w:fill="DBDBDB"/>
          </w:tcPr>
          <w:p>
            <w:pPr>
              <w:jc w:val="right"/>
              <w:ind w:right="121"/>
              <w:spacing w:after="0"/>
              <w:rPr>
                <w:sz w:val="20"/>
                <w:szCs w:val="20"/>
                <w:color w:val="auto"/>
              </w:rPr>
            </w:pPr>
            <w:r>
              <w:rPr>
                <w:rFonts w:ascii="Arial" w:cs="Arial" w:eastAsia="Arial" w:hAnsi="Arial"/>
                <w:sz w:val="16"/>
                <w:szCs w:val="16"/>
                <w:color w:val="auto"/>
              </w:rPr>
              <w:t>118</w:t>
            </w:r>
          </w:p>
        </w:tc>
        <w:tc>
          <w:tcPr>
            <w:tcW w:w="1180" w:type="dxa"/>
            <w:vAlign w:val="bottom"/>
            <w:shd w:val="clear" w:color="auto" w:fill="DBDBDB"/>
          </w:tcPr>
          <w:p>
            <w:pPr>
              <w:jc w:val="right"/>
              <w:ind w:right="1"/>
              <w:spacing w:after="0"/>
              <w:rPr>
                <w:sz w:val="20"/>
                <w:szCs w:val="20"/>
                <w:color w:val="auto"/>
              </w:rPr>
            </w:pPr>
            <w:r>
              <w:rPr>
                <w:rFonts w:ascii="Arial" w:cs="Arial" w:eastAsia="Arial" w:hAnsi="Arial"/>
                <w:sz w:val="16"/>
                <w:szCs w:val="16"/>
                <w:color w:val="auto"/>
              </w:rPr>
              <w:t>132</w:t>
            </w:r>
          </w:p>
        </w:tc>
        <w:tc>
          <w:tcPr>
            <w:tcW w:w="880" w:type="dxa"/>
            <w:vAlign w:val="bottom"/>
            <w:shd w:val="clear" w:color="auto" w:fill="DBDBDB"/>
          </w:tcPr>
          <w:p>
            <w:pPr>
              <w:jc w:val="right"/>
              <w:ind w:right="22"/>
              <w:spacing w:after="0"/>
              <w:rPr>
                <w:sz w:val="20"/>
                <w:szCs w:val="20"/>
                <w:color w:val="auto"/>
              </w:rPr>
            </w:pPr>
            <w:r>
              <w:rPr>
                <w:rFonts w:ascii="Arial" w:cs="Arial" w:eastAsia="Arial" w:hAnsi="Arial"/>
                <w:sz w:val="16"/>
                <w:szCs w:val="16"/>
                <w:color w:val="auto"/>
              </w:rPr>
              <w:t>409.9</w:t>
            </w:r>
          </w:p>
        </w:tc>
        <w:tc>
          <w:tcPr>
            <w:tcW w:w="1020" w:type="dxa"/>
            <w:vAlign w:val="bottom"/>
            <w:shd w:val="clear" w:color="auto" w:fill="DBDBDB"/>
          </w:tcPr>
          <w:p>
            <w:pPr>
              <w:jc w:val="right"/>
              <w:spacing w:after="0"/>
              <w:rPr>
                <w:sz w:val="20"/>
                <w:szCs w:val="20"/>
                <w:color w:val="auto"/>
              </w:rPr>
            </w:pPr>
            <w:r>
              <w:rPr>
                <w:rFonts w:ascii="Arial" w:cs="Arial" w:eastAsia="Arial" w:hAnsi="Arial"/>
                <w:sz w:val="16"/>
                <w:szCs w:val="16"/>
                <w:color w:val="auto"/>
              </w:rPr>
              <w:t>3.62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4223385</wp:posOffset>
            </wp:positionH>
            <wp:positionV relativeFrom="paragraph">
              <wp:posOffset>-1126490</wp:posOffset>
            </wp:positionV>
            <wp:extent cx="1669415" cy="171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1669415" cy="17145"/>
                    </a:xfrm>
                    <a:prstGeom prst="rect">
                      <a:avLst/>
                    </a:prstGeom>
                    <a:noFill/>
                  </pic:spPr>
                </pic:pic>
              </a:graphicData>
            </a:graphic>
          </wp:anchor>
        </w:drawing>
      </w:r>
    </w:p>
    <w:p>
      <w:pPr>
        <w:spacing w:after="0" w:line="350" w:lineRule="exact"/>
        <w:rPr>
          <w:sz w:val="20"/>
          <w:szCs w:val="20"/>
          <w:color w:val="auto"/>
        </w:rPr>
      </w:pPr>
    </w:p>
    <w:p>
      <w:pPr>
        <w:jc w:val="both"/>
        <w:ind w:left="320" w:hanging="313"/>
        <w:spacing w:after="0" w:line="233" w:lineRule="auto"/>
        <w:tabs>
          <w:tab w:leader="none" w:pos="308" w:val="left"/>
        </w:tabs>
        <w:numPr>
          <w:ilvl w:val="0"/>
          <w:numId w:val="75"/>
        </w:numPr>
        <w:rPr>
          <w:rFonts w:ascii="Arial" w:cs="Arial" w:eastAsia="Arial" w:hAnsi="Arial"/>
          <w:sz w:val="18"/>
          <w:szCs w:val="18"/>
          <w:color w:val="auto"/>
        </w:rPr>
      </w:pPr>
      <w:r>
        <w:rPr>
          <w:rFonts w:ascii="Arial" w:cs="Arial" w:eastAsia="Arial" w:hAnsi="Arial"/>
          <w:sz w:val="18"/>
          <w:szCs w:val="18"/>
          <w:color w:val="auto"/>
        </w:rPr>
        <w:t>The dollar amounts reported in this column represent the amount of “compensation actually paid” as computed in accordance with Item 402(v) of Regulation S-K. Details on these amounts can be found in the PEO Compensation and Average Non-PEO NEO Compensation information on the following pages. The dollar amounts do not reflect the actual amount of compensation awarded to, earned by or paid to our PEO or other NEOs during the applicable fiscal year.</w:t>
      </w:r>
    </w:p>
    <w:p>
      <w:pPr>
        <w:spacing w:after="0" w:line="63" w:lineRule="exact"/>
        <w:rPr>
          <w:rFonts w:ascii="Arial" w:cs="Arial" w:eastAsia="Arial" w:hAnsi="Arial"/>
          <w:sz w:val="18"/>
          <w:szCs w:val="18"/>
          <w:color w:val="auto"/>
        </w:rPr>
      </w:pPr>
    </w:p>
    <w:p>
      <w:pPr>
        <w:jc w:val="both"/>
        <w:ind w:left="320" w:hanging="313"/>
        <w:spacing w:after="0" w:line="233" w:lineRule="auto"/>
        <w:tabs>
          <w:tab w:leader="none" w:pos="308" w:val="left"/>
        </w:tabs>
        <w:numPr>
          <w:ilvl w:val="0"/>
          <w:numId w:val="75"/>
        </w:numPr>
        <w:rPr>
          <w:rFonts w:ascii="Arial" w:cs="Arial" w:eastAsia="Arial" w:hAnsi="Arial"/>
          <w:sz w:val="18"/>
          <w:szCs w:val="18"/>
          <w:color w:val="auto"/>
        </w:rPr>
      </w:pPr>
      <w:r>
        <w:rPr>
          <w:rFonts w:ascii="Arial" w:cs="Arial" w:eastAsia="Arial" w:hAnsi="Arial"/>
          <w:sz w:val="18"/>
          <w:szCs w:val="18"/>
          <w:color w:val="auto"/>
        </w:rPr>
        <w:t>Total Shareholder Return (TSR) assumes $100 is invested as of October 31, 2020. TSR represents cumulative return over the applicable period and is calculated by dividing the sum of the cumulative amount of dividends for the measurement period, assuming dividend reinvestment, and the difference between our stock price at the end and the beginning of the measurement period by our stock price at the beginning of the measurement period.</w:t>
      </w:r>
    </w:p>
    <w:p>
      <w:pPr>
        <w:spacing w:after="0" w:line="10" w:lineRule="exact"/>
        <w:rPr>
          <w:rFonts w:ascii="Arial" w:cs="Arial" w:eastAsia="Arial" w:hAnsi="Arial"/>
          <w:sz w:val="18"/>
          <w:szCs w:val="18"/>
          <w:color w:val="auto"/>
        </w:rPr>
      </w:pPr>
    </w:p>
    <w:p>
      <w:pPr>
        <w:jc w:val="both"/>
        <w:ind w:left="320" w:hanging="313"/>
        <w:spacing w:after="0" w:line="249" w:lineRule="auto"/>
        <w:tabs>
          <w:tab w:leader="none" w:pos="308" w:val="left"/>
        </w:tabs>
        <w:numPr>
          <w:ilvl w:val="0"/>
          <w:numId w:val="75"/>
        </w:numPr>
        <w:rPr>
          <w:rFonts w:ascii="Arial" w:cs="Arial" w:eastAsia="Arial" w:hAnsi="Arial"/>
          <w:sz w:val="17"/>
          <w:szCs w:val="17"/>
          <w:color w:val="auto"/>
        </w:rPr>
      </w:pPr>
      <w:r>
        <w:rPr>
          <w:rFonts w:ascii="Arial" w:cs="Arial" w:eastAsia="Arial" w:hAnsi="Arial"/>
          <w:sz w:val="17"/>
          <w:szCs w:val="17"/>
          <w:color w:val="auto"/>
        </w:rPr>
        <w:t>The Peer Group TSR used for this calculation is based on the S&amp;P 500 Industrial Machinery Index, which we also use for purposes of our stock performance graph in our most recent Annual Report on Form 10-K for the fiscal year ended October 31, 2024. The peer group TSR is calculated using the same methodology as described in footnote 2 above, with the returns of each component company of this group weighted according to the respective company’s stock market capitalization at the beginning of each period for which a return is indicated.</w:t>
      </w:r>
    </w:p>
    <w:p>
      <w:pPr>
        <w:spacing w:after="0" w:line="2" w:lineRule="exact"/>
        <w:rPr>
          <w:rFonts w:ascii="Arial" w:cs="Arial" w:eastAsia="Arial" w:hAnsi="Arial"/>
          <w:sz w:val="17"/>
          <w:szCs w:val="17"/>
          <w:color w:val="auto"/>
        </w:rPr>
      </w:pPr>
    </w:p>
    <w:p>
      <w:pPr>
        <w:ind w:left="320" w:hanging="313"/>
        <w:spacing w:after="0" w:line="255" w:lineRule="auto"/>
        <w:tabs>
          <w:tab w:leader="none" w:pos="308" w:val="left"/>
        </w:tabs>
        <w:numPr>
          <w:ilvl w:val="0"/>
          <w:numId w:val="75"/>
        </w:numPr>
        <w:rPr>
          <w:rFonts w:ascii="Arial" w:cs="Arial" w:eastAsia="Arial" w:hAnsi="Arial"/>
          <w:sz w:val="18"/>
          <w:szCs w:val="18"/>
          <w:color w:val="auto"/>
        </w:rPr>
      </w:pPr>
      <w:r>
        <w:rPr>
          <w:rFonts w:ascii="Arial" w:cs="Arial" w:eastAsia="Arial" w:hAnsi="Arial"/>
          <w:sz w:val="18"/>
          <w:szCs w:val="18"/>
          <w:color w:val="auto"/>
        </w:rPr>
        <w:t>Amounts reported represent the amount of net earnings reflected in our audited consolidated financial statements for the applicable fiscal year, as reported in our Annual Report on Form 10-K for such fiscal year.</w:t>
      </w:r>
    </w:p>
    <w:p>
      <w:pPr>
        <w:jc w:val="both"/>
        <w:ind w:left="320" w:hanging="313"/>
        <w:spacing w:after="0" w:line="228" w:lineRule="auto"/>
        <w:tabs>
          <w:tab w:leader="none" w:pos="308" w:val="left"/>
        </w:tabs>
        <w:numPr>
          <w:ilvl w:val="0"/>
          <w:numId w:val="75"/>
        </w:numPr>
        <w:rPr>
          <w:rFonts w:ascii="Arial" w:cs="Arial" w:eastAsia="Arial" w:hAnsi="Arial"/>
          <w:sz w:val="18"/>
          <w:szCs w:val="18"/>
          <w:color w:val="auto"/>
        </w:rPr>
      </w:pPr>
      <w:r>
        <w:rPr>
          <w:rFonts w:ascii="Arial" w:cs="Arial" w:eastAsia="Arial" w:hAnsi="Arial"/>
          <w:sz w:val="18"/>
          <w:szCs w:val="18"/>
          <w:color w:val="auto"/>
        </w:rPr>
        <w:t>Amounts reported represent the amount of adjusted diluted EPS, which is a non-GAAP financial measure that, for compensation purposes, is calculated by taking adjusted net Earnings and dividing by diluted shares outstanding. A reconciliation of adjusted diluted EPS to diluted EPS, the most comparable GAAP number, can be found in our Form 10-K. While we use several financial performance measures for purposes of evaluating performance for our compensation programs, we have determined that adjusted diluted EPS is the financial performance measure that, in our assessment, represents the most important performance measure (that is not otherwise required to be disclosed in the table) that we use to link compensation actually paid to our</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157" w:right="339" w:bottom="1440" w:gutter="0" w:footer="0" w:header="0"/>
        </w:sectPr>
      </w:pPr>
    </w:p>
    <w:bookmarkStart w:id="71" w:name="page72"/>
    <w:bookmarkEnd w:id="71"/>
    <w:p>
      <w:pPr>
        <w:jc w:val="both"/>
        <w:ind w:left="320"/>
        <w:spacing w:after="0" w:line="233" w:lineRule="auto"/>
        <w:rPr>
          <w:sz w:val="20"/>
          <w:szCs w:val="20"/>
          <w:color w:val="auto"/>
        </w:rPr>
      </w:pPr>
      <w:r>
        <w:rPr>
          <w:rFonts w:ascii="Arial" w:cs="Arial" w:eastAsia="Arial" w:hAnsi="Arial"/>
          <w:sz w:val="18"/>
          <w:szCs w:val="18"/>
          <w:color w:val="auto"/>
        </w:rPr>
        <w:t>NEOs, for the most recently completed fiscal year, to our performance. Note that adjusted diluted EPS for fiscal 2022 as used as a financial performance measure to link compensation actually paid to our NEOs is different than adjusted diluted EPS as presented in our</w:t>
      </w:r>
    </w:p>
    <w:p>
      <w:pPr>
        <w:spacing w:after="0" w:line="1" w:lineRule="exact"/>
        <w:rPr>
          <w:sz w:val="20"/>
          <w:szCs w:val="20"/>
          <w:color w:val="auto"/>
        </w:rPr>
      </w:pPr>
    </w:p>
    <w:p>
      <w:pPr>
        <w:jc w:val="both"/>
        <w:ind w:left="320"/>
        <w:spacing w:after="0" w:line="228" w:lineRule="auto"/>
        <w:rPr>
          <w:sz w:val="20"/>
          <w:szCs w:val="20"/>
          <w:color w:val="auto"/>
        </w:rPr>
      </w:pPr>
      <w:r>
        <w:rPr>
          <w:rFonts w:ascii="Arial" w:cs="Arial" w:eastAsia="Arial" w:hAnsi="Arial"/>
          <w:sz w:val="18"/>
          <w:szCs w:val="18"/>
          <w:color w:val="auto"/>
        </w:rPr>
        <w:t>earnings release since the adjusted diluted EPS used as a financial performance measure to link compensation actually paid to our NEOs reflects an adjustment of $(0.04) based on defined acquisition-related adjustment events at the beginning of the fiscal year and approved by the Compensation &amp; HR Committee.</w:t>
      </w:r>
    </w:p>
    <w:p>
      <w:pPr>
        <w:spacing w:after="0" w:line="59"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 xml:space="preserve">PEO Compensation. </w:t>
      </w:r>
      <w:r>
        <w:rPr>
          <w:rFonts w:ascii="Arial" w:cs="Arial" w:eastAsia="Arial" w:hAnsi="Arial"/>
          <w:sz w:val="18"/>
          <w:szCs w:val="18"/>
          <w:color w:val="auto"/>
        </w:rPr>
        <w:t>To determine the amounts in the "Compensation Actually Paid to PEO" column in the PvP table, the following</w:t>
      </w:r>
    </w:p>
    <w:p>
      <w:pPr>
        <w:spacing w:after="0" w:line="11" w:lineRule="exact"/>
        <w:rPr>
          <w:sz w:val="20"/>
          <w:szCs w:val="20"/>
          <w:color w:val="auto"/>
        </w:rPr>
      </w:pPr>
    </w:p>
    <w:p>
      <w:pPr>
        <w:spacing w:after="0" w:line="234" w:lineRule="auto"/>
        <w:rPr>
          <w:sz w:val="20"/>
          <w:szCs w:val="20"/>
          <w:color w:val="auto"/>
        </w:rPr>
      </w:pPr>
      <w:r>
        <w:rPr>
          <w:rFonts w:ascii="Arial" w:cs="Arial" w:eastAsia="Arial" w:hAnsi="Arial"/>
          <w:sz w:val="18"/>
          <w:szCs w:val="18"/>
          <w:color w:val="auto"/>
        </w:rPr>
        <w:t>adjustments were made to the PEO’s total compensation as reported in the Summary Compensation Table, in accordance with Item 402(v) of Regulation S-K.</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900" w:type="dxa"/>
            <w:vAlign w:val="bottom"/>
            <w:shd w:val="clear" w:color="auto" w:fill="BF2115"/>
          </w:tcPr>
          <w:p>
            <w:pPr>
              <w:spacing w:after="0"/>
              <w:rPr>
                <w:sz w:val="16"/>
                <w:szCs w:val="16"/>
                <w:color w:val="auto"/>
              </w:rPr>
            </w:pPr>
          </w:p>
        </w:tc>
        <w:tc>
          <w:tcPr>
            <w:tcW w:w="1660" w:type="dxa"/>
            <w:vAlign w:val="bottom"/>
            <w:shd w:val="clear" w:color="auto" w:fill="BF2115"/>
          </w:tcPr>
          <w:p>
            <w:pPr>
              <w:spacing w:after="0"/>
              <w:rPr>
                <w:sz w:val="16"/>
                <w:szCs w:val="16"/>
                <w:color w:val="auto"/>
              </w:rPr>
            </w:pPr>
          </w:p>
        </w:tc>
        <w:tc>
          <w:tcPr>
            <w:tcW w:w="1820" w:type="dxa"/>
            <w:vAlign w:val="bottom"/>
            <w:vMerge w:val="restart"/>
            <w:shd w:val="clear" w:color="auto" w:fill="BF2115"/>
          </w:tcPr>
          <w:p>
            <w:pPr>
              <w:jc w:val="center"/>
              <w:ind w:right="20"/>
              <w:spacing w:after="0"/>
              <w:rPr>
                <w:sz w:val="20"/>
                <w:szCs w:val="20"/>
                <w:color w:val="auto"/>
              </w:rPr>
            </w:pPr>
            <w:r>
              <w:rPr>
                <w:rFonts w:ascii="Arial" w:cs="Arial" w:eastAsia="Arial" w:hAnsi="Arial"/>
                <w:sz w:val="16"/>
                <w:szCs w:val="16"/>
                <w:b w:val="1"/>
                <w:bCs w:val="1"/>
                <w:color w:val="FFFFFF"/>
                <w:w w:val="99"/>
              </w:rPr>
              <w:t>SCT Reported Equity</w:t>
            </w:r>
          </w:p>
        </w:tc>
        <w:tc>
          <w:tcPr>
            <w:tcW w:w="1500" w:type="dxa"/>
            <w:vAlign w:val="bottom"/>
            <w:shd w:val="clear" w:color="auto" w:fill="BF2115"/>
          </w:tcPr>
          <w:p>
            <w:pPr>
              <w:jc w:val="center"/>
              <w:ind w:right="40"/>
              <w:spacing w:after="0"/>
              <w:rPr>
                <w:sz w:val="20"/>
                <w:szCs w:val="20"/>
                <w:color w:val="auto"/>
              </w:rPr>
            </w:pPr>
            <w:r>
              <w:rPr>
                <w:rFonts w:ascii="Arial" w:cs="Arial" w:eastAsia="Arial" w:hAnsi="Arial"/>
                <w:sz w:val="16"/>
                <w:szCs w:val="16"/>
                <w:b w:val="1"/>
                <w:bCs w:val="1"/>
                <w:color w:val="FFFFFF"/>
                <w:w w:val="99"/>
              </w:rPr>
              <w:t>Equity Award</w:t>
            </w:r>
          </w:p>
        </w:tc>
        <w:tc>
          <w:tcPr>
            <w:tcW w:w="1560" w:type="dxa"/>
            <w:vAlign w:val="bottom"/>
            <w:shd w:val="clear" w:color="auto" w:fill="BF2115"/>
          </w:tcPr>
          <w:p>
            <w:pPr>
              <w:jc w:val="center"/>
              <w:spacing w:after="0"/>
              <w:rPr>
                <w:sz w:val="20"/>
                <w:szCs w:val="20"/>
                <w:color w:val="auto"/>
              </w:rPr>
            </w:pPr>
            <w:r>
              <w:rPr>
                <w:rFonts w:ascii="Arial" w:cs="Arial" w:eastAsia="Arial" w:hAnsi="Arial"/>
                <w:sz w:val="16"/>
                <w:szCs w:val="16"/>
                <w:b w:val="1"/>
                <w:bCs w:val="1"/>
                <w:color w:val="FFFFFF"/>
              </w:rPr>
              <w:t>Change in the</w:t>
            </w:r>
          </w:p>
        </w:tc>
        <w:tc>
          <w:tcPr>
            <w:tcW w:w="140" w:type="dxa"/>
            <w:vAlign w:val="bottom"/>
            <w:shd w:val="clear" w:color="auto" w:fill="BF2115"/>
          </w:tcPr>
          <w:p>
            <w:pPr>
              <w:spacing w:after="0"/>
              <w:rPr>
                <w:sz w:val="16"/>
                <w:szCs w:val="16"/>
                <w:color w:val="auto"/>
              </w:rPr>
            </w:pPr>
          </w:p>
        </w:tc>
        <w:tc>
          <w:tcPr>
            <w:tcW w:w="1800" w:type="dxa"/>
            <w:vAlign w:val="bottom"/>
            <w:vMerge w:val="restart"/>
            <w:shd w:val="clear" w:color="auto" w:fill="BF2115"/>
          </w:tcPr>
          <w:p>
            <w:pPr>
              <w:jc w:val="center"/>
              <w:ind w:right="20"/>
              <w:spacing w:after="0"/>
              <w:rPr>
                <w:sz w:val="20"/>
                <w:szCs w:val="20"/>
                <w:color w:val="auto"/>
              </w:rPr>
            </w:pPr>
            <w:r>
              <w:rPr>
                <w:rFonts w:ascii="Arial" w:cs="Arial" w:eastAsia="Arial" w:hAnsi="Arial"/>
                <w:sz w:val="16"/>
                <w:szCs w:val="16"/>
                <w:b w:val="1"/>
                <w:bCs w:val="1"/>
                <w:color w:val="FFFFFF"/>
              </w:rPr>
              <w:t>Pension Benefit</w:t>
            </w:r>
          </w:p>
        </w:tc>
        <w:tc>
          <w:tcPr>
            <w:tcW w:w="1480" w:type="dxa"/>
            <w:vAlign w:val="bottom"/>
            <w:shd w:val="clear" w:color="auto" w:fill="BF2115"/>
          </w:tcPr>
          <w:p>
            <w:pPr>
              <w:jc w:val="center"/>
              <w:spacing w:after="0"/>
              <w:rPr>
                <w:sz w:val="20"/>
                <w:szCs w:val="20"/>
                <w:color w:val="auto"/>
              </w:rPr>
            </w:pPr>
            <w:r>
              <w:rPr>
                <w:rFonts w:ascii="Arial" w:cs="Arial" w:eastAsia="Arial" w:hAnsi="Arial"/>
                <w:sz w:val="16"/>
                <w:szCs w:val="16"/>
                <w:b w:val="1"/>
                <w:bCs w:val="1"/>
                <w:color w:val="FFFFFF"/>
                <w:w w:val="98"/>
              </w:rPr>
              <w:t>Compensation</w:t>
            </w:r>
          </w:p>
        </w:tc>
        <w:tc>
          <w:tcPr>
            <w:tcW w:w="0" w:type="dxa"/>
            <w:vAlign w:val="bottom"/>
          </w:tcPr>
          <w:p>
            <w:pPr>
              <w:spacing w:after="0"/>
              <w:rPr>
                <w:sz w:val="1"/>
                <w:szCs w:val="1"/>
                <w:color w:val="auto"/>
              </w:rPr>
            </w:pPr>
          </w:p>
        </w:tc>
      </w:tr>
      <w:tr>
        <w:trPr>
          <w:trHeight w:val="173"/>
        </w:trPr>
        <w:tc>
          <w:tcPr>
            <w:tcW w:w="900" w:type="dxa"/>
            <w:vAlign w:val="bottom"/>
            <w:shd w:val="clear" w:color="auto" w:fill="BF2115"/>
          </w:tcPr>
          <w:p>
            <w:pPr>
              <w:spacing w:after="0"/>
              <w:rPr>
                <w:sz w:val="15"/>
                <w:szCs w:val="15"/>
                <w:color w:val="auto"/>
              </w:rPr>
            </w:pPr>
          </w:p>
        </w:tc>
        <w:tc>
          <w:tcPr>
            <w:tcW w:w="1660" w:type="dxa"/>
            <w:vAlign w:val="bottom"/>
            <w:shd w:val="clear" w:color="auto" w:fill="BF2115"/>
          </w:tcPr>
          <w:p>
            <w:pPr>
              <w:spacing w:after="0"/>
              <w:rPr>
                <w:sz w:val="15"/>
                <w:szCs w:val="15"/>
                <w:color w:val="auto"/>
              </w:rPr>
            </w:pPr>
          </w:p>
        </w:tc>
        <w:tc>
          <w:tcPr>
            <w:tcW w:w="1820" w:type="dxa"/>
            <w:vAlign w:val="bottom"/>
            <w:vMerge w:val="continue"/>
            <w:shd w:val="clear" w:color="auto" w:fill="BF2115"/>
          </w:tcPr>
          <w:p>
            <w:pPr>
              <w:spacing w:after="0"/>
              <w:rPr>
                <w:sz w:val="15"/>
                <w:szCs w:val="15"/>
                <w:color w:val="auto"/>
              </w:rPr>
            </w:pPr>
          </w:p>
        </w:tc>
        <w:tc>
          <w:tcPr>
            <w:tcW w:w="1500" w:type="dxa"/>
            <w:vAlign w:val="bottom"/>
            <w:shd w:val="clear" w:color="auto" w:fill="BF2115"/>
          </w:tcPr>
          <w:p>
            <w:pPr>
              <w:jc w:val="center"/>
              <w:ind w:right="40"/>
              <w:spacing w:after="0" w:line="174" w:lineRule="exact"/>
              <w:rPr>
                <w:sz w:val="20"/>
                <w:szCs w:val="20"/>
                <w:color w:val="auto"/>
              </w:rPr>
            </w:pPr>
            <w:r>
              <w:rPr>
                <w:rFonts w:ascii="Arial" w:cs="Arial" w:eastAsia="Arial" w:hAnsi="Arial"/>
                <w:sz w:val="16"/>
                <w:szCs w:val="16"/>
                <w:b w:val="1"/>
                <w:bCs w:val="1"/>
                <w:color w:val="FFFFFF"/>
                <w:w w:val="99"/>
              </w:rPr>
              <w:t>Adjustments for</w:t>
            </w:r>
          </w:p>
        </w:tc>
        <w:tc>
          <w:tcPr>
            <w:tcW w:w="1560" w:type="dxa"/>
            <w:vAlign w:val="bottom"/>
            <w:shd w:val="clear" w:color="auto" w:fill="BF2115"/>
          </w:tcPr>
          <w:p>
            <w:pPr>
              <w:jc w:val="center"/>
              <w:spacing w:after="0" w:line="174" w:lineRule="exact"/>
              <w:rPr>
                <w:sz w:val="20"/>
                <w:szCs w:val="20"/>
                <w:color w:val="auto"/>
              </w:rPr>
            </w:pPr>
            <w:r>
              <w:rPr>
                <w:rFonts w:ascii="Arial" w:cs="Arial" w:eastAsia="Arial" w:hAnsi="Arial"/>
                <w:sz w:val="16"/>
                <w:szCs w:val="16"/>
                <w:b w:val="1"/>
                <w:bCs w:val="1"/>
                <w:color w:val="FFFFFF"/>
                <w:w w:val="98"/>
              </w:rPr>
              <w:t>Actuarial Present</w:t>
            </w:r>
          </w:p>
        </w:tc>
        <w:tc>
          <w:tcPr>
            <w:tcW w:w="140" w:type="dxa"/>
            <w:vAlign w:val="bottom"/>
            <w:shd w:val="clear" w:color="auto" w:fill="BF2115"/>
          </w:tcPr>
          <w:p>
            <w:pPr>
              <w:spacing w:after="0"/>
              <w:rPr>
                <w:sz w:val="15"/>
                <w:szCs w:val="15"/>
                <w:color w:val="auto"/>
              </w:rPr>
            </w:pPr>
          </w:p>
        </w:tc>
        <w:tc>
          <w:tcPr>
            <w:tcW w:w="1800" w:type="dxa"/>
            <w:vAlign w:val="bottom"/>
            <w:vMerge w:val="continue"/>
            <w:shd w:val="clear" w:color="auto" w:fill="BF2115"/>
          </w:tcPr>
          <w:p>
            <w:pPr>
              <w:spacing w:after="0"/>
              <w:rPr>
                <w:sz w:val="15"/>
                <w:szCs w:val="15"/>
                <w:color w:val="auto"/>
              </w:rPr>
            </w:pPr>
          </w:p>
        </w:tc>
        <w:tc>
          <w:tcPr>
            <w:tcW w:w="1480" w:type="dxa"/>
            <w:vAlign w:val="bottom"/>
            <w:shd w:val="clear" w:color="auto" w:fill="BF2115"/>
          </w:tcPr>
          <w:p>
            <w:pPr>
              <w:jc w:val="center"/>
              <w:spacing w:after="0" w:line="174" w:lineRule="exact"/>
              <w:rPr>
                <w:sz w:val="20"/>
                <w:szCs w:val="20"/>
                <w:color w:val="auto"/>
              </w:rPr>
            </w:pPr>
            <w:r>
              <w:rPr>
                <w:rFonts w:ascii="Arial" w:cs="Arial" w:eastAsia="Arial" w:hAnsi="Arial"/>
                <w:sz w:val="16"/>
                <w:szCs w:val="16"/>
                <w:b w:val="1"/>
                <w:bCs w:val="1"/>
                <w:color w:val="FFFFFF"/>
                <w:w w:val="99"/>
              </w:rPr>
              <w:t>Actually Paid to</w:t>
            </w:r>
          </w:p>
        </w:tc>
        <w:tc>
          <w:tcPr>
            <w:tcW w:w="0" w:type="dxa"/>
            <w:vAlign w:val="bottom"/>
          </w:tcPr>
          <w:p>
            <w:pPr>
              <w:spacing w:after="0"/>
              <w:rPr>
                <w:sz w:val="1"/>
                <w:szCs w:val="1"/>
                <w:color w:val="auto"/>
              </w:rPr>
            </w:pPr>
          </w:p>
        </w:tc>
      </w:tr>
      <w:tr>
        <w:trPr>
          <w:trHeight w:val="187"/>
        </w:trPr>
        <w:tc>
          <w:tcPr>
            <w:tcW w:w="900" w:type="dxa"/>
            <w:vAlign w:val="bottom"/>
            <w:vMerge w:val="restart"/>
            <w:shd w:val="clear" w:color="auto" w:fill="BF2115"/>
          </w:tcPr>
          <w:p>
            <w:pPr>
              <w:jc w:val="right"/>
              <w:ind w:right="140"/>
              <w:spacing w:after="0"/>
              <w:rPr>
                <w:sz w:val="20"/>
                <w:szCs w:val="20"/>
                <w:color w:val="auto"/>
              </w:rPr>
            </w:pPr>
            <w:r>
              <w:rPr>
                <w:rFonts w:ascii="Arial" w:cs="Arial" w:eastAsia="Arial" w:hAnsi="Arial"/>
                <w:sz w:val="16"/>
                <w:szCs w:val="16"/>
                <w:b w:val="1"/>
                <w:bCs w:val="1"/>
                <w:color w:val="FFFFFF"/>
              </w:rPr>
              <w:t>Year</w:t>
            </w:r>
          </w:p>
        </w:tc>
        <w:tc>
          <w:tcPr>
            <w:tcW w:w="1660" w:type="dxa"/>
            <w:vAlign w:val="bottom"/>
            <w:shd w:val="clear" w:color="auto" w:fill="BF2115"/>
          </w:tcPr>
          <w:p>
            <w:pPr>
              <w:jc w:val="right"/>
              <w:ind w:right="20"/>
              <w:spacing w:after="0"/>
              <w:rPr>
                <w:sz w:val="20"/>
                <w:szCs w:val="20"/>
                <w:color w:val="auto"/>
              </w:rPr>
            </w:pPr>
            <w:r>
              <w:rPr>
                <w:rFonts w:ascii="Arial" w:cs="Arial" w:eastAsia="Arial" w:hAnsi="Arial"/>
                <w:sz w:val="16"/>
                <w:szCs w:val="16"/>
                <w:b w:val="1"/>
                <w:bCs w:val="1"/>
                <w:color w:val="FFFFFF"/>
              </w:rPr>
              <w:t>SCT Total for PEO</w:t>
            </w:r>
          </w:p>
        </w:tc>
        <w:tc>
          <w:tcPr>
            <w:tcW w:w="1820" w:type="dxa"/>
            <w:vAlign w:val="bottom"/>
            <w:shd w:val="clear" w:color="auto" w:fill="BF2115"/>
          </w:tcPr>
          <w:p>
            <w:pPr>
              <w:jc w:val="center"/>
              <w:ind w:right="20"/>
              <w:spacing w:after="0"/>
              <w:rPr>
                <w:sz w:val="20"/>
                <w:szCs w:val="20"/>
                <w:color w:val="auto"/>
              </w:rPr>
            </w:pPr>
            <w:r>
              <w:rPr>
                <w:rFonts w:ascii="Arial" w:cs="Arial" w:eastAsia="Arial" w:hAnsi="Arial"/>
                <w:sz w:val="16"/>
                <w:szCs w:val="16"/>
                <w:b w:val="1"/>
                <w:bCs w:val="1"/>
                <w:color w:val="FFFFFF"/>
                <w:w w:val="99"/>
              </w:rPr>
              <w:t>Award Value for PEO</w:t>
            </w:r>
          </w:p>
        </w:tc>
        <w:tc>
          <w:tcPr>
            <w:tcW w:w="1500" w:type="dxa"/>
            <w:vAlign w:val="bottom"/>
            <w:shd w:val="clear" w:color="auto" w:fill="BF2115"/>
          </w:tcPr>
          <w:p>
            <w:pPr>
              <w:jc w:val="center"/>
              <w:ind w:right="40"/>
              <w:spacing w:after="0" w:line="186" w:lineRule="exact"/>
              <w:rPr>
                <w:sz w:val="20"/>
                <w:szCs w:val="20"/>
                <w:color w:val="auto"/>
              </w:rPr>
            </w:pPr>
            <w:r>
              <w:rPr>
                <w:rFonts w:ascii="Arial" w:cs="Arial" w:eastAsia="Arial" w:hAnsi="Arial"/>
                <w:sz w:val="16"/>
                <w:szCs w:val="16"/>
                <w:b w:val="1"/>
                <w:bCs w:val="1"/>
                <w:color w:val="FFFFFF"/>
                <w:w w:val="92"/>
              </w:rPr>
              <w:t>PEO</w:t>
            </w:r>
            <w:r>
              <w:rPr>
                <w:rFonts w:ascii="Arial" w:cs="Arial" w:eastAsia="Arial" w:hAnsi="Arial"/>
                <w:sz w:val="20"/>
                <w:szCs w:val="20"/>
                <w:b w:val="1"/>
                <w:bCs w:val="1"/>
                <w:color w:val="FFFFFF"/>
                <w:w w:val="92"/>
                <w:vertAlign w:val="superscript"/>
              </w:rPr>
              <w:t>1</w:t>
            </w:r>
          </w:p>
        </w:tc>
        <w:tc>
          <w:tcPr>
            <w:tcW w:w="1560" w:type="dxa"/>
            <w:vAlign w:val="bottom"/>
            <w:shd w:val="clear" w:color="auto" w:fill="BF2115"/>
          </w:tcPr>
          <w:p>
            <w:pPr>
              <w:jc w:val="center"/>
              <w:spacing w:after="0"/>
              <w:rPr>
                <w:sz w:val="20"/>
                <w:szCs w:val="20"/>
                <w:color w:val="auto"/>
              </w:rPr>
            </w:pPr>
            <w:r>
              <w:rPr>
                <w:rFonts w:ascii="Arial" w:cs="Arial" w:eastAsia="Arial" w:hAnsi="Arial"/>
                <w:sz w:val="16"/>
                <w:szCs w:val="16"/>
                <w:b w:val="1"/>
                <w:bCs w:val="1"/>
                <w:color w:val="FFFFFF"/>
                <w:w w:val="99"/>
              </w:rPr>
              <w:t>Value of Pension</w:t>
            </w:r>
          </w:p>
        </w:tc>
        <w:tc>
          <w:tcPr>
            <w:tcW w:w="140" w:type="dxa"/>
            <w:vAlign w:val="bottom"/>
            <w:shd w:val="clear" w:color="auto" w:fill="BF2115"/>
          </w:tcPr>
          <w:p>
            <w:pPr>
              <w:spacing w:after="0"/>
              <w:rPr>
                <w:sz w:val="16"/>
                <w:szCs w:val="16"/>
                <w:color w:val="auto"/>
              </w:rPr>
            </w:pPr>
          </w:p>
        </w:tc>
        <w:tc>
          <w:tcPr>
            <w:tcW w:w="1800" w:type="dxa"/>
            <w:vAlign w:val="bottom"/>
            <w:shd w:val="clear" w:color="auto" w:fill="BF2115"/>
          </w:tcPr>
          <w:p>
            <w:pPr>
              <w:jc w:val="center"/>
              <w:ind w:right="20"/>
              <w:spacing w:after="0"/>
              <w:rPr>
                <w:sz w:val="20"/>
                <w:szCs w:val="20"/>
                <w:color w:val="auto"/>
              </w:rPr>
            </w:pPr>
            <w:r>
              <w:rPr>
                <w:rFonts w:ascii="Arial" w:cs="Arial" w:eastAsia="Arial" w:hAnsi="Arial"/>
                <w:sz w:val="16"/>
                <w:szCs w:val="16"/>
                <w:b w:val="1"/>
                <w:bCs w:val="1"/>
                <w:color w:val="FFFFFF"/>
              </w:rPr>
              <w:t>Adjustments for PEO</w:t>
            </w:r>
          </w:p>
        </w:tc>
        <w:tc>
          <w:tcPr>
            <w:tcW w:w="1480" w:type="dxa"/>
            <w:vAlign w:val="bottom"/>
            <w:shd w:val="clear" w:color="auto" w:fill="BF2115"/>
          </w:tcPr>
          <w:p>
            <w:pPr>
              <w:jc w:val="center"/>
              <w:ind w:right="20"/>
              <w:spacing w:after="0"/>
              <w:rPr>
                <w:sz w:val="20"/>
                <w:szCs w:val="20"/>
                <w:color w:val="auto"/>
              </w:rPr>
            </w:pPr>
            <w:r>
              <w:rPr>
                <w:rFonts w:ascii="Arial" w:cs="Arial" w:eastAsia="Arial" w:hAnsi="Arial"/>
                <w:sz w:val="16"/>
                <w:szCs w:val="16"/>
                <w:b w:val="1"/>
                <w:bCs w:val="1"/>
                <w:color w:val="FFFFFF"/>
              </w:rPr>
              <w:t>PEO</w:t>
            </w:r>
          </w:p>
        </w:tc>
        <w:tc>
          <w:tcPr>
            <w:tcW w:w="0" w:type="dxa"/>
            <w:vAlign w:val="bottom"/>
          </w:tcPr>
          <w:p>
            <w:pPr>
              <w:spacing w:after="0"/>
              <w:rPr>
                <w:sz w:val="1"/>
                <w:szCs w:val="1"/>
                <w:color w:val="auto"/>
              </w:rPr>
            </w:pPr>
          </w:p>
        </w:tc>
      </w:tr>
      <w:tr>
        <w:trPr>
          <w:trHeight w:val="228"/>
        </w:trPr>
        <w:tc>
          <w:tcPr>
            <w:tcW w:w="900" w:type="dxa"/>
            <w:vAlign w:val="bottom"/>
            <w:vMerge w:val="continue"/>
            <w:shd w:val="clear" w:color="auto" w:fill="BF2115"/>
          </w:tcPr>
          <w:p>
            <w:pPr>
              <w:spacing w:after="0"/>
              <w:rPr>
                <w:sz w:val="19"/>
                <w:szCs w:val="19"/>
                <w:color w:val="auto"/>
              </w:rPr>
            </w:pPr>
          </w:p>
        </w:tc>
        <w:tc>
          <w:tcPr>
            <w:tcW w:w="1660" w:type="dxa"/>
            <w:vAlign w:val="bottom"/>
            <w:shd w:val="clear" w:color="auto" w:fill="BF2115"/>
          </w:tcPr>
          <w:p>
            <w:pPr>
              <w:jc w:val="right"/>
              <w:ind w:right="580"/>
              <w:spacing w:after="0"/>
              <w:rPr>
                <w:sz w:val="20"/>
                <w:szCs w:val="20"/>
                <w:color w:val="auto"/>
              </w:rPr>
            </w:pPr>
            <w:r>
              <w:rPr>
                <w:rFonts w:ascii="Arial" w:cs="Arial" w:eastAsia="Arial" w:hAnsi="Arial"/>
                <w:sz w:val="16"/>
                <w:szCs w:val="16"/>
                <w:b w:val="1"/>
                <w:bCs w:val="1"/>
                <w:color w:val="FFFFFF"/>
              </w:rPr>
              <w:t>($)</w:t>
            </w:r>
          </w:p>
        </w:tc>
        <w:tc>
          <w:tcPr>
            <w:tcW w:w="1820" w:type="dxa"/>
            <w:vAlign w:val="bottom"/>
            <w:shd w:val="clear" w:color="auto" w:fill="BF2115"/>
          </w:tcPr>
          <w:p>
            <w:pPr>
              <w:jc w:val="center"/>
              <w:spacing w:after="0"/>
              <w:rPr>
                <w:sz w:val="20"/>
                <w:szCs w:val="20"/>
                <w:color w:val="auto"/>
              </w:rPr>
            </w:pPr>
            <w:r>
              <w:rPr>
                <w:rFonts w:ascii="Arial" w:cs="Arial" w:eastAsia="Arial" w:hAnsi="Arial"/>
                <w:sz w:val="16"/>
                <w:szCs w:val="16"/>
                <w:b w:val="1"/>
                <w:bCs w:val="1"/>
                <w:color w:val="FFFFFF"/>
              </w:rPr>
              <w:t>($)</w:t>
            </w:r>
          </w:p>
        </w:tc>
        <w:tc>
          <w:tcPr>
            <w:tcW w:w="1500" w:type="dxa"/>
            <w:vAlign w:val="bottom"/>
            <w:shd w:val="clear" w:color="auto" w:fill="BF2115"/>
          </w:tcPr>
          <w:p>
            <w:pPr>
              <w:jc w:val="center"/>
              <w:spacing w:after="0"/>
              <w:rPr>
                <w:sz w:val="20"/>
                <w:szCs w:val="20"/>
                <w:color w:val="auto"/>
              </w:rPr>
            </w:pPr>
            <w:r>
              <w:rPr>
                <w:rFonts w:ascii="Arial" w:cs="Arial" w:eastAsia="Arial" w:hAnsi="Arial"/>
                <w:sz w:val="16"/>
                <w:szCs w:val="16"/>
                <w:b w:val="1"/>
                <w:bCs w:val="1"/>
                <w:color w:val="FFFFFF"/>
              </w:rPr>
              <w:t>($)</w:t>
            </w:r>
          </w:p>
        </w:tc>
        <w:tc>
          <w:tcPr>
            <w:tcW w:w="1560" w:type="dxa"/>
            <w:vAlign w:val="bottom"/>
            <w:shd w:val="clear" w:color="auto" w:fill="BF2115"/>
          </w:tcPr>
          <w:p>
            <w:pPr>
              <w:jc w:val="center"/>
              <w:spacing w:after="0"/>
              <w:rPr>
                <w:sz w:val="20"/>
                <w:szCs w:val="20"/>
                <w:color w:val="auto"/>
              </w:rPr>
            </w:pPr>
            <w:r>
              <w:rPr>
                <w:rFonts w:ascii="Arial" w:cs="Arial" w:eastAsia="Arial" w:hAnsi="Arial"/>
                <w:sz w:val="16"/>
                <w:szCs w:val="16"/>
                <w:b w:val="1"/>
                <w:bCs w:val="1"/>
                <w:color w:val="FFFFFF"/>
                <w:w w:val="99"/>
              </w:rPr>
              <w:t>Benefits for PEO ($)</w:t>
            </w:r>
          </w:p>
        </w:tc>
        <w:tc>
          <w:tcPr>
            <w:tcW w:w="140" w:type="dxa"/>
            <w:vAlign w:val="bottom"/>
            <w:shd w:val="clear" w:color="auto" w:fill="BF2115"/>
          </w:tcPr>
          <w:p>
            <w:pPr>
              <w:spacing w:after="0"/>
              <w:rPr>
                <w:sz w:val="19"/>
                <w:szCs w:val="19"/>
                <w:color w:val="auto"/>
              </w:rPr>
            </w:pPr>
          </w:p>
        </w:tc>
        <w:tc>
          <w:tcPr>
            <w:tcW w:w="1800" w:type="dxa"/>
            <w:vAlign w:val="bottom"/>
            <w:shd w:val="clear" w:color="auto" w:fill="BF2115"/>
          </w:tcPr>
          <w:p>
            <w:pPr>
              <w:jc w:val="center"/>
              <w:spacing w:after="0"/>
              <w:rPr>
                <w:sz w:val="20"/>
                <w:szCs w:val="20"/>
                <w:color w:val="auto"/>
              </w:rPr>
            </w:pPr>
            <w:r>
              <w:rPr>
                <w:rFonts w:ascii="Arial" w:cs="Arial" w:eastAsia="Arial" w:hAnsi="Arial"/>
                <w:sz w:val="16"/>
                <w:szCs w:val="16"/>
                <w:b w:val="1"/>
                <w:bCs w:val="1"/>
                <w:color w:val="FFFFFF"/>
              </w:rPr>
              <w:t>($)</w:t>
            </w:r>
          </w:p>
        </w:tc>
        <w:tc>
          <w:tcPr>
            <w:tcW w:w="1480" w:type="dxa"/>
            <w:vAlign w:val="bottom"/>
            <w:shd w:val="clear" w:color="auto" w:fill="BF2115"/>
          </w:tcPr>
          <w:p>
            <w:pPr>
              <w:jc w:val="center"/>
              <w:spacing w:after="0"/>
              <w:rPr>
                <w:sz w:val="20"/>
                <w:szCs w:val="20"/>
                <w:color w:val="auto"/>
              </w:rPr>
            </w:pPr>
            <w:r>
              <w:rPr>
                <w:rFonts w:ascii="Arial" w:cs="Arial" w:eastAsia="Arial" w:hAnsi="Arial"/>
                <w:sz w:val="16"/>
                <w:szCs w:val="16"/>
                <w:b w:val="1"/>
                <w:bCs w:val="1"/>
                <w:color w:val="FFFFFF"/>
              </w:rPr>
              <w:t>($)</w:t>
            </w:r>
          </w:p>
        </w:tc>
        <w:tc>
          <w:tcPr>
            <w:tcW w:w="0" w:type="dxa"/>
            <w:vAlign w:val="bottom"/>
          </w:tcPr>
          <w:p>
            <w:pPr>
              <w:spacing w:after="0"/>
              <w:rPr>
                <w:sz w:val="1"/>
                <w:szCs w:val="1"/>
                <w:color w:val="auto"/>
              </w:rPr>
            </w:pPr>
          </w:p>
        </w:tc>
      </w:tr>
      <w:tr>
        <w:trPr>
          <w:trHeight w:val="211"/>
        </w:trPr>
        <w:tc>
          <w:tcPr>
            <w:tcW w:w="900" w:type="dxa"/>
            <w:vAlign w:val="bottom"/>
          </w:tcPr>
          <w:p>
            <w:pPr>
              <w:jc w:val="right"/>
              <w:ind w:right="440"/>
              <w:spacing w:after="0"/>
              <w:rPr>
                <w:sz w:val="20"/>
                <w:szCs w:val="20"/>
                <w:color w:val="auto"/>
              </w:rPr>
            </w:pPr>
            <w:r>
              <w:rPr>
                <w:rFonts w:ascii="Arial" w:cs="Arial" w:eastAsia="Arial" w:hAnsi="Arial"/>
                <w:sz w:val="16"/>
                <w:szCs w:val="16"/>
                <w:color w:val="auto"/>
              </w:rPr>
              <w:t>2024</w:t>
            </w:r>
          </w:p>
        </w:tc>
        <w:tc>
          <w:tcPr>
            <w:tcW w:w="1660" w:type="dxa"/>
            <w:vAlign w:val="bottom"/>
          </w:tcPr>
          <w:p>
            <w:pPr>
              <w:jc w:val="right"/>
              <w:spacing w:after="0"/>
              <w:rPr>
                <w:sz w:val="20"/>
                <w:szCs w:val="20"/>
                <w:color w:val="auto"/>
              </w:rPr>
            </w:pPr>
            <w:r>
              <w:rPr>
                <w:rFonts w:ascii="Arial" w:cs="Arial" w:eastAsia="Arial" w:hAnsi="Arial"/>
                <w:sz w:val="16"/>
                <w:szCs w:val="16"/>
                <w:color w:val="auto"/>
              </w:rPr>
              <w:t>8,278,439</w:t>
            </w:r>
          </w:p>
        </w:tc>
        <w:tc>
          <w:tcPr>
            <w:tcW w:w="1820" w:type="dxa"/>
            <w:vAlign w:val="bottom"/>
          </w:tcPr>
          <w:p>
            <w:pPr>
              <w:jc w:val="right"/>
              <w:spacing w:after="0"/>
              <w:rPr>
                <w:sz w:val="20"/>
                <w:szCs w:val="20"/>
                <w:color w:val="auto"/>
              </w:rPr>
            </w:pPr>
            <w:r>
              <w:rPr>
                <w:rFonts w:ascii="Arial" w:cs="Arial" w:eastAsia="Arial" w:hAnsi="Arial"/>
                <w:sz w:val="16"/>
                <w:szCs w:val="16"/>
                <w:color w:val="auto"/>
              </w:rPr>
              <w:t>(6,369,706)</w:t>
            </w:r>
          </w:p>
        </w:tc>
        <w:tc>
          <w:tcPr>
            <w:tcW w:w="1500" w:type="dxa"/>
            <w:vAlign w:val="bottom"/>
          </w:tcPr>
          <w:p>
            <w:pPr>
              <w:jc w:val="right"/>
              <w:ind w:right="40"/>
              <w:spacing w:after="0"/>
              <w:rPr>
                <w:sz w:val="20"/>
                <w:szCs w:val="20"/>
                <w:color w:val="auto"/>
              </w:rPr>
            </w:pPr>
            <w:r>
              <w:rPr>
                <w:rFonts w:ascii="Arial" w:cs="Arial" w:eastAsia="Arial" w:hAnsi="Arial"/>
                <w:sz w:val="16"/>
                <w:szCs w:val="16"/>
                <w:color w:val="auto"/>
              </w:rPr>
              <w:t>1,824,275</w:t>
            </w:r>
          </w:p>
        </w:tc>
        <w:tc>
          <w:tcPr>
            <w:tcW w:w="156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0</w:t>
            </w:r>
          </w:p>
        </w:tc>
        <w:tc>
          <w:tcPr>
            <w:tcW w:w="1800" w:type="dxa"/>
            <w:vAlign w:val="bottom"/>
          </w:tcPr>
          <w:p>
            <w:pPr>
              <w:jc w:val="right"/>
              <w:ind w:right="20"/>
              <w:spacing w:after="0"/>
              <w:rPr>
                <w:sz w:val="20"/>
                <w:szCs w:val="20"/>
                <w:color w:val="auto"/>
              </w:rPr>
            </w:pPr>
            <w:r>
              <w:rPr>
                <w:rFonts w:ascii="Arial" w:cs="Arial" w:eastAsia="Arial" w:hAnsi="Arial"/>
                <w:sz w:val="16"/>
                <w:szCs w:val="16"/>
                <w:color w:val="auto"/>
              </w:rPr>
              <w:t>0</w:t>
            </w:r>
          </w:p>
        </w:tc>
        <w:tc>
          <w:tcPr>
            <w:tcW w:w="1480" w:type="dxa"/>
            <w:vAlign w:val="bottom"/>
          </w:tcPr>
          <w:p>
            <w:pPr>
              <w:jc w:val="right"/>
              <w:spacing w:after="0"/>
              <w:rPr>
                <w:sz w:val="20"/>
                <w:szCs w:val="20"/>
                <w:color w:val="auto"/>
              </w:rPr>
            </w:pPr>
            <w:r>
              <w:rPr>
                <w:rFonts w:ascii="Arial" w:cs="Arial" w:eastAsia="Arial" w:hAnsi="Arial"/>
                <w:sz w:val="16"/>
                <w:szCs w:val="16"/>
                <w:color w:val="auto"/>
              </w:rPr>
              <w:t>3,733,008</w:t>
            </w:r>
          </w:p>
        </w:tc>
        <w:tc>
          <w:tcPr>
            <w:tcW w:w="0" w:type="dxa"/>
            <w:vAlign w:val="bottom"/>
          </w:tcPr>
          <w:p>
            <w:pPr>
              <w:spacing w:after="0"/>
              <w:rPr>
                <w:sz w:val="1"/>
                <w:szCs w:val="1"/>
                <w:color w:val="auto"/>
              </w:rPr>
            </w:pPr>
          </w:p>
        </w:tc>
      </w:tr>
      <w:tr>
        <w:trPr>
          <w:trHeight w:val="29"/>
        </w:trPr>
        <w:tc>
          <w:tcPr>
            <w:tcW w:w="90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900" w:type="dxa"/>
            <w:vAlign w:val="bottom"/>
            <w:tcBorders>
              <w:bottom w:val="single" w:sz="8" w:color="DBDBDB"/>
            </w:tcBorders>
            <w:shd w:val="clear" w:color="auto" w:fill="DBDBDB"/>
          </w:tcPr>
          <w:p>
            <w:pPr>
              <w:jc w:val="right"/>
              <w:ind w:right="440"/>
              <w:spacing w:after="0"/>
              <w:rPr>
                <w:sz w:val="20"/>
                <w:szCs w:val="20"/>
                <w:color w:val="auto"/>
              </w:rPr>
            </w:pPr>
            <w:r>
              <w:rPr>
                <w:rFonts w:ascii="Arial" w:cs="Arial" w:eastAsia="Arial" w:hAnsi="Arial"/>
                <w:sz w:val="16"/>
                <w:szCs w:val="16"/>
                <w:color w:val="auto"/>
              </w:rPr>
              <w:t>2023</w:t>
            </w:r>
          </w:p>
        </w:tc>
        <w:tc>
          <w:tcPr>
            <w:tcW w:w="166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6"/>
                <w:szCs w:val="16"/>
                <w:color w:val="auto"/>
              </w:rPr>
              <w:t>9,025,811</w:t>
            </w:r>
          </w:p>
        </w:tc>
        <w:tc>
          <w:tcPr>
            <w:tcW w:w="182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6"/>
                <w:szCs w:val="16"/>
                <w:color w:val="auto"/>
              </w:rPr>
              <w:t>(7,291,746)</w:t>
            </w:r>
          </w:p>
        </w:tc>
        <w:tc>
          <w:tcPr>
            <w:tcW w:w="150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6"/>
                <w:szCs w:val="16"/>
                <w:color w:val="auto"/>
              </w:rPr>
              <w:t>(1,186,387)</w:t>
            </w:r>
          </w:p>
        </w:tc>
        <w:tc>
          <w:tcPr>
            <w:tcW w:w="1560" w:type="dxa"/>
            <w:vAlign w:val="bottom"/>
            <w:tcBorders>
              <w:bottom w:val="single" w:sz="8" w:color="DBDBDB"/>
            </w:tcBorders>
            <w:shd w:val="clear" w:color="auto" w:fill="DBDBDB"/>
          </w:tcPr>
          <w:p>
            <w:pPr>
              <w:spacing w:after="0"/>
              <w:rPr>
                <w:sz w:val="19"/>
                <w:szCs w:val="19"/>
                <w:color w:val="auto"/>
              </w:rPr>
            </w:pPr>
          </w:p>
        </w:tc>
        <w:tc>
          <w:tcPr>
            <w:tcW w:w="14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6"/>
                <w:szCs w:val="16"/>
                <w:color w:val="auto"/>
                <w:w w:val="89"/>
              </w:rPr>
              <w:t>0</w:t>
            </w:r>
          </w:p>
        </w:tc>
        <w:tc>
          <w:tcPr>
            <w:tcW w:w="1800" w:type="dxa"/>
            <w:vAlign w:val="bottom"/>
            <w:tcBorders>
              <w:bottom w:val="single" w:sz="8" w:color="DBDBDB"/>
            </w:tcBorders>
            <w:shd w:val="clear" w:color="auto" w:fill="DBDBDB"/>
          </w:tcPr>
          <w:p>
            <w:pPr>
              <w:jc w:val="right"/>
              <w:ind w:right="20"/>
              <w:spacing w:after="0"/>
              <w:rPr>
                <w:sz w:val="20"/>
                <w:szCs w:val="20"/>
                <w:color w:val="auto"/>
              </w:rPr>
            </w:pPr>
            <w:r>
              <w:rPr>
                <w:rFonts w:ascii="Arial" w:cs="Arial" w:eastAsia="Arial" w:hAnsi="Arial"/>
                <w:sz w:val="16"/>
                <w:szCs w:val="16"/>
                <w:color w:val="auto"/>
              </w:rPr>
              <w:t>0</w:t>
            </w:r>
          </w:p>
        </w:tc>
        <w:tc>
          <w:tcPr>
            <w:tcW w:w="148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6"/>
                <w:szCs w:val="16"/>
                <w:color w:val="auto"/>
              </w:rPr>
              <w:t>547,678</w:t>
            </w:r>
          </w:p>
        </w:tc>
        <w:tc>
          <w:tcPr>
            <w:tcW w:w="0" w:type="dxa"/>
            <w:vAlign w:val="bottom"/>
          </w:tcPr>
          <w:p>
            <w:pPr>
              <w:spacing w:after="0"/>
              <w:rPr>
                <w:sz w:val="1"/>
                <w:szCs w:val="1"/>
                <w:color w:val="auto"/>
              </w:rPr>
            </w:pPr>
          </w:p>
        </w:tc>
      </w:tr>
      <w:tr>
        <w:trPr>
          <w:trHeight w:val="211"/>
        </w:trPr>
        <w:tc>
          <w:tcPr>
            <w:tcW w:w="900" w:type="dxa"/>
            <w:vAlign w:val="bottom"/>
          </w:tcPr>
          <w:p>
            <w:pPr>
              <w:jc w:val="right"/>
              <w:ind w:right="440"/>
              <w:spacing w:after="0"/>
              <w:rPr>
                <w:sz w:val="20"/>
                <w:szCs w:val="20"/>
                <w:color w:val="auto"/>
              </w:rPr>
            </w:pPr>
            <w:r>
              <w:rPr>
                <w:rFonts w:ascii="Arial" w:cs="Arial" w:eastAsia="Arial" w:hAnsi="Arial"/>
                <w:sz w:val="16"/>
                <w:szCs w:val="16"/>
                <w:color w:val="auto"/>
              </w:rPr>
              <w:t>2022</w:t>
            </w:r>
          </w:p>
        </w:tc>
        <w:tc>
          <w:tcPr>
            <w:tcW w:w="1660" w:type="dxa"/>
            <w:vAlign w:val="bottom"/>
          </w:tcPr>
          <w:p>
            <w:pPr>
              <w:jc w:val="right"/>
              <w:spacing w:after="0"/>
              <w:rPr>
                <w:sz w:val="20"/>
                <w:szCs w:val="20"/>
                <w:color w:val="auto"/>
              </w:rPr>
            </w:pPr>
            <w:r>
              <w:rPr>
                <w:rFonts w:ascii="Arial" w:cs="Arial" w:eastAsia="Arial" w:hAnsi="Arial"/>
                <w:sz w:val="16"/>
                <w:szCs w:val="16"/>
                <w:color w:val="auto"/>
              </w:rPr>
              <w:t>7,311,953</w:t>
            </w:r>
          </w:p>
        </w:tc>
        <w:tc>
          <w:tcPr>
            <w:tcW w:w="1820" w:type="dxa"/>
            <w:vAlign w:val="bottom"/>
          </w:tcPr>
          <w:p>
            <w:pPr>
              <w:jc w:val="right"/>
              <w:spacing w:after="0"/>
              <w:rPr>
                <w:sz w:val="20"/>
                <w:szCs w:val="20"/>
                <w:color w:val="auto"/>
              </w:rPr>
            </w:pPr>
            <w:r>
              <w:rPr>
                <w:rFonts w:ascii="Arial" w:cs="Arial" w:eastAsia="Arial" w:hAnsi="Arial"/>
                <w:sz w:val="16"/>
                <w:szCs w:val="16"/>
                <w:color w:val="auto"/>
              </w:rPr>
              <w:t>(4,996,891)</w:t>
            </w:r>
          </w:p>
        </w:tc>
        <w:tc>
          <w:tcPr>
            <w:tcW w:w="1500" w:type="dxa"/>
            <w:vAlign w:val="bottom"/>
          </w:tcPr>
          <w:p>
            <w:pPr>
              <w:jc w:val="right"/>
              <w:spacing w:after="0"/>
              <w:rPr>
                <w:sz w:val="20"/>
                <w:szCs w:val="20"/>
                <w:color w:val="auto"/>
              </w:rPr>
            </w:pPr>
            <w:r>
              <w:rPr>
                <w:rFonts w:ascii="Arial" w:cs="Arial" w:eastAsia="Arial" w:hAnsi="Arial"/>
                <w:sz w:val="16"/>
                <w:szCs w:val="16"/>
                <w:color w:val="auto"/>
              </w:rPr>
              <w:t>8,127,075</w:t>
            </w:r>
          </w:p>
        </w:tc>
        <w:tc>
          <w:tcPr>
            <w:tcW w:w="156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0</w:t>
            </w:r>
          </w:p>
        </w:tc>
        <w:tc>
          <w:tcPr>
            <w:tcW w:w="1800" w:type="dxa"/>
            <w:vAlign w:val="bottom"/>
          </w:tcPr>
          <w:p>
            <w:pPr>
              <w:jc w:val="right"/>
              <w:ind w:right="20"/>
              <w:spacing w:after="0"/>
              <w:rPr>
                <w:sz w:val="20"/>
                <w:szCs w:val="20"/>
                <w:color w:val="auto"/>
              </w:rPr>
            </w:pPr>
            <w:r>
              <w:rPr>
                <w:rFonts w:ascii="Arial" w:cs="Arial" w:eastAsia="Arial" w:hAnsi="Arial"/>
                <w:sz w:val="16"/>
                <w:szCs w:val="16"/>
                <w:color w:val="auto"/>
              </w:rPr>
              <w:t>0</w:t>
            </w:r>
          </w:p>
        </w:tc>
        <w:tc>
          <w:tcPr>
            <w:tcW w:w="1480" w:type="dxa"/>
            <w:vAlign w:val="bottom"/>
          </w:tcPr>
          <w:p>
            <w:pPr>
              <w:jc w:val="right"/>
              <w:spacing w:after="0"/>
              <w:rPr>
                <w:sz w:val="20"/>
                <w:szCs w:val="20"/>
                <w:color w:val="auto"/>
              </w:rPr>
            </w:pPr>
            <w:r>
              <w:rPr>
                <w:rFonts w:ascii="Arial" w:cs="Arial" w:eastAsia="Arial" w:hAnsi="Arial"/>
                <w:sz w:val="16"/>
                <w:szCs w:val="16"/>
                <w:color w:val="auto"/>
              </w:rPr>
              <w:t>10,442,137</w:t>
            </w:r>
          </w:p>
        </w:tc>
        <w:tc>
          <w:tcPr>
            <w:tcW w:w="0" w:type="dxa"/>
            <w:vAlign w:val="bottom"/>
          </w:tcPr>
          <w:p>
            <w:pPr>
              <w:spacing w:after="0"/>
              <w:rPr>
                <w:sz w:val="1"/>
                <w:szCs w:val="1"/>
                <w:color w:val="auto"/>
              </w:rPr>
            </w:pPr>
          </w:p>
        </w:tc>
      </w:tr>
      <w:tr>
        <w:trPr>
          <w:trHeight w:val="29"/>
        </w:trPr>
        <w:tc>
          <w:tcPr>
            <w:tcW w:w="90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1"/>
        </w:trPr>
        <w:tc>
          <w:tcPr>
            <w:tcW w:w="900" w:type="dxa"/>
            <w:vAlign w:val="bottom"/>
            <w:shd w:val="clear" w:color="auto" w:fill="DBDBDB"/>
          </w:tcPr>
          <w:p>
            <w:pPr>
              <w:jc w:val="right"/>
              <w:ind w:right="440"/>
              <w:spacing w:after="0"/>
              <w:rPr>
                <w:sz w:val="20"/>
                <w:szCs w:val="20"/>
                <w:color w:val="auto"/>
              </w:rPr>
            </w:pPr>
            <w:r>
              <w:rPr>
                <w:rFonts w:ascii="Arial" w:cs="Arial" w:eastAsia="Arial" w:hAnsi="Arial"/>
                <w:sz w:val="16"/>
                <w:szCs w:val="16"/>
                <w:color w:val="auto"/>
              </w:rPr>
              <w:t>2021</w:t>
            </w:r>
          </w:p>
        </w:tc>
        <w:tc>
          <w:tcPr>
            <w:tcW w:w="1660" w:type="dxa"/>
            <w:vAlign w:val="bottom"/>
            <w:shd w:val="clear" w:color="auto" w:fill="DBDBDB"/>
          </w:tcPr>
          <w:p>
            <w:pPr>
              <w:jc w:val="right"/>
              <w:spacing w:after="0"/>
              <w:rPr>
                <w:sz w:val="20"/>
                <w:szCs w:val="20"/>
                <w:color w:val="auto"/>
              </w:rPr>
            </w:pPr>
            <w:r>
              <w:rPr>
                <w:rFonts w:ascii="Arial" w:cs="Arial" w:eastAsia="Arial" w:hAnsi="Arial"/>
                <w:sz w:val="16"/>
                <w:szCs w:val="16"/>
                <w:color w:val="auto"/>
              </w:rPr>
              <w:t>8,629,851</w:t>
            </w:r>
          </w:p>
        </w:tc>
        <w:tc>
          <w:tcPr>
            <w:tcW w:w="1820" w:type="dxa"/>
            <w:vAlign w:val="bottom"/>
            <w:shd w:val="clear" w:color="auto" w:fill="DBDBDB"/>
          </w:tcPr>
          <w:p>
            <w:pPr>
              <w:jc w:val="right"/>
              <w:spacing w:after="0"/>
              <w:rPr>
                <w:sz w:val="20"/>
                <w:szCs w:val="20"/>
                <w:color w:val="auto"/>
              </w:rPr>
            </w:pPr>
            <w:r>
              <w:rPr>
                <w:rFonts w:ascii="Arial" w:cs="Arial" w:eastAsia="Arial" w:hAnsi="Arial"/>
                <w:sz w:val="16"/>
                <w:szCs w:val="16"/>
                <w:color w:val="auto"/>
              </w:rPr>
              <w:t>(5,187,602)</w:t>
            </w:r>
          </w:p>
        </w:tc>
        <w:tc>
          <w:tcPr>
            <w:tcW w:w="150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11,050,870</w:t>
            </w:r>
          </w:p>
        </w:tc>
        <w:tc>
          <w:tcPr>
            <w:tcW w:w="1560" w:type="dxa"/>
            <w:vAlign w:val="bottom"/>
            <w:shd w:val="clear" w:color="auto" w:fill="DBDBDB"/>
          </w:tcPr>
          <w:p>
            <w:pPr>
              <w:spacing w:after="0"/>
              <w:rPr>
                <w:sz w:val="18"/>
                <w:szCs w:val="18"/>
                <w:color w:val="auto"/>
              </w:rPr>
            </w:pPr>
          </w:p>
        </w:tc>
        <w:tc>
          <w:tcPr>
            <w:tcW w:w="140" w:type="dxa"/>
            <w:vAlign w:val="bottom"/>
            <w:shd w:val="clear" w:color="auto" w:fill="DBDBDB"/>
          </w:tcPr>
          <w:p>
            <w:pPr>
              <w:jc w:val="right"/>
              <w:spacing w:after="0"/>
              <w:rPr>
                <w:sz w:val="20"/>
                <w:szCs w:val="20"/>
                <w:color w:val="auto"/>
              </w:rPr>
            </w:pPr>
            <w:r>
              <w:rPr>
                <w:rFonts w:ascii="Arial" w:cs="Arial" w:eastAsia="Arial" w:hAnsi="Arial"/>
                <w:sz w:val="16"/>
                <w:szCs w:val="16"/>
                <w:color w:val="auto"/>
                <w:w w:val="89"/>
              </w:rPr>
              <w:t>0</w:t>
            </w:r>
          </w:p>
        </w:tc>
        <w:tc>
          <w:tcPr>
            <w:tcW w:w="1800" w:type="dxa"/>
            <w:vAlign w:val="bottom"/>
            <w:shd w:val="clear" w:color="auto" w:fill="DBDBDB"/>
          </w:tcPr>
          <w:p>
            <w:pPr>
              <w:jc w:val="right"/>
              <w:ind w:right="20"/>
              <w:spacing w:after="0"/>
              <w:rPr>
                <w:sz w:val="20"/>
                <w:szCs w:val="20"/>
                <w:color w:val="auto"/>
              </w:rPr>
            </w:pPr>
            <w:r>
              <w:rPr>
                <w:rFonts w:ascii="Arial" w:cs="Arial" w:eastAsia="Arial" w:hAnsi="Arial"/>
                <w:sz w:val="16"/>
                <w:szCs w:val="16"/>
                <w:color w:val="auto"/>
              </w:rPr>
              <w:t>0</w:t>
            </w:r>
          </w:p>
        </w:tc>
        <w:tc>
          <w:tcPr>
            <w:tcW w:w="148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14,493,119</w:t>
            </w:r>
          </w:p>
        </w:tc>
        <w:tc>
          <w:tcPr>
            <w:tcW w:w="0" w:type="dxa"/>
            <w:vAlign w:val="bottom"/>
          </w:tcPr>
          <w:p>
            <w:pPr>
              <w:spacing w:after="0"/>
              <w:rPr>
                <w:sz w:val="1"/>
                <w:szCs w:val="1"/>
                <w:color w:val="auto"/>
              </w:rPr>
            </w:pPr>
          </w:p>
        </w:tc>
      </w:tr>
      <w:tr>
        <w:trPr>
          <w:trHeight w:val="29"/>
        </w:trPr>
        <w:tc>
          <w:tcPr>
            <w:tcW w:w="900" w:type="dxa"/>
            <w:vAlign w:val="bottom"/>
            <w:shd w:val="clear" w:color="auto" w:fill="DBDBDB"/>
          </w:tcPr>
          <w:p>
            <w:pPr>
              <w:spacing w:after="0"/>
              <w:rPr>
                <w:sz w:val="2"/>
                <w:szCs w:val="2"/>
                <w:color w:val="auto"/>
              </w:rPr>
            </w:pPr>
          </w:p>
        </w:tc>
        <w:tc>
          <w:tcPr>
            <w:tcW w:w="1660" w:type="dxa"/>
            <w:vAlign w:val="bottom"/>
            <w:shd w:val="clear" w:color="auto" w:fill="DBDBDB"/>
          </w:tcPr>
          <w:p>
            <w:pPr>
              <w:spacing w:after="0"/>
              <w:rPr>
                <w:sz w:val="2"/>
                <w:szCs w:val="2"/>
                <w:color w:val="auto"/>
              </w:rPr>
            </w:pPr>
          </w:p>
        </w:tc>
        <w:tc>
          <w:tcPr>
            <w:tcW w:w="1820" w:type="dxa"/>
            <w:vAlign w:val="bottom"/>
            <w:shd w:val="clear" w:color="auto" w:fill="DBDBDB"/>
          </w:tcPr>
          <w:p>
            <w:pPr>
              <w:spacing w:after="0"/>
              <w:rPr>
                <w:sz w:val="2"/>
                <w:szCs w:val="2"/>
                <w:color w:val="auto"/>
              </w:rPr>
            </w:pPr>
          </w:p>
        </w:tc>
        <w:tc>
          <w:tcPr>
            <w:tcW w:w="1500" w:type="dxa"/>
            <w:vAlign w:val="bottom"/>
            <w:shd w:val="clear" w:color="auto" w:fill="DBDBDB"/>
          </w:tcPr>
          <w:p>
            <w:pPr>
              <w:spacing w:after="0"/>
              <w:rPr>
                <w:sz w:val="2"/>
                <w:szCs w:val="2"/>
                <w:color w:val="auto"/>
              </w:rPr>
            </w:pPr>
          </w:p>
        </w:tc>
        <w:tc>
          <w:tcPr>
            <w:tcW w:w="1560" w:type="dxa"/>
            <w:vAlign w:val="bottom"/>
            <w:shd w:val="clear" w:color="auto" w:fill="DBDBDB"/>
          </w:tcPr>
          <w:p>
            <w:pPr>
              <w:spacing w:after="0"/>
              <w:rPr>
                <w:sz w:val="2"/>
                <w:szCs w:val="2"/>
                <w:color w:val="auto"/>
              </w:rPr>
            </w:pPr>
          </w:p>
        </w:tc>
        <w:tc>
          <w:tcPr>
            <w:tcW w:w="140" w:type="dxa"/>
            <w:vAlign w:val="bottom"/>
            <w:shd w:val="clear" w:color="auto" w:fill="DBDBDB"/>
          </w:tcPr>
          <w:p>
            <w:pPr>
              <w:spacing w:after="0"/>
              <w:rPr>
                <w:sz w:val="2"/>
                <w:szCs w:val="2"/>
                <w:color w:val="auto"/>
              </w:rPr>
            </w:pPr>
          </w:p>
        </w:tc>
        <w:tc>
          <w:tcPr>
            <w:tcW w:w="1800" w:type="dxa"/>
            <w:vAlign w:val="bottom"/>
            <w:shd w:val="clear" w:color="auto" w:fill="DBDBDB"/>
          </w:tcPr>
          <w:p>
            <w:pPr>
              <w:spacing w:after="0"/>
              <w:rPr>
                <w:sz w:val="2"/>
                <w:szCs w:val="2"/>
                <w:color w:val="auto"/>
              </w:rPr>
            </w:pPr>
          </w:p>
        </w:tc>
        <w:tc>
          <w:tcPr>
            <w:tcW w:w="1480" w:type="dxa"/>
            <w:vAlign w:val="bottom"/>
            <w:shd w:val="clear" w:color="auto" w:fill="DBDBDB"/>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63"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color w:val="auto"/>
        </w:rPr>
        <w:t>1.</w:t>
      </w:r>
      <w:r>
        <w:rPr>
          <w:sz w:val="20"/>
          <w:szCs w:val="20"/>
          <w:color w:val="auto"/>
        </w:rPr>
        <w:tab/>
      </w:r>
      <w:r>
        <w:rPr>
          <w:rFonts w:ascii="Arial" w:cs="Arial" w:eastAsia="Arial" w:hAnsi="Arial"/>
          <w:sz w:val="17"/>
          <w:szCs w:val="17"/>
          <w:color w:val="auto"/>
        </w:rPr>
        <w:t>Represents the year-over-year change in the fair value of equity awards provided to the PEO as summarized below.</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60" w:type="dxa"/>
            <w:vAlign w:val="bottom"/>
            <w:shd w:val="clear" w:color="auto" w:fill="BF2115"/>
          </w:tcPr>
          <w:p>
            <w:pPr>
              <w:spacing w:after="0"/>
              <w:rPr>
                <w:sz w:val="16"/>
                <w:szCs w:val="16"/>
                <w:color w:val="auto"/>
              </w:rPr>
            </w:pPr>
          </w:p>
        </w:tc>
        <w:tc>
          <w:tcPr>
            <w:tcW w:w="1260" w:type="dxa"/>
            <w:vAlign w:val="bottom"/>
            <w:shd w:val="clear" w:color="auto" w:fill="BF2115"/>
          </w:tcPr>
          <w:p>
            <w:pPr>
              <w:spacing w:after="0"/>
              <w:rPr>
                <w:sz w:val="16"/>
                <w:szCs w:val="16"/>
                <w:color w:val="auto"/>
              </w:rPr>
            </w:pPr>
          </w:p>
        </w:tc>
        <w:tc>
          <w:tcPr>
            <w:tcW w:w="1420" w:type="dxa"/>
            <w:vAlign w:val="bottom"/>
            <w:shd w:val="clear" w:color="auto" w:fill="BF2115"/>
          </w:tcPr>
          <w:p>
            <w:pPr>
              <w:jc w:val="center"/>
              <w:spacing w:after="0"/>
              <w:rPr>
                <w:sz w:val="20"/>
                <w:szCs w:val="20"/>
                <w:color w:val="auto"/>
              </w:rPr>
            </w:pPr>
            <w:r>
              <w:rPr>
                <w:rFonts w:ascii="Arial" w:cs="Arial" w:eastAsia="Arial" w:hAnsi="Arial"/>
                <w:sz w:val="16"/>
                <w:szCs w:val="16"/>
                <w:b w:val="1"/>
                <w:bCs w:val="1"/>
                <w:color w:val="FFFFFF"/>
                <w:w w:val="98"/>
              </w:rPr>
              <w:t>Year over Year</w:t>
            </w:r>
          </w:p>
        </w:tc>
        <w:tc>
          <w:tcPr>
            <w:tcW w:w="1260" w:type="dxa"/>
            <w:vAlign w:val="bottom"/>
            <w:shd w:val="clear" w:color="auto" w:fill="BF2115"/>
          </w:tcPr>
          <w:p>
            <w:pPr>
              <w:spacing w:after="0"/>
              <w:rPr>
                <w:sz w:val="16"/>
                <w:szCs w:val="16"/>
                <w:color w:val="auto"/>
              </w:rPr>
            </w:pPr>
          </w:p>
        </w:tc>
        <w:tc>
          <w:tcPr>
            <w:tcW w:w="1640" w:type="dxa"/>
            <w:vAlign w:val="bottom"/>
            <w:shd w:val="clear" w:color="auto" w:fill="BF2115"/>
          </w:tcPr>
          <w:p>
            <w:pPr>
              <w:spacing w:after="0"/>
              <w:rPr>
                <w:sz w:val="16"/>
                <w:szCs w:val="16"/>
                <w:color w:val="auto"/>
              </w:rPr>
            </w:pPr>
          </w:p>
        </w:tc>
        <w:tc>
          <w:tcPr>
            <w:tcW w:w="1520" w:type="dxa"/>
            <w:vAlign w:val="bottom"/>
            <w:shd w:val="clear" w:color="auto" w:fill="BF2115"/>
          </w:tcPr>
          <w:p>
            <w:pPr>
              <w:jc w:val="center"/>
              <w:spacing w:after="0"/>
              <w:rPr>
                <w:sz w:val="20"/>
                <w:szCs w:val="20"/>
                <w:color w:val="auto"/>
              </w:rPr>
            </w:pPr>
            <w:r>
              <w:rPr>
                <w:rFonts w:ascii="Arial" w:cs="Arial" w:eastAsia="Arial" w:hAnsi="Arial"/>
                <w:sz w:val="16"/>
                <w:szCs w:val="16"/>
                <w:b w:val="1"/>
                <w:bCs w:val="1"/>
                <w:color w:val="FFFFFF"/>
                <w:w w:val="98"/>
              </w:rPr>
              <w:t>Fair Value at the</w:t>
            </w:r>
          </w:p>
        </w:tc>
        <w:tc>
          <w:tcPr>
            <w:tcW w:w="1600" w:type="dxa"/>
            <w:vAlign w:val="bottom"/>
            <w:shd w:val="clear" w:color="auto" w:fill="BF2115"/>
          </w:tcPr>
          <w:p>
            <w:pPr>
              <w:jc w:val="center"/>
              <w:spacing w:after="0"/>
              <w:rPr>
                <w:sz w:val="20"/>
                <w:szCs w:val="20"/>
                <w:color w:val="auto"/>
              </w:rPr>
            </w:pPr>
            <w:r>
              <w:rPr>
                <w:rFonts w:ascii="Arial" w:cs="Arial" w:eastAsia="Arial" w:hAnsi="Arial"/>
                <w:sz w:val="16"/>
                <w:szCs w:val="16"/>
                <w:b w:val="1"/>
                <w:bCs w:val="1"/>
                <w:color w:val="FFFFFF"/>
              </w:rPr>
              <w:t>Value of Dividends</w:t>
            </w:r>
          </w:p>
        </w:tc>
        <w:tc>
          <w:tcPr>
            <w:tcW w:w="1400" w:type="dxa"/>
            <w:vAlign w:val="bottom"/>
            <w:shd w:val="clear" w:color="auto" w:fill="BF2115"/>
          </w:tcPr>
          <w:p>
            <w:pPr>
              <w:spacing w:after="0"/>
              <w:rPr>
                <w:sz w:val="16"/>
                <w:szCs w:val="16"/>
                <w:color w:val="auto"/>
              </w:rPr>
            </w:pPr>
          </w:p>
        </w:tc>
        <w:tc>
          <w:tcPr>
            <w:tcW w:w="0" w:type="dxa"/>
            <w:vAlign w:val="bottom"/>
          </w:tcPr>
          <w:p>
            <w:pPr>
              <w:spacing w:after="0"/>
              <w:rPr>
                <w:sz w:val="1"/>
                <w:szCs w:val="1"/>
                <w:color w:val="auto"/>
              </w:rPr>
            </w:pPr>
          </w:p>
        </w:tc>
      </w:tr>
      <w:tr>
        <w:trPr>
          <w:trHeight w:val="173"/>
        </w:trPr>
        <w:tc>
          <w:tcPr>
            <w:tcW w:w="760" w:type="dxa"/>
            <w:vAlign w:val="bottom"/>
            <w:shd w:val="clear" w:color="auto" w:fill="BF2115"/>
          </w:tcPr>
          <w:p>
            <w:pPr>
              <w:spacing w:after="0"/>
              <w:rPr>
                <w:sz w:val="15"/>
                <w:szCs w:val="15"/>
                <w:color w:val="auto"/>
              </w:rPr>
            </w:pPr>
          </w:p>
        </w:tc>
        <w:tc>
          <w:tcPr>
            <w:tcW w:w="1260" w:type="dxa"/>
            <w:vAlign w:val="bottom"/>
            <w:shd w:val="clear" w:color="auto" w:fill="BF2115"/>
          </w:tcPr>
          <w:p>
            <w:pPr>
              <w:jc w:val="center"/>
              <w:spacing w:after="0" w:line="174" w:lineRule="exact"/>
              <w:rPr>
                <w:sz w:val="20"/>
                <w:szCs w:val="20"/>
                <w:color w:val="auto"/>
              </w:rPr>
            </w:pPr>
            <w:r>
              <w:rPr>
                <w:rFonts w:ascii="Arial" w:cs="Arial" w:eastAsia="Arial" w:hAnsi="Arial"/>
                <w:sz w:val="16"/>
                <w:szCs w:val="16"/>
                <w:b w:val="1"/>
                <w:bCs w:val="1"/>
                <w:color w:val="FFFFFF"/>
                <w:w w:val="97"/>
              </w:rPr>
              <w:t>Year-End Fair</w:t>
            </w:r>
          </w:p>
        </w:tc>
        <w:tc>
          <w:tcPr>
            <w:tcW w:w="1420" w:type="dxa"/>
            <w:vAlign w:val="bottom"/>
            <w:shd w:val="clear" w:color="auto" w:fill="BF2115"/>
          </w:tcPr>
          <w:p>
            <w:pPr>
              <w:jc w:val="center"/>
              <w:spacing w:after="0" w:line="174" w:lineRule="exact"/>
              <w:rPr>
                <w:sz w:val="20"/>
                <w:szCs w:val="20"/>
                <w:color w:val="auto"/>
              </w:rPr>
            </w:pPr>
            <w:r>
              <w:rPr>
                <w:rFonts w:ascii="Arial" w:cs="Arial" w:eastAsia="Arial" w:hAnsi="Arial"/>
                <w:sz w:val="16"/>
                <w:szCs w:val="16"/>
                <w:b w:val="1"/>
                <w:bCs w:val="1"/>
                <w:color w:val="FFFFFF"/>
                <w:w w:val="98"/>
              </w:rPr>
              <w:t>Change in Fair</w:t>
            </w:r>
          </w:p>
        </w:tc>
        <w:tc>
          <w:tcPr>
            <w:tcW w:w="1260" w:type="dxa"/>
            <w:vAlign w:val="bottom"/>
            <w:shd w:val="clear" w:color="auto" w:fill="BF2115"/>
          </w:tcPr>
          <w:p>
            <w:pPr>
              <w:spacing w:after="0"/>
              <w:rPr>
                <w:sz w:val="15"/>
                <w:szCs w:val="15"/>
                <w:color w:val="auto"/>
              </w:rPr>
            </w:pPr>
          </w:p>
        </w:tc>
        <w:tc>
          <w:tcPr>
            <w:tcW w:w="1640" w:type="dxa"/>
            <w:vAlign w:val="bottom"/>
            <w:shd w:val="clear" w:color="auto" w:fill="BF2115"/>
          </w:tcPr>
          <w:p>
            <w:pPr>
              <w:jc w:val="center"/>
              <w:spacing w:after="0" w:line="174" w:lineRule="exact"/>
              <w:rPr>
                <w:sz w:val="20"/>
                <w:szCs w:val="20"/>
                <w:color w:val="auto"/>
              </w:rPr>
            </w:pPr>
            <w:r>
              <w:rPr>
                <w:rFonts w:ascii="Arial" w:cs="Arial" w:eastAsia="Arial" w:hAnsi="Arial"/>
                <w:sz w:val="16"/>
                <w:szCs w:val="16"/>
                <w:b w:val="1"/>
                <w:bCs w:val="1"/>
                <w:color w:val="FFFFFF"/>
                <w:w w:val="98"/>
              </w:rPr>
              <w:t>Year over Year</w:t>
            </w:r>
          </w:p>
        </w:tc>
        <w:tc>
          <w:tcPr>
            <w:tcW w:w="1520" w:type="dxa"/>
            <w:vAlign w:val="bottom"/>
            <w:shd w:val="clear" w:color="auto" w:fill="BF2115"/>
          </w:tcPr>
          <w:p>
            <w:pPr>
              <w:jc w:val="center"/>
              <w:spacing w:after="0" w:line="174" w:lineRule="exact"/>
              <w:rPr>
                <w:sz w:val="20"/>
                <w:szCs w:val="20"/>
                <w:color w:val="auto"/>
              </w:rPr>
            </w:pPr>
            <w:r>
              <w:rPr>
                <w:rFonts w:ascii="Arial" w:cs="Arial" w:eastAsia="Arial" w:hAnsi="Arial"/>
                <w:sz w:val="16"/>
                <w:szCs w:val="16"/>
                <w:b w:val="1"/>
                <w:bCs w:val="1"/>
                <w:color w:val="FFFFFF"/>
                <w:w w:val="99"/>
              </w:rPr>
              <w:t>End of the Prior</w:t>
            </w:r>
          </w:p>
        </w:tc>
        <w:tc>
          <w:tcPr>
            <w:tcW w:w="1600" w:type="dxa"/>
            <w:vAlign w:val="bottom"/>
            <w:shd w:val="clear" w:color="auto" w:fill="BF2115"/>
          </w:tcPr>
          <w:p>
            <w:pPr>
              <w:jc w:val="center"/>
              <w:spacing w:after="0" w:line="174" w:lineRule="exact"/>
              <w:rPr>
                <w:sz w:val="20"/>
                <w:szCs w:val="20"/>
                <w:color w:val="auto"/>
              </w:rPr>
            </w:pPr>
            <w:r>
              <w:rPr>
                <w:rFonts w:ascii="Arial" w:cs="Arial" w:eastAsia="Arial" w:hAnsi="Arial"/>
                <w:sz w:val="16"/>
                <w:szCs w:val="16"/>
                <w:b w:val="1"/>
                <w:bCs w:val="1"/>
                <w:color w:val="FFFFFF"/>
                <w:w w:val="98"/>
              </w:rPr>
              <w:t>or other Earnings</w:t>
            </w:r>
          </w:p>
        </w:tc>
        <w:tc>
          <w:tcPr>
            <w:tcW w:w="1400" w:type="dxa"/>
            <w:vAlign w:val="bottom"/>
            <w:shd w:val="clear" w:color="auto" w:fill="BF2115"/>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760" w:type="dxa"/>
            <w:vAlign w:val="bottom"/>
            <w:shd w:val="clear" w:color="auto" w:fill="BF2115"/>
          </w:tcPr>
          <w:p>
            <w:pPr>
              <w:spacing w:after="0"/>
              <w:rPr>
                <w:sz w:val="15"/>
                <w:szCs w:val="15"/>
                <w:color w:val="auto"/>
              </w:rPr>
            </w:pPr>
          </w:p>
        </w:tc>
        <w:tc>
          <w:tcPr>
            <w:tcW w:w="1260" w:type="dxa"/>
            <w:vAlign w:val="bottom"/>
            <w:shd w:val="clear" w:color="auto" w:fill="BF2115"/>
          </w:tcPr>
          <w:p>
            <w:pPr>
              <w:jc w:val="center"/>
              <w:spacing w:after="0" w:line="175" w:lineRule="exact"/>
              <w:rPr>
                <w:sz w:val="20"/>
                <w:szCs w:val="20"/>
                <w:color w:val="auto"/>
              </w:rPr>
            </w:pPr>
            <w:r>
              <w:rPr>
                <w:rFonts w:ascii="Arial" w:cs="Arial" w:eastAsia="Arial" w:hAnsi="Arial"/>
                <w:sz w:val="16"/>
                <w:szCs w:val="16"/>
                <w:b w:val="1"/>
                <w:bCs w:val="1"/>
                <w:color w:val="FFFFFF"/>
                <w:w w:val="99"/>
              </w:rPr>
              <w:t>Value of</w:t>
            </w:r>
          </w:p>
        </w:tc>
        <w:tc>
          <w:tcPr>
            <w:tcW w:w="1420" w:type="dxa"/>
            <w:vAlign w:val="bottom"/>
            <w:shd w:val="clear" w:color="auto" w:fill="BF2115"/>
          </w:tcPr>
          <w:p>
            <w:pPr>
              <w:jc w:val="center"/>
              <w:spacing w:after="0" w:line="175" w:lineRule="exact"/>
              <w:rPr>
                <w:sz w:val="20"/>
                <w:szCs w:val="20"/>
                <w:color w:val="auto"/>
              </w:rPr>
            </w:pPr>
            <w:r>
              <w:rPr>
                <w:rFonts w:ascii="Arial" w:cs="Arial" w:eastAsia="Arial" w:hAnsi="Arial"/>
                <w:sz w:val="16"/>
                <w:szCs w:val="16"/>
                <w:b w:val="1"/>
                <w:bCs w:val="1"/>
                <w:color w:val="FFFFFF"/>
                <w:w w:val="99"/>
              </w:rPr>
              <w:t>Value of</w:t>
            </w:r>
          </w:p>
        </w:tc>
        <w:tc>
          <w:tcPr>
            <w:tcW w:w="2900" w:type="dxa"/>
            <w:vAlign w:val="bottom"/>
            <w:gridSpan w:val="2"/>
            <w:shd w:val="clear" w:color="auto" w:fill="BF2115"/>
          </w:tcPr>
          <w:p>
            <w:pPr>
              <w:jc w:val="right"/>
              <w:spacing w:after="0" w:line="175" w:lineRule="exact"/>
              <w:rPr>
                <w:sz w:val="20"/>
                <w:szCs w:val="20"/>
                <w:color w:val="auto"/>
              </w:rPr>
            </w:pPr>
            <w:r>
              <w:rPr>
                <w:rFonts w:ascii="Arial" w:cs="Arial" w:eastAsia="Arial" w:hAnsi="Arial"/>
                <w:sz w:val="16"/>
                <w:szCs w:val="16"/>
                <w:b w:val="1"/>
                <w:bCs w:val="1"/>
                <w:color w:val="FFFFFF"/>
              </w:rPr>
              <w:t>Fair Value as of Change in Fair Value</w:t>
            </w:r>
          </w:p>
        </w:tc>
        <w:tc>
          <w:tcPr>
            <w:tcW w:w="1520" w:type="dxa"/>
            <w:vAlign w:val="bottom"/>
            <w:shd w:val="clear" w:color="auto" w:fill="BF2115"/>
          </w:tcPr>
          <w:p>
            <w:pPr>
              <w:jc w:val="center"/>
              <w:spacing w:after="0" w:line="175" w:lineRule="exact"/>
              <w:rPr>
                <w:sz w:val="20"/>
                <w:szCs w:val="20"/>
                <w:color w:val="auto"/>
              </w:rPr>
            </w:pPr>
            <w:r>
              <w:rPr>
                <w:rFonts w:ascii="Arial" w:cs="Arial" w:eastAsia="Arial" w:hAnsi="Arial"/>
                <w:sz w:val="16"/>
                <w:szCs w:val="16"/>
                <w:b w:val="1"/>
                <w:bCs w:val="1"/>
                <w:color w:val="FFFFFF"/>
                <w:w w:val="98"/>
              </w:rPr>
              <w:t>Year of Equity</w:t>
            </w:r>
          </w:p>
        </w:tc>
        <w:tc>
          <w:tcPr>
            <w:tcW w:w="1600" w:type="dxa"/>
            <w:vAlign w:val="bottom"/>
            <w:shd w:val="clear" w:color="auto" w:fill="BF2115"/>
          </w:tcPr>
          <w:p>
            <w:pPr>
              <w:jc w:val="center"/>
              <w:spacing w:after="0" w:line="175" w:lineRule="exact"/>
              <w:rPr>
                <w:sz w:val="20"/>
                <w:szCs w:val="20"/>
                <w:color w:val="auto"/>
              </w:rPr>
            </w:pPr>
            <w:r>
              <w:rPr>
                <w:rFonts w:ascii="Arial" w:cs="Arial" w:eastAsia="Arial" w:hAnsi="Arial"/>
                <w:sz w:val="16"/>
                <w:szCs w:val="16"/>
                <w:b w:val="1"/>
                <w:bCs w:val="1"/>
                <w:color w:val="FFFFFF"/>
              </w:rPr>
              <w:t>Paid on Equity</w:t>
            </w:r>
          </w:p>
        </w:tc>
        <w:tc>
          <w:tcPr>
            <w:tcW w:w="1400" w:type="dxa"/>
            <w:vAlign w:val="bottom"/>
            <w:shd w:val="clear" w:color="auto" w:fill="BF2115"/>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760" w:type="dxa"/>
            <w:vAlign w:val="bottom"/>
            <w:shd w:val="clear" w:color="auto" w:fill="BF2115"/>
          </w:tcPr>
          <w:p>
            <w:pPr>
              <w:spacing w:after="0"/>
              <w:rPr>
                <w:sz w:val="15"/>
                <w:szCs w:val="15"/>
                <w:color w:val="auto"/>
              </w:rPr>
            </w:pPr>
          </w:p>
        </w:tc>
        <w:tc>
          <w:tcPr>
            <w:tcW w:w="1260" w:type="dxa"/>
            <w:vAlign w:val="bottom"/>
            <w:shd w:val="clear" w:color="auto" w:fill="BF2115"/>
          </w:tcPr>
          <w:p>
            <w:pPr>
              <w:jc w:val="center"/>
              <w:spacing w:after="0" w:line="174" w:lineRule="exact"/>
              <w:rPr>
                <w:sz w:val="20"/>
                <w:szCs w:val="20"/>
                <w:color w:val="auto"/>
              </w:rPr>
            </w:pPr>
            <w:r>
              <w:rPr>
                <w:rFonts w:ascii="Arial" w:cs="Arial" w:eastAsia="Arial" w:hAnsi="Arial"/>
                <w:sz w:val="16"/>
                <w:szCs w:val="16"/>
                <w:b w:val="1"/>
                <w:bCs w:val="1"/>
                <w:color w:val="FFFFFF"/>
                <w:w w:val="99"/>
              </w:rPr>
              <w:t>Unvested</w:t>
            </w:r>
          </w:p>
        </w:tc>
        <w:tc>
          <w:tcPr>
            <w:tcW w:w="1420" w:type="dxa"/>
            <w:vAlign w:val="bottom"/>
            <w:shd w:val="clear" w:color="auto" w:fill="BF2115"/>
          </w:tcPr>
          <w:p>
            <w:pPr>
              <w:jc w:val="center"/>
              <w:spacing w:after="0" w:line="174" w:lineRule="exact"/>
              <w:rPr>
                <w:sz w:val="20"/>
                <w:szCs w:val="20"/>
                <w:color w:val="auto"/>
              </w:rPr>
            </w:pPr>
            <w:r>
              <w:rPr>
                <w:rFonts w:ascii="Arial" w:cs="Arial" w:eastAsia="Arial" w:hAnsi="Arial"/>
                <w:sz w:val="16"/>
                <w:szCs w:val="16"/>
                <w:b w:val="1"/>
                <w:bCs w:val="1"/>
                <w:color w:val="FFFFFF"/>
                <w:w w:val="99"/>
              </w:rPr>
              <w:t>Outstanding</w:t>
            </w:r>
          </w:p>
        </w:tc>
        <w:tc>
          <w:tcPr>
            <w:tcW w:w="1260" w:type="dxa"/>
            <w:vAlign w:val="bottom"/>
            <w:shd w:val="clear" w:color="auto" w:fill="BF2115"/>
          </w:tcPr>
          <w:p>
            <w:pPr>
              <w:jc w:val="center"/>
              <w:spacing w:after="0" w:line="174" w:lineRule="exact"/>
              <w:rPr>
                <w:sz w:val="20"/>
                <w:szCs w:val="20"/>
                <w:color w:val="auto"/>
              </w:rPr>
            </w:pPr>
            <w:r>
              <w:rPr>
                <w:rFonts w:ascii="Arial" w:cs="Arial" w:eastAsia="Arial" w:hAnsi="Arial"/>
                <w:sz w:val="16"/>
                <w:szCs w:val="16"/>
                <w:b w:val="1"/>
                <w:bCs w:val="1"/>
                <w:color w:val="FFFFFF"/>
                <w:w w:val="97"/>
              </w:rPr>
              <w:t>Vesting Date of</w:t>
            </w:r>
          </w:p>
        </w:tc>
        <w:tc>
          <w:tcPr>
            <w:tcW w:w="1640" w:type="dxa"/>
            <w:vAlign w:val="bottom"/>
            <w:shd w:val="clear" w:color="auto" w:fill="BF2115"/>
          </w:tcPr>
          <w:p>
            <w:pPr>
              <w:jc w:val="center"/>
              <w:spacing w:after="0" w:line="174" w:lineRule="exact"/>
              <w:rPr>
                <w:sz w:val="20"/>
                <w:szCs w:val="20"/>
                <w:color w:val="auto"/>
              </w:rPr>
            </w:pPr>
            <w:r>
              <w:rPr>
                <w:rFonts w:ascii="Arial" w:cs="Arial" w:eastAsia="Arial" w:hAnsi="Arial"/>
                <w:sz w:val="16"/>
                <w:szCs w:val="16"/>
                <w:b w:val="1"/>
                <w:bCs w:val="1"/>
                <w:color w:val="FFFFFF"/>
                <w:w w:val="99"/>
              </w:rPr>
              <w:t>of Equity Awards</w:t>
            </w:r>
          </w:p>
        </w:tc>
        <w:tc>
          <w:tcPr>
            <w:tcW w:w="1520" w:type="dxa"/>
            <w:vAlign w:val="bottom"/>
            <w:shd w:val="clear" w:color="auto" w:fill="BF2115"/>
          </w:tcPr>
          <w:p>
            <w:pPr>
              <w:jc w:val="center"/>
              <w:spacing w:after="0" w:line="174" w:lineRule="exact"/>
              <w:rPr>
                <w:sz w:val="20"/>
                <w:szCs w:val="20"/>
                <w:color w:val="auto"/>
              </w:rPr>
            </w:pPr>
            <w:r>
              <w:rPr>
                <w:rFonts w:ascii="Arial" w:cs="Arial" w:eastAsia="Arial" w:hAnsi="Arial"/>
                <w:sz w:val="16"/>
                <w:szCs w:val="16"/>
                <w:b w:val="1"/>
                <w:bCs w:val="1"/>
                <w:color w:val="FFFFFF"/>
                <w:w w:val="99"/>
              </w:rPr>
              <w:t>Awards that Failed</w:t>
            </w:r>
          </w:p>
        </w:tc>
        <w:tc>
          <w:tcPr>
            <w:tcW w:w="1600" w:type="dxa"/>
            <w:vAlign w:val="bottom"/>
            <w:shd w:val="clear" w:color="auto" w:fill="BF2115"/>
          </w:tcPr>
          <w:p>
            <w:pPr>
              <w:jc w:val="center"/>
              <w:spacing w:after="0" w:line="174" w:lineRule="exact"/>
              <w:rPr>
                <w:sz w:val="20"/>
                <w:szCs w:val="20"/>
                <w:color w:val="auto"/>
              </w:rPr>
            </w:pPr>
            <w:r>
              <w:rPr>
                <w:rFonts w:ascii="Arial" w:cs="Arial" w:eastAsia="Arial" w:hAnsi="Arial"/>
                <w:sz w:val="16"/>
                <w:szCs w:val="16"/>
                <w:b w:val="1"/>
                <w:bCs w:val="1"/>
                <w:color w:val="FFFFFF"/>
              </w:rPr>
              <w:t>Awards not</w:t>
            </w:r>
          </w:p>
        </w:tc>
        <w:tc>
          <w:tcPr>
            <w:tcW w:w="1400" w:type="dxa"/>
            <w:vAlign w:val="bottom"/>
            <w:shd w:val="clear" w:color="auto" w:fill="BF2115"/>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760" w:type="dxa"/>
            <w:vAlign w:val="bottom"/>
            <w:shd w:val="clear" w:color="auto" w:fill="BF2115"/>
          </w:tcPr>
          <w:p>
            <w:pPr>
              <w:spacing w:after="0"/>
              <w:rPr>
                <w:sz w:val="15"/>
                <w:szCs w:val="15"/>
                <w:color w:val="auto"/>
              </w:rPr>
            </w:pPr>
          </w:p>
        </w:tc>
        <w:tc>
          <w:tcPr>
            <w:tcW w:w="1260" w:type="dxa"/>
            <w:vAlign w:val="bottom"/>
            <w:shd w:val="clear" w:color="auto" w:fill="BF2115"/>
          </w:tcPr>
          <w:p>
            <w:pPr>
              <w:jc w:val="center"/>
              <w:spacing w:after="0" w:line="174" w:lineRule="exact"/>
              <w:rPr>
                <w:sz w:val="20"/>
                <w:szCs w:val="20"/>
                <w:color w:val="auto"/>
              </w:rPr>
            </w:pPr>
            <w:r>
              <w:rPr>
                <w:rFonts w:ascii="Arial" w:cs="Arial" w:eastAsia="Arial" w:hAnsi="Arial"/>
                <w:sz w:val="16"/>
                <w:szCs w:val="16"/>
                <w:b w:val="1"/>
                <w:bCs w:val="1"/>
                <w:color w:val="FFFFFF"/>
              </w:rPr>
              <w:t>Equity</w:t>
            </w:r>
          </w:p>
        </w:tc>
        <w:tc>
          <w:tcPr>
            <w:tcW w:w="1420" w:type="dxa"/>
            <w:vAlign w:val="bottom"/>
            <w:shd w:val="clear" w:color="auto" w:fill="BF2115"/>
          </w:tcPr>
          <w:p>
            <w:pPr>
              <w:jc w:val="center"/>
              <w:spacing w:after="0" w:line="174" w:lineRule="exact"/>
              <w:rPr>
                <w:sz w:val="20"/>
                <w:szCs w:val="20"/>
                <w:color w:val="auto"/>
              </w:rPr>
            </w:pPr>
            <w:r>
              <w:rPr>
                <w:rFonts w:ascii="Arial" w:cs="Arial" w:eastAsia="Arial" w:hAnsi="Arial"/>
                <w:sz w:val="16"/>
                <w:szCs w:val="16"/>
                <w:b w:val="1"/>
                <w:bCs w:val="1"/>
                <w:color w:val="FFFFFF"/>
              </w:rPr>
              <w:t>Unvested Equity</w:t>
            </w:r>
          </w:p>
        </w:tc>
        <w:tc>
          <w:tcPr>
            <w:tcW w:w="1260" w:type="dxa"/>
            <w:vAlign w:val="bottom"/>
            <w:shd w:val="clear" w:color="auto" w:fill="BF2115"/>
          </w:tcPr>
          <w:p>
            <w:pPr>
              <w:jc w:val="center"/>
              <w:spacing w:after="0" w:line="174" w:lineRule="exact"/>
              <w:rPr>
                <w:sz w:val="20"/>
                <w:szCs w:val="20"/>
                <w:color w:val="auto"/>
              </w:rPr>
            </w:pPr>
            <w:r>
              <w:rPr>
                <w:rFonts w:ascii="Arial" w:cs="Arial" w:eastAsia="Arial" w:hAnsi="Arial"/>
                <w:sz w:val="16"/>
                <w:szCs w:val="16"/>
                <w:b w:val="1"/>
                <w:bCs w:val="1"/>
                <w:color w:val="FFFFFF"/>
                <w:w w:val="98"/>
              </w:rPr>
              <w:t>Equity Awards</w:t>
            </w:r>
          </w:p>
        </w:tc>
        <w:tc>
          <w:tcPr>
            <w:tcW w:w="1640" w:type="dxa"/>
            <w:vAlign w:val="bottom"/>
            <w:shd w:val="clear" w:color="auto" w:fill="BF2115"/>
          </w:tcPr>
          <w:p>
            <w:pPr>
              <w:jc w:val="center"/>
              <w:spacing w:after="0" w:line="174" w:lineRule="exact"/>
              <w:rPr>
                <w:sz w:val="20"/>
                <w:szCs w:val="20"/>
                <w:color w:val="auto"/>
              </w:rPr>
            </w:pPr>
            <w:r>
              <w:rPr>
                <w:rFonts w:ascii="Arial" w:cs="Arial" w:eastAsia="Arial" w:hAnsi="Arial"/>
                <w:sz w:val="16"/>
                <w:szCs w:val="16"/>
                <w:b w:val="1"/>
                <w:bCs w:val="1"/>
                <w:color w:val="FFFFFF"/>
              </w:rPr>
              <w:t>Granted in Prior</w:t>
            </w:r>
          </w:p>
        </w:tc>
        <w:tc>
          <w:tcPr>
            <w:tcW w:w="1520" w:type="dxa"/>
            <w:vAlign w:val="bottom"/>
            <w:shd w:val="clear" w:color="auto" w:fill="BF2115"/>
          </w:tcPr>
          <w:p>
            <w:pPr>
              <w:jc w:val="center"/>
              <w:spacing w:after="0" w:line="174" w:lineRule="exact"/>
              <w:rPr>
                <w:sz w:val="20"/>
                <w:szCs w:val="20"/>
                <w:color w:val="auto"/>
              </w:rPr>
            </w:pPr>
            <w:r>
              <w:rPr>
                <w:rFonts w:ascii="Arial" w:cs="Arial" w:eastAsia="Arial" w:hAnsi="Arial"/>
                <w:sz w:val="16"/>
                <w:szCs w:val="16"/>
                <w:b w:val="1"/>
                <w:bCs w:val="1"/>
                <w:color w:val="FFFFFF"/>
                <w:w w:val="99"/>
              </w:rPr>
              <w:t>to Meet Vesting</w:t>
            </w:r>
          </w:p>
        </w:tc>
        <w:tc>
          <w:tcPr>
            <w:tcW w:w="1600" w:type="dxa"/>
            <w:vAlign w:val="bottom"/>
            <w:shd w:val="clear" w:color="auto" w:fill="BF2115"/>
          </w:tcPr>
          <w:p>
            <w:pPr>
              <w:jc w:val="center"/>
              <w:spacing w:after="0" w:line="174" w:lineRule="exact"/>
              <w:rPr>
                <w:sz w:val="20"/>
                <w:szCs w:val="20"/>
                <w:color w:val="auto"/>
              </w:rPr>
            </w:pPr>
            <w:r>
              <w:rPr>
                <w:rFonts w:ascii="Arial" w:cs="Arial" w:eastAsia="Arial" w:hAnsi="Arial"/>
                <w:sz w:val="16"/>
                <w:szCs w:val="16"/>
                <w:b w:val="1"/>
                <w:bCs w:val="1"/>
                <w:color w:val="FFFFFF"/>
                <w:w w:val="98"/>
              </w:rPr>
              <w:t>Otherwise</w:t>
            </w:r>
          </w:p>
        </w:tc>
        <w:tc>
          <w:tcPr>
            <w:tcW w:w="1400" w:type="dxa"/>
            <w:vAlign w:val="bottom"/>
            <w:vMerge w:val="restart"/>
            <w:shd w:val="clear" w:color="auto" w:fill="BF2115"/>
          </w:tcPr>
          <w:p>
            <w:pPr>
              <w:jc w:val="center"/>
              <w:spacing w:after="0"/>
              <w:rPr>
                <w:sz w:val="20"/>
                <w:szCs w:val="20"/>
                <w:color w:val="auto"/>
              </w:rPr>
            </w:pPr>
            <w:r>
              <w:rPr>
                <w:rFonts w:ascii="Arial" w:cs="Arial" w:eastAsia="Arial" w:hAnsi="Arial"/>
                <w:sz w:val="16"/>
                <w:szCs w:val="16"/>
                <w:b w:val="1"/>
                <w:bCs w:val="1"/>
                <w:color w:val="FFFFFF"/>
                <w:w w:val="98"/>
              </w:rPr>
              <w:t>Total Equity</w:t>
            </w:r>
          </w:p>
        </w:tc>
        <w:tc>
          <w:tcPr>
            <w:tcW w:w="0" w:type="dxa"/>
            <w:vAlign w:val="bottom"/>
          </w:tcPr>
          <w:p>
            <w:pPr>
              <w:spacing w:after="0"/>
              <w:rPr>
                <w:sz w:val="1"/>
                <w:szCs w:val="1"/>
                <w:color w:val="auto"/>
              </w:rPr>
            </w:pPr>
          </w:p>
        </w:tc>
      </w:tr>
      <w:tr>
        <w:trPr>
          <w:trHeight w:val="186"/>
        </w:trPr>
        <w:tc>
          <w:tcPr>
            <w:tcW w:w="760" w:type="dxa"/>
            <w:vAlign w:val="bottom"/>
            <w:shd w:val="clear" w:color="auto" w:fill="BF2115"/>
          </w:tcPr>
          <w:p>
            <w:pPr>
              <w:spacing w:after="0"/>
              <w:rPr>
                <w:sz w:val="16"/>
                <w:szCs w:val="16"/>
                <w:color w:val="auto"/>
              </w:rPr>
            </w:pPr>
          </w:p>
        </w:tc>
        <w:tc>
          <w:tcPr>
            <w:tcW w:w="1260" w:type="dxa"/>
            <w:vAlign w:val="bottom"/>
            <w:shd w:val="clear" w:color="auto" w:fill="BF2115"/>
          </w:tcPr>
          <w:p>
            <w:pPr>
              <w:jc w:val="center"/>
              <w:spacing w:after="0"/>
              <w:rPr>
                <w:sz w:val="20"/>
                <w:szCs w:val="20"/>
                <w:color w:val="auto"/>
              </w:rPr>
            </w:pPr>
            <w:r>
              <w:rPr>
                <w:rFonts w:ascii="Arial" w:cs="Arial" w:eastAsia="Arial" w:hAnsi="Arial"/>
                <w:sz w:val="16"/>
                <w:szCs w:val="16"/>
                <w:b w:val="1"/>
                <w:bCs w:val="1"/>
                <w:color w:val="FFFFFF"/>
              </w:rPr>
              <w:t>Awards</w:t>
            </w:r>
          </w:p>
        </w:tc>
        <w:tc>
          <w:tcPr>
            <w:tcW w:w="1420" w:type="dxa"/>
            <w:vAlign w:val="bottom"/>
            <w:shd w:val="clear" w:color="auto" w:fill="BF2115"/>
          </w:tcPr>
          <w:p>
            <w:pPr>
              <w:jc w:val="center"/>
              <w:spacing w:after="0"/>
              <w:rPr>
                <w:sz w:val="20"/>
                <w:szCs w:val="20"/>
                <w:color w:val="auto"/>
              </w:rPr>
            </w:pPr>
            <w:r>
              <w:rPr>
                <w:rFonts w:ascii="Arial" w:cs="Arial" w:eastAsia="Arial" w:hAnsi="Arial"/>
                <w:sz w:val="16"/>
                <w:szCs w:val="16"/>
                <w:b w:val="1"/>
                <w:bCs w:val="1"/>
                <w:color w:val="FFFFFF"/>
                <w:w w:val="98"/>
              </w:rPr>
              <w:t>Awards Granted</w:t>
            </w:r>
          </w:p>
        </w:tc>
        <w:tc>
          <w:tcPr>
            <w:tcW w:w="1260" w:type="dxa"/>
            <w:vAlign w:val="bottom"/>
            <w:shd w:val="clear" w:color="auto" w:fill="BF2115"/>
          </w:tcPr>
          <w:p>
            <w:pPr>
              <w:jc w:val="center"/>
              <w:spacing w:after="0"/>
              <w:rPr>
                <w:sz w:val="20"/>
                <w:szCs w:val="20"/>
                <w:color w:val="auto"/>
              </w:rPr>
            </w:pPr>
            <w:r>
              <w:rPr>
                <w:rFonts w:ascii="Arial" w:cs="Arial" w:eastAsia="Arial" w:hAnsi="Arial"/>
                <w:sz w:val="16"/>
                <w:szCs w:val="16"/>
                <w:b w:val="1"/>
                <w:bCs w:val="1"/>
                <w:color w:val="FFFFFF"/>
                <w:w w:val="99"/>
              </w:rPr>
              <w:t>Granted and</w:t>
            </w:r>
          </w:p>
        </w:tc>
        <w:tc>
          <w:tcPr>
            <w:tcW w:w="1640" w:type="dxa"/>
            <w:vAlign w:val="bottom"/>
            <w:shd w:val="clear" w:color="auto" w:fill="BF2115"/>
          </w:tcPr>
          <w:p>
            <w:pPr>
              <w:jc w:val="center"/>
              <w:spacing w:after="0"/>
              <w:rPr>
                <w:sz w:val="20"/>
                <w:szCs w:val="20"/>
                <w:color w:val="auto"/>
              </w:rPr>
            </w:pPr>
            <w:r>
              <w:rPr>
                <w:rFonts w:ascii="Arial" w:cs="Arial" w:eastAsia="Arial" w:hAnsi="Arial"/>
                <w:sz w:val="16"/>
                <w:szCs w:val="16"/>
                <w:b w:val="1"/>
                <w:bCs w:val="1"/>
                <w:color w:val="FFFFFF"/>
                <w:w w:val="99"/>
              </w:rPr>
              <w:t>Years that Vested in</w:t>
            </w:r>
          </w:p>
        </w:tc>
        <w:tc>
          <w:tcPr>
            <w:tcW w:w="1520" w:type="dxa"/>
            <w:vAlign w:val="bottom"/>
            <w:shd w:val="clear" w:color="auto" w:fill="BF2115"/>
          </w:tcPr>
          <w:p>
            <w:pPr>
              <w:jc w:val="center"/>
              <w:spacing w:after="0"/>
              <w:rPr>
                <w:sz w:val="20"/>
                <w:szCs w:val="20"/>
                <w:color w:val="auto"/>
              </w:rPr>
            </w:pPr>
            <w:r>
              <w:rPr>
                <w:rFonts w:ascii="Arial" w:cs="Arial" w:eastAsia="Arial" w:hAnsi="Arial"/>
                <w:sz w:val="16"/>
                <w:szCs w:val="16"/>
                <w:b w:val="1"/>
                <w:bCs w:val="1"/>
                <w:color w:val="FFFFFF"/>
                <w:w w:val="99"/>
              </w:rPr>
              <w:t>Conditions in the</w:t>
            </w:r>
          </w:p>
        </w:tc>
        <w:tc>
          <w:tcPr>
            <w:tcW w:w="1600" w:type="dxa"/>
            <w:vAlign w:val="bottom"/>
            <w:shd w:val="clear" w:color="auto" w:fill="BF2115"/>
          </w:tcPr>
          <w:p>
            <w:pPr>
              <w:jc w:val="center"/>
              <w:spacing w:after="0"/>
              <w:rPr>
                <w:sz w:val="20"/>
                <w:szCs w:val="20"/>
                <w:color w:val="auto"/>
              </w:rPr>
            </w:pPr>
            <w:r>
              <w:rPr>
                <w:rFonts w:ascii="Arial" w:cs="Arial" w:eastAsia="Arial" w:hAnsi="Arial"/>
                <w:sz w:val="16"/>
                <w:szCs w:val="16"/>
                <w:b w:val="1"/>
                <w:bCs w:val="1"/>
                <w:color w:val="FFFFFF"/>
                <w:w w:val="99"/>
              </w:rPr>
              <w:t>Reflected in Fair</w:t>
            </w:r>
          </w:p>
        </w:tc>
        <w:tc>
          <w:tcPr>
            <w:tcW w:w="1400" w:type="dxa"/>
            <w:vAlign w:val="bottom"/>
            <w:vMerge w:val="continue"/>
            <w:shd w:val="clear" w:color="auto" w:fill="BF2115"/>
          </w:tcPr>
          <w:p>
            <w:pPr>
              <w:spacing w:after="0"/>
              <w:rPr>
                <w:sz w:val="16"/>
                <w:szCs w:val="16"/>
                <w:color w:val="auto"/>
              </w:rPr>
            </w:pPr>
          </w:p>
        </w:tc>
        <w:tc>
          <w:tcPr>
            <w:tcW w:w="0" w:type="dxa"/>
            <w:vAlign w:val="bottom"/>
          </w:tcPr>
          <w:p>
            <w:pPr>
              <w:spacing w:after="0"/>
              <w:rPr>
                <w:sz w:val="1"/>
                <w:szCs w:val="1"/>
                <w:color w:val="auto"/>
              </w:rPr>
            </w:pPr>
          </w:p>
        </w:tc>
      </w:tr>
      <w:tr>
        <w:trPr>
          <w:trHeight w:val="173"/>
        </w:trPr>
        <w:tc>
          <w:tcPr>
            <w:tcW w:w="760" w:type="dxa"/>
            <w:vAlign w:val="bottom"/>
            <w:vMerge w:val="restart"/>
            <w:shd w:val="clear" w:color="auto" w:fill="BF2115"/>
          </w:tcPr>
          <w:p>
            <w:pPr>
              <w:jc w:val="right"/>
              <w:ind w:right="80"/>
              <w:spacing w:after="0"/>
              <w:rPr>
                <w:sz w:val="20"/>
                <w:szCs w:val="20"/>
                <w:color w:val="auto"/>
              </w:rPr>
            </w:pPr>
            <w:r>
              <w:rPr>
                <w:rFonts w:ascii="Arial" w:cs="Arial" w:eastAsia="Arial" w:hAnsi="Arial"/>
                <w:sz w:val="16"/>
                <w:szCs w:val="16"/>
                <w:b w:val="1"/>
                <w:bCs w:val="1"/>
                <w:color w:val="FFFFFF"/>
              </w:rPr>
              <w:t>Year</w:t>
            </w:r>
          </w:p>
        </w:tc>
        <w:tc>
          <w:tcPr>
            <w:tcW w:w="1260" w:type="dxa"/>
            <w:vAlign w:val="bottom"/>
            <w:shd w:val="clear" w:color="auto" w:fill="BF2115"/>
          </w:tcPr>
          <w:p>
            <w:pPr>
              <w:jc w:val="center"/>
              <w:spacing w:after="0" w:line="174" w:lineRule="exact"/>
              <w:rPr>
                <w:sz w:val="20"/>
                <w:szCs w:val="20"/>
                <w:color w:val="auto"/>
              </w:rPr>
            </w:pPr>
            <w:r>
              <w:rPr>
                <w:rFonts w:ascii="Arial" w:cs="Arial" w:eastAsia="Arial" w:hAnsi="Arial"/>
                <w:sz w:val="16"/>
                <w:szCs w:val="16"/>
                <w:b w:val="1"/>
                <w:bCs w:val="1"/>
                <w:color w:val="FFFFFF"/>
                <w:w w:val="99"/>
              </w:rPr>
              <w:t>Granted in</w:t>
            </w:r>
          </w:p>
        </w:tc>
        <w:tc>
          <w:tcPr>
            <w:tcW w:w="1420" w:type="dxa"/>
            <w:vAlign w:val="bottom"/>
            <w:shd w:val="clear" w:color="auto" w:fill="BF2115"/>
          </w:tcPr>
          <w:p>
            <w:pPr>
              <w:jc w:val="center"/>
              <w:spacing w:after="0" w:line="174" w:lineRule="exact"/>
              <w:rPr>
                <w:sz w:val="20"/>
                <w:szCs w:val="20"/>
                <w:color w:val="auto"/>
              </w:rPr>
            </w:pPr>
            <w:r>
              <w:rPr>
                <w:rFonts w:ascii="Arial" w:cs="Arial" w:eastAsia="Arial" w:hAnsi="Arial"/>
                <w:sz w:val="16"/>
                <w:szCs w:val="16"/>
                <w:b w:val="1"/>
                <w:bCs w:val="1"/>
                <w:color w:val="FFFFFF"/>
                <w:w w:val="97"/>
              </w:rPr>
              <w:t>in Prior Years</w:t>
            </w:r>
          </w:p>
        </w:tc>
        <w:tc>
          <w:tcPr>
            <w:tcW w:w="1260" w:type="dxa"/>
            <w:vAlign w:val="bottom"/>
            <w:shd w:val="clear" w:color="auto" w:fill="BF2115"/>
          </w:tcPr>
          <w:p>
            <w:pPr>
              <w:jc w:val="center"/>
              <w:spacing w:after="0" w:line="174" w:lineRule="exact"/>
              <w:rPr>
                <w:sz w:val="20"/>
                <w:szCs w:val="20"/>
                <w:color w:val="auto"/>
              </w:rPr>
            </w:pPr>
            <w:r>
              <w:rPr>
                <w:rFonts w:ascii="Arial" w:cs="Arial" w:eastAsia="Arial" w:hAnsi="Arial"/>
                <w:sz w:val="16"/>
                <w:szCs w:val="16"/>
                <w:b w:val="1"/>
                <w:bCs w:val="1"/>
                <w:color w:val="FFFFFF"/>
                <w:w w:val="98"/>
              </w:rPr>
              <w:t>Vested in the</w:t>
            </w:r>
          </w:p>
        </w:tc>
        <w:tc>
          <w:tcPr>
            <w:tcW w:w="1640" w:type="dxa"/>
            <w:vAlign w:val="bottom"/>
            <w:shd w:val="clear" w:color="auto" w:fill="BF2115"/>
          </w:tcPr>
          <w:p>
            <w:pPr>
              <w:jc w:val="center"/>
              <w:spacing w:after="0" w:line="174" w:lineRule="exact"/>
              <w:rPr>
                <w:sz w:val="20"/>
                <w:szCs w:val="20"/>
                <w:color w:val="auto"/>
              </w:rPr>
            </w:pPr>
            <w:r>
              <w:rPr>
                <w:rFonts w:ascii="Arial" w:cs="Arial" w:eastAsia="Arial" w:hAnsi="Arial"/>
                <w:sz w:val="16"/>
                <w:szCs w:val="16"/>
                <w:b w:val="1"/>
                <w:bCs w:val="1"/>
                <w:color w:val="FFFFFF"/>
                <w:w w:val="98"/>
              </w:rPr>
              <w:t>the Year</w:t>
            </w:r>
          </w:p>
        </w:tc>
        <w:tc>
          <w:tcPr>
            <w:tcW w:w="1520" w:type="dxa"/>
            <w:vAlign w:val="bottom"/>
            <w:shd w:val="clear" w:color="auto" w:fill="BF2115"/>
          </w:tcPr>
          <w:p>
            <w:pPr>
              <w:jc w:val="center"/>
              <w:spacing w:after="0" w:line="174" w:lineRule="exact"/>
              <w:rPr>
                <w:sz w:val="20"/>
                <w:szCs w:val="20"/>
                <w:color w:val="auto"/>
              </w:rPr>
            </w:pPr>
            <w:r>
              <w:rPr>
                <w:rFonts w:ascii="Arial" w:cs="Arial" w:eastAsia="Arial" w:hAnsi="Arial"/>
                <w:sz w:val="16"/>
                <w:szCs w:val="16"/>
                <w:b w:val="1"/>
                <w:bCs w:val="1"/>
                <w:color w:val="FFFFFF"/>
                <w:w w:val="97"/>
              </w:rPr>
              <w:t>Year</w:t>
            </w:r>
          </w:p>
        </w:tc>
        <w:tc>
          <w:tcPr>
            <w:tcW w:w="1600" w:type="dxa"/>
            <w:vAlign w:val="bottom"/>
            <w:shd w:val="clear" w:color="auto" w:fill="BF2115"/>
          </w:tcPr>
          <w:p>
            <w:pPr>
              <w:jc w:val="center"/>
              <w:spacing w:after="0" w:line="174" w:lineRule="exact"/>
              <w:rPr>
                <w:sz w:val="20"/>
                <w:szCs w:val="20"/>
                <w:color w:val="auto"/>
              </w:rPr>
            </w:pPr>
            <w:r>
              <w:rPr>
                <w:rFonts w:ascii="Arial" w:cs="Arial" w:eastAsia="Arial" w:hAnsi="Arial"/>
                <w:sz w:val="16"/>
                <w:szCs w:val="16"/>
                <w:b w:val="1"/>
                <w:bCs w:val="1"/>
                <w:color w:val="FFFFFF"/>
                <w:w w:val="98"/>
              </w:rPr>
              <w:t>Value or Total</w:t>
            </w:r>
          </w:p>
        </w:tc>
        <w:tc>
          <w:tcPr>
            <w:tcW w:w="1400" w:type="dxa"/>
            <w:vAlign w:val="bottom"/>
            <w:shd w:val="clear" w:color="auto" w:fill="BF2115"/>
          </w:tcPr>
          <w:p>
            <w:pPr>
              <w:jc w:val="center"/>
              <w:spacing w:after="0" w:line="174" w:lineRule="exact"/>
              <w:rPr>
                <w:sz w:val="20"/>
                <w:szCs w:val="20"/>
                <w:color w:val="auto"/>
              </w:rPr>
            </w:pPr>
            <w:r>
              <w:rPr>
                <w:rFonts w:ascii="Arial" w:cs="Arial" w:eastAsia="Arial" w:hAnsi="Arial"/>
                <w:sz w:val="16"/>
                <w:szCs w:val="16"/>
                <w:b w:val="1"/>
                <w:bCs w:val="1"/>
                <w:color w:val="FFFFFF"/>
                <w:w w:val="98"/>
              </w:rPr>
              <w:t>Award</w:t>
            </w:r>
          </w:p>
        </w:tc>
        <w:tc>
          <w:tcPr>
            <w:tcW w:w="0" w:type="dxa"/>
            <w:vAlign w:val="bottom"/>
          </w:tcPr>
          <w:p>
            <w:pPr>
              <w:spacing w:after="0"/>
              <w:rPr>
                <w:sz w:val="1"/>
                <w:szCs w:val="1"/>
                <w:color w:val="auto"/>
              </w:rPr>
            </w:pPr>
          </w:p>
        </w:tc>
      </w:tr>
      <w:tr>
        <w:trPr>
          <w:trHeight w:val="228"/>
        </w:trPr>
        <w:tc>
          <w:tcPr>
            <w:tcW w:w="760" w:type="dxa"/>
            <w:vAlign w:val="bottom"/>
            <w:vMerge w:val="continue"/>
            <w:shd w:val="clear" w:color="auto" w:fill="BF2115"/>
          </w:tcPr>
          <w:p>
            <w:pPr>
              <w:spacing w:after="0"/>
              <w:rPr>
                <w:sz w:val="19"/>
                <w:szCs w:val="19"/>
                <w:color w:val="auto"/>
              </w:rPr>
            </w:pPr>
          </w:p>
        </w:tc>
        <w:tc>
          <w:tcPr>
            <w:tcW w:w="1260" w:type="dxa"/>
            <w:vAlign w:val="bottom"/>
            <w:shd w:val="clear" w:color="auto" w:fill="BF2115"/>
          </w:tcPr>
          <w:p>
            <w:pPr>
              <w:jc w:val="center"/>
              <w:spacing w:after="0"/>
              <w:rPr>
                <w:sz w:val="20"/>
                <w:szCs w:val="20"/>
                <w:color w:val="auto"/>
              </w:rPr>
            </w:pPr>
            <w:r>
              <w:rPr>
                <w:rFonts w:ascii="Arial" w:cs="Arial" w:eastAsia="Arial" w:hAnsi="Arial"/>
                <w:sz w:val="16"/>
                <w:szCs w:val="16"/>
                <w:b w:val="1"/>
                <w:bCs w:val="1"/>
                <w:color w:val="FFFFFF"/>
                <w:w w:val="98"/>
              </w:rPr>
              <w:t>the Year ($)</w:t>
            </w:r>
          </w:p>
        </w:tc>
        <w:tc>
          <w:tcPr>
            <w:tcW w:w="1420" w:type="dxa"/>
            <w:vAlign w:val="bottom"/>
            <w:shd w:val="clear" w:color="auto" w:fill="BF2115"/>
          </w:tcPr>
          <w:p>
            <w:pPr>
              <w:jc w:val="center"/>
              <w:spacing w:after="0"/>
              <w:rPr>
                <w:sz w:val="20"/>
                <w:szCs w:val="20"/>
                <w:color w:val="auto"/>
              </w:rPr>
            </w:pPr>
            <w:r>
              <w:rPr>
                <w:rFonts w:ascii="Arial" w:cs="Arial" w:eastAsia="Arial" w:hAnsi="Arial"/>
                <w:sz w:val="16"/>
                <w:szCs w:val="16"/>
                <w:b w:val="1"/>
                <w:bCs w:val="1"/>
                <w:color w:val="FFFFFF"/>
                <w:w w:val="91"/>
              </w:rPr>
              <w:t>($)</w:t>
            </w:r>
          </w:p>
        </w:tc>
        <w:tc>
          <w:tcPr>
            <w:tcW w:w="1260" w:type="dxa"/>
            <w:vAlign w:val="bottom"/>
            <w:shd w:val="clear" w:color="auto" w:fill="BF2115"/>
          </w:tcPr>
          <w:p>
            <w:pPr>
              <w:jc w:val="center"/>
              <w:spacing w:after="0"/>
              <w:rPr>
                <w:sz w:val="20"/>
                <w:szCs w:val="20"/>
                <w:color w:val="auto"/>
              </w:rPr>
            </w:pPr>
            <w:r>
              <w:rPr>
                <w:rFonts w:ascii="Arial" w:cs="Arial" w:eastAsia="Arial" w:hAnsi="Arial"/>
                <w:sz w:val="16"/>
                <w:szCs w:val="16"/>
                <w:b w:val="1"/>
                <w:bCs w:val="1"/>
                <w:color w:val="FFFFFF"/>
                <w:w w:val="98"/>
              </w:rPr>
              <w:t>Year ($)</w:t>
            </w:r>
          </w:p>
        </w:tc>
        <w:tc>
          <w:tcPr>
            <w:tcW w:w="1640" w:type="dxa"/>
            <w:vAlign w:val="bottom"/>
            <w:shd w:val="clear" w:color="auto" w:fill="BF2115"/>
          </w:tcPr>
          <w:p>
            <w:pPr>
              <w:jc w:val="center"/>
              <w:spacing w:after="0"/>
              <w:rPr>
                <w:sz w:val="20"/>
                <w:szCs w:val="20"/>
                <w:color w:val="auto"/>
              </w:rPr>
            </w:pPr>
            <w:r>
              <w:rPr>
                <w:rFonts w:ascii="Arial" w:cs="Arial" w:eastAsia="Arial" w:hAnsi="Arial"/>
                <w:sz w:val="16"/>
                <w:szCs w:val="16"/>
                <w:b w:val="1"/>
                <w:bCs w:val="1"/>
                <w:color w:val="FFFFFF"/>
              </w:rPr>
              <w:t>($)</w:t>
            </w:r>
          </w:p>
        </w:tc>
        <w:tc>
          <w:tcPr>
            <w:tcW w:w="1520" w:type="dxa"/>
            <w:vAlign w:val="bottom"/>
            <w:shd w:val="clear" w:color="auto" w:fill="BF2115"/>
          </w:tcPr>
          <w:p>
            <w:pPr>
              <w:jc w:val="center"/>
              <w:spacing w:after="0"/>
              <w:rPr>
                <w:sz w:val="20"/>
                <w:szCs w:val="20"/>
                <w:color w:val="auto"/>
              </w:rPr>
            </w:pPr>
            <w:r>
              <w:rPr>
                <w:rFonts w:ascii="Arial" w:cs="Arial" w:eastAsia="Arial" w:hAnsi="Arial"/>
                <w:sz w:val="16"/>
                <w:szCs w:val="16"/>
                <w:b w:val="1"/>
                <w:bCs w:val="1"/>
                <w:color w:val="FFFFFF"/>
              </w:rPr>
              <w:t>($)</w:t>
            </w:r>
          </w:p>
        </w:tc>
        <w:tc>
          <w:tcPr>
            <w:tcW w:w="1600" w:type="dxa"/>
            <w:vAlign w:val="bottom"/>
            <w:shd w:val="clear" w:color="auto" w:fill="BF2115"/>
          </w:tcPr>
          <w:p>
            <w:pPr>
              <w:jc w:val="center"/>
              <w:spacing w:after="0"/>
              <w:rPr>
                <w:sz w:val="20"/>
                <w:szCs w:val="20"/>
                <w:color w:val="auto"/>
              </w:rPr>
            </w:pPr>
            <w:r>
              <w:rPr>
                <w:rFonts w:ascii="Arial" w:cs="Arial" w:eastAsia="Arial" w:hAnsi="Arial"/>
                <w:sz w:val="16"/>
                <w:szCs w:val="16"/>
                <w:b w:val="1"/>
                <w:bCs w:val="1"/>
                <w:color w:val="FFFFFF"/>
              </w:rPr>
              <w:t>Compensation ($)</w:t>
            </w:r>
          </w:p>
        </w:tc>
        <w:tc>
          <w:tcPr>
            <w:tcW w:w="1400" w:type="dxa"/>
            <w:vAlign w:val="bottom"/>
            <w:shd w:val="clear" w:color="auto" w:fill="BF2115"/>
          </w:tcPr>
          <w:p>
            <w:pPr>
              <w:jc w:val="center"/>
              <w:spacing w:after="0"/>
              <w:rPr>
                <w:sz w:val="20"/>
                <w:szCs w:val="20"/>
                <w:color w:val="auto"/>
              </w:rPr>
            </w:pPr>
            <w:r>
              <w:rPr>
                <w:rFonts w:ascii="Arial" w:cs="Arial" w:eastAsia="Arial" w:hAnsi="Arial"/>
                <w:sz w:val="16"/>
                <w:szCs w:val="16"/>
                <w:b w:val="1"/>
                <w:bCs w:val="1"/>
                <w:color w:val="FFFFFF"/>
              </w:rPr>
              <w:t>Adjustments ($)</w:t>
            </w:r>
          </w:p>
        </w:tc>
        <w:tc>
          <w:tcPr>
            <w:tcW w:w="0" w:type="dxa"/>
            <w:vAlign w:val="bottom"/>
          </w:tcPr>
          <w:p>
            <w:pPr>
              <w:spacing w:after="0"/>
              <w:rPr>
                <w:sz w:val="1"/>
                <w:szCs w:val="1"/>
                <w:color w:val="auto"/>
              </w:rPr>
            </w:pPr>
          </w:p>
        </w:tc>
      </w:tr>
      <w:tr>
        <w:trPr>
          <w:trHeight w:val="211"/>
        </w:trPr>
        <w:tc>
          <w:tcPr>
            <w:tcW w:w="760" w:type="dxa"/>
            <w:vAlign w:val="bottom"/>
          </w:tcPr>
          <w:p>
            <w:pPr>
              <w:jc w:val="right"/>
              <w:ind w:right="300"/>
              <w:spacing w:after="0"/>
              <w:rPr>
                <w:sz w:val="20"/>
                <w:szCs w:val="20"/>
                <w:color w:val="auto"/>
              </w:rPr>
            </w:pPr>
            <w:r>
              <w:rPr>
                <w:rFonts w:ascii="Arial" w:cs="Arial" w:eastAsia="Arial" w:hAnsi="Arial"/>
                <w:sz w:val="16"/>
                <w:szCs w:val="16"/>
                <w:color w:val="auto"/>
              </w:rPr>
              <w:t>2024</w:t>
            </w:r>
          </w:p>
        </w:tc>
        <w:tc>
          <w:tcPr>
            <w:tcW w:w="1260" w:type="dxa"/>
            <w:vAlign w:val="bottom"/>
          </w:tcPr>
          <w:p>
            <w:pPr>
              <w:jc w:val="right"/>
              <w:spacing w:after="0"/>
              <w:rPr>
                <w:sz w:val="20"/>
                <w:szCs w:val="20"/>
                <w:color w:val="auto"/>
              </w:rPr>
            </w:pPr>
            <w:r>
              <w:rPr>
                <w:rFonts w:ascii="Arial" w:cs="Arial" w:eastAsia="Arial" w:hAnsi="Arial"/>
                <w:sz w:val="16"/>
                <w:szCs w:val="16"/>
                <w:color w:val="auto"/>
              </w:rPr>
              <w:t>1,824,413</w:t>
            </w:r>
          </w:p>
        </w:tc>
        <w:tc>
          <w:tcPr>
            <w:tcW w:w="1420" w:type="dxa"/>
            <w:vAlign w:val="bottom"/>
          </w:tcPr>
          <w:p>
            <w:pPr>
              <w:jc w:val="right"/>
              <w:spacing w:after="0"/>
              <w:rPr>
                <w:sz w:val="20"/>
                <w:szCs w:val="20"/>
                <w:color w:val="auto"/>
              </w:rPr>
            </w:pPr>
            <w:r>
              <w:rPr>
                <w:rFonts w:ascii="Arial" w:cs="Arial" w:eastAsia="Arial" w:hAnsi="Arial"/>
                <w:sz w:val="16"/>
                <w:szCs w:val="16"/>
                <w:color w:val="auto"/>
              </w:rPr>
              <w:t>(3,571)</w:t>
            </w:r>
          </w:p>
        </w:tc>
        <w:tc>
          <w:tcPr>
            <w:tcW w:w="1260" w:type="dxa"/>
            <w:vAlign w:val="bottom"/>
          </w:tcPr>
          <w:p>
            <w:pPr>
              <w:jc w:val="right"/>
              <w:spacing w:after="0"/>
              <w:rPr>
                <w:sz w:val="20"/>
                <w:szCs w:val="20"/>
                <w:color w:val="auto"/>
              </w:rPr>
            </w:pPr>
            <w:r>
              <w:rPr>
                <w:rFonts w:ascii="Arial" w:cs="Arial" w:eastAsia="Arial" w:hAnsi="Arial"/>
                <w:sz w:val="16"/>
                <w:szCs w:val="16"/>
                <w:color w:val="auto"/>
              </w:rPr>
              <w:t>0</w:t>
            </w:r>
          </w:p>
        </w:tc>
        <w:tc>
          <w:tcPr>
            <w:tcW w:w="1640" w:type="dxa"/>
            <w:vAlign w:val="bottom"/>
          </w:tcPr>
          <w:p>
            <w:pPr>
              <w:jc w:val="right"/>
              <w:spacing w:after="0"/>
              <w:rPr>
                <w:sz w:val="20"/>
                <w:szCs w:val="20"/>
                <w:color w:val="auto"/>
              </w:rPr>
            </w:pPr>
            <w:r>
              <w:rPr>
                <w:rFonts w:ascii="Arial" w:cs="Arial" w:eastAsia="Arial" w:hAnsi="Arial"/>
                <w:sz w:val="16"/>
                <w:szCs w:val="16"/>
                <w:color w:val="auto"/>
              </w:rPr>
              <w:t>3,433</w:t>
            </w:r>
          </w:p>
        </w:tc>
        <w:tc>
          <w:tcPr>
            <w:tcW w:w="1520" w:type="dxa"/>
            <w:vAlign w:val="bottom"/>
          </w:tcPr>
          <w:p>
            <w:pPr>
              <w:jc w:val="right"/>
              <w:spacing w:after="0"/>
              <w:rPr>
                <w:sz w:val="20"/>
                <w:szCs w:val="20"/>
                <w:color w:val="auto"/>
              </w:rPr>
            </w:pPr>
            <w:r>
              <w:rPr>
                <w:rFonts w:ascii="Arial" w:cs="Arial" w:eastAsia="Arial" w:hAnsi="Arial"/>
                <w:sz w:val="16"/>
                <w:szCs w:val="16"/>
                <w:color w:val="auto"/>
              </w:rPr>
              <w:t>0</w:t>
            </w:r>
          </w:p>
        </w:tc>
        <w:tc>
          <w:tcPr>
            <w:tcW w:w="1600" w:type="dxa"/>
            <w:vAlign w:val="bottom"/>
          </w:tcPr>
          <w:p>
            <w:pPr>
              <w:jc w:val="right"/>
              <w:spacing w:after="0"/>
              <w:rPr>
                <w:sz w:val="20"/>
                <w:szCs w:val="20"/>
                <w:color w:val="auto"/>
              </w:rPr>
            </w:pPr>
            <w:r>
              <w:rPr>
                <w:rFonts w:ascii="Arial" w:cs="Arial" w:eastAsia="Arial" w:hAnsi="Arial"/>
                <w:sz w:val="16"/>
                <w:szCs w:val="16"/>
                <w:color w:val="auto"/>
              </w:rPr>
              <w:t>0</w:t>
            </w:r>
          </w:p>
        </w:tc>
        <w:tc>
          <w:tcPr>
            <w:tcW w:w="1400" w:type="dxa"/>
            <w:vAlign w:val="bottom"/>
          </w:tcPr>
          <w:p>
            <w:pPr>
              <w:jc w:val="right"/>
              <w:spacing w:after="0"/>
              <w:rPr>
                <w:sz w:val="20"/>
                <w:szCs w:val="20"/>
                <w:color w:val="auto"/>
              </w:rPr>
            </w:pPr>
            <w:r>
              <w:rPr>
                <w:rFonts w:ascii="Arial" w:cs="Arial" w:eastAsia="Arial" w:hAnsi="Arial"/>
                <w:sz w:val="16"/>
                <w:szCs w:val="16"/>
                <w:color w:val="auto"/>
              </w:rPr>
              <w:t>1,824,275</w:t>
            </w:r>
          </w:p>
        </w:tc>
        <w:tc>
          <w:tcPr>
            <w:tcW w:w="0" w:type="dxa"/>
            <w:vAlign w:val="bottom"/>
          </w:tcPr>
          <w:p>
            <w:pPr>
              <w:spacing w:after="0"/>
              <w:rPr>
                <w:sz w:val="1"/>
                <w:szCs w:val="1"/>
                <w:color w:val="auto"/>
              </w:rPr>
            </w:pPr>
          </w:p>
        </w:tc>
      </w:tr>
      <w:tr>
        <w:trPr>
          <w:trHeight w:val="29"/>
        </w:trPr>
        <w:tc>
          <w:tcPr>
            <w:tcW w:w="7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760" w:type="dxa"/>
            <w:vAlign w:val="bottom"/>
            <w:tcBorders>
              <w:bottom w:val="single" w:sz="8" w:color="DBDBDB"/>
            </w:tcBorders>
            <w:shd w:val="clear" w:color="auto" w:fill="DBDBDB"/>
          </w:tcPr>
          <w:p>
            <w:pPr>
              <w:jc w:val="right"/>
              <w:ind w:right="300"/>
              <w:spacing w:after="0"/>
              <w:rPr>
                <w:sz w:val="20"/>
                <w:szCs w:val="20"/>
                <w:color w:val="auto"/>
              </w:rPr>
            </w:pPr>
            <w:r>
              <w:rPr>
                <w:rFonts w:ascii="Arial" w:cs="Arial" w:eastAsia="Arial" w:hAnsi="Arial"/>
                <w:sz w:val="16"/>
                <w:szCs w:val="16"/>
                <w:color w:val="auto"/>
              </w:rPr>
              <w:t>2023</w:t>
            </w:r>
          </w:p>
        </w:tc>
        <w:tc>
          <w:tcPr>
            <w:tcW w:w="126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6"/>
                <w:szCs w:val="16"/>
                <w:color w:val="auto"/>
              </w:rPr>
              <w:t>2,824,764</w:t>
            </w:r>
          </w:p>
        </w:tc>
        <w:tc>
          <w:tcPr>
            <w:tcW w:w="142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6"/>
                <w:szCs w:val="16"/>
                <w:color w:val="auto"/>
              </w:rPr>
              <w:t>(2,977,151)</w:t>
            </w:r>
          </w:p>
        </w:tc>
        <w:tc>
          <w:tcPr>
            <w:tcW w:w="126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6"/>
                <w:szCs w:val="16"/>
                <w:color w:val="auto"/>
              </w:rPr>
              <w:t>0</w:t>
            </w:r>
          </w:p>
        </w:tc>
        <w:tc>
          <w:tcPr>
            <w:tcW w:w="164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6"/>
                <w:szCs w:val="16"/>
                <w:color w:val="auto"/>
              </w:rPr>
              <w:t>(1,034,000)</w:t>
            </w:r>
          </w:p>
        </w:tc>
        <w:tc>
          <w:tcPr>
            <w:tcW w:w="152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6"/>
                <w:szCs w:val="16"/>
                <w:color w:val="auto"/>
              </w:rPr>
              <w:t>0</w:t>
            </w:r>
          </w:p>
        </w:tc>
        <w:tc>
          <w:tcPr>
            <w:tcW w:w="160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6"/>
                <w:szCs w:val="16"/>
                <w:color w:val="auto"/>
              </w:rPr>
              <w:t>0</w:t>
            </w:r>
          </w:p>
        </w:tc>
        <w:tc>
          <w:tcPr>
            <w:tcW w:w="140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6"/>
                <w:szCs w:val="16"/>
                <w:color w:val="auto"/>
              </w:rPr>
              <w:t>(1,186,387)</w:t>
            </w:r>
          </w:p>
        </w:tc>
        <w:tc>
          <w:tcPr>
            <w:tcW w:w="0" w:type="dxa"/>
            <w:vAlign w:val="bottom"/>
          </w:tcPr>
          <w:p>
            <w:pPr>
              <w:spacing w:after="0"/>
              <w:rPr>
                <w:sz w:val="1"/>
                <w:szCs w:val="1"/>
                <w:color w:val="auto"/>
              </w:rPr>
            </w:pPr>
          </w:p>
        </w:tc>
      </w:tr>
      <w:tr>
        <w:trPr>
          <w:trHeight w:val="211"/>
        </w:trPr>
        <w:tc>
          <w:tcPr>
            <w:tcW w:w="760" w:type="dxa"/>
            <w:vAlign w:val="bottom"/>
          </w:tcPr>
          <w:p>
            <w:pPr>
              <w:jc w:val="right"/>
              <w:ind w:right="300"/>
              <w:spacing w:after="0"/>
              <w:rPr>
                <w:sz w:val="20"/>
                <w:szCs w:val="20"/>
                <w:color w:val="auto"/>
              </w:rPr>
            </w:pPr>
            <w:r>
              <w:rPr>
                <w:rFonts w:ascii="Arial" w:cs="Arial" w:eastAsia="Arial" w:hAnsi="Arial"/>
                <w:sz w:val="16"/>
                <w:szCs w:val="16"/>
                <w:color w:val="auto"/>
              </w:rPr>
              <w:t>2022</w:t>
            </w:r>
          </w:p>
        </w:tc>
        <w:tc>
          <w:tcPr>
            <w:tcW w:w="1260" w:type="dxa"/>
            <w:vAlign w:val="bottom"/>
          </w:tcPr>
          <w:p>
            <w:pPr>
              <w:jc w:val="right"/>
              <w:spacing w:after="0"/>
              <w:rPr>
                <w:sz w:val="20"/>
                <w:szCs w:val="20"/>
                <w:color w:val="auto"/>
              </w:rPr>
            </w:pPr>
            <w:r>
              <w:rPr>
                <w:rFonts w:ascii="Arial" w:cs="Arial" w:eastAsia="Arial" w:hAnsi="Arial"/>
                <w:sz w:val="16"/>
                <w:szCs w:val="16"/>
                <w:color w:val="auto"/>
              </w:rPr>
              <w:t>6,061,704</w:t>
            </w:r>
          </w:p>
        </w:tc>
        <w:tc>
          <w:tcPr>
            <w:tcW w:w="1420" w:type="dxa"/>
            <w:vAlign w:val="bottom"/>
          </w:tcPr>
          <w:p>
            <w:pPr>
              <w:jc w:val="right"/>
              <w:spacing w:after="0"/>
              <w:rPr>
                <w:sz w:val="20"/>
                <w:szCs w:val="20"/>
                <w:color w:val="auto"/>
              </w:rPr>
            </w:pPr>
            <w:r>
              <w:rPr>
                <w:rFonts w:ascii="Arial" w:cs="Arial" w:eastAsia="Arial" w:hAnsi="Arial"/>
                <w:sz w:val="16"/>
                <w:szCs w:val="16"/>
                <w:color w:val="auto"/>
              </w:rPr>
              <w:t>2,062,723</w:t>
            </w:r>
          </w:p>
        </w:tc>
        <w:tc>
          <w:tcPr>
            <w:tcW w:w="1260" w:type="dxa"/>
            <w:vAlign w:val="bottom"/>
          </w:tcPr>
          <w:p>
            <w:pPr>
              <w:jc w:val="right"/>
              <w:spacing w:after="0"/>
              <w:rPr>
                <w:sz w:val="20"/>
                <w:szCs w:val="20"/>
                <w:color w:val="auto"/>
              </w:rPr>
            </w:pPr>
            <w:r>
              <w:rPr>
                <w:rFonts w:ascii="Arial" w:cs="Arial" w:eastAsia="Arial" w:hAnsi="Arial"/>
                <w:sz w:val="16"/>
                <w:szCs w:val="16"/>
                <w:color w:val="auto"/>
              </w:rPr>
              <w:t>0</w:t>
            </w:r>
          </w:p>
        </w:tc>
        <w:tc>
          <w:tcPr>
            <w:tcW w:w="1640" w:type="dxa"/>
            <w:vAlign w:val="bottom"/>
          </w:tcPr>
          <w:p>
            <w:pPr>
              <w:jc w:val="right"/>
              <w:spacing w:after="0"/>
              <w:rPr>
                <w:sz w:val="20"/>
                <w:szCs w:val="20"/>
                <w:color w:val="auto"/>
              </w:rPr>
            </w:pPr>
            <w:r>
              <w:rPr>
                <w:rFonts w:ascii="Arial" w:cs="Arial" w:eastAsia="Arial" w:hAnsi="Arial"/>
                <w:sz w:val="16"/>
                <w:szCs w:val="16"/>
                <w:color w:val="auto"/>
              </w:rPr>
              <w:t>2,648</w:t>
            </w:r>
          </w:p>
        </w:tc>
        <w:tc>
          <w:tcPr>
            <w:tcW w:w="1520" w:type="dxa"/>
            <w:vAlign w:val="bottom"/>
          </w:tcPr>
          <w:p>
            <w:pPr>
              <w:jc w:val="right"/>
              <w:spacing w:after="0"/>
              <w:rPr>
                <w:sz w:val="20"/>
                <w:szCs w:val="20"/>
                <w:color w:val="auto"/>
              </w:rPr>
            </w:pPr>
            <w:r>
              <w:rPr>
                <w:rFonts w:ascii="Arial" w:cs="Arial" w:eastAsia="Arial" w:hAnsi="Arial"/>
                <w:sz w:val="16"/>
                <w:szCs w:val="16"/>
                <w:color w:val="auto"/>
              </w:rPr>
              <w:t>0</w:t>
            </w:r>
          </w:p>
        </w:tc>
        <w:tc>
          <w:tcPr>
            <w:tcW w:w="1600" w:type="dxa"/>
            <w:vAlign w:val="bottom"/>
          </w:tcPr>
          <w:p>
            <w:pPr>
              <w:jc w:val="right"/>
              <w:spacing w:after="0"/>
              <w:rPr>
                <w:sz w:val="20"/>
                <w:szCs w:val="20"/>
                <w:color w:val="auto"/>
              </w:rPr>
            </w:pPr>
            <w:r>
              <w:rPr>
                <w:rFonts w:ascii="Arial" w:cs="Arial" w:eastAsia="Arial" w:hAnsi="Arial"/>
                <w:sz w:val="16"/>
                <w:szCs w:val="16"/>
                <w:color w:val="auto"/>
              </w:rPr>
              <w:t>0</w:t>
            </w:r>
          </w:p>
        </w:tc>
        <w:tc>
          <w:tcPr>
            <w:tcW w:w="1400" w:type="dxa"/>
            <w:vAlign w:val="bottom"/>
          </w:tcPr>
          <w:p>
            <w:pPr>
              <w:jc w:val="right"/>
              <w:spacing w:after="0"/>
              <w:rPr>
                <w:sz w:val="20"/>
                <w:szCs w:val="20"/>
                <w:color w:val="auto"/>
              </w:rPr>
            </w:pPr>
            <w:r>
              <w:rPr>
                <w:rFonts w:ascii="Arial" w:cs="Arial" w:eastAsia="Arial" w:hAnsi="Arial"/>
                <w:sz w:val="16"/>
                <w:szCs w:val="16"/>
                <w:color w:val="auto"/>
              </w:rPr>
              <w:t>8,127,075</w:t>
            </w:r>
          </w:p>
        </w:tc>
        <w:tc>
          <w:tcPr>
            <w:tcW w:w="0" w:type="dxa"/>
            <w:vAlign w:val="bottom"/>
          </w:tcPr>
          <w:p>
            <w:pPr>
              <w:spacing w:after="0"/>
              <w:rPr>
                <w:sz w:val="1"/>
                <w:szCs w:val="1"/>
                <w:color w:val="auto"/>
              </w:rPr>
            </w:pPr>
          </w:p>
        </w:tc>
      </w:tr>
      <w:tr>
        <w:trPr>
          <w:trHeight w:val="29"/>
        </w:trPr>
        <w:tc>
          <w:tcPr>
            <w:tcW w:w="7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1"/>
        </w:trPr>
        <w:tc>
          <w:tcPr>
            <w:tcW w:w="760" w:type="dxa"/>
            <w:vAlign w:val="bottom"/>
            <w:shd w:val="clear" w:color="auto" w:fill="DBDBDB"/>
          </w:tcPr>
          <w:p>
            <w:pPr>
              <w:jc w:val="right"/>
              <w:ind w:right="300"/>
              <w:spacing w:after="0"/>
              <w:rPr>
                <w:sz w:val="20"/>
                <w:szCs w:val="20"/>
                <w:color w:val="auto"/>
              </w:rPr>
            </w:pPr>
            <w:r>
              <w:rPr>
                <w:rFonts w:ascii="Arial" w:cs="Arial" w:eastAsia="Arial" w:hAnsi="Arial"/>
                <w:sz w:val="16"/>
                <w:szCs w:val="16"/>
                <w:color w:val="auto"/>
              </w:rPr>
              <w:t>2021</w:t>
            </w:r>
          </w:p>
        </w:tc>
        <w:tc>
          <w:tcPr>
            <w:tcW w:w="1260" w:type="dxa"/>
            <w:vAlign w:val="bottom"/>
            <w:shd w:val="clear" w:color="auto" w:fill="DBDBDB"/>
          </w:tcPr>
          <w:p>
            <w:pPr>
              <w:jc w:val="right"/>
              <w:spacing w:after="0"/>
              <w:rPr>
                <w:sz w:val="20"/>
                <w:szCs w:val="20"/>
                <w:color w:val="auto"/>
              </w:rPr>
            </w:pPr>
            <w:r>
              <w:rPr>
                <w:rFonts w:ascii="Arial" w:cs="Arial" w:eastAsia="Arial" w:hAnsi="Arial"/>
                <w:sz w:val="16"/>
                <w:szCs w:val="16"/>
                <w:color w:val="auto"/>
              </w:rPr>
              <w:t>6,964,945</w:t>
            </w:r>
          </w:p>
        </w:tc>
        <w:tc>
          <w:tcPr>
            <w:tcW w:w="1420" w:type="dxa"/>
            <w:vAlign w:val="bottom"/>
            <w:shd w:val="clear" w:color="auto" w:fill="DBDBDB"/>
          </w:tcPr>
          <w:p>
            <w:pPr>
              <w:jc w:val="right"/>
              <w:spacing w:after="0"/>
              <w:rPr>
                <w:sz w:val="20"/>
                <w:szCs w:val="20"/>
                <w:color w:val="auto"/>
              </w:rPr>
            </w:pPr>
            <w:r>
              <w:rPr>
                <w:rFonts w:ascii="Arial" w:cs="Arial" w:eastAsia="Arial" w:hAnsi="Arial"/>
                <w:sz w:val="16"/>
                <w:szCs w:val="16"/>
                <w:color w:val="auto"/>
              </w:rPr>
              <w:t>2,408,829</w:t>
            </w:r>
          </w:p>
        </w:tc>
        <w:tc>
          <w:tcPr>
            <w:tcW w:w="1260" w:type="dxa"/>
            <w:vAlign w:val="bottom"/>
            <w:shd w:val="clear" w:color="auto" w:fill="DBDBDB"/>
          </w:tcPr>
          <w:p>
            <w:pPr>
              <w:jc w:val="right"/>
              <w:spacing w:after="0"/>
              <w:rPr>
                <w:sz w:val="20"/>
                <w:szCs w:val="20"/>
                <w:color w:val="auto"/>
              </w:rPr>
            </w:pPr>
            <w:r>
              <w:rPr>
                <w:rFonts w:ascii="Arial" w:cs="Arial" w:eastAsia="Arial" w:hAnsi="Arial"/>
                <w:sz w:val="16"/>
                <w:szCs w:val="16"/>
                <w:color w:val="auto"/>
              </w:rPr>
              <w:t>0</w:t>
            </w:r>
          </w:p>
        </w:tc>
        <w:tc>
          <w:tcPr>
            <w:tcW w:w="164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1,677,096</w:t>
            </w:r>
          </w:p>
        </w:tc>
        <w:tc>
          <w:tcPr>
            <w:tcW w:w="1520" w:type="dxa"/>
            <w:vAlign w:val="bottom"/>
            <w:shd w:val="clear" w:color="auto" w:fill="DBDBDB"/>
          </w:tcPr>
          <w:p>
            <w:pPr>
              <w:jc w:val="right"/>
              <w:spacing w:after="0"/>
              <w:rPr>
                <w:sz w:val="20"/>
                <w:szCs w:val="20"/>
                <w:color w:val="auto"/>
              </w:rPr>
            </w:pPr>
            <w:r>
              <w:rPr>
                <w:rFonts w:ascii="Arial" w:cs="Arial" w:eastAsia="Arial" w:hAnsi="Arial"/>
                <w:sz w:val="16"/>
                <w:szCs w:val="16"/>
                <w:color w:val="auto"/>
              </w:rPr>
              <w:t>0</w:t>
            </w:r>
          </w:p>
        </w:tc>
        <w:tc>
          <w:tcPr>
            <w:tcW w:w="1600" w:type="dxa"/>
            <w:vAlign w:val="bottom"/>
            <w:shd w:val="clear" w:color="auto" w:fill="DBDBDB"/>
          </w:tcPr>
          <w:p>
            <w:pPr>
              <w:jc w:val="right"/>
              <w:spacing w:after="0"/>
              <w:rPr>
                <w:sz w:val="20"/>
                <w:szCs w:val="20"/>
                <w:color w:val="auto"/>
              </w:rPr>
            </w:pPr>
            <w:r>
              <w:rPr>
                <w:rFonts w:ascii="Arial" w:cs="Arial" w:eastAsia="Arial" w:hAnsi="Arial"/>
                <w:sz w:val="16"/>
                <w:szCs w:val="16"/>
                <w:color w:val="auto"/>
              </w:rPr>
              <w:t>0</w:t>
            </w:r>
          </w:p>
        </w:tc>
        <w:tc>
          <w:tcPr>
            <w:tcW w:w="140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11,050,870</w:t>
            </w:r>
          </w:p>
        </w:tc>
        <w:tc>
          <w:tcPr>
            <w:tcW w:w="0" w:type="dxa"/>
            <w:vAlign w:val="bottom"/>
          </w:tcPr>
          <w:p>
            <w:pPr>
              <w:spacing w:after="0"/>
              <w:rPr>
                <w:sz w:val="1"/>
                <w:szCs w:val="1"/>
                <w:color w:val="auto"/>
              </w:rPr>
            </w:pPr>
          </w:p>
        </w:tc>
      </w:tr>
      <w:tr>
        <w:trPr>
          <w:trHeight w:val="29"/>
        </w:trPr>
        <w:tc>
          <w:tcPr>
            <w:tcW w:w="760" w:type="dxa"/>
            <w:vAlign w:val="bottom"/>
            <w:shd w:val="clear" w:color="auto" w:fill="DBDBDB"/>
          </w:tcPr>
          <w:p>
            <w:pPr>
              <w:spacing w:after="0"/>
              <w:rPr>
                <w:sz w:val="2"/>
                <w:szCs w:val="2"/>
                <w:color w:val="auto"/>
              </w:rPr>
            </w:pPr>
          </w:p>
        </w:tc>
        <w:tc>
          <w:tcPr>
            <w:tcW w:w="1260" w:type="dxa"/>
            <w:vAlign w:val="bottom"/>
            <w:shd w:val="clear" w:color="auto" w:fill="DBDBDB"/>
          </w:tcPr>
          <w:p>
            <w:pPr>
              <w:spacing w:after="0"/>
              <w:rPr>
                <w:sz w:val="2"/>
                <w:szCs w:val="2"/>
                <w:color w:val="auto"/>
              </w:rPr>
            </w:pPr>
          </w:p>
        </w:tc>
        <w:tc>
          <w:tcPr>
            <w:tcW w:w="1420" w:type="dxa"/>
            <w:vAlign w:val="bottom"/>
            <w:shd w:val="clear" w:color="auto" w:fill="DBDBDB"/>
          </w:tcPr>
          <w:p>
            <w:pPr>
              <w:spacing w:after="0"/>
              <w:rPr>
                <w:sz w:val="2"/>
                <w:szCs w:val="2"/>
                <w:color w:val="auto"/>
              </w:rPr>
            </w:pPr>
          </w:p>
        </w:tc>
        <w:tc>
          <w:tcPr>
            <w:tcW w:w="1260" w:type="dxa"/>
            <w:vAlign w:val="bottom"/>
            <w:shd w:val="clear" w:color="auto" w:fill="DBDBDB"/>
          </w:tcPr>
          <w:p>
            <w:pPr>
              <w:spacing w:after="0"/>
              <w:rPr>
                <w:sz w:val="2"/>
                <w:szCs w:val="2"/>
                <w:color w:val="auto"/>
              </w:rPr>
            </w:pPr>
          </w:p>
        </w:tc>
        <w:tc>
          <w:tcPr>
            <w:tcW w:w="1640" w:type="dxa"/>
            <w:vAlign w:val="bottom"/>
            <w:shd w:val="clear" w:color="auto" w:fill="DBDBDB"/>
          </w:tcPr>
          <w:p>
            <w:pPr>
              <w:spacing w:after="0"/>
              <w:rPr>
                <w:sz w:val="2"/>
                <w:szCs w:val="2"/>
                <w:color w:val="auto"/>
              </w:rPr>
            </w:pPr>
          </w:p>
        </w:tc>
        <w:tc>
          <w:tcPr>
            <w:tcW w:w="1520" w:type="dxa"/>
            <w:vAlign w:val="bottom"/>
            <w:shd w:val="clear" w:color="auto" w:fill="DBDBDB"/>
          </w:tcPr>
          <w:p>
            <w:pPr>
              <w:spacing w:after="0"/>
              <w:rPr>
                <w:sz w:val="2"/>
                <w:szCs w:val="2"/>
                <w:color w:val="auto"/>
              </w:rPr>
            </w:pPr>
          </w:p>
        </w:tc>
        <w:tc>
          <w:tcPr>
            <w:tcW w:w="1600" w:type="dxa"/>
            <w:vAlign w:val="bottom"/>
            <w:shd w:val="clear" w:color="auto" w:fill="DBDBDB"/>
          </w:tcPr>
          <w:p>
            <w:pPr>
              <w:spacing w:after="0"/>
              <w:rPr>
                <w:sz w:val="2"/>
                <w:szCs w:val="2"/>
                <w:color w:val="auto"/>
              </w:rPr>
            </w:pPr>
          </w:p>
        </w:tc>
        <w:tc>
          <w:tcPr>
            <w:tcW w:w="1400" w:type="dxa"/>
            <w:vAlign w:val="bottom"/>
            <w:shd w:val="clear" w:color="auto" w:fill="DBDBDB"/>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77" w:lineRule="exact"/>
        <w:rPr>
          <w:sz w:val="20"/>
          <w:szCs w:val="20"/>
          <w:color w:val="auto"/>
        </w:rPr>
      </w:pPr>
    </w:p>
    <w:p>
      <w:pPr>
        <w:ind w:right="20" w:firstLine="320"/>
        <w:spacing w:after="0" w:line="262" w:lineRule="auto"/>
        <w:rPr>
          <w:sz w:val="20"/>
          <w:szCs w:val="20"/>
          <w:color w:val="auto"/>
        </w:rPr>
      </w:pPr>
      <w:r>
        <w:rPr>
          <w:rFonts w:ascii="Arial" w:cs="Arial" w:eastAsia="Arial" w:hAnsi="Arial"/>
          <w:sz w:val="18"/>
          <w:szCs w:val="18"/>
          <w:color w:val="auto"/>
        </w:rPr>
        <w:t>In the table above, the equity values are computed in accordance with the methodologies used for financial reporting purposes, reflecting updated economic assumptions as of the valuation dates.</w:t>
      </w:r>
    </w:p>
    <w:p>
      <w:pPr>
        <w:spacing w:after="0" w:line="53" w:lineRule="exact"/>
        <w:rPr>
          <w:sz w:val="20"/>
          <w:szCs w:val="20"/>
          <w:color w:val="auto"/>
        </w:rPr>
      </w:pPr>
    </w:p>
    <w:p>
      <w:pPr>
        <w:ind w:firstLine="320"/>
        <w:spacing w:after="0" w:line="234" w:lineRule="auto"/>
        <w:rPr>
          <w:sz w:val="20"/>
          <w:szCs w:val="20"/>
          <w:color w:val="auto"/>
        </w:rPr>
      </w:pPr>
      <w:r>
        <w:rPr>
          <w:rFonts w:ascii="Arial" w:cs="Arial" w:eastAsia="Arial" w:hAnsi="Arial"/>
          <w:sz w:val="18"/>
          <w:szCs w:val="18"/>
          <w:b w:val="1"/>
          <w:bCs w:val="1"/>
          <w:color w:val="auto"/>
        </w:rPr>
        <w:t xml:space="preserve">Average Non-PEO NEO Compensation. </w:t>
      </w:r>
      <w:r>
        <w:rPr>
          <w:rFonts w:ascii="Arial" w:cs="Arial" w:eastAsia="Arial" w:hAnsi="Arial"/>
          <w:sz w:val="18"/>
          <w:szCs w:val="18"/>
          <w:color w:val="auto"/>
        </w:rPr>
        <w:t>To determine the amounts in the "Compensation Actually Paid to Non-PEO NEOs" column in</w:t>
      </w:r>
      <w:r>
        <w:rPr>
          <w:rFonts w:ascii="Arial" w:cs="Arial" w:eastAsia="Arial" w:hAnsi="Arial"/>
          <w:sz w:val="18"/>
          <w:szCs w:val="18"/>
          <w:b w:val="1"/>
          <w:bCs w:val="1"/>
          <w:color w:val="auto"/>
        </w:rPr>
        <w:t xml:space="preserve"> </w:t>
      </w:r>
      <w:r>
        <w:rPr>
          <w:rFonts w:ascii="Arial" w:cs="Arial" w:eastAsia="Arial" w:hAnsi="Arial"/>
          <w:sz w:val="18"/>
          <w:szCs w:val="18"/>
          <w:color w:val="auto"/>
        </w:rPr>
        <w:t>the PvP table, the following adjustments were made to the average total compensation of the non-PEO NEOs as reported in the Summary</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Compensation Table, in accordance with Item 402(v) of Regulation S-K.</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1060" w:type="dxa"/>
            <w:vAlign w:val="bottom"/>
            <w:shd w:val="clear" w:color="auto" w:fill="BF2115"/>
          </w:tcPr>
          <w:p>
            <w:pPr>
              <w:spacing w:after="0"/>
              <w:rPr>
                <w:sz w:val="16"/>
                <w:szCs w:val="16"/>
                <w:color w:val="auto"/>
              </w:rPr>
            </w:pPr>
          </w:p>
        </w:tc>
        <w:tc>
          <w:tcPr>
            <w:tcW w:w="1820" w:type="dxa"/>
            <w:vAlign w:val="bottom"/>
            <w:shd w:val="clear" w:color="auto" w:fill="BF2115"/>
          </w:tcPr>
          <w:p>
            <w:pPr>
              <w:spacing w:after="0"/>
              <w:rPr>
                <w:sz w:val="16"/>
                <w:szCs w:val="16"/>
                <w:color w:val="auto"/>
              </w:rPr>
            </w:pPr>
          </w:p>
        </w:tc>
        <w:tc>
          <w:tcPr>
            <w:tcW w:w="1700" w:type="dxa"/>
            <w:vAlign w:val="bottom"/>
            <w:vMerge w:val="restart"/>
            <w:shd w:val="clear" w:color="auto" w:fill="BF2115"/>
          </w:tcPr>
          <w:p>
            <w:pPr>
              <w:jc w:val="center"/>
              <w:spacing w:after="0"/>
              <w:rPr>
                <w:sz w:val="20"/>
                <w:szCs w:val="20"/>
                <w:color w:val="auto"/>
              </w:rPr>
            </w:pPr>
            <w:r>
              <w:rPr>
                <w:rFonts w:ascii="Arial" w:cs="Arial" w:eastAsia="Arial" w:hAnsi="Arial"/>
                <w:sz w:val="16"/>
                <w:szCs w:val="16"/>
                <w:b w:val="1"/>
                <w:bCs w:val="1"/>
                <w:color w:val="FFFFFF"/>
                <w:w w:val="98"/>
              </w:rPr>
              <w:t>Average SCT</w:t>
            </w:r>
          </w:p>
        </w:tc>
        <w:tc>
          <w:tcPr>
            <w:tcW w:w="1640" w:type="dxa"/>
            <w:vAlign w:val="bottom"/>
            <w:shd w:val="clear" w:color="auto" w:fill="BF2115"/>
          </w:tcPr>
          <w:p>
            <w:pPr>
              <w:spacing w:after="0"/>
              <w:rPr>
                <w:sz w:val="16"/>
                <w:szCs w:val="16"/>
                <w:color w:val="auto"/>
              </w:rPr>
            </w:pPr>
          </w:p>
        </w:tc>
        <w:tc>
          <w:tcPr>
            <w:tcW w:w="1680" w:type="dxa"/>
            <w:vAlign w:val="bottom"/>
            <w:shd w:val="clear" w:color="auto" w:fill="BF2115"/>
          </w:tcPr>
          <w:p>
            <w:pPr>
              <w:jc w:val="center"/>
              <w:spacing w:after="0"/>
              <w:rPr>
                <w:sz w:val="20"/>
                <w:szCs w:val="20"/>
                <w:color w:val="auto"/>
              </w:rPr>
            </w:pPr>
            <w:r>
              <w:rPr>
                <w:rFonts w:ascii="Arial" w:cs="Arial" w:eastAsia="Arial" w:hAnsi="Arial"/>
                <w:sz w:val="16"/>
                <w:szCs w:val="16"/>
                <w:b w:val="1"/>
                <w:bCs w:val="1"/>
                <w:color w:val="FFFFFF"/>
                <w:w w:val="99"/>
              </w:rPr>
              <w:t>Average Change in</w:t>
            </w:r>
          </w:p>
        </w:tc>
        <w:tc>
          <w:tcPr>
            <w:tcW w:w="1780" w:type="dxa"/>
            <w:vAlign w:val="bottom"/>
            <w:shd w:val="clear" w:color="auto" w:fill="BF2115"/>
          </w:tcPr>
          <w:p>
            <w:pPr>
              <w:spacing w:after="0"/>
              <w:rPr>
                <w:sz w:val="16"/>
                <w:szCs w:val="16"/>
                <w:color w:val="auto"/>
              </w:rPr>
            </w:pPr>
          </w:p>
        </w:tc>
        <w:tc>
          <w:tcPr>
            <w:tcW w:w="1540" w:type="dxa"/>
            <w:vAlign w:val="bottom"/>
            <w:vMerge w:val="restart"/>
            <w:shd w:val="clear" w:color="auto" w:fill="BF2115"/>
          </w:tcPr>
          <w:p>
            <w:pPr>
              <w:jc w:val="center"/>
              <w:ind w:right="60"/>
              <w:spacing w:after="0"/>
              <w:rPr>
                <w:sz w:val="20"/>
                <w:szCs w:val="20"/>
                <w:color w:val="auto"/>
              </w:rPr>
            </w:pPr>
            <w:r>
              <w:rPr>
                <w:rFonts w:ascii="Arial" w:cs="Arial" w:eastAsia="Arial" w:hAnsi="Arial"/>
                <w:sz w:val="16"/>
                <w:szCs w:val="16"/>
                <w:b w:val="1"/>
                <w:bCs w:val="1"/>
                <w:color w:val="FFFFFF"/>
              </w:rPr>
              <w:t>Average</w:t>
            </w:r>
          </w:p>
        </w:tc>
        <w:tc>
          <w:tcPr>
            <w:tcW w:w="0" w:type="dxa"/>
            <w:vAlign w:val="bottom"/>
          </w:tcPr>
          <w:p>
            <w:pPr>
              <w:spacing w:after="0"/>
              <w:rPr>
                <w:sz w:val="1"/>
                <w:szCs w:val="1"/>
                <w:color w:val="auto"/>
              </w:rPr>
            </w:pPr>
          </w:p>
        </w:tc>
      </w:tr>
      <w:tr>
        <w:trPr>
          <w:trHeight w:val="173"/>
        </w:trPr>
        <w:tc>
          <w:tcPr>
            <w:tcW w:w="1060" w:type="dxa"/>
            <w:vAlign w:val="bottom"/>
            <w:shd w:val="clear" w:color="auto" w:fill="BF2115"/>
          </w:tcPr>
          <w:p>
            <w:pPr>
              <w:spacing w:after="0"/>
              <w:rPr>
                <w:sz w:val="15"/>
                <w:szCs w:val="15"/>
                <w:color w:val="auto"/>
              </w:rPr>
            </w:pPr>
          </w:p>
        </w:tc>
        <w:tc>
          <w:tcPr>
            <w:tcW w:w="1820" w:type="dxa"/>
            <w:vAlign w:val="bottom"/>
            <w:shd w:val="clear" w:color="auto" w:fill="BF2115"/>
          </w:tcPr>
          <w:p>
            <w:pPr>
              <w:spacing w:after="0"/>
              <w:rPr>
                <w:sz w:val="15"/>
                <w:szCs w:val="15"/>
                <w:color w:val="auto"/>
              </w:rPr>
            </w:pPr>
          </w:p>
        </w:tc>
        <w:tc>
          <w:tcPr>
            <w:tcW w:w="1700" w:type="dxa"/>
            <w:vAlign w:val="bottom"/>
            <w:vMerge w:val="continue"/>
            <w:shd w:val="clear" w:color="auto" w:fill="BF2115"/>
          </w:tcPr>
          <w:p>
            <w:pPr>
              <w:spacing w:after="0"/>
              <w:rPr>
                <w:sz w:val="15"/>
                <w:szCs w:val="15"/>
                <w:color w:val="auto"/>
              </w:rPr>
            </w:pPr>
          </w:p>
        </w:tc>
        <w:tc>
          <w:tcPr>
            <w:tcW w:w="1640" w:type="dxa"/>
            <w:vAlign w:val="bottom"/>
            <w:shd w:val="clear" w:color="auto" w:fill="BF2115"/>
          </w:tcPr>
          <w:p>
            <w:pPr>
              <w:spacing w:after="0"/>
              <w:rPr>
                <w:sz w:val="15"/>
                <w:szCs w:val="15"/>
                <w:color w:val="auto"/>
              </w:rPr>
            </w:pPr>
          </w:p>
        </w:tc>
        <w:tc>
          <w:tcPr>
            <w:tcW w:w="1680" w:type="dxa"/>
            <w:vAlign w:val="bottom"/>
            <w:shd w:val="clear" w:color="auto" w:fill="BF2115"/>
          </w:tcPr>
          <w:p>
            <w:pPr>
              <w:jc w:val="center"/>
              <w:spacing w:after="0" w:line="174" w:lineRule="exact"/>
              <w:rPr>
                <w:sz w:val="20"/>
                <w:szCs w:val="20"/>
                <w:color w:val="auto"/>
              </w:rPr>
            </w:pPr>
            <w:r>
              <w:rPr>
                <w:rFonts w:ascii="Arial" w:cs="Arial" w:eastAsia="Arial" w:hAnsi="Arial"/>
                <w:sz w:val="16"/>
                <w:szCs w:val="16"/>
                <w:b w:val="1"/>
                <w:bCs w:val="1"/>
                <w:color w:val="FFFFFF"/>
                <w:w w:val="99"/>
              </w:rPr>
              <w:t>the Actuarial Present</w:t>
            </w:r>
          </w:p>
        </w:tc>
        <w:tc>
          <w:tcPr>
            <w:tcW w:w="1780" w:type="dxa"/>
            <w:vAlign w:val="bottom"/>
            <w:shd w:val="clear" w:color="auto" w:fill="BF2115"/>
          </w:tcPr>
          <w:p>
            <w:pPr>
              <w:spacing w:after="0"/>
              <w:rPr>
                <w:sz w:val="15"/>
                <w:szCs w:val="15"/>
                <w:color w:val="auto"/>
              </w:rPr>
            </w:pPr>
          </w:p>
        </w:tc>
        <w:tc>
          <w:tcPr>
            <w:tcW w:w="1540" w:type="dxa"/>
            <w:vAlign w:val="bottom"/>
            <w:vMerge w:val="continue"/>
            <w:shd w:val="clear" w:color="auto" w:fill="BF2115"/>
          </w:tcPr>
          <w:p>
            <w:pPr>
              <w:spacing w:after="0"/>
              <w:rPr>
                <w:sz w:val="15"/>
                <w:szCs w:val="15"/>
                <w:color w:val="auto"/>
              </w:rPr>
            </w:pPr>
          </w:p>
        </w:tc>
        <w:tc>
          <w:tcPr>
            <w:tcW w:w="0" w:type="dxa"/>
            <w:vAlign w:val="bottom"/>
          </w:tcPr>
          <w:p>
            <w:pPr>
              <w:spacing w:after="0"/>
              <w:rPr>
                <w:sz w:val="1"/>
                <w:szCs w:val="1"/>
                <w:color w:val="auto"/>
              </w:rPr>
            </w:pPr>
          </w:p>
        </w:tc>
      </w:tr>
      <w:tr>
        <w:trPr>
          <w:trHeight w:val="201"/>
        </w:trPr>
        <w:tc>
          <w:tcPr>
            <w:tcW w:w="1060" w:type="dxa"/>
            <w:vAlign w:val="bottom"/>
            <w:shd w:val="clear" w:color="auto" w:fill="BF2115"/>
          </w:tcPr>
          <w:p>
            <w:pPr>
              <w:spacing w:after="0"/>
              <w:rPr>
                <w:sz w:val="17"/>
                <w:szCs w:val="17"/>
                <w:color w:val="auto"/>
              </w:rPr>
            </w:pPr>
          </w:p>
        </w:tc>
        <w:tc>
          <w:tcPr>
            <w:tcW w:w="1820" w:type="dxa"/>
            <w:vAlign w:val="bottom"/>
            <w:shd w:val="clear" w:color="auto" w:fill="BF2115"/>
          </w:tcPr>
          <w:p>
            <w:pPr>
              <w:jc w:val="center"/>
              <w:ind w:left="60"/>
              <w:spacing w:after="0"/>
              <w:rPr>
                <w:sz w:val="20"/>
                <w:szCs w:val="20"/>
                <w:color w:val="auto"/>
              </w:rPr>
            </w:pPr>
            <w:r>
              <w:rPr>
                <w:rFonts w:ascii="Arial" w:cs="Arial" w:eastAsia="Arial" w:hAnsi="Arial"/>
                <w:sz w:val="16"/>
                <w:szCs w:val="16"/>
                <w:b w:val="1"/>
                <w:bCs w:val="1"/>
                <w:color w:val="FFFFFF"/>
                <w:w w:val="98"/>
              </w:rPr>
              <w:t>Average SCT Total</w:t>
            </w:r>
          </w:p>
        </w:tc>
        <w:tc>
          <w:tcPr>
            <w:tcW w:w="1700" w:type="dxa"/>
            <w:vAlign w:val="bottom"/>
            <w:shd w:val="clear" w:color="auto" w:fill="BF2115"/>
          </w:tcPr>
          <w:p>
            <w:pPr>
              <w:jc w:val="center"/>
              <w:spacing w:after="0"/>
              <w:rPr>
                <w:sz w:val="20"/>
                <w:szCs w:val="20"/>
                <w:color w:val="auto"/>
              </w:rPr>
            </w:pPr>
            <w:r>
              <w:rPr>
                <w:rFonts w:ascii="Arial" w:cs="Arial" w:eastAsia="Arial" w:hAnsi="Arial"/>
                <w:sz w:val="16"/>
                <w:szCs w:val="16"/>
                <w:b w:val="1"/>
                <w:bCs w:val="1"/>
                <w:color w:val="FFFFFF"/>
                <w:w w:val="98"/>
              </w:rPr>
              <w:t>Reported Equity</w:t>
            </w:r>
          </w:p>
        </w:tc>
        <w:tc>
          <w:tcPr>
            <w:tcW w:w="1640" w:type="dxa"/>
            <w:vAlign w:val="bottom"/>
            <w:shd w:val="clear" w:color="auto" w:fill="BF2115"/>
          </w:tcPr>
          <w:p>
            <w:pPr>
              <w:jc w:val="center"/>
              <w:spacing w:after="0"/>
              <w:rPr>
                <w:sz w:val="20"/>
                <w:szCs w:val="20"/>
                <w:color w:val="auto"/>
              </w:rPr>
            </w:pPr>
            <w:r>
              <w:rPr>
                <w:rFonts w:ascii="Arial" w:cs="Arial" w:eastAsia="Arial" w:hAnsi="Arial"/>
                <w:sz w:val="16"/>
                <w:szCs w:val="16"/>
                <w:b w:val="1"/>
                <w:bCs w:val="1"/>
                <w:color w:val="FFFFFF"/>
                <w:w w:val="99"/>
              </w:rPr>
              <w:t>Average Equity</w:t>
            </w:r>
          </w:p>
        </w:tc>
        <w:tc>
          <w:tcPr>
            <w:tcW w:w="1680" w:type="dxa"/>
            <w:vAlign w:val="bottom"/>
            <w:shd w:val="clear" w:color="auto" w:fill="BF2115"/>
          </w:tcPr>
          <w:p>
            <w:pPr>
              <w:jc w:val="center"/>
              <w:spacing w:after="0"/>
              <w:rPr>
                <w:sz w:val="20"/>
                <w:szCs w:val="20"/>
                <w:color w:val="auto"/>
              </w:rPr>
            </w:pPr>
            <w:r>
              <w:rPr>
                <w:rFonts w:ascii="Arial" w:cs="Arial" w:eastAsia="Arial" w:hAnsi="Arial"/>
                <w:sz w:val="16"/>
                <w:szCs w:val="16"/>
                <w:b w:val="1"/>
                <w:bCs w:val="1"/>
                <w:color w:val="FFFFFF"/>
                <w:w w:val="99"/>
              </w:rPr>
              <w:t>Value of Pension</w:t>
            </w:r>
          </w:p>
        </w:tc>
        <w:tc>
          <w:tcPr>
            <w:tcW w:w="1780" w:type="dxa"/>
            <w:vAlign w:val="bottom"/>
            <w:shd w:val="clear" w:color="auto" w:fill="BF2115"/>
          </w:tcPr>
          <w:p>
            <w:pPr>
              <w:jc w:val="center"/>
              <w:ind w:right="80"/>
              <w:spacing w:after="0"/>
              <w:rPr>
                <w:sz w:val="20"/>
                <w:szCs w:val="20"/>
                <w:color w:val="auto"/>
              </w:rPr>
            </w:pPr>
            <w:r>
              <w:rPr>
                <w:rFonts w:ascii="Arial" w:cs="Arial" w:eastAsia="Arial" w:hAnsi="Arial"/>
                <w:sz w:val="16"/>
                <w:szCs w:val="16"/>
                <w:b w:val="1"/>
                <w:bCs w:val="1"/>
                <w:color w:val="FFFFFF"/>
              </w:rPr>
              <w:t>Average Pension</w:t>
            </w:r>
          </w:p>
        </w:tc>
        <w:tc>
          <w:tcPr>
            <w:tcW w:w="1540" w:type="dxa"/>
            <w:vAlign w:val="bottom"/>
            <w:shd w:val="clear" w:color="auto" w:fill="BF2115"/>
          </w:tcPr>
          <w:p>
            <w:pPr>
              <w:jc w:val="center"/>
              <w:ind w:right="60"/>
              <w:spacing w:after="0"/>
              <w:rPr>
                <w:sz w:val="20"/>
                <w:szCs w:val="20"/>
                <w:color w:val="auto"/>
              </w:rPr>
            </w:pPr>
            <w:r>
              <w:rPr>
                <w:rFonts w:ascii="Arial" w:cs="Arial" w:eastAsia="Arial" w:hAnsi="Arial"/>
                <w:sz w:val="16"/>
                <w:szCs w:val="16"/>
                <w:b w:val="1"/>
                <w:bCs w:val="1"/>
                <w:color w:val="FFFFFF"/>
              </w:rPr>
              <w:t>Compensation</w:t>
            </w:r>
          </w:p>
        </w:tc>
        <w:tc>
          <w:tcPr>
            <w:tcW w:w="0" w:type="dxa"/>
            <w:vAlign w:val="bottom"/>
          </w:tcPr>
          <w:p>
            <w:pPr>
              <w:spacing w:after="0"/>
              <w:rPr>
                <w:sz w:val="1"/>
                <w:szCs w:val="1"/>
                <w:color w:val="auto"/>
              </w:rPr>
            </w:pPr>
          </w:p>
        </w:tc>
      </w:tr>
      <w:tr>
        <w:trPr>
          <w:trHeight w:val="159"/>
        </w:trPr>
        <w:tc>
          <w:tcPr>
            <w:tcW w:w="1060" w:type="dxa"/>
            <w:vAlign w:val="bottom"/>
            <w:shd w:val="clear" w:color="auto" w:fill="BF2115"/>
          </w:tcPr>
          <w:p>
            <w:pPr>
              <w:spacing w:after="0"/>
              <w:rPr>
                <w:sz w:val="13"/>
                <w:szCs w:val="13"/>
                <w:color w:val="auto"/>
              </w:rPr>
            </w:pPr>
          </w:p>
        </w:tc>
        <w:tc>
          <w:tcPr>
            <w:tcW w:w="1820" w:type="dxa"/>
            <w:vAlign w:val="bottom"/>
            <w:shd w:val="clear" w:color="auto" w:fill="BF2115"/>
          </w:tcPr>
          <w:p>
            <w:pPr>
              <w:jc w:val="center"/>
              <w:ind w:left="60"/>
              <w:spacing w:after="0" w:line="159" w:lineRule="exact"/>
              <w:rPr>
                <w:sz w:val="20"/>
                <w:szCs w:val="20"/>
                <w:color w:val="auto"/>
              </w:rPr>
            </w:pPr>
            <w:r>
              <w:rPr>
                <w:rFonts w:ascii="Arial" w:cs="Arial" w:eastAsia="Arial" w:hAnsi="Arial"/>
                <w:sz w:val="16"/>
                <w:szCs w:val="16"/>
                <w:b w:val="1"/>
                <w:bCs w:val="1"/>
                <w:color w:val="FFFFFF"/>
                <w:w w:val="93"/>
              </w:rPr>
              <w:t>for</w:t>
            </w:r>
          </w:p>
        </w:tc>
        <w:tc>
          <w:tcPr>
            <w:tcW w:w="1700" w:type="dxa"/>
            <w:vAlign w:val="bottom"/>
            <w:shd w:val="clear" w:color="auto" w:fill="BF2115"/>
          </w:tcPr>
          <w:p>
            <w:pPr>
              <w:jc w:val="center"/>
              <w:spacing w:after="0" w:line="159" w:lineRule="exact"/>
              <w:rPr>
                <w:sz w:val="20"/>
                <w:szCs w:val="20"/>
                <w:color w:val="auto"/>
              </w:rPr>
            </w:pPr>
            <w:r>
              <w:rPr>
                <w:rFonts w:ascii="Arial" w:cs="Arial" w:eastAsia="Arial" w:hAnsi="Arial"/>
                <w:sz w:val="16"/>
                <w:szCs w:val="16"/>
                <w:b w:val="1"/>
                <w:bCs w:val="1"/>
                <w:color w:val="FFFFFF"/>
                <w:w w:val="99"/>
              </w:rPr>
              <w:t>Award Value for Non-</w:t>
            </w:r>
          </w:p>
        </w:tc>
        <w:tc>
          <w:tcPr>
            <w:tcW w:w="1640" w:type="dxa"/>
            <w:vAlign w:val="bottom"/>
            <w:shd w:val="clear" w:color="auto" w:fill="BF2115"/>
          </w:tcPr>
          <w:p>
            <w:pPr>
              <w:jc w:val="center"/>
              <w:spacing w:after="0" w:line="159" w:lineRule="exact"/>
              <w:rPr>
                <w:sz w:val="20"/>
                <w:szCs w:val="20"/>
                <w:color w:val="auto"/>
              </w:rPr>
            </w:pPr>
            <w:r>
              <w:rPr>
                <w:rFonts w:ascii="Arial" w:cs="Arial" w:eastAsia="Arial" w:hAnsi="Arial"/>
                <w:sz w:val="16"/>
                <w:szCs w:val="16"/>
                <w:b w:val="1"/>
                <w:bCs w:val="1"/>
                <w:color w:val="FFFFFF"/>
                <w:w w:val="99"/>
              </w:rPr>
              <w:t>Award Adjustments</w:t>
            </w:r>
          </w:p>
        </w:tc>
        <w:tc>
          <w:tcPr>
            <w:tcW w:w="1680" w:type="dxa"/>
            <w:vAlign w:val="bottom"/>
            <w:shd w:val="clear" w:color="auto" w:fill="BF2115"/>
          </w:tcPr>
          <w:p>
            <w:pPr>
              <w:jc w:val="center"/>
              <w:spacing w:after="0" w:line="159" w:lineRule="exact"/>
              <w:rPr>
                <w:sz w:val="20"/>
                <w:szCs w:val="20"/>
                <w:color w:val="auto"/>
              </w:rPr>
            </w:pPr>
            <w:r>
              <w:rPr>
                <w:rFonts w:ascii="Arial" w:cs="Arial" w:eastAsia="Arial" w:hAnsi="Arial"/>
                <w:sz w:val="16"/>
                <w:szCs w:val="16"/>
                <w:b w:val="1"/>
                <w:bCs w:val="1"/>
                <w:color w:val="FFFFFF"/>
              </w:rPr>
              <w:t>Benefits for Non-</w:t>
            </w:r>
          </w:p>
        </w:tc>
        <w:tc>
          <w:tcPr>
            <w:tcW w:w="3320" w:type="dxa"/>
            <w:vAlign w:val="bottom"/>
            <w:gridSpan w:val="2"/>
            <w:shd w:val="clear" w:color="auto" w:fill="BF2115"/>
          </w:tcPr>
          <w:p>
            <w:pPr>
              <w:jc w:val="right"/>
              <w:spacing w:after="0" w:line="159" w:lineRule="exact"/>
              <w:rPr>
                <w:sz w:val="20"/>
                <w:szCs w:val="20"/>
                <w:color w:val="auto"/>
              </w:rPr>
            </w:pPr>
            <w:r>
              <w:rPr>
                <w:rFonts w:ascii="Arial" w:cs="Arial" w:eastAsia="Arial" w:hAnsi="Arial"/>
                <w:sz w:val="16"/>
                <w:szCs w:val="16"/>
                <w:b w:val="1"/>
                <w:bCs w:val="1"/>
                <w:color w:val="FFFFFF"/>
              </w:rPr>
              <w:t>Benefit Adjustments Actually Paid to Non-</w:t>
            </w:r>
          </w:p>
        </w:tc>
        <w:tc>
          <w:tcPr>
            <w:tcW w:w="0" w:type="dxa"/>
            <w:vAlign w:val="bottom"/>
          </w:tcPr>
          <w:p>
            <w:pPr>
              <w:spacing w:after="0"/>
              <w:rPr>
                <w:sz w:val="1"/>
                <w:szCs w:val="1"/>
                <w:color w:val="auto"/>
              </w:rPr>
            </w:pPr>
          </w:p>
        </w:tc>
      </w:tr>
      <w:tr>
        <w:trPr>
          <w:trHeight w:val="188"/>
        </w:trPr>
        <w:tc>
          <w:tcPr>
            <w:tcW w:w="1060" w:type="dxa"/>
            <w:vAlign w:val="bottom"/>
            <w:vMerge w:val="restart"/>
            <w:shd w:val="clear" w:color="auto" w:fill="BF2115"/>
          </w:tcPr>
          <w:p>
            <w:pPr>
              <w:jc w:val="right"/>
              <w:ind w:right="200"/>
              <w:spacing w:after="0"/>
              <w:rPr>
                <w:sz w:val="20"/>
                <w:szCs w:val="20"/>
                <w:color w:val="auto"/>
              </w:rPr>
            </w:pPr>
            <w:r>
              <w:rPr>
                <w:rFonts w:ascii="Arial" w:cs="Arial" w:eastAsia="Arial" w:hAnsi="Arial"/>
                <w:sz w:val="16"/>
                <w:szCs w:val="16"/>
                <w:b w:val="1"/>
                <w:bCs w:val="1"/>
                <w:color w:val="FFFFFF"/>
              </w:rPr>
              <w:t>Year</w:t>
            </w:r>
          </w:p>
        </w:tc>
        <w:tc>
          <w:tcPr>
            <w:tcW w:w="1820" w:type="dxa"/>
            <w:vAlign w:val="bottom"/>
            <w:shd w:val="clear" w:color="auto" w:fill="BF2115"/>
          </w:tcPr>
          <w:p>
            <w:pPr>
              <w:jc w:val="center"/>
              <w:ind w:left="60"/>
              <w:spacing w:after="0"/>
              <w:rPr>
                <w:sz w:val="20"/>
                <w:szCs w:val="20"/>
                <w:color w:val="auto"/>
              </w:rPr>
            </w:pPr>
            <w:r>
              <w:rPr>
                <w:rFonts w:ascii="Arial" w:cs="Arial" w:eastAsia="Arial" w:hAnsi="Arial"/>
                <w:sz w:val="16"/>
                <w:szCs w:val="16"/>
                <w:b w:val="1"/>
                <w:bCs w:val="1"/>
                <w:color w:val="FFFFFF"/>
              </w:rPr>
              <w:t>Non-PEO NEOs</w:t>
            </w:r>
          </w:p>
        </w:tc>
        <w:tc>
          <w:tcPr>
            <w:tcW w:w="1700" w:type="dxa"/>
            <w:vAlign w:val="bottom"/>
            <w:shd w:val="clear" w:color="auto" w:fill="BF2115"/>
          </w:tcPr>
          <w:p>
            <w:pPr>
              <w:jc w:val="center"/>
              <w:spacing w:after="0"/>
              <w:rPr>
                <w:sz w:val="20"/>
                <w:szCs w:val="20"/>
                <w:color w:val="auto"/>
              </w:rPr>
            </w:pPr>
            <w:r>
              <w:rPr>
                <w:rFonts w:ascii="Arial" w:cs="Arial" w:eastAsia="Arial" w:hAnsi="Arial"/>
                <w:sz w:val="16"/>
                <w:szCs w:val="16"/>
                <w:b w:val="1"/>
                <w:bCs w:val="1"/>
                <w:color w:val="FFFFFF"/>
              </w:rPr>
              <w:t>PEO NEOs</w:t>
            </w:r>
          </w:p>
        </w:tc>
        <w:tc>
          <w:tcPr>
            <w:tcW w:w="1640" w:type="dxa"/>
            <w:vAlign w:val="bottom"/>
            <w:shd w:val="clear" w:color="auto" w:fill="BF2115"/>
          </w:tcPr>
          <w:p>
            <w:pPr>
              <w:jc w:val="center"/>
              <w:spacing w:after="0" w:line="187" w:lineRule="exact"/>
              <w:rPr>
                <w:sz w:val="20"/>
                <w:szCs w:val="20"/>
                <w:color w:val="auto"/>
              </w:rPr>
            </w:pPr>
            <w:r>
              <w:rPr>
                <w:rFonts w:ascii="Arial" w:cs="Arial" w:eastAsia="Arial" w:hAnsi="Arial"/>
                <w:sz w:val="16"/>
                <w:szCs w:val="16"/>
                <w:b w:val="1"/>
                <w:bCs w:val="1"/>
                <w:color w:val="FFFFFF"/>
                <w:w w:val="99"/>
              </w:rPr>
              <w:t>for Non-PEO NEOs</w:t>
            </w:r>
            <w:r>
              <w:rPr>
                <w:rFonts w:ascii="Arial" w:cs="Arial" w:eastAsia="Arial" w:hAnsi="Arial"/>
                <w:sz w:val="20"/>
                <w:szCs w:val="20"/>
                <w:b w:val="1"/>
                <w:bCs w:val="1"/>
                <w:color w:val="FFFFFF"/>
                <w:w w:val="99"/>
                <w:vertAlign w:val="superscript"/>
              </w:rPr>
              <w:t>1</w:t>
            </w:r>
          </w:p>
        </w:tc>
        <w:tc>
          <w:tcPr>
            <w:tcW w:w="1680" w:type="dxa"/>
            <w:vAlign w:val="bottom"/>
            <w:shd w:val="clear" w:color="auto" w:fill="BF2115"/>
          </w:tcPr>
          <w:p>
            <w:pPr>
              <w:jc w:val="center"/>
              <w:spacing w:after="0"/>
              <w:rPr>
                <w:sz w:val="20"/>
                <w:szCs w:val="20"/>
                <w:color w:val="auto"/>
              </w:rPr>
            </w:pPr>
            <w:r>
              <w:rPr>
                <w:rFonts w:ascii="Arial" w:cs="Arial" w:eastAsia="Arial" w:hAnsi="Arial"/>
                <w:sz w:val="16"/>
                <w:szCs w:val="16"/>
                <w:b w:val="1"/>
                <w:bCs w:val="1"/>
                <w:color w:val="FFFFFF"/>
              </w:rPr>
              <w:t>PEO NEOs</w:t>
            </w:r>
          </w:p>
        </w:tc>
        <w:tc>
          <w:tcPr>
            <w:tcW w:w="1780" w:type="dxa"/>
            <w:vAlign w:val="bottom"/>
            <w:shd w:val="clear" w:color="auto" w:fill="BF2115"/>
          </w:tcPr>
          <w:p>
            <w:pPr>
              <w:jc w:val="center"/>
              <w:ind w:right="60"/>
              <w:spacing w:after="0"/>
              <w:rPr>
                <w:sz w:val="20"/>
                <w:szCs w:val="20"/>
                <w:color w:val="auto"/>
              </w:rPr>
            </w:pPr>
            <w:r>
              <w:rPr>
                <w:rFonts w:ascii="Arial" w:cs="Arial" w:eastAsia="Arial" w:hAnsi="Arial"/>
                <w:sz w:val="16"/>
                <w:szCs w:val="16"/>
                <w:b w:val="1"/>
                <w:bCs w:val="1"/>
                <w:color w:val="FFFFFF"/>
                <w:w w:val="99"/>
              </w:rPr>
              <w:t>for Non PEO-NEOs</w:t>
            </w:r>
          </w:p>
        </w:tc>
        <w:tc>
          <w:tcPr>
            <w:tcW w:w="1540" w:type="dxa"/>
            <w:vAlign w:val="bottom"/>
            <w:shd w:val="clear" w:color="auto" w:fill="BF2115"/>
          </w:tcPr>
          <w:p>
            <w:pPr>
              <w:jc w:val="center"/>
              <w:ind w:right="40"/>
              <w:spacing w:after="0"/>
              <w:rPr>
                <w:sz w:val="20"/>
                <w:szCs w:val="20"/>
                <w:color w:val="auto"/>
              </w:rPr>
            </w:pPr>
            <w:r>
              <w:rPr>
                <w:rFonts w:ascii="Arial" w:cs="Arial" w:eastAsia="Arial" w:hAnsi="Arial"/>
                <w:sz w:val="16"/>
                <w:szCs w:val="16"/>
                <w:b w:val="1"/>
                <w:bCs w:val="1"/>
                <w:color w:val="FFFFFF"/>
              </w:rPr>
              <w:t>PEO NEOs</w:t>
            </w:r>
          </w:p>
        </w:tc>
        <w:tc>
          <w:tcPr>
            <w:tcW w:w="0" w:type="dxa"/>
            <w:vAlign w:val="bottom"/>
          </w:tcPr>
          <w:p>
            <w:pPr>
              <w:spacing w:after="0"/>
              <w:rPr>
                <w:sz w:val="1"/>
                <w:szCs w:val="1"/>
                <w:color w:val="auto"/>
              </w:rPr>
            </w:pPr>
          </w:p>
        </w:tc>
      </w:tr>
      <w:tr>
        <w:trPr>
          <w:trHeight w:val="213"/>
        </w:trPr>
        <w:tc>
          <w:tcPr>
            <w:tcW w:w="1060" w:type="dxa"/>
            <w:vAlign w:val="bottom"/>
            <w:vMerge w:val="continue"/>
            <w:shd w:val="clear" w:color="auto" w:fill="BF2115"/>
          </w:tcPr>
          <w:p>
            <w:pPr>
              <w:spacing w:after="0"/>
              <w:rPr>
                <w:sz w:val="18"/>
                <w:szCs w:val="18"/>
                <w:color w:val="auto"/>
              </w:rPr>
            </w:pPr>
          </w:p>
        </w:tc>
        <w:tc>
          <w:tcPr>
            <w:tcW w:w="1820" w:type="dxa"/>
            <w:vAlign w:val="bottom"/>
            <w:shd w:val="clear" w:color="auto" w:fill="BF2115"/>
          </w:tcPr>
          <w:p>
            <w:pPr>
              <w:jc w:val="center"/>
              <w:ind w:left="60"/>
              <w:spacing w:after="0"/>
              <w:rPr>
                <w:sz w:val="20"/>
                <w:szCs w:val="20"/>
                <w:color w:val="auto"/>
              </w:rPr>
            </w:pPr>
            <w:r>
              <w:rPr>
                <w:rFonts w:ascii="Arial" w:cs="Arial" w:eastAsia="Arial" w:hAnsi="Arial"/>
                <w:sz w:val="16"/>
                <w:szCs w:val="16"/>
                <w:b w:val="1"/>
                <w:bCs w:val="1"/>
                <w:color w:val="FFFFFF"/>
              </w:rPr>
              <w:t>($)</w:t>
            </w:r>
          </w:p>
        </w:tc>
        <w:tc>
          <w:tcPr>
            <w:tcW w:w="1700" w:type="dxa"/>
            <w:vAlign w:val="bottom"/>
            <w:shd w:val="clear" w:color="auto" w:fill="BF2115"/>
          </w:tcPr>
          <w:p>
            <w:pPr>
              <w:jc w:val="center"/>
              <w:spacing w:after="0"/>
              <w:rPr>
                <w:sz w:val="20"/>
                <w:szCs w:val="20"/>
                <w:color w:val="auto"/>
              </w:rPr>
            </w:pPr>
            <w:r>
              <w:rPr>
                <w:rFonts w:ascii="Arial" w:cs="Arial" w:eastAsia="Arial" w:hAnsi="Arial"/>
                <w:sz w:val="16"/>
                <w:szCs w:val="16"/>
                <w:b w:val="1"/>
                <w:bCs w:val="1"/>
                <w:color w:val="FFFFFF"/>
                <w:w w:val="91"/>
              </w:rPr>
              <w:t>($)</w:t>
            </w:r>
          </w:p>
        </w:tc>
        <w:tc>
          <w:tcPr>
            <w:tcW w:w="1640" w:type="dxa"/>
            <w:vAlign w:val="bottom"/>
            <w:shd w:val="clear" w:color="auto" w:fill="BF2115"/>
          </w:tcPr>
          <w:p>
            <w:pPr>
              <w:jc w:val="center"/>
              <w:spacing w:after="0"/>
              <w:rPr>
                <w:sz w:val="20"/>
                <w:szCs w:val="20"/>
                <w:color w:val="auto"/>
              </w:rPr>
            </w:pPr>
            <w:r>
              <w:rPr>
                <w:rFonts w:ascii="Arial" w:cs="Arial" w:eastAsia="Arial" w:hAnsi="Arial"/>
                <w:sz w:val="16"/>
                <w:szCs w:val="16"/>
                <w:b w:val="1"/>
                <w:bCs w:val="1"/>
                <w:color w:val="FFFFFF"/>
              </w:rPr>
              <w:t>($)</w:t>
            </w:r>
          </w:p>
        </w:tc>
        <w:tc>
          <w:tcPr>
            <w:tcW w:w="1680" w:type="dxa"/>
            <w:vAlign w:val="bottom"/>
            <w:shd w:val="clear" w:color="auto" w:fill="BF2115"/>
          </w:tcPr>
          <w:p>
            <w:pPr>
              <w:jc w:val="center"/>
              <w:spacing w:after="0"/>
              <w:rPr>
                <w:sz w:val="20"/>
                <w:szCs w:val="20"/>
                <w:color w:val="auto"/>
              </w:rPr>
            </w:pPr>
            <w:r>
              <w:rPr>
                <w:rFonts w:ascii="Arial" w:cs="Arial" w:eastAsia="Arial" w:hAnsi="Arial"/>
                <w:sz w:val="16"/>
                <w:szCs w:val="16"/>
                <w:b w:val="1"/>
                <w:bCs w:val="1"/>
                <w:color w:val="FFFFFF"/>
              </w:rPr>
              <w:t>($)</w:t>
            </w:r>
          </w:p>
        </w:tc>
        <w:tc>
          <w:tcPr>
            <w:tcW w:w="1780" w:type="dxa"/>
            <w:vAlign w:val="bottom"/>
            <w:shd w:val="clear" w:color="auto" w:fill="BF2115"/>
          </w:tcPr>
          <w:p>
            <w:pPr>
              <w:jc w:val="center"/>
              <w:ind w:right="60"/>
              <w:spacing w:after="0"/>
              <w:rPr>
                <w:sz w:val="20"/>
                <w:szCs w:val="20"/>
                <w:color w:val="auto"/>
              </w:rPr>
            </w:pPr>
            <w:r>
              <w:rPr>
                <w:rFonts w:ascii="Arial" w:cs="Arial" w:eastAsia="Arial" w:hAnsi="Arial"/>
                <w:sz w:val="16"/>
                <w:szCs w:val="16"/>
                <w:b w:val="1"/>
                <w:bCs w:val="1"/>
                <w:color w:val="FFFFFF"/>
              </w:rPr>
              <w:t>($)</w:t>
            </w:r>
          </w:p>
        </w:tc>
        <w:tc>
          <w:tcPr>
            <w:tcW w:w="1540" w:type="dxa"/>
            <w:vAlign w:val="bottom"/>
            <w:shd w:val="clear" w:color="auto" w:fill="BF2115"/>
          </w:tcPr>
          <w:p>
            <w:pPr>
              <w:jc w:val="center"/>
              <w:ind w:right="60"/>
              <w:spacing w:after="0"/>
              <w:rPr>
                <w:sz w:val="20"/>
                <w:szCs w:val="20"/>
                <w:color w:val="auto"/>
              </w:rPr>
            </w:pPr>
            <w:r>
              <w:rPr>
                <w:rFonts w:ascii="Arial" w:cs="Arial" w:eastAsia="Arial" w:hAnsi="Arial"/>
                <w:sz w:val="16"/>
                <w:szCs w:val="16"/>
                <w:b w:val="1"/>
                <w:bCs w:val="1"/>
                <w:color w:val="FFFFFF"/>
              </w:rPr>
              <w:t>($)</w:t>
            </w:r>
          </w:p>
        </w:tc>
        <w:tc>
          <w:tcPr>
            <w:tcW w:w="0" w:type="dxa"/>
            <w:vAlign w:val="bottom"/>
          </w:tcPr>
          <w:p>
            <w:pPr>
              <w:spacing w:after="0"/>
              <w:rPr>
                <w:sz w:val="1"/>
                <w:szCs w:val="1"/>
                <w:color w:val="auto"/>
              </w:rPr>
            </w:pPr>
          </w:p>
        </w:tc>
      </w:tr>
      <w:tr>
        <w:trPr>
          <w:trHeight w:val="211"/>
        </w:trPr>
        <w:tc>
          <w:tcPr>
            <w:tcW w:w="1060" w:type="dxa"/>
            <w:vAlign w:val="bottom"/>
          </w:tcPr>
          <w:p>
            <w:pPr>
              <w:jc w:val="right"/>
              <w:ind w:right="600"/>
              <w:spacing w:after="0"/>
              <w:rPr>
                <w:sz w:val="20"/>
                <w:szCs w:val="20"/>
                <w:color w:val="auto"/>
              </w:rPr>
            </w:pPr>
            <w:r>
              <w:rPr>
                <w:rFonts w:ascii="Arial" w:cs="Arial" w:eastAsia="Arial" w:hAnsi="Arial"/>
                <w:sz w:val="16"/>
                <w:szCs w:val="16"/>
                <w:color w:val="auto"/>
              </w:rPr>
              <w:t>2024</w:t>
            </w:r>
          </w:p>
        </w:tc>
        <w:tc>
          <w:tcPr>
            <w:tcW w:w="1820" w:type="dxa"/>
            <w:vAlign w:val="bottom"/>
          </w:tcPr>
          <w:p>
            <w:pPr>
              <w:jc w:val="right"/>
              <w:spacing w:after="0"/>
              <w:rPr>
                <w:sz w:val="20"/>
                <w:szCs w:val="20"/>
                <w:color w:val="auto"/>
              </w:rPr>
            </w:pPr>
            <w:r>
              <w:rPr>
                <w:rFonts w:ascii="Arial" w:cs="Arial" w:eastAsia="Arial" w:hAnsi="Arial"/>
                <w:sz w:val="16"/>
                <w:szCs w:val="16"/>
                <w:color w:val="auto"/>
              </w:rPr>
              <w:t>1,967,920</w:t>
            </w:r>
          </w:p>
        </w:tc>
        <w:tc>
          <w:tcPr>
            <w:tcW w:w="1700" w:type="dxa"/>
            <w:vAlign w:val="bottom"/>
          </w:tcPr>
          <w:p>
            <w:pPr>
              <w:jc w:val="right"/>
              <w:spacing w:after="0"/>
              <w:rPr>
                <w:sz w:val="20"/>
                <w:szCs w:val="20"/>
                <w:color w:val="auto"/>
              </w:rPr>
            </w:pPr>
            <w:r>
              <w:rPr>
                <w:rFonts w:ascii="Arial" w:cs="Arial" w:eastAsia="Arial" w:hAnsi="Arial"/>
                <w:sz w:val="16"/>
                <w:szCs w:val="16"/>
                <w:color w:val="auto"/>
              </w:rPr>
              <w:t>(1,157,034)</w:t>
            </w:r>
          </w:p>
        </w:tc>
        <w:tc>
          <w:tcPr>
            <w:tcW w:w="1640" w:type="dxa"/>
            <w:vAlign w:val="bottom"/>
          </w:tcPr>
          <w:p>
            <w:pPr>
              <w:jc w:val="right"/>
              <w:spacing w:after="0"/>
              <w:rPr>
                <w:sz w:val="20"/>
                <w:szCs w:val="20"/>
                <w:color w:val="auto"/>
              </w:rPr>
            </w:pPr>
            <w:r>
              <w:rPr>
                <w:rFonts w:ascii="Arial" w:cs="Arial" w:eastAsia="Arial" w:hAnsi="Arial"/>
                <w:sz w:val="16"/>
                <w:szCs w:val="16"/>
                <w:color w:val="auto"/>
              </w:rPr>
              <w:t>457,797</w:t>
            </w:r>
          </w:p>
        </w:tc>
        <w:tc>
          <w:tcPr>
            <w:tcW w:w="1680" w:type="dxa"/>
            <w:vAlign w:val="bottom"/>
          </w:tcPr>
          <w:p>
            <w:pPr>
              <w:jc w:val="right"/>
              <w:spacing w:after="0"/>
              <w:rPr>
                <w:sz w:val="20"/>
                <w:szCs w:val="20"/>
                <w:color w:val="auto"/>
              </w:rPr>
            </w:pPr>
            <w:r>
              <w:rPr>
                <w:rFonts w:ascii="Arial" w:cs="Arial" w:eastAsia="Arial" w:hAnsi="Arial"/>
                <w:sz w:val="16"/>
                <w:szCs w:val="16"/>
                <w:color w:val="auto"/>
              </w:rPr>
              <w:t>0</w:t>
            </w:r>
          </w:p>
        </w:tc>
        <w:tc>
          <w:tcPr>
            <w:tcW w:w="1780" w:type="dxa"/>
            <w:vAlign w:val="bottom"/>
          </w:tcPr>
          <w:p>
            <w:pPr>
              <w:jc w:val="right"/>
              <w:ind w:right="80"/>
              <w:spacing w:after="0"/>
              <w:rPr>
                <w:sz w:val="20"/>
                <w:szCs w:val="20"/>
                <w:color w:val="auto"/>
              </w:rPr>
            </w:pPr>
            <w:r>
              <w:rPr>
                <w:rFonts w:ascii="Arial" w:cs="Arial" w:eastAsia="Arial" w:hAnsi="Arial"/>
                <w:sz w:val="16"/>
                <w:szCs w:val="16"/>
                <w:color w:val="auto"/>
              </w:rPr>
              <w:t>0</w:t>
            </w:r>
          </w:p>
        </w:tc>
        <w:tc>
          <w:tcPr>
            <w:tcW w:w="1540" w:type="dxa"/>
            <w:vAlign w:val="bottom"/>
          </w:tcPr>
          <w:p>
            <w:pPr>
              <w:jc w:val="right"/>
              <w:spacing w:after="0"/>
              <w:rPr>
                <w:sz w:val="20"/>
                <w:szCs w:val="20"/>
                <w:color w:val="auto"/>
              </w:rPr>
            </w:pPr>
            <w:r>
              <w:rPr>
                <w:rFonts w:ascii="Arial" w:cs="Arial" w:eastAsia="Arial" w:hAnsi="Arial"/>
                <w:sz w:val="16"/>
                <w:szCs w:val="16"/>
                <w:color w:val="auto"/>
              </w:rPr>
              <w:t>1,268,683</w:t>
            </w:r>
          </w:p>
        </w:tc>
        <w:tc>
          <w:tcPr>
            <w:tcW w:w="0" w:type="dxa"/>
            <w:vAlign w:val="bottom"/>
          </w:tcPr>
          <w:p>
            <w:pPr>
              <w:spacing w:after="0"/>
              <w:rPr>
                <w:sz w:val="1"/>
                <w:szCs w:val="1"/>
                <w:color w:val="auto"/>
              </w:rPr>
            </w:pPr>
          </w:p>
        </w:tc>
      </w:tr>
      <w:tr>
        <w:trPr>
          <w:trHeight w:val="29"/>
        </w:trPr>
        <w:tc>
          <w:tcPr>
            <w:tcW w:w="106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1060" w:type="dxa"/>
            <w:vAlign w:val="bottom"/>
            <w:tcBorders>
              <w:bottom w:val="single" w:sz="8" w:color="DBDBDB"/>
            </w:tcBorders>
            <w:shd w:val="clear" w:color="auto" w:fill="DBDBDB"/>
          </w:tcPr>
          <w:p>
            <w:pPr>
              <w:jc w:val="right"/>
              <w:ind w:right="600"/>
              <w:spacing w:after="0"/>
              <w:rPr>
                <w:sz w:val="20"/>
                <w:szCs w:val="20"/>
                <w:color w:val="auto"/>
              </w:rPr>
            </w:pPr>
            <w:r>
              <w:rPr>
                <w:rFonts w:ascii="Arial" w:cs="Arial" w:eastAsia="Arial" w:hAnsi="Arial"/>
                <w:sz w:val="16"/>
                <w:szCs w:val="16"/>
                <w:color w:val="auto"/>
              </w:rPr>
              <w:t>2023</w:t>
            </w:r>
          </w:p>
        </w:tc>
        <w:tc>
          <w:tcPr>
            <w:tcW w:w="182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6"/>
                <w:szCs w:val="16"/>
                <w:color w:val="auto"/>
              </w:rPr>
              <w:t>1,905,612</w:t>
            </w:r>
          </w:p>
        </w:tc>
        <w:tc>
          <w:tcPr>
            <w:tcW w:w="170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6"/>
                <w:szCs w:val="16"/>
                <w:color w:val="auto"/>
              </w:rPr>
              <w:t>(1,297,243)</w:t>
            </w:r>
          </w:p>
        </w:tc>
        <w:tc>
          <w:tcPr>
            <w:tcW w:w="164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6"/>
                <w:szCs w:val="16"/>
                <w:color w:val="auto"/>
              </w:rPr>
              <w:t>(122,980)</w:t>
            </w:r>
          </w:p>
        </w:tc>
        <w:tc>
          <w:tcPr>
            <w:tcW w:w="168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6"/>
                <w:szCs w:val="16"/>
                <w:color w:val="auto"/>
              </w:rPr>
              <w:t>0</w:t>
            </w:r>
          </w:p>
        </w:tc>
        <w:tc>
          <w:tcPr>
            <w:tcW w:w="1780" w:type="dxa"/>
            <w:vAlign w:val="bottom"/>
            <w:tcBorders>
              <w:bottom w:val="single" w:sz="8" w:color="DBDBDB"/>
            </w:tcBorders>
            <w:shd w:val="clear" w:color="auto" w:fill="DBDBDB"/>
          </w:tcPr>
          <w:p>
            <w:pPr>
              <w:jc w:val="right"/>
              <w:ind w:right="80"/>
              <w:spacing w:after="0"/>
              <w:rPr>
                <w:sz w:val="20"/>
                <w:szCs w:val="20"/>
                <w:color w:val="auto"/>
              </w:rPr>
            </w:pPr>
            <w:r>
              <w:rPr>
                <w:rFonts w:ascii="Arial" w:cs="Arial" w:eastAsia="Arial" w:hAnsi="Arial"/>
                <w:sz w:val="16"/>
                <w:szCs w:val="16"/>
                <w:color w:val="auto"/>
              </w:rPr>
              <w:t>0</w:t>
            </w:r>
          </w:p>
        </w:tc>
        <w:tc>
          <w:tcPr>
            <w:tcW w:w="154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6"/>
                <w:szCs w:val="16"/>
                <w:color w:val="auto"/>
              </w:rPr>
              <w:t>485,389</w:t>
            </w:r>
          </w:p>
        </w:tc>
        <w:tc>
          <w:tcPr>
            <w:tcW w:w="0" w:type="dxa"/>
            <w:vAlign w:val="bottom"/>
          </w:tcPr>
          <w:p>
            <w:pPr>
              <w:spacing w:after="0"/>
              <w:rPr>
                <w:sz w:val="1"/>
                <w:szCs w:val="1"/>
                <w:color w:val="auto"/>
              </w:rPr>
            </w:pPr>
          </w:p>
        </w:tc>
      </w:tr>
      <w:tr>
        <w:trPr>
          <w:trHeight w:val="211"/>
        </w:trPr>
        <w:tc>
          <w:tcPr>
            <w:tcW w:w="1060" w:type="dxa"/>
            <w:vAlign w:val="bottom"/>
          </w:tcPr>
          <w:p>
            <w:pPr>
              <w:jc w:val="right"/>
              <w:ind w:right="600"/>
              <w:spacing w:after="0"/>
              <w:rPr>
                <w:sz w:val="20"/>
                <w:szCs w:val="20"/>
                <w:color w:val="auto"/>
              </w:rPr>
            </w:pPr>
            <w:r>
              <w:rPr>
                <w:rFonts w:ascii="Arial" w:cs="Arial" w:eastAsia="Arial" w:hAnsi="Arial"/>
                <w:sz w:val="16"/>
                <w:szCs w:val="16"/>
                <w:color w:val="auto"/>
              </w:rPr>
              <w:t>2022</w:t>
            </w:r>
          </w:p>
        </w:tc>
        <w:tc>
          <w:tcPr>
            <w:tcW w:w="1820" w:type="dxa"/>
            <w:vAlign w:val="bottom"/>
          </w:tcPr>
          <w:p>
            <w:pPr>
              <w:jc w:val="right"/>
              <w:spacing w:after="0"/>
              <w:rPr>
                <w:sz w:val="20"/>
                <w:szCs w:val="20"/>
                <w:color w:val="auto"/>
              </w:rPr>
            </w:pPr>
            <w:r>
              <w:rPr>
                <w:rFonts w:ascii="Arial" w:cs="Arial" w:eastAsia="Arial" w:hAnsi="Arial"/>
                <w:sz w:val="16"/>
                <w:szCs w:val="16"/>
                <w:color w:val="auto"/>
              </w:rPr>
              <w:t>2,316,841</w:t>
            </w:r>
          </w:p>
        </w:tc>
        <w:tc>
          <w:tcPr>
            <w:tcW w:w="1700" w:type="dxa"/>
            <w:vAlign w:val="bottom"/>
          </w:tcPr>
          <w:p>
            <w:pPr>
              <w:jc w:val="right"/>
              <w:spacing w:after="0"/>
              <w:rPr>
                <w:sz w:val="20"/>
                <w:szCs w:val="20"/>
                <w:color w:val="auto"/>
              </w:rPr>
            </w:pPr>
            <w:r>
              <w:rPr>
                <w:rFonts w:ascii="Arial" w:cs="Arial" w:eastAsia="Arial" w:hAnsi="Arial"/>
                <w:sz w:val="16"/>
                <w:szCs w:val="16"/>
                <w:color w:val="auto"/>
              </w:rPr>
              <w:t>(1,315,478)</w:t>
            </w:r>
          </w:p>
        </w:tc>
        <w:tc>
          <w:tcPr>
            <w:tcW w:w="1640" w:type="dxa"/>
            <w:vAlign w:val="bottom"/>
          </w:tcPr>
          <w:p>
            <w:pPr>
              <w:jc w:val="right"/>
              <w:spacing w:after="0"/>
              <w:rPr>
                <w:sz w:val="20"/>
                <w:szCs w:val="20"/>
                <w:color w:val="auto"/>
              </w:rPr>
            </w:pPr>
            <w:r>
              <w:rPr>
                <w:rFonts w:ascii="Arial" w:cs="Arial" w:eastAsia="Arial" w:hAnsi="Arial"/>
                <w:sz w:val="16"/>
                <w:szCs w:val="16"/>
                <w:color w:val="auto"/>
              </w:rPr>
              <w:t>1,830,310</w:t>
            </w:r>
          </w:p>
        </w:tc>
        <w:tc>
          <w:tcPr>
            <w:tcW w:w="1680" w:type="dxa"/>
            <w:vAlign w:val="bottom"/>
          </w:tcPr>
          <w:p>
            <w:pPr>
              <w:jc w:val="right"/>
              <w:spacing w:after="0"/>
              <w:rPr>
                <w:sz w:val="20"/>
                <w:szCs w:val="20"/>
                <w:color w:val="auto"/>
              </w:rPr>
            </w:pPr>
            <w:r>
              <w:rPr>
                <w:rFonts w:ascii="Arial" w:cs="Arial" w:eastAsia="Arial" w:hAnsi="Arial"/>
                <w:sz w:val="16"/>
                <w:szCs w:val="16"/>
                <w:color w:val="auto"/>
              </w:rPr>
              <w:t>0</w:t>
            </w:r>
          </w:p>
        </w:tc>
        <w:tc>
          <w:tcPr>
            <w:tcW w:w="1780" w:type="dxa"/>
            <w:vAlign w:val="bottom"/>
          </w:tcPr>
          <w:p>
            <w:pPr>
              <w:jc w:val="right"/>
              <w:ind w:right="80"/>
              <w:spacing w:after="0"/>
              <w:rPr>
                <w:sz w:val="20"/>
                <w:szCs w:val="20"/>
                <w:color w:val="auto"/>
              </w:rPr>
            </w:pPr>
            <w:r>
              <w:rPr>
                <w:rFonts w:ascii="Arial" w:cs="Arial" w:eastAsia="Arial" w:hAnsi="Arial"/>
                <w:sz w:val="16"/>
                <w:szCs w:val="16"/>
                <w:color w:val="auto"/>
              </w:rPr>
              <w:t>0</w:t>
            </w:r>
          </w:p>
        </w:tc>
        <w:tc>
          <w:tcPr>
            <w:tcW w:w="1540" w:type="dxa"/>
            <w:vAlign w:val="bottom"/>
          </w:tcPr>
          <w:p>
            <w:pPr>
              <w:jc w:val="right"/>
              <w:spacing w:after="0"/>
              <w:rPr>
                <w:sz w:val="20"/>
                <w:szCs w:val="20"/>
                <w:color w:val="auto"/>
              </w:rPr>
            </w:pPr>
            <w:r>
              <w:rPr>
                <w:rFonts w:ascii="Arial" w:cs="Arial" w:eastAsia="Arial" w:hAnsi="Arial"/>
                <w:sz w:val="16"/>
                <w:szCs w:val="16"/>
                <w:color w:val="auto"/>
              </w:rPr>
              <w:t>2,831,673</w:t>
            </w:r>
          </w:p>
        </w:tc>
        <w:tc>
          <w:tcPr>
            <w:tcW w:w="0" w:type="dxa"/>
            <w:vAlign w:val="bottom"/>
          </w:tcPr>
          <w:p>
            <w:pPr>
              <w:spacing w:after="0"/>
              <w:rPr>
                <w:sz w:val="1"/>
                <w:szCs w:val="1"/>
                <w:color w:val="auto"/>
              </w:rPr>
            </w:pPr>
          </w:p>
        </w:tc>
      </w:tr>
      <w:tr>
        <w:trPr>
          <w:trHeight w:val="29"/>
        </w:trPr>
        <w:tc>
          <w:tcPr>
            <w:tcW w:w="106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1"/>
        </w:trPr>
        <w:tc>
          <w:tcPr>
            <w:tcW w:w="1060" w:type="dxa"/>
            <w:vAlign w:val="bottom"/>
            <w:shd w:val="clear" w:color="auto" w:fill="DBDBDB"/>
          </w:tcPr>
          <w:p>
            <w:pPr>
              <w:jc w:val="right"/>
              <w:ind w:right="600"/>
              <w:spacing w:after="0"/>
              <w:rPr>
                <w:sz w:val="20"/>
                <w:szCs w:val="20"/>
                <w:color w:val="auto"/>
              </w:rPr>
            </w:pPr>
            <w:r>
              <w:rPr>
                <w:rFonts w:ascii="Arial" w:cs="Arial" w:eastAsia="Arial" w:hAnsi="Arial"/>
                <w:sz w:val="16"/>
                <w:szCs w:val="16"/>
                <w:color w:val="auto"/>
              </w:rPr>
              <w:t>2021</w:t>
            </w:r>
          </w:p>
        </w:tc>
        <w:tc>
          <w:tcPr>
            <w:tcW w:w="1820" w:type="dxa"/>
            <w:vAlign w:val="bottom"/>
            <w:shd w:val="clear" w:color="auto" w:fill="DBDBDB"/>
          </w:tcPr>
          <w:p>
            <w:pPr>
              <w:jc w:val="right"/>
              <w:spacing w:after="0"/>
              <w:rPr>
                <w:sz w:val="20"/>
                <w:szCs w:val="20"/>
                <w:color w:val="auto"/>
              </w:rPr>
            </w:pPr>
            <w:r>
              <w:rPr>
                <w:rFonts w:ascii="Arial" w:cs="Arial" w:eastAsia="Arial" w:hAnsi="Arial"/>
                <w:sz w:val="16"/>
                <w:szCs w:val="16"/>
                <w:color w:val="auto"/>
              </w:rPr>
              <w:t>2,244,282</w:t>
            </w:r>
          </w:p>
        </w:tc>
        <w:tc>
          <w:tcPr>
            <w:tcW w:w="170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(1,020,368)</w:t>
            </w:r>
          </w:p>
        </w:tc>
        <w:tc>
          <w:tcPr>
            <w:tcW w:w="1640" w:type="dxa"/>
            <w:vAlign w:val="bottom"/>
            <w:shd w:val="clear" w:color="auto" w:fill="DBDBDB"/>
          </w:tcPr>
          <w:p>
            <w:pPr>
              <w:jc w:val="right"/>
              <w:spacing w:after="0"/>
              <w:rPr>
                <w:sz w:val="20"/>
                <w:szCs w:val="20"/>
                <w:color w:val="auto"/>
              </w:rPr>
            </w:pPr>
            <w:r>
              <w:rPr>
                <w:rFonts w:ascii="Arial" w:cs="Arial" w:eastAsia="Arial" w:hAnsi="Arial"/>
                <w:sz w:val="16"/>
                <w:szCs w:val="16"/>
                <w:color w:val="auto"/>
              </w:rPr>
              <w:t>2,110,094</w:t>
            </w:r>
          </w:p>
        </w:tc>
        <w:tc>
          <w:tcPr>
            <w:tcW w:w="1680" w:type="dxa"/>
            <w:vAlign w:val="bottom"/>
            <w:shd w:val="clear" w:color="auto" w:fill="DBDBDB"/>
          </w:tcPr>
          <w:p>
            <w:pPr>
              <w:jc w:val="right"/>
              <w:spacing w:after="0"/>
              <w:rPr>
                <w:sz w:val="20"/>
                <w:szCs w:val="20"/>
                <w:color w:val="auto"/>
              </w:rPr>
            </w:pPr>
            <w:r>
              <w:rPr>
                <w:rFonts w:ascii="Arial" w:cs="Arial" w:eastAsia="Arial" w:hAnsi="Arial"/>
                <w:sz w:val="16"/>
                <w:szCs w:val="16"/>
                <w:color w:val="auto"/>
              </w:rPr>
              <w:t>0</w:t>
            </w:r>
          </w:p>
        </w:tc>
        <w:tc>
          <w:tcPr>
            <w:tcW w:w="1780" w:type="dxa"/>
            <w:vAlign w:val="bottom"/>
            <w:shd w:val="clear" w:color="auto" w:fill="DBDBDB"/>
          </w:tcPr>
          <w:p>
            <w:pPr>
              <w:jc w:val="right"/>
              <w:ind w:right="80"/>
              <w:spacing w:after="0"/>
              <w:rPr>
                <w:sz w:val="20"/>
                <w:szCs w:val="20"/>
                <w:color w:val="auto"/>
              </w:rPr>
            </w:pPr>
            <w:r>
              <w:rPr>
                <w:rFonts w:ascii="Arial" w:cs="Arial" w:eastAsia="Arial" w:hAnsi="Arial"/>
                <w:sz w:val="16"/>
                <w:szCs w:val="16"/>
                <w:color w:val="auto"/>
              </w:rPr>
              <w:t>0</w:t>
            </w:r>
          </w:p>
        </w:tc>
        <w:tc>
          <w:tcPr>
            <w:tcW w:w="1540" w:type="dxa"/>
            <w:vAlign w:val="bottom"/>
            <w:shd w:val="clear" w:color="auto" w:fill="DBDBDB"/>
          </w:tcPr>
          <w:p>
            <w:pPr>
              <w:jc w:val="right"/>
              <w:spacing w:after="0"/>
              <w:rPr>
                <w:sz w:val="20"/>
                <w:szCs w:val="20"/>
                <w:color w:val="auto"/>
              </w:rPr>
            </w:pPr>
            <w:r>
              <w:rPr>
                <w:rFonts w:ascii="Arial" w:cs="Arial" w:eastAsia="Arial" w:hAnsi="Arial"/>
                <w:sz w:val="16"/>
                <w:szCs w:val="16"/>
                <w:color w:val="auto"/>
              </w:rPr>
              <w:t>3,334,008</w:t>
            </w:r>
          </w:p>
        </w:tc>
        <w:tc>
          <w:tcPr>
            <w:tcW w:w="0" w:type="dxa"/>
            <w:vAlign w:val="bottom"/>
          </w:tcPr>
          <w:p>
            <w:pPr>
              <w:spacing w:after="0"/>
              <w:rPr>
                <w:sz w:val="1"/>
                <w:szCs w:val="1"/>
                <w:color w:val="auto"/>
              </w:rPr>
            </w:pPr>
          </w:p>
        </w:tc>
      </w:tr>
      <w:tr>
        <w:trPr>
          <w:trHeight w:val="29"/>
        </w:trPr>
        <w:tc>
          <w:tcPr>
            <w:tcW w:w="1060" w:type="dxa"/>
            <w:vAlign w:val="bottom"/>
            <w:shd w:val="clear" w:color="auto" w:fill="DBDBDB"/>
          </w:tcPr>
          <w:p>
            <w:pPr>
              <w:spacing w:after="0"/>
              <w:rPr>
                <w:sz w:val="2"/>
                <w:szCs w:val="2"/>
                <w:color w:val="auto"/>
              </w:rPr>
            </w:pPr>
          </w:p>
        </w:tc>
        <w:tc>
          <w:tcPr>
            <w:tcW w:w="1820" w:type="dxa"/>
            <w:vAlign w:val="bottom"/>
            <w:shd w:val="clear" w:color="auto" w:fill="DBDBDB"/>
          </w:tcPr>
          <w:p>
            <w:pPr>
              <w:spacing w:after="0"/>
              <w:rPr>
                <w:sz w:val="2"/>
                <w:szCs w:val="2"/>
                <w:color w:val="auto"/>
              </w:rPr>
            </w:pPr>
          </w:p>
        </w:tc>
        <w:tc>
          <w:tcPr>
            <w:tcW w:w="1700" w:type="dxa"/>
            <w:vAlign w:val="bottom"/>
            <w:shd w:val="clear" w:color="auto" w:fill="DBDBDB"/>
          </w:tcPr>
          <w:p>
            <w:pPr>
              <w:spacing w:after="0"/>
              <w:rPr>
                <w:sz w:val="2"/>
                <w:szCs w:val="2"/>
                <w:color w:val="auto"/>
              </w:rPr>
            </w:pPr>
          </w:p>
        </w:tc>
        <w:tc>
          <w:tcPr>
            <w:tcW w:w="1640" w:type="dxa"/>
            <w:vAlign w:val="bottom"/>
            <w:shd w:val="clear" w:color="auto" w:fill="DBDBDB"/>
          </w:tcPr>
          <w:p>
            <w:pPr>
              <w:spacing w:after="0"/>
              <w:rPr>
                <w:sz w:val="2"/>
                <w:szCs w:val="2"/>
                <w:color w:val="auto"/>
              </w:rPr>
            </w:pPr>
          </w:p>
        </w:tc>
        <w:tc>
          <w:tcPr>
            <w:tcW w:w="1680" w:type="dxa"/>
            <w:vAlign w:val="bottom"/>
            <w:shd w:val="clear" w:color="auto" w:fill="DBDBDB"/>
          </w:tcPr>
          <w:p>
            <w:pPr>
              <w:spacing w:after="0"/>
              <w:rPr>
                <w:sz w:val="2"/>
                <w:szCs w:val="2"/>
                <w:color w:val="auto"/>
              </w:rPr>
            </w:pPr>
          </w:p>
        </w:tc>
        <w:tc>
          <w:tcPr>
            <w:tcW w:w="1780" w:type="dxa"/>
            <w:vAlign w:val="bottom"/>
            <w:shd w:val="clear" w:color="auto" w:fill="DBDBDB"/>
          </w:tcPr>
          <w:p>
            <w:pPr>
              <w:spacing w:after="0"/>
              <w:rPr>
                <w:sz w:val="2"/>
                <w:szCs w:val="2"/>
                <w:color w:val="auto"/>
              </w:rPr>
            </w:pPr>
          </w:p>
        </w:tc>
        <w:tc>
          <w:tcPr>
            <w:tcW w:w="1540" w:type="dxa"/>
            <w:vAlign w:val="bottom"/>
            <w:shd w:val="clear" w:color="auto" w:fill="DBDBDB"/>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50"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color w:val="auto"/>
        </w:rPr>
        <w:t>1.</w:t>
      </w:r>
      <w:r>
        <w:rPr>
          <w:sz w:val="20"/>
          <w:szCs w:val="20"/>
          <w:color w:val="auto"/>
        </w:rPr>
        <w:tab/>
      </w:r>
      <w:r>
        <w:rPr>
          <w:rFonts w:ascii="Arial" w:cs="Arial" w:eastAsia="Arial" w:hAnsi="Arial"/>
          <w:sz w:val="17"/>
          <w:szCs w:val="17"/>
          <w:color w:val="auto"/>
        </w:rPr>
        <w:t>Represents the average of the year-over-year change in the fair value of equity awards to our Non-PEO NEOs as summarized below:</w:t>
      </w: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79375</wp:posOffset>
            </wp:positionV>
            <wp:extent cx="7159625" cy="425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097" w:right="339" w:bottom="1440" w:gutter="0" w:footer="0" w:header="0"/>
        </w:sectPr>
      </w:pPr>
    </w:p>
    <w:bookmarkStart w:id="72" w:name="page73"/>
    <w:bookmarkEnd w:id="72"/>
    <w:tbl>
      <w:tblPr>
        <w:tblLayout w:type="fixed"/>
        <w:tblInd w:w="0" w:type="dxa"/>
        <w:tblCellMar>
          <w:top w:w="0" w:type="dxa"/>
          <w:left w:w="0" w:type="dxa"/>
          <w:bottom w:w="0" w:type="dxa"/>
          <w:right w:w="0" w:type="dxa"/>
        </w:tblCellMar>
      </w:tblPr>
      <w:tr>
        <w:trPr>
          <w:trHeight w:val="184"/>
        </w:trPr>
        <w:tc>
          <w:tcPr>
            <w:tcW w:w="760" w:type="dxa"/>
            <w:vAlign w:val="bottom"/>
            <w:shd w:val="clear" w:color="auto" w:fill="BF2115"/>
          </w:tcPr>
          <w:p>
            <w:pPr>
              <w:spacing w:after="0"/>
              <w:rPr>
                <w:sz w:val="16"/>
                <w:szCs w:val="16"/>
                <w:color w:val="auto"/>
              </w:rPr>
            </w:pPr>
          </w:p>
        </w:tc>
        <w:tc>
          <w:tcPr>
            <w:tcW w:w="2680" w:type="dxa"/>
            <w:vAlign w:val="bottom"/>
            <w:gridSpan w:val="2"/>
            <w:shd w:val="clear" w:color="auto" w:fill="BF2115"/>
          </w:tcPr>
          <w:p>
            <w:pPr>
              <w:jc w:val="right"/>
              <w:spacing w:after="0"/>
              <w:rPr>
                <w:sz w:val="20"/>
                <w:szCs w:val="20"/>
                <w:color w:val="auto"/>
              </w:rPr>
            </w:pPr>
            <w:r>
              <w:rPr>
                <w:rFonts w:ascii="Arial" w:cs="Arial" w:eastAsia="Arial" w:hAnsi="Arial"/>
                <w:sz w:val="16"/>
                <w:szCs w:val="16"/>
                <w:b w:val="1"/>
                <w:bCs w:val="1"/>
                <w:color w:val="FFFFFF"/>
              </w:rPr>
              <w:t>Average Year- Average Year over</w:t>
            </w:r>
          </w:p>
        </w:tc>
        <w:tc>
          <w:tcPr>
            <w:tcW w:w="1260" w:type="dxa"/>
            <w:vAlign w:val="bottom"/>
            <w:vMerge w:val="restart"/>
            <w:shd w:val="clear" w:color="auto" w:fill="BF2115"/>
          </w:tcPr>
          <w:p>
            <w:pPr>
              <w:jc w:val="center"/>
              <w:spacing w:after="0"/>
              <w:rPr>
                <w:sz w:val="20"/>
                <w:szCs w:val="20"/>
                <w:color w:val="auto"/>
              </w:rPr>
            </w:pPr>
            <w:r>
              <w:rPr>
                <w:rFonts w:ascii="Arial" w:cs="Arial" w:eastAsia="Arial" w:hAnsi="Arial"/>
                <w:sz w:val="16"/>
                <w:szCs w:val="16"/>
                <w:b w:val="1"/>
                <w:bCs w:val="1"/>
                <w:color w:val="FFFFFF"/>
              </w:rPr>
              <w:t>Average Fair</w:t>
            </w:r>
          </w:p>
        </w:tc>
        <w:tc>
          <w:tcPr>
            <w:tcW w:w="1640" w:type="dxa"/>
            <w:vAlign w:val="bottom"/>
            <w:vMerge w:val="restart"/>
            <w:shd w:val="clear" w:color="auto" w:fill="BF2115"/>
          </w:tcPr>
          <w:p>
            <w:pPr>
              <w:jc w:val="center"/>
              <w:spacing w:after="0"/>
              <w:rPr>
                <w:sz w:val="20"/>
                <w:szCs w:val="20"/>
                <w:color w:val="auto"/>
              </w:rPr>
            </w:pPr>
            <w:r>
              <w:rPr>
                <w:rFonts w:ascii="Arial" w:cs="Arial" w:eastAsia="Arial" w:hAnsi="Arial"/>
                <w:sz w:val="16"/>
                <w:szCs w:val="16"/>
                <w:b w:val="1"/>
                <w:bCs w:val="1"/>
                <w:color w:val="FFFFFF"/>
                <w:w w:val="99"/>
              </w:rPr>
              <w:t>Average Year over</w:t>
            </w:r>
          </w:p>
        </w:tc>
        <w:tc>
          <w:tcPr>
            <w:tcW w:w="1520" w:type="dxa"/>
            <w:vAlign w:val="bottom"/>
            <w:shd w:val="clear" w:color="auto" w:fill="BF2115"/>
          </w:tcPr>
          <w:p>
            <w:pPr>
              <w:jc w:val="center"/>
              <w:spacing w:after="0"/>
              <w:rPr>
                <w:sz w:val="20"/>
                <w:szCs w:val="20"/>
                <w:color w:val="auto"/>
              </w:rPr>
            </w:pPr>
            <w:r>
              <w:rPr>
                <w:rFonts w:ascii="Arial" w:cs="Arial" w:eastAsia="Arial" w:hAnsi="Arial"/>
                <w:sz w:val="16"/>
                <w:szCs w:val="16"/>
                <w:b w:val="1"/>
                <w:bCs w:val="1"/>
                <w:color w:val="FFFFFF"/>
                <w:w w:val="98"/>
              </w:rPr>
              <w:t>Average Fair Value</w:t>
            </w:r>
          </w:p>
        </w:tc>
        <w:tc>
          <w:tcPr>
            <w:tcW w:w="1640" w:type="dxa"/>
            <w:vAlign w:val="bottom"/>
            <w:shd w:val="clear" w:color="auto" w:fill="BF2115"/>
          </w:tcPr>
          <w:p>
            <w:pPr>
              <w:jc w:val="center"/>
              <w:ind w:right="40"/>
              <w:spacing w:after="0"/>
              <w:rPr>
                <w:sz w:val="20"/>
                <w:szCs w:val="20"/>
                <w:color w:val="auto"/>
              </w:rPr>
            </w:pPr>
            <w:r>
              <w:rPr>
                <w:rFonts w:ascii="Arial" w:cs="Arial" w:eastAsia="Arial" w:hAnsi="Arial"/>
                <w:sz w:val="16"/>
                <w:szCs w:val="16"/>
                <w:b w:val="1"/>
                <w:bCs w:val="1"/>
                <w:color w:val="FFFFFF"/>
                <w:w w:val="98"/>
              </w:rPr>
              <w:t>Average Value of</w:t>
            </w:r>
          </w:p>
        </w:tc>
        <w:tc>
          <w:tcPr>
            <w:tcW w:w="1360" w:type="dxa"/>
            <w:vAlign w:val="bottom"/>
            <w:shd w:val="clear" w:color="auto" w:fill="BF2115"/>
          </w:tcPr>
          <w:p>
            <w:pPr>
              <w:spacing w:after="0"/>
              <w:rPr>
                <w:sz w:val="16"/>
                <w:szCs w:val="16"/>
                <w:color w:val="auto"/>
              </w:rPr>
            </w:pPr>
          </w:p>
        </w:tc>
        <w:tc>
          <w:tcPr>
            <w:tcW w:w="0" w:type="dxa"/>
            <w:vAlign w:val="bottom"/>
          </w:tcPr>
          <w:p>
            <w:pPr>
              <w:spacing w:after="0"/>
              <w:rPr>
                <w:sz w:val="1"/>
                <w:szCs w:val="1"/>
                <w:color w:val="auto"/>
              </w:rPr>
            </w:pPr>
          </w:p>
        </w:tc>
      </w:tr>
      <w:tr>
        <w:trPr>
          <w:trHeight w:val="160"/>
        </w:trPr>
        <w:tc>
          <w:tcPr>
            <w:tcW w:w="760" w:type="dxa"/>
            <w:vAlign w:val="bottom"/>
            <w:shd w:val="clear" w:color="auto" w:fill="BF2115"/>
          </w:tcPr>
          <w:p>
            <w:pPr>
              <w:spacing w:after="0"/>
              <w:rPr>
                <w:sz w:val="13"/>
                <w:szCs w:val="13"/>
                <w:color w:val="auto"/>
              </w:rPr>
            </w:pPr>
          </w:p>
        </w:tc>
        <w:tc>
          <w:tcPr>
            <w:tcW w:w="1260" w:type="dxa"/>
            <w:vAlign w:val="bottom"/>
            <w:shd w:val="clear" w:color="auto" w:fill="BF2115"/>
          </w:tcPr>
          <w:p>
            <w:pPr>
              <w:jc w:val="center"/>
              <w:spacing w:after="0" w:line="160" w:lineRule="exact"/>
              <w:rPr>
                <w:sz w:val="20"/>
                <w:szCs w:val="20"/>
                <w:color w:val="auto"/>
              </w:rPr>
            </w:pPr>
            <w:r>
              <w:rPr>
                <w:rFonts w:ascii="Arial" w:cs="Arial" w:eastAsia="Arial" w:hAnsi="Arial"/>
                <w:sz w:val="16"/>
                <w:szCs w:val="16"/>
                <w:b w:val="1"/>
                <w:bCs w:val="1"/>
                <w:color w:val="FFFFFF"/>
                <w:w w:val="99"/>
              </w:rPr>
              <w:t>End Fair</w:t>
            </w:r>
          </w:p>
        </w:tc>
        <w:tc>
          <w:tcPr>
            <w:tcW w:w="1420" w:type="dxa"/>
            <w:vAlign w:val="bottom"/>
            <w:shd w:val="clear" w:color="auto" w:fill="BF2115"/>
          </w:tcPr>
          <w:p>
            <w:pPr>
              <w:jc w:val="center"/>
              <w:spacing w:after="0" w:line="160" w:lineRule="exact"/>
              <w:rPr>
                <w:sz w:val="20"/>
                <w:szCs w:val="20"/>
                <w:color w:val="auto"/>
              </w:rPr>
            </w:pPr>
            <w:r>
              <w:rPr>
                <w:rFonts w:ascii="Arial" w:cs="Arial" w:eastAsia="Arial" w:hAnsi="Arial"/>
                <w:sz w:val="16"/>
                <w:szCs w:val="16"/>
                <w:b w:val="1"/>
                <w:bCs w:val="1"/>
                <w:color w:val="FFFFFF"/>
                <w:w w:val="97"/>
              </w:rPr>
              <w:t>Year Change in</w:t>
            </w:r>
          </w:p>
        </w:tc>
        <w:tc>
          <w:tcPr>
            <w:tcW w:w="1260" w:type="dxa"/>
            <w:vAlign w:val="bottom"/>
            <w:vMerge w:val="continue"/>
            <w:shd w:val="clear" w:color="auto" w:fill="BF2115"/>
          </w:tcPr>
          <w:p>
            <w:pPr>
              <w:spacing w:after="0"/>
              <w:rPr>
                <w:sz w:val="13"/>
                <w:szCs w:val="13"/>
                <w:color w:val="auto"/>
              </w:rPr>
            </w:pPr>
          </w:p>
        </w:tc>
        <w:tc>
          <w:tcPr>
            <w:tcW w:w="1640" w:type="dxa"/>
            <w:vAlign w:val="bottom"/>
            <w:vMerge w:val="continue"/>
            <w:shd w:val="clear" w:color="auto" w:fill="BF2115"/>
          </w:tcPr>
          <w:p>
            <w:pPr>
              <w:spacing w:after="0"/>
              <w:rPr>
                <w:sz w:val="13"/>
                <w:szCs w:val="13"/>
                <w:color w:val="auto"/>
              </w:rPr>
            </w:pPr>
          </w:p>
        </w:tc>
        <w:tc>
          <w:tcPr>
            <w:tcW w:w="1520" w:type="dxa"/>
            <w:vAlign w:val="bottom"/>
            <w:shd w:val="clear" w:color="auto" w:fill="BF2115"/>
          </w:tcPr>
          <w:p>
            <w:pPr>
              <w:jc w:val="center"/>
              <w:spacing w:after="0" w:line="160" w:lineRule="exact"/>
              <w:rPr>
                <w:sz w:val="20"/>
                <w:szCs w:val="20"/>
                <w:color w:val="auto"/>
              </w:rPr>
            </w:pPr>
            <w:r>
              <w:rPr>
                <w:rFonts w:ascii="Arial" w:cs="Arial" w:eastAsia="Arial" w:hAnsi="Arial"/>
                <w:sz w:val="16"/>
                <w:szCs w:val="16"/>
                <w:b w:val="1"/>
                <w:bCs w:val="1"/>
                <w:color w:val="FFFFFF"/>
              </w:rPr>
              <w:t>at the End of the</w:t>
            </w:r>
          </w:p>
        </w:tc>
        <w:tc>
          <w:tcPr>
            <w:tcW w:w="1640" w:type="dxa"/>
            <w:vAlign w:val="bottom"/>
            <w:shd w:val="clear" w:color="auto" w:fill="BF2115"/>
          </w:tcPr>
          <w:p>
            <w:pPr>
              <w:jc w:val="center"/>
              <w:ind w:right="40"/>
              <w:spacing w:after="0" w:line="160" w:lineRule="exact"/>
              <w:rPr>
                <w:sz w:val="20"/>
                <w:szCs w:val="20"/>
                <w:color w:val="auto"/>
              </w:rPr>
            </w:pPr>
            <w:r>
              <w:rPr>
                <w:rFonts w:ascii="Arial" w:cs="Arial" w:eastAsia="Arial" w:hAnsi="Arial"/>
                <w:sz w:val="16"/>
                <w:szCs w:val="16"/>
                <w:b w:val="1"/>
                <w:bCs w:val="1"/>
                <w:color w:val="FFFFFF"/>
                <w:w w:val="99"/>
              </w:rPr>
              <w:t>Dividends or other</w:t>
            </w:r>
          </w:p>
        </w:tc>
        <w:tc>
          <w:tcPr>
            <w:tcW w:w="1360" w:type="dxa"/>
            <w:vAlign w:val="bottom"/>
            <w:shd w:val="clear" w:color="auto" w:fill="BF2115"/>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760" w:type="dxa"/>
            <w:vAlign w:val="bottom"/>
            <w:shd w:val="clear" w:color="auto" w:fill="BF2115"/>
          </w:tcPr>
          <w:p>
            <w:pPr>
              <w:spacing w:after="0"/>
              <w:rPr>
                <w:sz w:val="13"/>
                <w:szCs w:val="13"/>
                <w:color w:val="auto"/>
              </w:rPr>
            </w:pPr>
          </w:p>
        </w:tc>
        <w:tc>
          <w:tcPr>
            <w:tcW w:w="1260" w:type="dxa"/>
            <w:vAlign w:val="bottom"/>
            <w:shd w:val="clear" w:color="auto" w:fill="BF2115"/>
          </w:tcPr>
          <w:p>
            <w:pPr>
              <w:jc w:val="center"/>
              <w:spacing w:after="0" w:line="160" w:lineRule="exact"/>
              <w:rPr>
                <w:sz w:val="20"/>
                <w:szCs w:val="20"/>
                <w:color w:val="auto"/>
              </w:rPr>
            </w:pPr>
            <w:r>
              <w:rPr>
                <w:rFonts w:ascii="Arial" w:cs="Arial" w:eastAsia="Arial" w:hAnsi="Arial"/>
                <w:sz w:val="16"/>
                <w:szCs w:val="16"/>
                <w:b w:val="1"/>
                <w:bCs w:val="1"/>
                <w:color w:val="FFFFFF"/>
                <w:w w:val="99"/>
              </w:rPr>
              <w:t>Value of</w:t>
            </w:r>
          </w:p>
        </w:tc>
        <w:tc>
          <w:tcPr>
            <w:tcW w:w="1420" w:type="dxa"/>
            <w:vAlign w:val="bottom"/>
            <w:shd w:val="clear" w:color="auto" w:fill="BF2115"/>
          </w:tcPr>
          <w:p>
            <w:pPr>
              <w:jc w:val="center"/>
              <w:spacing w:after="0" w:line="160" w:lineRule="exact"/>
              <w:rPr>
                <w:sz w:val="20"/>
                <w:szCs w:val="20"/>
                <w:color w:val="auto"/>
              </w:rPr>
            </w:pPr>
            <w:r>
              <w:rPr>
                <w:rFonts w:ascii="Arial" w:cs="Arial" w:eastAsia="Arial" w:hAnsi="Arial"/>
                <w:sz w:val="16"/>
                <w:szCs w:val="16"/>
                <w:b w:val="1"/>
                <w:bCs w:val="1"/>
                <w:color w:val="FFFFFF"/>
                <w:w w:val="97"/>
              </w:rPr>
              <w:t>Fair Value of</w:t>
            </w:r>
          </w:p>
        </w:tc>
        <w:tc>
          <w:tcPr>
            <w:tcW w:w="1260" w:type="dxa"/>
            <w:vAlign w:val="bottom"/>
            <w:shd w:val="clear" w:color="auto" w:fill="BF2115"/>
          </w:tcPr>
          <w:p>
            <w:pPr>
              <w:jc w:val="center"/>
              <w:spacing w:after="0" w:line="160" w:lineRule="exact"/>
              <w:rPr>
                <w:sz w:val="20"/>
                <w:szCs w:val="20"/>
                <w:color w:val="auto"/>
              </w:rPr>
            </w:pPr>
            <w:r>
              <w:rPr>
                <w:rFonts w:ascii="Arial" w:cs="Arial" w:eastAsia="Arial" w:hAnsi="Arial"/>
                <w:sz w:val="16"/>
                <w:szCs w:val="16"/>
                <w:b w:val="1"/>
                <w:bCs w:val="1"/>
                <w:color w:val="FFFFFF"/>
                <w:w w:val="97"/>
              </w:rPr>
              <w:t>Value as of</w:t>
            </w:r>
          </w:p>
        </w:tc>
        <w:tc>
          <w:tcPr>
            <w:tcW w:w="1640" w:type="dxa"/>
            <w:vAlign w:val="bottom"/>
            <w:shd w:val="clear" w:color="auto" w:fill="BF2115"/>
          </w:tcPr>
          <w:p>
            <w:pPr>
              <w:jc w:val="center"/>
              <w:spacing w:after="0" w:line="160" w:lineRule="exact"/>
              <w:rPr>
                <w:sz w:val="20"/>
                <w:szCs w:val="20"/>
                <w:color w:val="auto"/>
              </w:rPr>
            </w:pPr>
            <w:r>
              <w:rPr>
                <w:rFonts w:ascii="Arial" w:cs="Arial" w:eastAsia="Arial" w:hAnsi="Arial"/>
                <w:sz w:val="16"/>
                <w:szCs w:val="16"/>
                <w:b w:val="1"/>
                <w:bCs w:val="1"/>
                <w:color w:val="FFFFFF"/>
                <w:w w:val="99"/>
              </w:rPr>
              <w:t>Year Change in Fair</w:t>
            </w:r>
          </w:p>
        </w:tc>
        <w:tc>
          <w:tcPr>
            <w:tcW w:w="1520" w:type="dxa"/>
            <w:vAlign w:val="bottom"/>
            <w:shd w:val="clear" w:color="auto" w:fill="BF2115"/>
          </w:tcPr>
          <w:p>
            <w:pPr>
              <w:jc w:val="center"/>
              <w:spacing w:after="0" w:line="160" w:lineRule="exact"/>
              <w:rPr>
                <w:sz w:val="20"/>
                <w:szCs w:val="20"/>
                <w:color w:val="auto"/>
              </w:rPr>
            </w:pPr>
            <w:r>
              <w:rPr>
                <w:rFonts w:ascii="Arial" w:cs="Arial" w:eastAsia="Arial" w:hAnsi="Arial"/>
                <w:sz w:val="16"/>
                <w:szCs w:val="16"/>
                <w:b w:val="1"/>
                <w:bCs w:val="1"/>
                <w:color w:val="FFFFFF"/>
                <w:w w:val="99"/>
              </w:rPr>
              <w:t>Prior Year of</w:t>
            </w:r>
          </w:p>
        </w:tc>
        <w:tc>
          <w:tcPr>
            <w:tcW w:w="1640" w:type="dxa"/>
            <w:vAlign w:val="bottom"/>
            <w:shd w:val="clear" w:color="auto" w:fill="BF2115"/>
          </w:tcPr>
          <w:p>
            <w:pPr>
              <w:jc w:val="center"/>
              <w:ind w:right="40"/>
              <w:spacing w:after="0" w:line="160" w:lineRule="exact"/>
              <w:rPr>
                <w:sz w:val="20"/>
                <w:szCs w:val="20"/>
                <w:color w:val="auto"/>
              </w:rPr>
            </w:pPr>
            <w:r>
              <w:rPr>
                <w:rFonts w:ascii="Arial" w:cs="Arial" w:eastAsia="Arial" w:hAnsi="Arial"/>
                <w:sz w:val="16"/>
                <w:szCs w:val="16"/>
                <w:b w:val="1"/>
                <w:bCs w:val="1"/>
                <w:color w:val="FFFFFF"/>
              </w:rPr>
              <w:t>Earnings Paid on</w:t>
            </w:r>
          </w:p>
        </w:tc>
        <w:tc>
          <w:tcPr>
            <w:tcW w:w="1360" w:type="dxa"/>
            <w:vAlign w:val="bottom"/>
            <w:shd w:val="clear" w:color="auto" w:fill="BF2115"/>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760" w:type="dxa"/>
            <w:vAlign w:val="bottom"/>
            <w:shd w:val="clear" w:color="auto" w:fill="BF2115"/>
          </w:tcPr>
          <w:p>
            <w:pPr>
              <w:spacing w:after="0"/>
              <w:rPr>
                <w:sz w:val="13"/>
                <w:szCs w:val="13"/>
                <w:color w:val="auto"/>
              </w:rPr>
            </w:pPr>
          </w:p>
        </w:tc>
        <w:tc>
          <w:tcPr>
            <w:tcW w:w="1260" w:type="dxa"/>
            <w:vAlign w:val="bottom"/>
            <w:shd w:val="clear" w:color="auto" w:fill="BF2115"/>
          </w:tcPr>
          <w:p>
            <w:pPr>
              <w:jc w:val="center"/>
              <w:spacing w:after="0" w:line="160" w:lineRule="exact"/>
              <w:rPr>
                <w:sz w:val="20"/>
                <w:szCs w:val="20"/>
                <w:color w:val="auto"/>
              </w:rPr>
            </w:pPr>
            <w:r>
              <w:rPr>
                <w:rFonts w:ascii="Arial" w:cs="Arial" w:eastAsia="Arial" w:hAnsi="Arial"/>
                <w:sz w:val="16"/>
                <w:szCs w:val="16"/>
                <w:b w:val="1"/>
                <w:bCs w:val="1"/>
                <w:color w:val="FFFFFF"/>
                <w:w w:val="99"/>
              </w:rPr>
              <w:t>Unvested</w:t>
            </w:r>
          </w:p>
        </w:tc>
        <w:tc>
          <w:tcPr>
            <w:tcW w:w="1420" w:type="dxa"/>
            <w:vAlign w:val="bottom"/>
            <w:shd w:val="clear" w:color="auto" w:fill="BF2115"/>
          </w:tcPr>
          <w:p>
            <w:pPr>
              <w:jc w:val="center"/>
              <w:spacing w:after="0" w:line="160" w:lineRule="exact"/>
              <w:rPr>
                <w:sz w:val="20"/>
                <w:szCs w:val="20"/>
                <w:color w:val="auto"/>
              </w:rPr>
            </w:pPr>
            <w:r>
              <w:rPr>
                <w:rFonts w:ascii="Arial" w:cs="Arial" w:eastAsia="Arial" w:hAnsi="Arial"/>
                <w:sz w:val="16"/>
                <w:szCs w:val="16"/>
                <w:b w:val="1"/>
                <w:bCs w:val="1"/>
                <w:color w:val="FFFFFF"/>
                <w:w w:val="99"/>
              </w:rPr>
              <w:t>Outstanding</w:t>
            </w:r>
          </w:p>
        </w:tc>
        <w:tc>
          <w:tcPr>
            <w:tcW w:w="1260" w:type="dxa"/>
            <w:vAlign w:val="bottom"/>
            <w:shd w:val="clear" w:color="auto" w:fill="BF2115"/>
          </w:tcPr>
          <w:p>
            <w:pPr>
              <w:jc w:val="center"/>
              <w:spacing w:after="0" w:line="160" w:lineRule="exact"/>
              <w:rPr>
                <w:sz w:val="20"/>
                <w:szCs w:val="20"/>
                <w:color w:val="auto"/>
              </w:rPr>
            </w:pPr>
            <w:r>
              <w:rPr>
                <w:rFonts w:ascii="Arial" w:cs="Arial" w:eastAsia="Arial" w:hAnsi="Arial"/>
                <w:sz w:val="16"/>
                <w:szCs w:val="16"/>
                <w:b w:val="1"/>
                <w:bCs w:val="1"/>
                <w:color w:val="FFFFFF"/>
                <w:w w:val="97"/>
              </w:rPr>
              <w:t>Vesting Date of</w:t>
            </w:r>
          </w:p>
        </w:tc>
        <w:tc>
          <w:tcPr>
            <w:tcW w:w="1640" w:type="dxa"/>
            <w:vAlign w:val="bottom"/>
            <w:shd w:val="clear" w:color="auto" w:fill="BF2115"/>
          </w:tcPr>
          <w:p>
            <w:pPr>
              <w:jc w:val="center"/>
              <w:spacing w:after="0" w:line="160" w:lineRule="exact"/>
              <w:rPr>
                <w:sz w:val="20"/>
                <w:szCs w:val="20"/>
                <w:color w:val="auto"/>
              </w:rPr>
            </w:pPr>
            <w:r>
              <w:rPr>
                <w:rFonts w:ascii="Arial" w:cs="Arial" w:eastAsia="Arial" w:hAnsi="Arial"/>
                <w:sz w:val="16"/>
                <w:szCs w:val="16"/>
                <w:b w:val="1"/>
                <w:bCs w:val="1"/>
                <w:color w:val="FFFFFF"/>
              </w:rPr>
              <w:t>Value of Equity</w:t>
            </w:r>
          </w:p>
        </w:tc>
        <w:tc>
          <w:tcPr>
            <w:tcW w:w="1520" w:type="dxa"/>
            <w:vAlign w:val="bottom"/>
            <w:shd w:val="clear" w:color="auto" w:fill="BF2115"/>
          </w:tcPr>
          <w:p>
            <w:pPr>
              <w:jc w:val="center"/>
              <w:spacing w:after="0" w:line="160" w:lineRule="exact"/>
              <w:rPr>
                <w:sz w:val="20"/>
                <w:szCs w:val="20"/>
                <w:color w:val="auto"/>
              </w:rPr>
            </w:pPr>
            <w:r>
              <w:rPr>
                <w:rFonts w:ascii="Arial" w:cs="Arial" w:eastAsia="Arial" w:hAnsi="Arial"/>
                <w:sz w:val="16"/>
                <w:szCs w:val="16"/>
                <w:b w:val="1"/>
                <w:bCs w:val="1"/>
                <w:color w:val="FFFFFF"/>
                <w:w w:val="99"/>
              </w:rPr>
              <w:t>Equity Awards that</w:t>
            </w:r>
          </w:p>
        </w:tc>
        <w:tc>
          <w:tcPr>
            <w:tcW w:w="1640" w:type="dxa"/>
            <w:vAlign w:val="bottom"/>
            <w:shd w:val="clear" w:color="auto" w:fill="BF2115"/>
          </w:tcPr>
          <w:p>
            <w:pPr>
              <w:jc w:val="center"/>
              <w:ind w:right="40"/>
              <w:spacing w:after="0" w:line="160" w:lineRule="exact"/>
              <w:rPr>
                <w:sz w:val="20"/>
                <w:szCs w:val="20"/>
                <w:color w:val="auto"/>
              </w:rPr>
            </w:pPr>
            <w:r>
              <w:rPr>
                <w:rFonts w:ascii="Arial" w:cs="Arial" w:eastAsia="Arial" w:hAnsi="Arial"/>
                <w:sz w:val="16"/>
                <w:szCs w:val="16"/>
                <w:b w:val="1"/>
                <w:bCs w:val="1"/>
                <w:color w:val="FFFFFF"/>
                <w:w w:val="99"/>
              </w:rPr>
              <w:t>Equity Awards not</w:t>
            </w:r>
          </w:p>
        </w:tc>
        <w:tc>
          <w:tcPr>
            <w:tcW w:w="1360" w:type="dxa"/>
            <w:vAlign w:val="bottom"/>
            <w:shd w:val="clear" w:color="auto" w:fill="BF2115"/>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760" w:type="dxa"/>
            <w:vAlign w:val="bottom"/>
            <w:shd w:val="clear" w:color="auto" w:fill="BF2115"/>
          </w:tcPr>
          <w:p>
            <w:pPr>
              <w:spacing w:after="0"/>
              <w:rPr>
                <w:sz w:val="13"/>
                <w:szCs w:val="13"/>
                <w:color w:val="auto"/>
              </w:rPr>
            </w:pPr>
          </w:p>
        </w:tc>
        <w:tc>
          <w:tcPr>
            <w:tcW w:w="1260" w:type="dxa"/>
            <w:vAlign w:val="bottom"/>
            <w:shd w:val="clear" w:color="auto" w:fill="BF2115"/>
          </w:tcPr>
          <w:p>
            <w:pPr>
              <w:jc w:val="center"/>
              <w:spacing w:after="0" w:line="160" w:lineRule="exact"/>
              <w:rPr>
                <w:sz w:val="20"/>
                <w:szCs w:val="20"/>
                <w:color w:val="auto"/>
              </w:rPr>
            </w:pPr>
            <w:r>
              <w:rPr>
                <w:rFonts w:ascii="Arial" w:cs="Arial" w:eastAsia="Arial" w:hAnsi="Arial"/>
                <w:sz w:val="16"/>
                <w:szCs w:val="16"/>
                <w:b w:val="1"/>
                <w:bCs w:val="1"/>
                <w:color w:val="FFFFFF"/>
              </w:rPr>
              <w:t>Equity</w:t>
            </w:r>
          </w:p>
        </w:tc>
        <w:tc>
          <w:tcPr>
            <w:tcW w:w="1420" w:type="dxa"/>
            <w:vAlign w:val="bottom"/>
            <w:shd w:val="clear" w:color="auto" w:fill="BF2115"/>
          </w:tcPr>
          <w:p>
            <w:pPr>
              <w:jc w:val="center"/>
              <w:spacing w:after="0" w:line="160" w:lineRule="exact"/>
              <w:rPr>
                <w:sz w:val="20"/>
                <w:szCs w:val="20"/>
                <w:color w:val="auto"/>
              </w:rPr>
            </w:pPr>
            <w:r>
              <w:rPr>
                <w:rFonts w:ascii="Arial" w:cs="Arial" w:eastAsia="Arial" w:hAnsi="Arial"/>
                <w:sz w:val="16"/>
                <w:szCs w:val="16"/>
                <w:b w:val="1"/>
                <w:bCs w:val="1"/>
                <w:color w:val="FFFFFF"/>
              </w:rPr>
              <w:t>Unvested Equity</w:t>
            </w:r>
          </w:p>
        </w:tc>
        <w:tc>
          <w:tcPr>
            <w:tcW w:w="1260" w:type="dxa"/>
            <w:vAlign w:val="bottom"/>
            <w:shd w:val="clear" w:color="auto" w:fill="BF2115"/>
          </w:tcPr>
          <w:p>
            <w:pPr>
              <w:jc w:val="center"/>
              <w:spacing w:after="0" w:line="160" w:lineRule="exact"/>
              <w:rPr>
                <w:sz w:val="20"/>
                <w:szCs w:val="20"/>
                <w:color w:val="auto"/>
              </w:rPr>
            </w:pPr>
            <w:r>
              <w:rPr>
                <w:rFonts w:ascii="Arial" w:cs="Arial" w:eastAsia="Arial" w:hAnsi="Arial"/>
                <w:sz w:val="16"/>
                <w:szCs w:val="16"/>
                <w:b w:val="1"/>
                <w:bCs w:val="1"/>
                <w:color w:val="FFFFFF"/>
                <w:w w:val="98"/>
              </w:rPr>
              <w:t>Equity Awards</w:t>
            </w:r>
          </w:p>
        </w:tc>
        <w:tc>
          <w:tcPr>
            <w:tcW w:w="1640" w:type="dxa"/>
            <w:vAlign w:val="bottom"/>
            <w:shd w:val="clear" w:color="auto" w:fill="BF2115"/>
          </w:tcPr>
          <w:p>
            <w:pPr>
              <w:jc w:val="center"/>
              <w:spacing w:after="0" w:line="160" w:lineRule="exact"/>
              <w:rPr>
                <w:sz w:val="20"/>
                <w:szCs w:val="20"/>
                <w:color w:val="auto"/>
              </w:rPr>
            </w:pPr>
            <w:r>
              <w:rPr>
                <w:rFonts w:ascii="Arial" w:cs="Arial" w:eastAsia="Arial" w:hAnsi="Arial"/>
                <w:sz w:val="16"/>
                <w:szCs w:val="16"/>
                <w:b w:val="1"/>
                <w:bCs w:val="1"/>
                <w:color w:val="FFFFFF"/>
                <w:w w:val="99"/>
              </w:rPr>
              <w:t>Awards Granted in</w:t>
            </w:r>
          </w:p>
        </w:tc>
        <w:tc>
          <w:tcPr>
            <w:tcW w:w="1520" w:type="dxa"/>
            <w:vAlign w:val="bottom"/>
            <w:shd w:val="clear" w:color="auto" w:fill="BF2115"/>
          </w:tcPr>
          <w:p>
            <w:pPr>
              <w:jc w:val="center"/>
              <w:spacing w:after="0" w:line="160" w:lineRule="exact"/>
              <w:rPr>
                <w:sz w:val="20"/>
                <w:szCs w:val="20"/>
                <w:color w:val="auto"/>
              </w:rPr>
            </w:pPr>
            <w:r>
              <w:rPr>
                <w:rFonts w:ascii="Arial" w:cs="Arial" w:eastAsia="Arial" w:hAnsi="Arial"/>
                <w:sz w:val="16"/>
                <w:szCs w:val="16"/>
                <w:b w:val="1"/>
                <w:bCs w:val="1"/>
                <w:color w:val="FFFFFF"/>
                <w:w w:val="99"/>
              </w:rPr>
              <w:t>Failed to Meet</w:t>
            </w:r>
          </w:p>
        </w:tc>
        <w:tc>
          <w:tcPr>
            <w:tcW w:w="1640" w:type="dxa"/>
            <w:vAlign w:val="bottom"/>
            <w:shd w:val="clear" w:color="auto" w:fill="BF2115"/>
          </w:tcPr>
          <w:p>
            <w:pPr>
              <w:jc w:val="center"/>
              <w:ind w:right="40"/>
              <w:spacing w:after="0" w:line="160" w:lineRule="exact"/>
              <w:rPr>
                <w:sz w:val="20"/>
                <w:szCs w:val="20"/>
                <w:color w:val="auto"/>
              </w:rPr>
            </w:pPr>
            <w:r>
              <w:rPr>
                <w:rFonts w:ascii="Arial" w:cs="Arial" w:eastAsia="Arial" w:hAnsi="Arial"/>
                <w:sz w:val="16"/>
                <w:szCs w:val="16"/>
                <w:b w:val="1"/>
                <w:bCs w:val="1"/>
                <w:color w:val="FFFFFF"/>
                <w:w w:val="98"/>
              </w:rPr>
              <w:t>Otherwise</w:t>
            </w:r>
          </w:p>
        </w:tc>
        <w:tc>
          <w:tcPr>
            <w:tcW w:w="1360" w:type="dxa"/>
            <w:vAlign w:val="bottom"/>
            <w:vMerge w:val="restart"/>
            <w:shd w:val="clear" w:color="auto" w:fill="BF2115"/>
          </w:tcPr>
          <w:p>
            <w:pPr>
              <w:jc w:val="right"/>
              <w:ind w:right="120"/>
              <w:spacing w:after="0"/>
              <w:rPr>
                <w:sz w:val="20"/>
                <w:szCs w:val="20"/>
                <w:color w:val="auto"/>
              </w:rPr>
            </w:pPr>
            <w:r>
              <w:rPr>
                <w:rFonts w:ascii="Arial" w:cs="Arial" w:eastAsia="Arial" w:hAnsi="Arial"/>
                <w:sz w:val="16"/>
                <w:szCs w:val="16"/>
                <w:b w:val="1"/>
                <w:bCs w:val="1"/>
                <w:color w:val="FFFFFF"/>
              </w:rPr>
              <w:t>Average Total</w:t>
            </w:r>
          </w:p>
        </w:tc>
        <w:tc>
          <w:tcPr>
            <w:tcW w:w="0" w:type="dxa"/>
            <w:vAlign w:val="bottom"/>
          </w:tcPr>
          <w:p>
            <w:pPr>
              <w:spacing w:after="0"/>
              <w:rPr>
                <w:sz w:val="1"/>
                <w:szCs w:val="1"/>
                <w:color w:val="auto"/>
              </w:rPr>
            </w:pPr>
          </w:p>
        </w:tc>
      </w:tr>
      <w:tr>
        <w:trPr>
          <w:trHeight w:val="160"/>
        </w:trPr>
        <w:tc>
          <w:tcPr>
            <w:tcW w:w="760" w:type="dxa"/>
            <w:vAlign w:val="bottom"/>
            <w:shd w:val="clear" w:color="auto" w:fill="BF2115"/>
          </w:tcPr>
          <w:p>
            <w:pPr>
              <w:spacing w:after="0"/>
              <w:rPr>
                <w:sz w:val="13"/>
                <w:szCs w:val="13"/>
                <w:color w:val="auto"/>
              </w:rPr>
            </w:pPr>
          </w:p>
        </w:tc>
        <w:tc>
          <w:tcPr>
            <w:tcW w:w="1260" w:type="dxa"/>
            <w:vAlign w:val="bottom"/>
            <w:shd w:val="clear" w:color="auto" w:fill="BF2115"/>
          </w:tcPr>
          <w:p>
            <w:pPr>
              <w:jc w:val="center"/>
              <w:spacing w:after="0" w:line="160" w:lineRule="exact"/>
              <w:rPr>
                <w:sz w:val="20"/>
                <w:szCs w:val="20"/>
                <w:color w:val="auto"/>
              </w:rPr>
            </w:pPr>
            <w:r>
              <w:rPr>
                <w:rFonts w:ascii="Arial" w:cs="Arial" w:eastAsia="Arial" w:hAnsi="Arial"/>
                <w:sz w:val="16"/>
                <w:szCs w:val="16"/>
                <w:b w:val="1"/>
                <w:bCs w:val="1"/>
                <w:color w:val="FFFFFF"/>
              </w:rPr>
              <w:t>Awards</w:t>
            </w:r>
          </w:p>
        </w:tc>
        <w:tc>
          <w:tcPr>
            <w:tcW w:w="1420" w:type="dxa"/>
            <w:vAlign w:val="bottom"/>
            <w:shd w:val="clear" w:color="auto" w:fill="BF2115"/>
          </w:tcPr>
          <w:p>
            <w:pPr>
              <w:jc w:val="center"/>
              <w:spacing w:after="0" w:line="160" w:lineRule="exact"/>
              <w:rPr>
                <w:sz w:val="20"/>
                <w:szCs w:val="20"/>
                <w:color w:val="auto"/>
              </w:rPr>
            </w:pPr>
            <w:r>
              <w:rPr>
                <w:rFonts w:ascii="Arial" w:cs="Arial" w:eastAsia="Arial" w:hAnsi="Arial"/>
                <w:sz w:val="16"/>
                <w:szCs w:val="16"/>
                <w:b w:val="1"/>
                <w:bCs w:val="1"/>
                <w:color w:val="FFFFFF"/>
                <w:w w:val="98"/>
              </w:rPr>
              <w:t>Awards Granted</w:t>
            </w:r>
          </w:p>
        </w:tc>
        <w:tc>
          <w:tcPr>
            <w:tcW w:w="1260" w:type="dxa"/>
            <w:vAlign w:val="bottom"/>
            <w:shd w:val="clear" w:color="auto" w:fill="BF2115"/>
          </w:tcPr>
          <w:p>
            <w:pPr>
              <w:jc w:val="center"/>
              <w:spacing w:after="0" w:line="160" w:lineRule="exact"/>
              <w:rPr>
                <w:sz w:val="20"/>
                <w:szCs w:val="20"/>
                <w:color w:val="auto"/>
              </w:rPr>
            </w:pPr>
            <w:r>
              <w:rPr>
                <w:rFonts w:ascii="Arial" w:cs="Arial" w:eastAsia="Arial" w:hAnsi="Arial"/>
                <w:sz w:val="16"/>
                <w:szCs w:val="16"/>
                <w:b w:val="1"/>
                <w:bCs w:val="1"/>
                <w:color w:val="FFFFFF"/>
                <w:w w:val="99"/>
              </w:rPr>
              <w:t>Granted and</w:t>
            </w:r>
          </w:p>
        </w:tc>
        <w:tc>
          <w:tcPr>
            <w:tcW w:w="1640" w:type="dxa"/>
            <w:vAlign w:val="bottom"/>
            <w:shd w:val="clear" w:color="auto" w:fill="BF2115"/>
          </w:tcPr>
          <w:p>
            <w:pPr>
              <w:jc w:val="center"/>
              <w:spacing w:after="0" w:line="160" w:lineRule="exact"/>
              <w:rPr>
                <w:sz w:val="20"/>
                <w:szCs w:val="20"/>
                <w:color w:val="auto"/>
              </w:rPr>
            </w:pPr>
            <w:r>
              <w:rPr>
                <w:rFonts w:ascii="Arial" w:cs="Arial" w:eastAsia="Arial" w:hAnsi="Arial"/>
                <w:sz w:val="16"/>
                <w:szCs w:val="16"/>
                <w:b w:val="1"/>
                <w:bCs w:val="1"/>
                <w:color w:val="FFFFFF"/>
                <w:w w:val="98"/>
              </w:rPr>
              <w:t>Prior Years that</w:t>
            </w:r>
          </w:p>
        </w:tc>
        <w:tc>
          <w:tcPr>
            <w:tcW w:w="1520" w:type="dxa"/>
            <w:vAlign w:val="bottom"/>
            <w:shd w:val="clear" w:color="auto" w:fill="BF2115"/>
          </w:tcPr>
          <w:p>
            <w:pPr>
              <w:jc w:val="center"/>
              <w:spacing w:after="0" w:line="160" w:lineRule="exact"/>
              <w:rPr>
                <w:sz w:val="20"/>
                <w:szCs w:val="20"/>
                <w:color w:val="auto"/>
              </w:rPr>
            </w:pPr>
            <w:r>
              <w:rPr>
                <w:rFonts w:ascii="Arial" w:cs="Arial" w:eastAsia="Arial" w:hAnsi="Arial"/>
                <w:sz w:val="16"/>
                <w:szCs w:val="16"/>
                <w:b w:val="1"/>
                <w:bCs w:val="1"/>
                <w:color w:val="FFFFFF"/>
              </w:rPr>
              <w:t>Vesting Conditions</w:t>
            </w:r>
          </w:p>
        </w:tc>
        <w:tc>
          <w:tcPr>
            <w:tcW w:w="1640" w:type="dxa"/>
            <w:vAlign w:val="bottom"/>
            <w:shd w:val="clear" w:color="auto" w:fill="BF2115"/>
          </w:tcPr>
          <w:p>
            <w:pPr>
              <w:jc w:val="center"/>
              <w:ind w:right="40"/>
              <w:spacing w:after="0" w:line="160" w:lineRule="exact"/>
              <w:rPr>
                <w:sz w:val="20"/>
                <w:szCs w:val="20"/>
                <w:color w:val="auto"/>
              </w:rPr>
            </w:pPr>
            <w:r>
              <w:rPr>
                <w:rFonts w:ascii="Arial" w:cs="Arial" w:eastAsia="Arial" w:hAnsi="Arial"/>
                <w:sz w:val="16"/>
                <w:szCs w:val="16"/>
                <w:b w:val="1"/>
                <w:bCs w:val="1"/>
                <w:color w:val="FFFFFF"/>
                <w:w w:val="99"/>
              </w:rPr>
              <w:t>Reflected in Fair</w:t>
            </w:r>
          </w:p>
        </w:tc>
        <w:tc>
          <w:tcPr>
            <w:tcW w:w="1360" w:type="dxa"/>
            <w:vAlign w:val="bottom"/>
            <w:vMerge w:val="continue"/>
            <w:shd w:val="clear" w:color="auto" w:fill="BF2115"/>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760" w:type="dxa"/>
            <w:vAlign w:val="bottom"/>
            <w:vMerge w:val="restart"/>
            <w:shd w:val="clear" w:color="auto" w:fill="BF2115"/>
          </w:tcPr>
          <w:p>
            <w:pPr>
              <w:jc w:val="right"/>
              <w:ind w:right="80"/>
              <w:spacing w:after="0"/>
              <w:rPr>
                <w:sz w:val="20"/>
                <w:szCs w:val="20"/>
                <w:color w:val="auto"/>
              </w:rPr>
            </w:pPr>
            <w:r>
              <w:rPr>
                <w:rFonts w:ascii="Arial" w:cs="Arial" w:eastAsia="Arial" w:hAnsi="Arial"/>
                <w:sz w:val="16"/>
                <w:szCs w:val="16"/>
                <w:b w:val="1"/>
                <w:bCs w:val="1"/>
                <w:color w:val="FFFFFF"/>
              </w:rPr>
              <w:t>Year</w:t>
            </w:r>
          </w:p>
        </w:tc>
        <w:tc>
          <w:tcPr>
            <w:tcW w:w="1260" w:type="dxa"/>
            <w:vAlign w:val="bottom"/>
            <w:shd w:val="clear" w:color="auto" w:fill="BF2115"/>
          </w:tcPr>
          <w:p>
            <w:pPr>
              <w:jc w:val="center"/>
              <w:spacing w:after="0" w:line="160" w:lineRule="exact"/>
              <w:rPr>
                <w:sz w:val="20"/>
                <w:szCs w:val="20"/>
                <w:color w:val="auto"/>
              </w:rPr>
            </w:pPr>
            <w:r>
              <w:rPr>
                <w:rFonts w:ascii="Arial" w:cs="Arial" w:eastAsia="Arial" w:hAnsi="Arial"/>
                <w:sz w:val="16"/>
                <w:szCs w:val="16"/>
                <w:b w:val="1"/>
                <w:bCs w:val="1"/>
                <w:color w:val="FFFFFF"/>
                <w:w w:val="99"/>
              </w:rPr>
              <w:t>Granted in</w:t>
            </w:r>
          </w:p>
        </w:tc>
        <w:tc>
          <w:tcPr>
            <w:tcW w:w="1420" w:type="dxa"/>
            <w:vAlign w:val="bottom"/>
            <w:shd w:val="clear" w:color="auto" w:fill="BF2115"/>
          </w:tcPr>
          <w:p>
            <w:pPr>
              <w:jc w:val="center"/>
              <w:spacing w:after="0" w:line="160" w:lineRule="exact"/>
              <w:rPr>
                <w:sz w:val="20"/>
                <w:szCs w:val="20"/>
                <w:color w:val="auto"/>
              </w:rPr>
            </w:pPr>
            <w:r>
              <w:rPr>
                <w:rFonts w:ascii="Arial" w:cs="Arial" w:eastAsia="Arial" w:hAnsi="Arial"/>
                <w:sz w:val="16"/>
                <w:szCs w:val="16"/>
                <w:b w:val="1"/>
                <w:bCs w:val="1"/>
                <w:color w:val="FFFFFF"/>
                <w:w w:val="97"/>
              </w:rPr>
              <w:t>in Prior Years</w:t>
            </w:r>
          </w:p>
        </w:tc>
        <w:tc>
          <w:tcPr>
            <w:tcW w:w="1260" w:type="dxa"/>
            <w:vAlign w:val="bottom"/>
            <w:shd w:val="clear" w:color="auto" w:fill="BF2115"/>
          </w:tcPr>
          <w:p>
            <w:pPr>
              <w:jc w:val="center"/>
              <w:spacing w:after="0" w:line="160" w:lineRule="exact"/>
              <w:rPr>
                <w:sz w:val="20"/>
                <w:szCs w:val="20"/>
                <w:color w:val="auto"/>
              </w:rPr>
            </w:pPr>
            <w:r>
              <w:rPr>
                <w:rFonts w:ascii="Arial" w:cs="Arial" w:eastAsia="Arial" w:hAnsi="Arial"/>
                <w:sz w:val="16"/>
                <w:szCs w:val="16"/>
                <w:b w:val="1"/>
                <w:bCs w:val="1"/>
                <w:color w:val="FFFFFF"/>
                <w:w w:val="98"/>
              </w:rPr>
              <w:t>Vested in the</w:t>
            </w:r>
          </w:p>
        </w:tc>
        <w:tc>
          <w:tcPr>
            <w:tcW w:w="1640" w:type="dxa"/>
            <w:vAlign w:val="bottom"/>
            <w:shd w:val="clear" w:color="auto" w:fill="BF2115"/>
          </w:tcPr>
          <w:p>
            <w:pPr>
              <w:jc w:val="center"/>
              <w:spacing w:after="0" w:line="160" w:lineRule="exact"/>
              <w:rPr>
                <w:sz w:val="20"/>
                <w:szCs w:val="20"/>
                <w:color w:val="auto"/>
              </w:rPr>
            </w:pPr>
            <w:r>
              <w:rPr>
                <w:rFonts w:ascii="Arial" w:cs="Arial" w:eastAsia="Arial" w:hAnsi="Arial"/>
                <w:sz w:val="16"/>
                <w:szCs w:val="16"/>
                <w:b w:val="1"/>
                <w:bCs w:val="1"/>
                <w:color w:val="FFFFFF"/>
                <w:w w:val="98"/>
              </w:rPr>
              <w:t>Vested in the Year</w:t>
            </w:r>
          </w:p>
        </w:tc>
        <w:tc>
          <w:tcPr>
            <w:tcW w:w="1520" w:type="dxa"/>
            <w:vAlign w:val="bottom"/>
            <w:shd w:val="clear" w:color="auto" w:fill="BF2115"/>
          </w:tcPr>
          <w:p>
            <w:pPr>
              <w:jc w:val="center"/>
              <w:spacing w:after="0" w:line="160" w:lineRule="exact"/>
              <w:rPr>
                <w:sz w:val="20"/>
                <w:szCs w:val="20"/>
                <w:color w:val="auto"/>
              </w:rPr>
            </w:pPr>
            <w:r>
              <w:rPr>
                <w:rFonts w:ascii="Arial" w:cs="Arial" w:eastAsia="Arial" w:hAnsi="Arial"/>
                <w:sz w:val="16"/>
                <w:szCs w:val="16"/>
                <w:b w:val="1"/>
                <w:bCs w:val="1"/>
                <w:color w:val="FFFFFF"/>
                <w:w w:val="97"/>
              </w:rPr>
              <w:t>in the Year</w:t>
            </w:r>
          </w:p>
        </w:tc>
        <w:tc>
          <w:tcPr>
            <w:tcW w:w="1640" w:type="dxa"/>
            <w:vAlign w:val="bottom"/>
            <w:shd w:val="clear" w:color="auto" w:fill="BF2115"/>
          </w:tcPr>
          <w:p>
            <w:pPr>
              <w:jc w:val="center"/>
              <w:ind w:right="40"/>
              <w:spacing w:after="0" w:line="160" w:lineRule="exact"/>
              <w:rPr>
                <w:sz w:val="20"/>
                <w:szCs w:val="20"/>
                <w:color w:val="auto"/>
              </w:rPr>
            </w:pPr>
            <w:r>
              <w:rPr>
                <w:rFonts w:ascii="Arial" w:cs="Arial" w:eastAsia="Arial" w:hAnsi="Arial"/>
                <w:sz w:val="16"/>
                <w:szCs w:val="16"/>
                <w:b w:val="1"/>
                <w:bCs w:val="1"/>
                <w:color w:val="FFFFFF"/>
                <w:w w:val="98"/>
              </w:rPr>
              <w:t>Value or Total</w:t>
            </w:r>
          </w:p>
        </w:tc>
        <w:tc>
          <w:tcPr>
            <w:tcW w:w="1360" w:type="dxa"/>
            <w:vAlign w:val="bottom"/>
            <w:shd w:val="clear" w:color="auto" w:fill="BF2115"/>
          </w:tcPr>
          <w:p>
            <w:pPr>
              <w:jc w:val="right"/>
              <w:ind w:right="140"/>
              <w:spacing w:after="0" w:line="160" w:lineRule="exact"/>
              <w:rPr>
                <w:sz w:val="20"/>
                <w:szCs w:val="20"/>
                <w:color w:val="auto"/>
              </w:rPr>
            </w:pPr>
            <w:r>
              <w:rPr>
                <w:rFonts w:ascii="Arial" w:cs="Arial" w:eastAsia="Arial" w:hAnsi="Arial"/>
                <w:sz w:val="16"/>
                <w:szCs w:val="16"/>
                <w:b w:val="1"/>
                <w:bCs w:val="1"/>
                <w:color w:val="FFFFFF"/>
              </w:rPr>
              <w:t>Equity Award</w:t>
            </w:r>
          </w:p>
        </w:tc>
        <w:tc>
          <w:tcPr>
            <w:tcW w:w="0" w:type="dxa"/>
            <w:vAlign w:val="bottom"/>
          </w:tcPr>
          <w:p>
            <w:pPr>
              <w:spacing w:after="0"/>
              <w:rPr>
                <w:sz w:val="1"/>
                <w:szCs w:val="1"/>
                <w:color w:val="auto"/>
              </w:rPr>
            </w:pPr>
          </w:p>
        </w:tc>
      </w:tr>
      <w:tr>
        <w:trPr>
          <w:trHeight w:val="213"/>
        </w:trPr>
        <w:tc>
          <w:tcPr>
            <w:tcW w:w="760" w:type="dxa"/>
            <w:vAlign w:val="bottom"/>
            <w:vMerge w:val="continue"/>
            <w:shd w:val="clear" w:color="auto" w:fill="BF2115"/>
          </w:tcPr>
          <w:p>
            <w:pPr>
              <w:spacing w:after="0"/>
              <w:rPr>
                <w:sz w:val="18"/>
                <w:szCs w:val="18"/>
                <w:color w:val="auto"/>
              </w:rPr>
            </w:pPr>
          </w:p>
        </w:tc>
        <w:tc>
          <w:tcPr>
            <w:tcW w:w="1260" w:type="dxa"/>
            <w:vAlign w:val="bottom"/>
            <w:shd w:val="clear" w:color="auto" w:fill="BF2115"/>
          </w:tcPr>
          <w:p>
            <w:pPr>
              <w:jc w:val="center"/>
              <w:spacing w:after="0"/>
              <w:rPr>
                <w:sz w:val="20"/>
                <w:szCs w:val="20"/>
                <w:color w:val="auto"/>
              </w:rPr>
            </w:pPr>
            <w:r>
              <w:rPr>
                <w:rFonts w:ascii="Arial" w:cs="Arial" w:eastAsia="Arial" w:hAnsi="Arial"/>
                <w:sz w:val="16"/>
                <w:szCs w:val="16"/>
                <w:b w:val="1"/>
                <w:bCs w:val="1"/>
                <w:color w:val="FFFFFF"/>
                <w:w w:val="98"/>
              </w:rPr>
              <w:t>the Year ($)</w:t>
            </w:r>
          </w:p>
        </w:tc>
        <w:tc>
          <w:tcPr>
            <w:tcW w:w="1420" w:type="dxa"/>
            <w:vAlign w:val="bottom"/>
            <w:shd w:val="clear" w:color="auto" w:fill="BF2115"/>
          </w:tcPr>
          <w:p>
            <w:pPr>
              <w:jc w:val="center"/>
              <w:spacing w:after="0"/>
              <w:rPr>
                <w:sz w:val="20"/>
                <w:szCs w:val="20"/>
                <w:color w:val="auto"/>
              </w:rPr>
            </w:pPr>
            <w:r>
              <w:rPr>
                <w:rFonts w:ascii="Arial" w:cs="Arial" w:eastAsia="Arial" w:hAnsi="Arial"/>
                <w:sz w:val="16"/>
                <w:szCs w:val="16"/>
                <w:b w:val="1"/>
                <w:bCs w:val="1"/>
                <w:color w:val="FFFFFF"/>
                <w:w w:val="91"/>
              </w:rPr>
              <w:t>($)</w:t>
            </w:r>
          </w:p>
        </w:tc>
        <w:tc>
          <w:tcPr>
            <w:tcW w:w="1260" w:type="dxa"/>
            <w:vAlign w:val="bottom"/>
            <w:shd w:val="clear" w:color="auto" w:fill="BF2115"/>
          </w:tcPr>
          <w:p>
            <w:pPr>
              <w:jc w:val="center"/>
              <w:spacing w:after="0"/>
              <w:rPr>
                <w:sz w:val="20"/>
                <w:szCs w:val="20"/>
                <w:color w:val="auto"/>
              </w:rPr>
            </w:pPr>
            <w:r>
              <w:rPr>
                <w:rFonts w:ascii="Arial" w:cs="Arial" w:eastAsia="Arial" w:hAnsi="Arial"/>
                <w:sz w:val="16"/>
                <w:szCs w:val="16"/>
                <w:b w:val="1"/>
                <w:bCs w:val="1"/>
                <w:color w:val="FFFFFF"/>
                <w:w w:val="98"/>
              </w:rPr>
              <w:t>Year ($)</w:t>
            </w:r>
          </w:p>
        </w:tc>
        <w:tc>
          <w:tcPr>
            <w:tcW w:w="1640" w:type="dxa"/>
            <w:vAlign w:val="bottom"/>
            <w:shd w:val="clear" w:color="auto" w:fill="BF2115"/>
          </w:tcPr>
          <w:p>
            <w:pPr>
              <w:jc w:val="center"/>
              <w:spacing w:after="0"/>
              <w:rPr>
                <w:sz w:val="20"/>
                <w:szCs w:val="20"/>
                <w:color w:val="auto"/>
              </w:rPr>
            </w:pPr>
            <w:r>
              <w:rPr>
                <w:rFonts w:ascii="Arial" w:cs="Arial" w:eastAsia="Arial" w:hAnsi="Arial"/>
                <w:sz w:val="16"/>
                <w:szCs w:val="16"/>
                <w:b w:val="1"/>
                <w:bCs w:val="1"/>
                <w:color w:val="FFFFFF"/>
              </w:rPr>
              <w:t>($)</w:t>
            </w:r>
          </w:p>
        </w:tc>
        <w:tc>
          <w:tcPr>
            <w:tcW w:w="1520" w:type="dxa"/>
            <w:vAlign w:val="bottom"/>
            <w:shd w:val="clear" w:color="auto" w:fill="BF2115"/>
          </w:tcPr>
          <w:p>
            <w:pPr>
              <w:jc w:val="center"/>
              <w:spacing w:after="0"/>
              <w:rPr>
                <w:sz w:val="20"/>
                <w:szCs w:val="20"/>
                <w:color w:val="auto"/>
              </w:rPr>
            </w:pPr>
            <w:r>
              <w:rPr>
                <w:rFonts w:ascii="Arial" w:cs="Arial" w:eastAsia="Arial" w:hAnsi="Arial"/>
                <w:sz w:val="16"/>
                <w:szCs w:val="16"/>
                <w:b w:val="1"/>
                <w:bCs w:val="1"/>
                <w:color w:val="FFFFFF"/>
              </w:rPr>
              <w:t>($)</w:t>
            </w:r>
          </w:p>
        </w:tc>
        <w:tc>
          <w:tcPr>
            <w:tcW w:w="3000" w:type="dxa"/>
            <w:vAlign w:val="bottom"/>
            <w:gridSpan w:val="2"/>
            <w:shd w:val="clear" w:color="auto" w:fill="BF2115"/>
          </w:tcPr>
          <w:p>
            <w:pPr>
              <w:jc w:val="right"/>
              <w:ind w:right="40"/>
              <w:spacing w:after="0"/>
              <w:rPr>
                <w:sz w:val="20"/>
                <w:szCs w:val="20"/>
                <w:color w:val="auto"/>
              </w:rPr>
            </w:pPr>
            <w:r>
              <w:rPr>
                <w:rFonts w:ascii="Arial" w:cs="Arial" w:eastAsia="Arial" w:hAnsi="Arial"/>
                <w:sz w:val="16"/>
                <w:szCs w:val="16"/>
                <w:b w:val="1"/>
                <w:bCs w:val="1"/>
                <w:color w:val="FFFFFF"/>
              </w:rPr>
              <w:t>Compensation ($)   Adjustments ($)</w:t>
            </w:r>
          </w:p>
        </w:tc>
        <w:tc>
          <w:tcPr>
            <w:tcW w:w="0" w:type="dxa"/>
            <w:vAlign w:val="bottom"/>
          </w:tcPr>
          <w:p>
            <w:pPr>
              <w:spacing w:after="0"/>
              <w:rPr>
                <w:sz w:val="1"/>
                <w:szCs w:val="1"/>
                <w:color w:val="auto"/>
              </w:rPr>
            </w:pPr>
          </w:p>
        </w:tc>
      </w:tr>
      <w:tr>
        <w:trPr>
          <w:trHeight w:val="211"/>
        </w:trPr>
        <w:tc>
          <w:tcPr>
            <w:tcW w:w="760" w:type="dxa"/>
            <w:vAlign w:val="bottom"/>
          </w:tcPr>
          <w:p>
            <w:pPr>
              <w:jc w:val="right"/>
              <w:ind w:right="300"/>
              <w:spacing w:after="0"/>
              <w:rPr>
                <w:sz w:val="20"/>
                <w:szCs w:val="20"/>
                <w:color w:val="auto"/>
              </w:rPr>
            </w:pPr>
            <w:r>
              <w:rPr>
                <w:rFonts w:ascii="Arial" w:cs="Arial" w:eastAsia="Arial" w:hAnsi="Arial"/>
                <w:sz w:val="16"/>
                <w:szCs w:val="16"/>
                <w:color w:val="auto"/>
              </w:rPr>
              <w:t>2024</w:t>
            </w:r>
          </w:p>
        </w:tc>
        <w:tc>
          <w:tcPr>
            <w:tcW w:w="1260" w:type="dxa"/>
            <w:vAlign w:val="bottom"/>
          </w:tcPr>
          <w:p>
            <w:pPr>
              <w:jc w:val="right"/>
              <w:spacing w:after="0"/>
              <w:rPr>
                <w:sz w:val="20"/>
                <w:szCs w:val="20"/>
                <w:color w:val="auto"/>
              </w:rPr>
            </w:pPr>
            <w:r>
              <w:rPr>
                <w:rFonts w:ascii="Arial" w:cs="Arial" w:eastAsia="Arial" w:hAnsi="Arial"/>
                <w:sz w:val="16"/>
                <w:szCs w:val="16"/>
                <w:color w:val="auto"/>
              </w:rPr>
              <w:t>426,285</w:t>
            </w:r>
          </w:p>
        </w:tc>
        <w:tc>
          <w:tcPr>
            <w:tcW w:w="1420" w:type="dxa"/>
            <w:vAlign w:val="bottom"/>
          </w:tcPr>
          <w:p>
            <w:pPr>
              <w:jc w:val="right"/>
              <w:spacing w:after="0"/>
              <w:rPr>
                <w:sz w:val="20"/>
                <w:szCs w:val="20"/>
                <w:color w:val="auto"/>
              </w:rPr>
            </w:pPr>
            <w:r>
              <w:rPr>
                <w:rFonts w:ascii="Arial" w:cs="Arial" w:eastAsia="Arial" w:hAnsi="Arial"/>
                <w:sz w:val="16"/>
                <w:szCs w:val="16"/>
                <w:color w:val="auto"/>
              </w:rPr>
              <w:t>(2,349)</w:t>
            </w:r>
          </w:p>
        </w:tc>
        <w:tc>
          <w:tcPr>
            <w:tcW w:w="1260" w:type="dxa"/>
            <w:vAlign w:val="bottom"/>
          </w:tcPr>
          <w:p>
            <w:pPr>
              <w:jc w:val="right"/>
              <w:spacing w:after="0"/>
              <w:rPr>
                <w:sz w:val="20"/>
                <w:szCs w:val="20"/>
                <w:color w:val="auto"/>
              </w:rPr>
            </w:pPr>
            <w:r>
              <w:rPr>
                <w:rFonts w:ascii="Arial" w:cs="Arial" w:eastAsia="Arial" w:hAnsi="Arial"/>
                <w:sz w:val="16"/>
                <w:szCs w:val="16"/>
                <w:color w:val="auto"/>
              </w:rPr>
              <w:t>0</w:t>
            </w:r>
          </w:p>
        </w:tc>
        <w:tc>
          <w:tcPr>
            <w:tcW w:w="1640" w:type="dxa"/>
            <w:vAlign w:val="bottom"/>
          </w:tcPr>
          <w:p>
            <w:pPr>
              <w:jc w:val="right"/>
              <w:spacing w:after="0"/>
              <w:rPr>
                <w:sz w:val="20"/>
                <w:szCs w:val="20"/>
                <w:color w:val="auto"/>
              </w:rPr>
            </w:pPr>
            <w:r>
              <w:rPr>
                <w:rFonts w:ascii="Arial" w:cs="Arial" w:eastAsia="Arial" w:hAnsi="Arial"/>
                <w:sz w:val="16"/>
                <w:szCs w:val="16"/>
                <w:color w:val="auto"/>
              </w:rPr>
              <w:t>22,961</w:t>
            </w:r>
          </w:p>
        </w:tc>
        <w:tc>
          <w:tcPr>
            <w:tcW w:w="1520" w:type="dxa"/>
            <w:vAlign w:val="bottom"/>
          </w:tcPr>
          <w:p>
            <w:pPr>
              <w:jc w:val="right"/>
              <w:spacing w:after="0"/>
              <w:rPr>
                <w:sz w:val="20"/>
                <w:szCs w:val="20"/>
                <w:color w:val="auto"/>
              </w:rPr>
            </w:pPr>
            <w:r>
              <w:rPr>
                <w:rFonts w:ascii="Arial" w:cs="Arial" w:eastAsia="Arial" w:hAnsi="Arial"/>
                <w:sz w:val="16"/>
                <w:szCs w:val="16"/>
                <w:color w:val="auto"/>
              </w:rPr>
              <w:t>0</w:t>
            </w:r>
          </w:p>
        </w:tc>
        <w:tc>
          <w:tcPr>
            <w:tcW w:w="1640" w:type="dxa"/>
            <w:vAlign w:val="bottom"/>
          </w:tcPr>
          <w:p>
            <w:pPr>
              <w:jc w:val="right"/>
              <w:ind w:right="40"/>
              <w:spacing w:after="0"/>
              <w:rPr>
                <w:sz w:val="20"/>
                <w:szCs w:val="20"/>
                <w:color w:val="auto"/>
              </w:rPr>
            </w:pPr>
            <w:r>
              <w:rPr>
                <w:rFonts w:ascii="Arial" w:cs="Arial" w:eastAsia="Arial" w:hAnsi="Arial"/>
                <w:sz w:val="16"/>
                <w:szCs w:val="16"/>
                <w:color w:val="auto"/>
              </w:rPr>
              <w:t>10,900</w:t>
            </w:r>
          </w:p>
        </w:tc>
        <w:tc>
          <w:tcPr>
            <w:tcW w:w="1360" w:type="dxa"/>
            <w:vAlign w:val="bottom"/>
          </w:tcPr>
          <w:p>
            <w:pPr>
              <w:jc w:val="right"/>
              <w:spacing w:after="0"/>
              <w:rPr>
                <w:sz w:val="20"/>
                <w:szCs w:val="20"/>
                <w:color w:val="auto"/>
              </w:rPr>
            </w:pPr>
            <w:r>
              <w:rPr>
                <w:rFonts w:ascii="Arial" w:cs="Arial" w:eastAsia="Arial" w:hAnsi="Arial"/>
                <w:sz w:val="16"/>
                <w:szCs w:val="16"/>
                <w:color w:val="auto"/>
              </w:rPr>
              <w:t>457,797</w:t>
            </w:r>
          </w:p>
        </w:tc>
        <w:tc>
          <w:tcPr>
            <w:tcW w:w="0" w:type="dxa"/>
            <w:vAlign w:val="bottom"/>
          </w:tcPr>
          <w:p>
            <w:pPr>
              <w:spacing w:after="0"/>
              <w:rPr>
                <w:sz w:val="1"/>
                <w:szCs w:val="1"/>
                <w:color w:val="auto"/>
              </w:rPr>
            </w:pPr>
          </w:p>
        </w:tc>
      </w:tr>
      <w:tr>
        <w:trPr>
          <w:trHeight w:val="29"/>
        </w:trPr>
        <w:tc>
          <w:tcPr>
            <w:tcW w:w="7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760" w:type="dxa"/>
            <w:vAlign w:val="bottom"/>
            <w:tcBorders>
              <w:bottom w:val="single" w:sz="8" w:color="DBDBDB"/>
            </w:tcBorders>
            <w:shd w:val="clear" w:color="auto" w:fill="DBDBDB"/>
          </w:tcPr>
          <w:p>
            <w:pPr>
              <w:jc w:val="right"/>
              <w:ind w:right="300"/>
              <w:spacing w:after="0"/>
              <w:rPr>
                <w:sz w:val="20"/>
                <w:szCs w:val="20"/>
                <w:color w:val="auto"/>
              </w:rPr>
            </w:pPr>
            <w:r>
              <w:rPr>
                <w:rFonts w:ascii="Arial" w:cs="Arial" w:eastAsia="Arial" w:hAnsi="Arial"/>
                <w:sz w:val="16"/>
                <w:szCs w:val="16"/>
                <w:color w:val="auto"/>
              </w:rPr>
              <w:t>2023</w:t>
            </w:r>
          </w:p>
        </w:tc>
        <w:tc>
          <w:tcPr>
            <w:tcW w:w="126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6"/>
                <w:szCs w:val="16"/>
                <w:color w:val="auto"/>
              </w:rPr>
              <w:t>466,643</w:t>
            </w:r>
          </w:p>
        </w:tc>
        <w:tc>
          <w:tcPr>
            <w:tcW w:w="142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6"/>
                <w:szCs w:val="16"/>
                <w:color w:val="auto"/>
              </w:rPr>
              <w:t>(327,514)</w:t>
            </w:r>
          </w:p>
        </w:tc>
        <w:tc>
          <w:tcPr>
            <w:tcW w:w="126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6"/>
                <w:szCs w:val="16"/>
                <w:color w:val="auto"/>
              </w:rPr>
              <w:t>0</w:t>
            </w:r>
          </w:p>
        </w:tc>
        <w:tc>
          <w:tcPr>
            <w:tcW w:w="164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6"/>
                <w:szCs w:val="16"/>
                <w:color w:val="auto"/>
              </w:rPr>
              <w:t>(120,273)</w:t>
            </w:r>
          </w:p>
        </w:tc>
        <w:tc>
          <w:tcPr>
            <w:tcW w:w="152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6"/>
                <w:szCs w:val="16"/>
                <w:color w:val="auto"/>
              </w:rPr>
              <w:t>(144,551)</w:t>
            </w:r>
          </w:p>
        </w:tc>
        <w:tc>
          <w:tcPr>
            <w:tcW w:w="1640" w:type="dxa"/>
            <w:vAlign w:val="bottom"/>
            <w:tcBorders>
              <w:bottom w:val="single" w:sz="8" w:color="DBDBDB"/>
            </w:tcBorders>
            <w:shd w:val="clear" w:color="auto" w:fill="DBDBDB"/>
          </w:tcPr>
          <w:p>
            <w:pPr>
              <w:jc w:val="right"/>
              <w:ind w:right="40"/>
              <w:spacing w:after="0"/>
              <w:rPr>
                <w:sz w:val="20"/>
                <w:szCs w:val="20"/>
                <w:color w:val="auto"/>
              </w:rPr>
            </w:pPr>
            <w:r>
              <w:rPr>
                <w:rFonts w:ascii="Arial" w:cs="Arial" w:eastAsia="Arial" w:hAnsi="Arial"/>
                <w:sz w:val="16"/>
                <w:szCs w:val="16"/>
                <w:color w:val="auto"/>
              </w:rPr>
              <w:t>2,716</w:t>
            </w:r>
          </w:p>
        </w:tc>
        <w:tc>
          <w:tcPr>
            <w:tcW w:w="136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6"/>
                <w:szCs w:val="16"/>
                <w:color w:val="auto"/>
              </w:rPr>
              <w:t>(122,980)</w:t>
            </w:r>
          </w:p>
        </w:tc>
        <w:tc>
          <w:tcPr>
            <w:tcW w:w="0" w:type="dxa"/>
            <w:vAlign w:val="bottom"/>
          </w:tcPr>
          <w:p>
            <w:pPr>
              <w:spacing w:after="0"/>
              <w:rPr>
                <w:sz w:val="1"/>
                <w:szCs w:val="1"/>
                <w:color w:val="auto"/>
              </w:rPr>
            </w:pPr>
          </w:p>
        </w:tc>
      </w:tr>
      <w:tr>
        <w:trPr>
          <w:trHeight w:val="211"/>
        </w:trPr>
        <w:tc>
          <w:tcPr>
            <w:tcW w:w="760" w:type="dxa"/>
            <w:vAlign w:val="bottom"/>
          </w:tcPr>
          <w:p>
            <w:pPr>
              <w:jc w:val="right"/>
              <w:ind w:right="300"/>
              <w:spacing w:after="0"/>
              <w:rPr>
                <w:sz w:val="20"/>
                <w:szCs w:val="20"/>
                <w:color w:val="auto"/>
              </w:rPr>
            </w:pPr>
            <w:r>
              <w:rPr>
                <w:rFonts w:ascii="Arial" w:cs="Arial" w:eastAsia="Arial" w:hAnsi="Arial"/>
                <w:sz w:val="16"/>
                <w:szCs w:val="16"/>
                <w:color w:val="auto"/>
              </w:rPr>
              <w:t>2022</w:t>
            </w:r>
          </w:p>
        </w:tc>
        <w:tc>
          <w:tcPr>
            <w:tcW w:w="1260" w:type="dxa"/>
            <w:vAlign w:val="bottom"/>
          </w:tcPr>
          <w:p>
            <w:pPr>
              <w:jc w:val="right"/>
              <w:spacing w:after="0"/>
              <w:rPr>
                <w:sz w:val="20"/>
                <w:szCs w:val="20"/>
                <w:color w:val="auto"/>
              </w:rPr>
            </w:pPr>
            <w:r>
              <w:rPr>
                <w:rFonts w:ascii="Arial" w:cs="Arial" w:eastAsia="Arial" w:hAnsi="Arial"/>
                <w:sz w:val="16"/>
                <w:szCs w:val="16"/>
                <w:color w:val="auto"/>
              </w:rPr>
              <w:t>1,533,967</w:t>
            </w:r>
          </w:p>
        </w:tc>
        <w:tc>
          <w:tcPr>
            <w:tcW w:w="1420" w:type="dxa"/>
            <w:vAlign w:val="bottom"/>
          </w:tcPr>
          <w:p>
            <w:pPr>
              <w:jc w:val="right"/>
              <w:spacing w:after="0"/>
              <w:rPr>
                <w:sz w:val="20"/>
                <w:szCs w:val="20"/>
                <w:color w:val="auto"/>
              </w:rPr>
            </w:pPr>
            <w:r>
              <w:rPr>
                <w:rFonts w:ascii="Arial" w:cs="Arial" w:eastAsia="Arial" w:hAnsi="Arial"/>
                <w:sz w:val="16"/>
                <w:szCs w:val="16"/>
                <w:color w:val="auto"/>
              </w:rPr>
              <w:t>329,900</w:t>
            </w:r>
          </w:p>
        </w:tc>
        <w:tc>
          <w:tcPr>
            <w:tcW w:w="1260" w:type="dxa"/>
            <w:vAlign w:val="bottom"/>
          </w:tcPr>
          <w:p>
            <w:pPr>
              <w:jc w:val="right"/>
              <w:spacing w:after="0"/>
              <w:rPr>
                <w:sz w:val="20"/>
                <w:szCs w:val="20"/>
                <w:color w:val="auto"/>
              </w:rPr>
            </w:pPr>
            <w:r>
              <w:rPr>
                <w:rFonts w:ascii="Arial" w:cs="Arial" w:eastAsia="Arial" w:hAnsi="Arial"/>
                <w:sz w:val="16"/>
                <w:szCs w:val="16"/>
                <w:color w:val="auto"/>
              </w:rPr>
              <w:t>0</w:t>
            </w:r>
          </w:p>
        </w:tc>
        <w:tc>
          <w:tcPr>
            <w:tcW w:w="1640" w:type="dxa"/>
            <w:vAlign w:val="bottom"/>
          </w:tcPr>
          <w:p>
            <w:pPr>
              <w:jc w:val="right"/>
              <w:spacing w:after="0"/>
              <w:rPr>
                <w:sz w:val="20"/>
                <w:szCs w:val="20"/>
                <w:color w:val="auto"/>
              </w:rPr>
            </w:pPr>
            <w:r>
              <w:rPr>
                <w:rFonts w:ascii="Arial" w:cs="Arial" w:eastAsia="Arial" w:hAnsi="Arial"/>
                <w:sz w:val="16"/>
                <w:szCs w:val="16"/>
                <w:color w:val="auto"/>
              </w:rPr>
              <w:t>(38,169)</w:t>
            </w:r>
          </w:p>
        </w:tc>
        <w:tc>
          <w:tcPr>
            <w:tcW w:w="1520" w:type="dxa"/>
            <w:vAlign w:val="bottom"/>
          </w:tcPr>
          <w:p>
            <w:pPr>
              <w:jc w:val="right"/>
              <w:spacing w:after="0"/>
              <w:rPr>
                <w:sz w:val="20"/>
                <w:szCs w:val="20"/>
                <w:color w:val="auto"/>
              </w:rPr>
            </w:pPr>
            <w:r>
              <w:rPr>
                <w:rFonts w:ascii="Arial" w:cs="Arial" w:eastAsia="Arial" w:hAnsi="Arial"/>
                <w:sz w:val="16"/>
                <w:szCs w:val="16"/>
                <w:color w:val="auto"/>
              </w:rPr>
              <w:t>0</w:t>
            </w:r>
          </w:p>
        </w:tc>
        <w:tc>
          <w:tcPr>
            <w:tcW w:w="1640" w:type="dxa"/>
            <w:vAlign w:val="bottom"/>
          </w:tcPr>
          <w:p>
            <w:pPr>
              <w:jc w:val="right"/>
              <w:ind w:right="40"/>
              <w:spacing w:after="0"/>
              <w:rPr>
                <w:sz w:val="20"/>
                <w:szCs w:val="20"/>
                <w:color w:val="auto"/>
              </w:rPr>
            </w:pPr>
            <w:r>
              <w:rPr>
                <w:rFonts w:ascii="Arial" w:cs="Arial" w:eastAsia="Arial" w:hAnsi="Arial"/>
                <w:sz w:val="16"/>
                <w:szCs w:val="16"/>
                <w:color w:val="auto"/>
              </w:rPr>
              <w:t>5,885</w:t>
            </w:r>
          </w:p>
        </w:tc>
        <w:tc>
          <w:tcPr>
            <w:tcW w:w="1360" w:type="dxa"/>
            <w:vAlign w:val="bottom"/>
          </w:tcPr>
          <w:p>
            <w:pPr>
              <w:jc w:val="right"/>
              <w:spacing w:after="0"/>
              <w:rPr>
                <w:sz w:val="20"/>
                <w:szCs w:val="20"/>
                <w:color w:val="auto"/>
              </w:rPr>
            </w:pPr>
            <w:r>
              <w:rPr>
                <w:rFonts w:ascii="Arial" w:cs="Arial" w:eastAsia="Arial" w:hAnsi="Arial"/>
                <w:sz w:val="16"/>
                <w:szCs w:val="16"/>
                <w:color w:val="auto"/>
              </w:rPr>
              <w:t>1,831,583</w:t>
            </w:r>
          </w:p>
        </w:tc>
        <w:tc>
          <w:tcPr>
            <w:tcW w:w="0" w:type="dxa"/>
            <w:vAlign w:val="bottom"/>
          </w:tcPr>
          <w:p>
            <w:pPr>
              <w:spacing w:after="0"/>
              <w:rPr>
                <w:sz w:val="1"/>
                <w:szCs w:val="1"/>
                <w:color w:val="auto"/>
              </w:rPr>
            </w:pPr>
          </w:p>
        </w:tc>
      </w:tr>
      <w:tr>
        <w:trPr>
          <w:trHeight w:val="29"/>
        </w:trPr>
        <w:tc>
          <w:tcPr>
            <w:tcW w:w="7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1"/>
        </w:trPr>
        <w:tc>
          <w:tcPr>
            <w:tcW w:w="760" w:type="dxa"/>
            <w:vAlign w:val="bottom"/>
            <w:shd w:val="clear" w:color="auto" w:fill="DBDBDB"/>
          </w:tcPr>
          <w:p>
            <w:pPr>
              <w:jc w:val="right"/>
              <w:ind w:right="300"/>
              <w:spacing w:after="0"/>
              <w:rPr>
                <w:sz w:val="20"/>
                <w:szCs w:val="20"/>
                <w:color w:val="auto"/>
              </w:rPr>
            </w:pPr>
            <w:r>
              <w:rPr>
                <w:rFonts w:ascii="Arial" w:cs="Arial" w:eastAsia="Arial" w:hAnsi="Arial"/>
                <w:sz w:val="16"/>
                <w:szCs w:val="16"/>
                <w:color w:val="auto"/>
              </w:rPr>
              <w:t>2021</w:t>
            </w:r>
          </w:p>
        </w:tc>
        <w:tc>
          <w:tcPr>
            <w:tcW w:w="126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1,369,547</w:t>
            </w:r>
          </w:p>
        </w:tc>
        <w:tc>
          <w:tcPr>
            <w:tcW w:w="1420" w:type="dxa"/>
            <w:vAlign w:val="bottom"/>
            <w:shd w:val="clear" w:color="auto" w:fill="DBDBDB"/>
          </w:tcPr>
          <w:p>
            <w:pPr>
              <w:jc w:val="right"/>
              <w:spacing w:after="0"/>
              <w:rPr>
                <w:sz w:val="20"/>
                <w:szCs w:val="20"/>
                <w:color w:val="auto"/>
              </w:rPr>
            </w:pPr>
            <w:r>
              <w:rPr>
                <w:rFonts w:ascii="Arial" w:cs="Arial" w:eastAsia="Arial" w:hAnsi="Arial"/>
                <w:sz w:val="16"/>
                <w:szCs w:val="16"/>
                <w:color w:val="auto"/>
              </w:rPr>
              <w:t>434,551</w:t>
            </w:r>
          </w:p>
        </w:tc>
        <w:tc>
          <w:tcPr>
            <w:tcW w:w="1260" w:type="dxa"/>
            <w:vAlign w:val="bottom"/>
            <w:shd w:val="clear" w:color="auto" w:fill="DBDBDB"/>
          </w:tcPr>
          <w:p>
            <w:pPr>
              <w:jc w:val="right"/>
              <w:spacing w:after="0"/>
              <w:rPr>
                <w:sz w:val="20"/>
                <w:szCs w:val="20"/>
                <w:color w:val="auto"/>
              </w:rPr>
            </w:pPr>
            <w:r>
              <w:rPr>
                <w:rFonts w:ascii="Arial" w:cs="Arial" w:eastAsia="Arial" w:hAnsi="Arial"/>
                <w:sz w:val="16"/>
                <w:szCs w:val="16"/>
                <w:color w:val="auto"/>
              </w:rPr>
              <w:t>0</w:t>
            </w:r>
          </w:p>
        </w:tc>
        <w:tc>
          <w:tcPr>
            <w:tcW w:w="1640" w:type="dxa"/>
            <w:vAlign w:val="bottom"/>
            <w:shd w:val="clear" w:color="auto" w:fill="DBDBDB"/>
          </w:tcPr>
          <w:p>
            <w:pPr>
              <w:jc w:val="right"/>
              <w:spacing w:after="0"/>
              <w:rPr>
                <w:sz w:val="20"/>
                <w:szCs w:val="20"/>
                <w:color w:val="auto"/>
              </w:rPr>
            </w:pPr>
            <w:r>
              <w:rPr>
                <w:rFonts w:ascii="Arial" w:cs="Arial" w:eastAsia="Arial" w:hAnsi="Arial"/>
                <w:sz w:val="16"/>
                <w:szCs w:val="16"/>
                <w:color w:val="auto"/>
              </w:rPr>
              <w:t>304,589</w:t>
            </w:r>
          </w:p>
        </w:tc>
        <w:tc>
          <w:tcPr>
            <w:tcW w:w="1520" w:type="dxa"/>
            <w:vAlign w:val="bottom"/>
            <w:shd w:val="clear" w:color="auto" w:fill="DBDBDB"/>
          </w:tcPr>
          <w:p>
            <w:pPr>
              <w:jc w:val="right"/>
              <w:spacing w:after="0"/>
              <w:rPr>
                <w:sz w:val="20"/>
                <w:szCs w:val="20"/>
                <w:color w:val="auto"/>
              </w:rPr>
            </w:pPr>
            <w:r>
              <w:rPr>
                <w:rFonts w:ascii="Arial" w:cs="Arial" w:eastAsia="Arial" w:hAnsi="Arial"/>
                <w:sz w:val="16"/>
                <w:szCs w:val="16"/>
                <w:color w:val="auto"/>
              </w:rPr>
              <w:t>0</w:t>
            </w:r>
          </w:p>
        </w:tc>
        <w:tc>
          <w:tcPr>
            <w:tcW w:w="1640" w:type="dxa"/>
            <w:vAlign w:val="bottom"/>
            <w:shd w:val="clear" w:color="auto" w:fill="DBDBDB"/>
          </w:tcPr>
          <w:p>
            <w:pPr>
              <w:jc w:val="right"/>
              <w:ind w:right="40"/>
              <w:spacing w:after="0"/>
              <w:rPr>
                <w:sz w:val="20"/>
                <w:szCs w:val="20"/>
                <w:color w:val="auto"/>
              </w:rPr>
            </w:pPr>
            <w:r>
              <w:rPr>
                <w:rFonts w:ascii="Arial" w:cs="Arial" w:eastAsia="Arial" w:hAnsi="Arial"/>
                <w:sz w:val="16"/>
                <w:szCs w:val="16"/>
                <w:color w:val="auto"/>
              </w:rPr>
              <w:t>1,407</w:t>
            </w:r>
          </w:p>
        </w:tc>
        <w:tc>
          <w:tcPr>
            <w:tcW w:w="1360" w:type="dxa"/>
            <w:vAlign w:val="bottom"/>
            <w:shd w:val="clear" w:color="auto" w:fill="DBDBDB"/>
          </w:tcPr>
          <w:p>
            <w:pPr>
              <w:jc w:val="right"/>
              <w:spacing w:after="0"/>
              <w:rPr>
                <w:sz w:val="20"/>
                <w:szCs w:val="20"/>
                <w:color w:val="auto"/>
              </w:rPr>
            </w:pPr>
            <w:r>
              <w:rPr>
                <w:rFonts w:ascii="Arial" w:cs="Arial" w:eastAsia="Arial" w:hAnsi="Arial"/>
                <w:sz w:val="16"/>
                <w:szCs w:val="16"/>
                <w:color w:val="auto"/>
              </w:rPr>
              <w:t>2,110,094</w:t>
            </w:r>
          </w:p>
        </w:tc>
        <w:tc>
          <w:tcPr>
            <w:tcW w:w="0" w:type="dxa"/>
            <w:vAlign w:val="bottom"/>
          </w:tcPr>
          <w:p>
            <w:pPr>
              <w:spacing w:after="0"/>
              <w:rPr>
                <w:sz w:val="1"/>
                <w:szCs w:val="1"/>
                <w:color w:val="auto"/>
              </w:rPr>
            </w:pPr>
          </w:p>
        </w:tc>
      </w:tr>
      <w:tr>
        <w:trPr>
          <w:trHeight w:val="29"/>
        </w:trPr>
        <w:tc>
          <w:tcPr>
            <w:tcW w:w="760" w:type="dxa"/>
            <w:vAlign w:val="bottom"/>
            <w:shd w:val="clear" w:color="auto" w:fill="DBDBDB"/>
          </w:tcPr>
          <w:p>
            <w:pPr>
              <w:spacing w:after="0"/>
              <w:rPr>
                <w:sz w:val="2"/>
                <w:szCs w:val="2"/>
                <w:color w:val="auto"/>
              </w:rPr>
            </w:pPr>
          </w:p>
        </w:tc>
        <w:tc>
          <w:tcPr>
            <w:tcW w:w="1260" w:type="dxa"/>
            <w:vAlign w:val="bottom"/>
            <w:shd w:val="clear" w:color="auto" w:fill="DBDBDB"/>
          </w:tcPr>
          <w:p>
            <w:pPr>
              <w:spacing w:after="0"/>
              <w:rPr>
                <w:sz w:val="2"/>
                <w:szCs w:val="2"/>
                <w:color w:val="auto"/>
              </w:rPr>
            </w:pPr>
          </w:p>
        </w:tc>
        <w:tc>
          <w:tcPr>
            <w:tcW w:w="1420" w:type="dxa"/>
            <w:vAlign w:val="bottom"/>
            <w:shd w:val="clear" w:color="auto" w:fill="DBDBDB"/>
          </w:tcPr>
          <w:p>
            <w:pPr>
              <w:spacing w:after="0"/>
              <w:rPr>
                <w:sz w:val="2"/>
                <w:szCs w:val="2"/>
                <w:color w:val="auto"/>
              </w:rPr>
            </w:pPr>
          </w:p>
        </w:tc>
        <w:tc>
          <w:tcPr>
            <w:tcW w:w="1260" w:type="dxa"/>
            <w:vAlign w:val="bottom"/>
            <w:shd w:val="clear" w:color="auto" w:fill="DBDBDB"/>
          </w:tcPr>
          <w:p>
            <w:pPr>
              <w:spacing w:after="0"/>
              <w:rPr>
                <w:sz w:val="2"/>
                <w:szCs w:val="2"/>
                <w:color w:val="auto"/>
              </w:rPr>
            </w:pPr>
          </w:p>
        </w:tc>
        <w:tc>
          <w:tcPr>
            <w:tcW w:w="1640" w:type="dxa"/>
            <w:vAlign w:val="bottom"/>
            <w:shd w:val="clear" w:color="auto" w:fill="DBDBDB"/>
          </w:tcPr>
          <w:p>
            <w:pPr>
              <w:spacing w:after="0"/>
              <w:rPr>
                <w:sz w:val="2"/>
                <w:szCs w:val="2"/>
                <w:color w:val="auto"/>
              </w:rPr>
            </w:pPr>
          </w:p>
        </w:tc>
        <w:tc>
          <w:tcPr>
            <w:tcW w:w="1520" w:type="dxa"/>
            <w:vAlign w:val="bottom"/>
            <w:shd w:val="clear" w:color="auto" w:fill="DBDBDB"/>
          </w:tcPr>
          <w:p>
            <w:pPr>
              <w:spacing w:after="0"/>
              <w:rPr>
                <w:sz w:val="2"/>
                <w:szCs w:val="2"/>
                <w:color w:val="auto"/>
              </w:rPr>
            </w:pPr>
          </w:p>
        </w:tc>
        <w:tc>
          <w:tcPr>
            <w:tcW w:w="1640" w:type="dxa"/>
            <w:vAlign w:val="bottom"/>
            <w:shd w:val="clear" w:color="auto" w:fill="DBDBDB"/>
          </w:tcPr>
          <w:p>
            <w:pPr>
              <w:spacing w:after="0"/>
              <w:rPr>
                <w:sz w:val="2"/>
                <w:szCs w:val="2"/>
                <w:color w:val="auto"/>
              </w:rPr>
            </w:pPr>
          </w:p>
        </w:tc>
        <w:tc>
          <w:tcPr>
            <w:tcW w:w="1360" w:type="dxa"/>
            <w:vAlign w:val="bottom"/>
            <w:shd w:val="clear" w:color="auto" w:fill="DBDBDB"/>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63" w:lineRule="exact"/>
        <w:rPr>
          <w:sz w:val="20"/>
          <w:szCs w:val="20"/>
          <w:color w:val="auto"/>
        </w:rPr>
      </w:pPr>
    </w:p>
    <w:p>
      <w:pPr>
        <w:jc w:val="both"/>
        <w:ind w:right="20" w:firstLine="320"/>
        <w:spacing w:after="0" w:line="246" w:lineRule="auto"/>
        <w:rPr>
          <w:sz w:val="20"/>
          <w:szCs w:val="20"/>
          <w:color w:val="auto"/>
        </w:rPr>
      </w:pPr>
      <w:r>
        <w:rPr>
          <w:rFonts w:ascii="Arial" w:cs="Arial" w:eastAsia="Arial" w:hAnsi="Arial"/>
          <w:sz w:val="18"/>
          <w:szCs w:val="18"/>
          <w:color w:val="auto"/>
        </w:rPr>
        <w:t>In the table above, the equity values are computed in accordance with the methodologies used for financial reporting purposes, reflecting updated economic assumptions as of the valuation dates.</w:t>
      </w:r>
    </w:p>
    <w:p>
      <w:pPr>
        <w:spacing w:after="0" w:line="67" w:lineRule="exact"/>
        <w:rPr>
          <w:sz w:val="20"/>
          <w:szCs w:val="20"/>
          <w:color w:val="auto"/>
        </w:rPr>
      </w:pPr>
    </w:p>
    <w:p>
      <w:pPr>
        <w:ind w:firstLine="320"/>
        <w:spacing w:after="0" w:line="264" w:lineRule="auto"/>
        <w:rPr>
          <w:sz w:val="20"/>
          <w:szCs w:val="20"/>
          <w:color w:val="auto"/>
        </w:rPr>
      </w:pPr>
      <w:r>
        <w:rPr>
          <w:rFonts w:ascii="Arial" w:cs="Arial" w:eastAsia="Arial" w:hAnsi="Arial"/>
          <w:sz w:val="18"/>
          <w:szCs w:val="18"/>
          <w:b w:val="1"/>
          <w:bCs w:val="1"/>
          <w:color w:val="auto"/>
        </w:rPr>
        <w:t xml:space="preserve">Company-Selected Measure and Other Financial Performance Measures. </w:t>
      </w:r>
      <w:r>
        <w:rPr>
          <w:rFonts w:ascii="Arial" w:cs="Arial" w:eastAsia="Arial" w:hAnsi="Arial"/>
          <w:sz w:val="18"/>
          <w:szCs w:val="18"/>
          <w:color w:val="auto"/>
        </w:rPr>
        <w:t>The following are the most important financial performance</w:t>
      </w:r>
      <w:r>
        <w:rPr>
          <w:rFonts w:ascii="Arial" w:cs="Arial" w:eastAsia="Arial" w:hAnsi="Arial"/>
          <w:sz w:val="18"/>
          <w:szCs w:val="18"/>
          <w:b w:val="1"/>
          <w:bCs w:val="1"/>
          <w:color w:val="auto"/>
        </w:rPr>
        <w:t xml:space="preserve"> </w:t>
      </w:r>
      <w:r>
        <w:rPr>
          <w:rFonts w:ascii="Arial" w:cs="Arial" w:eastAsia="Arial" w:hAnsi="Arial"/>
          <w:sz w:val="18"/>
          <w:szCs w:val="18"/>
          <w:color w:val="auto"/>
        </w:rPr>
        <w:t>measures used to link NEO CAP to company performance for the most recently completed fiscal year.</w:t>
      </w:r>
    </w:p>
    <w:p>
      <w:pPr>
        <w:spacing w:after="0" w:line="92"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FFFFFF"/>
        </w:rPr>
        <w:t>Performance Measures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-127000</wp:posOffset>
            </wp:positionV>
            <wp:extent cx="2829560" cy="15240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2829560" cy="152400"/>
                    </a:xfrm>
                    <a:prstGeom prst="rect">
                      <a:avLst/>
                    </a:prstGeom>
                    <a:noFill/>
                  </pic:spPr>
                </pic:pic>
              </a:graphicData>
            </a:graphic>
          </wp:anchor>
        </w:drawing>
      </w:r>
    </w:p>
    <w:p>
      <w:pPr>
        <w:spacing w:after="0" w:line="18" w:lineRule="exact"/>
        <w:rPr>
          <w:sz w:val="20"/>
          <w:szCs w:val="20"/>
          <w:color w:val="auto"/>
        </w:rPr>
      </w:pPr>
    </w:p>
    <w:p>
      <w:pPr>
        <w:ind w:left="20"/>
        <w:spacing w:after="0"/>
        <w:rPr>
          <w:sz w:val="20"/>
          <w:szCs w:val="20"/>
          <w:color w:val="auto"/>
        </w:rPr>
      </w:pPr>
      <w:r>
        <w:rPr>
          <w:rFonts w:ascii="Arial" w:cs="Arial" w:eastAsia="Arial" w:hAnsi="Arial"/>
          <w:sz w:val="18"/>
          <w:szCs w:val="18"/>
          <w:color w:val="auto"/>
        </w:rPr>
        <w:t>Adjusted diluted EPS</w:t>
      </w:r>
    </w:p>
    <w:p>
      <w:pPr>
        <w:spacing w:after="0" w:line="30" w:lineRule="exact"/>
        <w:rPr>
          <w:sz w:val="20"/>
          <w:szCs w:val="20"/>
          <w:color w:val="auto"/>
        </w:rPr>
      </w:pPr>
    </w:p>
    <w:p>
      <w:pPr>
        <w:ind w:left="20"/>
        <w:spacing w:after="0"/>
        <w:rPr>
          <w:sz w:val="20"/>
          <w:szCs w:val="20"/>
          <w:color w:val="auto"/>
        </w:rPr>
      </w:pPr>
      <w:r>
        <w:rPr>
          <w:rFonts w:ascii="Arial" w:cs="Arial" w:eastAsia="Arial" w:hAnsi="Arial"/>
          <w:sz w:val="18"/>
          <w:szCs w:val="18"/>
          <w:color w:val="auto"/>
        </w:rPr>
        <w:t>Revenue and revenue growth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-128270</wp:posOffset>
            </wp:positionV>
            <wp:extent cx="2829560" cy="15240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2829560" cy="152400"/>
                    </a:xfrm>
                    <a:prstGeom prst="rect">
                      <a:avLst/>
                    </a:prstGeom>
                    <a:noFill/>
                  </pic:spPr>
                </pic:pic>
              </a:graphicData>
            </a:graphic>
          </wp:anchor>
        </w:drawing>
      </w:r>
    </w:p>
    <w:p>
      <w:pPr>
        <w:spacing w:after="0" w:line="13" w:lineRule="exact"/>
        <w:rPr>
          <w:sz w:val="20"/>
          <w:szCs w:val="20"/>
          <w:color w:val="auto"/>
        </w:rPr>
      </w:pPr>
    </w:p>
    <w:p>
      <w:pPr>
        <w:ind w:left="20"/>
        <w:spacing w:after="0"/>
        <w:rPr>
          <w:sz w:val="20"/>
          <w:szCs w:val="20"/>
          <w:color w:val="auto"/>
        </w:rPr>
      </w:pPr>
      <w:r>
        <w:rPr>
          <w:rFonts w:ascii="Arial" w:cs="Arial" w:eastAsia="Arial" w:hAnsi="Arial"/>
          <w:sz w:val="18"/>
          <w:szCs w:val="18"/>
          <w:color w:val="auto"/>
        </w:rPr>
        <w:t>Working capital as a percent of sales</w:t>
      </w:r>
    </w:p>
    <w:p>
      <w:pPr>
        <w:spacing w:after="0" w:line="33" w:lineRule="exact"/>
        <w:rPr>
          <w:sz w:val="20"/>
          <w:szCs w:val="20"/>
          <w:color w:val="auto"/>
        </w:rPr>
      </w:pPr>
    </w:p>
    <w:p>
      <w:pPr>
        <w:ind w:left="20"/>
        <w:spacing w:after="0"/>
        <w:rPr>
          <w:sz w:val="20"/>
          <w:szCs w:val="20"/>
          <w:color w:val="auto"/>
        </w:rPr>
      </w:pPr>
      <w:r>
        <w:rPr>
          <w:rFonts w:ascii="Arial" w:cs="Arial" w:eastAsia="Arial" w:hAnsi="Arial"/>
          <w:sz w:val="18"/>
          <w:szCs w:val="18"/>
          <w:color w:val="auto"/>
        </w:rPr>
        <w:t>Net income plus after-tax interest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-128270</wp:posOffset>
            </wp:positionV>
            <wp:extent cx="2829560" cy="15240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2829560" cy="152400"/>
                    </a:xfrm>
                    <a:prstGeom prst="rect">
                      <a:avLst/>
                    </a:prstGeom>
                    <a:noFill/>
                  </pic:spPr>
                </pic:pic>
              </a:graphicData>
            </a:graphic>
          </wp:anchor>
        </w:drawing>
      </w:r>
    </w:p>
    <w:p>
      <w:pPr>
        <w:spacing w:after="0" w:line="13" w:lineRule="exact"/>
        <w:rPr>
          <w:sz w:val="20"/>
          <w:szCs w:val="20"/>
          <w:color w:val="auto"/>
        </w:rPr>
      </w:pPr>
    </w:p>
    <w:p>
      <w:pPr>
        <w:ind w:left="20"/>
        <w:spacing w:after="0"/>
        <w:rPr>
          <w:sz w:val="20"/>
          <w:szCs w:val="20"/>
          <w:color w:val="auto"/>
        </w:rPr>
      </w:pPr>
      <w:r>
        <w:rPr>
          <w:rFonts w:ascii="Arial" w:cs="Arial" w:eastAsia="Arial" w:hAnsi="Arial"/>
          <w:sz w:val="18"/>
          <w:szCs w:val="18"/>
          <w:color w:val="auto"/>
        </w:rPr>
        <w:t>Return on invested capital</w:t>
      </w:r>
    </w:p>
    <w:p>
      <w:pPr>
        <w:spacing w:after="0" w:line="338" w:lineRule="exact"/>
        <w:rPr>
          <w:sz w:val="20"/>
          <w:szCs w:val="20"/>
          <w:color w:val="auto"/>
        </w:rPr>
      </w:pPr>
    </w:p>
    <w:p>
      <w:pPr>
        <w:jc w:val="both"/>
        <w:ind w:firstLine="320"/>
        <w:spacing w:after="0" w:line="242" w:lineRule="auto"/>
        <w:rPr>
          <w:sz w:val="20"/>
          <w:szCs w:val="20"/>
          <w:color w:val="auto"/>
        </w:rPr>
      </w:pPr>
      <w:r>
        <w:rPr>
          <w:rFonts w:ascii="Arial" w:cs="Arial" w:eastAsia="Arial" w:hAnsi="Arial"/>
          <w:sz w:val="17"/>
          <w:szCs w:val="17"/>
          <w:b w:val="1"/>
          <w:bCs w:val="1"/>
          <w:color w:val="auto"/>
        </w:rPr>
        <w:t xml:space="preserve">Relationship of Compensation Actually Paid and Performance Measures. </w:t>
      </w:r>
      <w:r>
        <w:rPr>
          <w:rFonts w:ascii="Arial" w:cs="Arial" w:eastAsia="Arial" w:hAnsi="Arial"/>
          <w:sz w:val="17"/>
          <w:szCs w:val="17"/>
          <w:color w:val="auto"/>
        </w:rPr>
        <w:t>The following charts describe the relationship of CAP to the</w:t>
      </w:r>
      <w:r>
        <w:rPr>
          <w:rFonts w:ascii="Arial" w:cs="Arial" w:eastAsia="Arial" w:hAnsi="Arial"/>
          <w:sz w:val="17"/>
          <w:szCs w:val="17"/>
          <w:b w:val="1"/>
          <w:bCs w:val="1"/>
          <w:color w:val="auto"/>
        </w:rPr>
        <w:t xml:space="preserve"> </w:t>
      </w:r>
      <w:r>
        <w:rPr>
          <w:rFonts w:ascii="Arial" w:cs="Arial" w:eastAsia="Arial" w:hAnsi="Arial"/>
          <w:sz w:val="17"/>
          <w:szCs w:val="17"/>
          <w:color w:val="auto"/>
        </w:rPr>
        <w:t>performance measures listed in the PvP Table above. Generally, CAP has low correlation with the financial measures for the years shown in the charts below. We place significant emphasis on equity compensation and at least two-thirds of target total direct compensation for our</w:t>
      </w:r>
    </w:p>
    <w:p>
      <w:pPr>
        <w:jc w:val="both"/>
        <w:spacing w:after="0" w:line="228" w:lineRule="auto"/>
        <w:rPr>
          <w:sz w:val="20"/>
          <w:szCs w:val="20"/>
          <w:color w:val="auto"/>
        </w:rPr>
      </w:pPr>
      <w:r>
        <w:rPr>
          <w:rFonts w:ascii="Arial" w:cs="Arial" w:eastAsia="Arial" w:hAnsi="Arial"/>
          <w:sz w:val="18"/>
          <w:szCs w:val="18"/>
          <w:color w:val="auto"/>
        </w:rPr>
        <w:t>NEOs is tied to TTC performance and the market value of our common stock. Due to the sensitivity of CAP to stock price changes, the timing of equity grants and changes in our stock price thereafter significantly influence CAP each year, as determined under Item 402(v) of Regulation S-K.</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 vs. TTC 3-Year Cumulative TSR vs. Peer 3-Year Cumulative TSR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75565</wp:posOffset>
            </wp:positionV>
            <wp:extent cx="4634230" cy="275336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4634230" cy="27533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79375</wp:posOffset>
            </wp:positionV>
            <wp:extent cx="7159625" cy="425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130" w:right="339" w:bottom="1440" w:gutter="0" w:footer="0" w:header="0"/>
        </w:sectPr>
      </w:pPr>
    </w:p>
    <w:bookmarkStart w:id="73" w:name="page74"/>
    <w:bookmarkEnd w:id="73"/>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 vs. Net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75565</wp:posOffset>
            </wp:positionV>
            <wp:extent cx="4634230" cy="299910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4634230" cy="29991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 vs. Adjusted Diluted EPS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75565</wp:posOffset>
            </wp:positionV>
            <wp:extent cx="4634230" cy="315150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4634230" cy="31515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right"/>
        <w:ind w:right="4399"/>
        <w:spacing w:after="0"/>
        <w:rPr>
          <w:sz w:val="20"/>
          <w:szCs w:val="20"/>
          <w:color w:val="auto"/>
        </w:rPr>
      </w:pPr>
      <w:r>
        <w:rPr>
          <w:rFonts w:ascii="Arial" w:cs="Arial" w:eastAsia="Arial" w:hAnsi="Arial"/>
          <w:sz w:val="21"/>
          <w:szCs w:val="21"/>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79375</wp:posOffset>
            </wp:positionV>
            <wp:extent cx="7159625" cy="4254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0139"/>
          </w:cols>
          <w:pgMar w:left="320" w:top="1440" w:right="1440" w:bottom="1440" w:gutter="0" w:footer="0" w:header="0"/>
        </w:sectPr>
      </w:pPr>
    </w:p>
    <w:bookmarkStart w:id="74" w:name="page75"/>
    <w:bookmarkEnd w:id="74"/>
    <w:p>
      <w:pPr>
        <w:spacing w:after="0"/>
        <w:rPr>
          <w:sz w:val="20"/>
          <w:szCs w:val="20"/>
          <w:color w:val="auto"/>
        </w:rPr>
      </w:pPr>
      <w:r>
        <w:rPr>
          <w:rFonts w:ascii="Arial" w:cs="Arial" w:eastAsia="Arial" w:hAnsi="Arial"/>
          <w:sz w:val="20"/>
          <w:szCs w:val="20"/>
          <w:b w:val="1"/>
          <w:bCs w:val="1"/>
          <w:color w:val="C00000"/>
        </w:rPr>
        <w:t>Potential Payments Upon Termination or Change In Control</w:t>
      </w:r>
    </w:p>
    <w:p>
      <w:pPr>
        <w:spacing w:after="0" w:line="82"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 xml:space="preserve">Overview. </w:t>
      </w:r>
      <w:r>
        <w:rPr>
          <w:rFonts w:ascii="Arial" w:cs="Arial" w:eastAsia="Arial" w:hAnsi="Arial"/>
          <w:sz w:val="18"/>
          <w:szCs w:val="18"/>
          <w:color w:val="auto"/>
        </w:rPr>
        <w:t>The following discussion describes the payments and benefits to which our NEOs are entitled in various termination of</w:t>
      </w:r>
    </w:p>
    <w:p>
      <w:pPr>
        <w:spacing w:after="0" w:line="11" w:lineRule="exact"/>
        <w:rPr>
          <w:sz w:val="20"/>
          <w:szCs w:val="20"/>
          <w:color w:val="auto"/>
        </w:rPr>
      </w:pPr>
    </w:p>
    <w:p>
      <w:pPr>
        <w:ind w:right="20"/>
        <w:spacing w:after="0" w:line="224" w:lineRule="auto"/>
        <w:rPr>
          <w:sz w:val="20"/>
          <w:szCs w:val="20"/>
          <w:color w:val="auto"/>
        </w:rPr>
      </w:pPr>
      <w:r>
        <w:rPr>
          <w:rFonts w:ascii="Arial" w:cs="Arial" w:eastAsia="Arial" w:hAnsi="Arial"/>
          <w:sz w:val="18"/>
          <w:szCs w:val="18"/>
          <w:color w:val="auto"/>
        </w:rPr>
        <w:t>employment and change in control situations. The intent of this discussion is to describe those payments and benefits for which the amount, vesting or time of payment is altered by the termination of employment or change in control situation. Therefore, this discussion does not</w:t>
      </w:r>
    </w:p>
    <w:p>
      <w:pPr>
        <w:spacing w:after="0" w:line="1" w:lineRule="exact"/>
        <w:rPr>
          <w:sz w:val="20"/>
          <w:szCs w:val="20"/>
          <w:color w:val="auto"/>
        </w:rPr>
      </w:pPr>
    </w:p>
    <w:p>
      <w:pPr>
        <w:spacing w:after="0" w:line="243" w:lineRule="auto"/>
        <w:rPr>
          <w:sz w:val="20"/>
          <w:szCs w:val="20"/>
          <w:color w:val="auto"/>
        </w:rPr>
      </w:pPr>
      <w:r>
        <w:rPr>
          <w:rFonts w:ascii="Arial" w:cs="Arial" w:eastAsia="Arial" w:hAnsi="Arial"/>
          <w:sz w:val="18"/>
          <w:szCs w:val="18"/>
          <w:color w:val="auto"/>
        </w:rPr>
        <w:t>describe all payments and benefits an NEO may receive following a termination or change in control, such as the following accrued, vested or non-forfeitable compensation and benefits:</w:t>
      </w:r>
    </w:p>
    <w:p>
      <w:pPr>
        <w:spacing w:after="0" w:line="5" w:lineRule="exact"/>
        <w:rPr>
          <w:sz w:val="20"/>
          <w:szCs w:val="20"/>
          <w:color w:val="auto"/>
        </w:rPr>
      </w:pPr>
    </w:p>
    <w:p>
      <w:pPr>
        <w:ind w:left="640" w:hanging="313"/>
        <w:spacing w:after="0" w:line="262" w:lineRule="auto"/>
        <w:tabs>
          <w:tab w:leader="none" w:pos="635" w:val="left"/>
        </w:tabs>
        <w:numPr>
          <w:ilvl w:val="0"/>
          <w:numId w:val="76"/>
        </w:numPr>
        <w:rPr>
          <w:rFonts w:ascii="Arial" w:cs="Arial" w:eastAsia="Arial" w:hAnsi="Arial"/>
          <w:sz w:val="18"/>
          <w:szCs w:val="18"/>
          <w:color w:val="auto"/>
        </w:rPr>
      </w:pPr>
      <w:r>
        <w:rPr>
          <w:rFonts w:ascii="Arial" w:cs="Arial" w:eastAsia="Arial" w:hAnsi="Arial"/>
          <w:sz w:val="18"/>
          <w:szCs w:val="18"/>
          <w:color w:val="auto"/>
        </w:rPr>
        <w:t>Payment of individual contributions to our Deferred Plan and Deferred Plan for Officers in accordance with prior distribution elections, as described under “Nonqualified Deferred Compensation for Fiscal 2024”;</w:t>
      </w:r>
    </w:p>
    <w:p>
      <w:pPr>
        <w:spacing w:after="0" w:line="1" w:lineRule="exact"/>
        <w:rPr>
          <w:rFonts w:ascii="Arial" w:cs="Arial" w:eastAsia="Arial" w:hAnsi="Arial"/>
          <w:sz w:val="18"/>
          <w:szCs w:val="18"/>
          <w:color w:val="auto"/>
        </w:rPr>
      </w:pPr>
    </w:p>
    <w:p>
      <w:pPr>
        <w:ind w:left="640" w:hanging="313"/>
        <w:spacing w:after="0" w:line="246" w:lineRule="auto"/>
        <w:tabs>
          <w:tab w:leader="none" w:pos="635" w:val="left"/>
        </w:tabs>
        <w:numPr>
          <w:ilvl w:val="0"/>
          <w:numId w:val="76"/>
        </w:numPr>
        <w:rPr>
          <w:rFonts w:ascii="Arial" w:cs="Arial" w:eastAsia="Arial" w:hAnsi="Arial"/>
          <w:sz w:val="18"/>
          <w:szCs w:val="18"/>
          <w:color w:val="auto"/>
        </w:rPr>
      </w:pPr>
      <w:r>
        <w:rPr>
          <w:rFonts w:ascii="Arial" w:cs="Arial" w:eastAsia="Arial" w:hAnsi="Arial"/>
          <w:sz w:val="18"/>
          <w:szCs w:val="18"/>
          <w:color w:val="auto"/>
        </w:rPr>
        <w:t>Payment of Company contributions on behalf of the NEO under our Supplemental Benefit Plan, as described under “Nonqualified Deferred Compensation for Fiscal 2024”;</w:t>
      </w:r>
    </w:p>
    <w:p>
      <w:pPr>
        <w:spacing w:after="0" w:line="15" w:lineRule="exact"/>
        <w:rPr>
          <w:rFonts w:ascii="Arial" w:cs="Arial" w:eastAsia="Arial" w:hAnsi="Arial"/>
          <w:sz w:val="18"/>
          <w:szCs w:val="18"/>
          <w:color w:val="auto"/>
        </w:rPr>
      </w:pPr>
    </w:p>
    <w:p>
      <w:pPr>
        <w:ind w:left="640" w:hanging="313"/>
        <w:spacing w:after="0" w:line="255" w:lineRule="auto"/>
        <w:tabs>
          <w:tab w:leader="none" w:pos="635" w:val="left"/>
        </w:tabs>
        <w:numPr>
          <w:ilvl w:val="0"/>
          <w:numId w:val="76"/>
        </w:numPr>
        <w:rPr>
          <w:rFonts w:ascii="Arial" w:cs="Arial" w:eastAsia="Arial" w:hAnsi="Arial"/>
          <w:sz w:val="18"/>
          <w:szCs w:val="18"/>
          <w:color w:val="auto"/>
        </w:rPr>
      </w:pPr>
      <w:r>
        <w:rPr>
          <w:rFonts w:ascii="Arial" w:cs="Arial" w:eastAsia="Arial" w:hAnsi="Arial"/>
          <w:sz w:val="18"/>
          <w:szCs w:val="18"/>
          <w:color w:val="auto"/>
        </w:rPr>
        <w:t>Payment of individual contributions and vested Company investment fund contributions on behalf of the NEO under our Retirement Plan, as described under “Health, Welfare and Retirement Benefits and All Other Compensation—Retirement Benefits”;</w:t>
      </w:r>
    </w:p>
    <w:p>
      <w:pPr>
        <w:ind w:left="640" w:right="20" w:hanging="313"/>
        <w:spacing w:after="0" w:line="262" w:lineRule="auto"/>
        <w:tabs>
          <w:tab w:leader="none" w:pos="635" w:val="left"/>
        </w:tabs>
        <w:numPr>
          <w:ilvl w:val="0"/>
          <w:numId w:val="76"/>
        </w:numPr>
        <w:rPr>
          <w:rFonts w:ascii="Arial" w:cs="Arial" w:eastAsia="Arial" w:hAnsi="Arial"/>
          <w:sz w:val="18"/>
          <w:szCs w:val="18"/>
          <w:color w:val="auto"/>
        </w:rPr>
      </w:pPr>
      <w:r>
        <w:rPr>
          <w:rFonts w:ascii="Arial" w:cs="Arial" w:eastAsia="Arial" w:hAnsi="Arial"/>
          <w:sz w:val="18"/>
          <w:szCs w:val="18"/>
          <w:color w:val="auto"/>
        </w:rPr>
        <w:t>Payment of annual cash incentive awards if employed on the last day of the fiscal year and if threshold levels are met and at the percentage of the target achieved, as described under “Annual Cash Incentives”;</w:t>
      </w:r>
    </w:p>
    <w:p>
      <w:pPr>
        <w:spacing w:after="0" w:line="1" w:lineRule="exact"/>
        <w:rPr>
          <w:rFonts w:ascii="Arial" w:cs="Arial" w:eastAsia="Arial" w:hAnsi="Arial"/>
          <w:sz w:val="18"/>
          <w:szCs w:val="18"/>
          <w:color w:val="auto"/>
        </w:rPr>
      </w:pPr>
    </w:p>
    <w:p>
      <w:pPr>
        <w:ind w:left="640" w:hanging="313"/>
        <w:spacing w:after="0" w:line="246" w:lineRule="auto"/>
        <w:tabs>
          <w:tab w:leader="none" w:pos="635" w:val="left"/>
        </w:tabs>
        <w:numPr>
          <w:ilvl w:val="0"/>
          <w:numId w:val="76"/>
        </w:numPr>
        <w:rPr>
          <w:rFonts w:ascii="Arial" w:cs="Arial" w:eastAsia="Arial" w:hAnsi="Arial"/>
          <w:sz w:val="18"/>
          <w:szCs w:val="18"/>
          <w:color w:val="auto"/>
        </w:rPr>
      </w:pPr>
      <w:r>
        <w:rPr>
          <w:rFonts w:ascii="Arial" w:cs="Arial" w:eastAsia="Arial" w:hAnsi="Arial"/>
          <w:sz w:val="18"/>
          <w:szCs w:val="18"/>
          <w:color w:val="auto"/>
        </w:rPr>
        <w:t>Payout for performance share awards if employed on the last day of the performance period and if threshold levels are met and at the percentage of the target achieved, as described under “Long-Term Incentives—Performance Share Awards”;</w:t>
      </w:r>
    </w:p>
    <w:p>
      <w:pPr>
        <w:spacing w:after="0" w:line="15" w:lineRule="exact"/>
        <w:rPr>
          <w:rFonts w:ascii="Arial" w:cs="Arial" w:eastAsia="Arial" w:hAnsi="Arial"/>
          <w:sz w:val="18"/>
          <w:szCs w:val="18"/>
          <w:color w:val="auto"/>
        </w:rPr>
      </w:pPr>
    </w:p>
    <w:p>
      <w:pPr>
        <w:ind w:left="640" w:hanging="313"/>
        <w:spacing w:after="0"/>
        <w:tabs>
          <w:tab w:leader="none" w:pos="640" w:val="left"/>
        </w:tabs>
        <w:numPr>
          <w:ilvl w:val="0"/>
          <w:numId w:val="76"/>
        </w:numPr>
        <w:rPr>
          <w:rFonts w:ascii="Arial" w:cs="Arial" w:eastAsia="Arial" w:hAnsi="Arial"/>
          <w:sz w:val="18"/>
          <w:szCs w:val="18"/>
          <w:color w:val="auto"/>
        </w:rPr>
      </w:pPr>
      <w:r>
        <w:rPr>
          <w:rFonts w:ascii="Arial" w:cs="Arial" w:eastAsia="Arial" w:hAnsi="Arial"/>
          <w:sz w:val="18"/>
          <w:szCs w:val="18"/>
          <w:color w:val="auto"/>
        </w:rPr>
        <w:t>Exercise of stock options that had vested prior to the date of termination; and</w:t>
      </w:r>
    </w:p>
    <w:p>
      <w:pPr>
        <w:spacing w:after="0" w:line="46" w:lineRule="exact"/>
        <w:rPr>
          <w:rFonts w:ascii="Arial" w:cs="Arial" w:eastAsia="Arial" w:hAnsi="Arial"/>
          <w:sz w:val="18"/>
          <w:szCs w:val="18"/>
          <w:color w:val="auto"/>
        </w:rPr>
      </w:pPr>
    </w:p>
    <w:p>
      <w:pPr>
        <w:ind w:left="640" w:hanging="313"/>
        <w:spacing w:after="0" w:line="246" w:lineRule="auto"/>
        <w:tabs>
          <w:tab w:leader="none" w:pos="635" w:val="left"/>
        </w:tabs>
        <w:numPr>
          <w:ilvl w:val="0"/>
          <w:numId w:val="76"/>
        </w:numPr>
        <w:rPr>
          <w:rFonts w:ascii="Arial" w:cs="Arial" w:eastAsia="Arial" w:hAnsi="Arial"/>
          <w:sz w:val="18"/>
          <w:szCs w:val="18"/>
          <w:color w:val="auto"/>
        </w:rPr>
      </w:pPr>
      <w:r>
        <w:rPr>
          <w:rFonts w:ascii="Arial" w:cs="Arial" w:eastAsia="Arial" w:hAnsi="Arial"/>
          <w:sz w:val="18"/>
          <w:szCs w:val="18"/>
          <w:color w:val="auto"/>
        </w:rPr>
        <w:t>Payouts under, and continuation of, health and welfare benefits under plans generally applicable to our U.S.-based office salaried employees.</w:t>
      </w:r>
    </w:p>
    <w:p>
      <w:pPr>
        <w:spacing w:after="0" w:line="69" w:lineRule="exact"/>
        <w:rPr>
          <w:sz w:val="20"/>
          <w:szCs w:val="20"/>
          <w:color w:val="auto"/>
        </w:rPr>
      </w:pPr>
    </w:p>
    <w:p>
      <w:pPr>
        <w:ind w:left="320"/>
        <w:spacing w:after="0"/>
        <w:rPr>
          <w:sz w:val="20"/>
          <w:szCs w:val="20"/>
          <w:color w:val="auto"/>
        </w:rPr>
      </w:pPr>
      <w:r>
        <w:rPr>
          <w:rFonts w:ascii="Arial" w:cs="Arial" w:eastAsia="Arial" w:hAnsi="Arial"/>
          <w:sz w:val="18"/>
          <w:szCs w:val="18"/>
          <w:color w:val="auto"/>
        </w:rPr>
        <w:t>None of our executive officers have any employment or severance agreements or arrangements other than as provided for in our CIC</w:t>
      </w:r>
    </w:p>
    <w:p>
      <w:pPr>
        <w:spacing w:after="0" w:line="9" w:lineRule="exact"/>
        <w:rPr>
          <w:sz w:val="20"/>
          <w:szCs w:val="20"/>
          <w:color w:val="auto"/>
        </w:rPr>
      </w:pPr>
    </w:p>
    <w:p>
      <w:pPr>
        <w:spacing w:after="0" w:line="224" w:lineRule="auto"/>
        <w:rPr>
          <w:sz w:val="20"/>
          <w:szCs w:val="20"/>
          <w:color w:val="auto"/>
        </w:rPr>
      </w:pPr>
      <w:r>
        <w:rPr>
          <w:rFonts w:ascii="Arial" w:cs="Arial" w:eastAsia="Arial" w:hAnsi="Arial"/>
          <w:sz w:val="18"/>
          <w:szCs w:val="18"/>
          <w:color w:val="auto"/>
        </w:rPr>
        <w:t>policy and other than certain change in control provisions in our equity plans. Accordingly, our NEOs do not have the right to cash severance or additional benefits in connection with a termination of employment except in connection with a change in control of our Company, as</w:t>
      </w:r>
    </w:p>
    <w:p>
      <w:pPr>
        <w:spacing w:after="0" w:line="1" w:lineRule="exact"/>
        <w:rPr>
          <w:sz w:val="20"/>
          <w:szCs w:val="20"/>
          <w:color w:val="auto"/>
        </w:rPr>
      </w:pPr>
    </w:p>
    <w:p>
      <w:pPr>
        <w:spacing w:after="0" w:line="243" w:lineRule="auto"/>
        <w:rPr>
          <w:sz w:val="20"/>
          <w:szCs w:val="20"/>
          <w:color w:val="auto"/>
        </w:rPr>
      </w:pPr>
      <w:r>
        <w:rPr>
          <w:rFonts w:ascii="Arial" w:cs="Arial" w:eastAsia="Arial" w:hAnsi="Arial"/>
          <w:sz w:val="18"/>
          <w:szCs w:val="18"/>
          <w:color w:val="auto"/>
        </w:rPr>
        <w:t>described under "Potential Payments Upon Termination or Change in Control—Change in Control". Each of our executive officers is a party to our standard confidentiality, invention and non-compete agreement.</w:t>
      </w:r>
    </w:p>
    <w:p>
      <w:pPr>
        <w:spacing w:after="0" w:line="57" w:lineRule="exact"/>
        <w:rPr>
          <w:sz w:val="20"/>
          <w:szCs w:val="20"/>
          <w:color w:val="auto"/>
        </w:rPr>
      </w:pPr>
    </w:p>
    <w:p>
      <w:pPr>
        <w:ind w:firstLine="320"/>
        <w:spacing w:after="0" w:line="242" w:lineRule="auto"/>
        <w:rPr>
          <w:sz w:val="20"/>
          <w:szCs w:val="20"/>
          <w:color w:val="auto"/>
        </w:rPr>
      </w:pPr>
      <w:r>
        <w:rPr>
          <w:rFonts w:ascii="Arial" w:cs="Arial" w:eastAsia="Arial" w:hAnsi="Arial"/>
          <w:sz w:val="18"/>
          <w:szCs w:val="18"/>
          <w:b w:val="1"/>
          <w:bCs w:val="1"/>
          <w:color w:val="auto"/>
        </w:rPr>
        <w:t xml:space="preserve">Voluntary Resignation and Retirement. </w:t>
      </w:r>
      <w:r>
        <w:rPr>
          <w:rFonts w:ascii="Arial" w:cs="Arial" w:eastAsia="Arial" w:hAnsi="Arial"/>
          <w:sz w:val="18"/>
          <w:szCs w:val="18"/>
          <w:color w:val="auto"/>
        </w:rPr>
        <w:t>In the event of an NEO's voluntary resignation or retirement, we would not be obligated to pay or</w:t>
      </w:r>
      <w:r>
        <w:rPr>
          <w:rFonts w:ascii="Arial" w:cs="Arial" w:eastAsia="Arial" w:hAnsi="Arial"/>
          <w:sz w:val="18"/>
          <w:szCs w:val="18"/>
          <w:b w:val="1"/>
          <w:bCs w:val="1"/>
          <w:color w:val="auto"/>
        </w:rPr>
        <w:t xml:space="preserve"> </w:t>
      </w:r>
      <w:r>
        <w:rPr>
          <w:rFonts w:ascii="Arial" w:cs="Arial" w:eastAsia="Arial" w:hAnsi="Arial"/>
          <w:sz w:val="18"/>
          <w:szCs w:val="18"/>
          <w:color w:val="auto"/>
        </w:rPr>
        <w:t>provide any additional payments or benefits, unless the NEO meets the criteria for "retirement" in connection with his or her voluntary</w:t>
      </w:r>
    </w:p>
    <w:p>
      <w:pPr>
        <w:spacing w:after="0" w:line="1" w:lineRule="exact"/>
        <w:rPr>
          <w:sz w:val="20"/>
          <w:szCs w:val="20"/>
          <w:color w:val="auto"/>
        </w:rPr>
      </w:pPr>
    </w:p>
    <w:p>
      <w:pPr>
        <w:spacing w:after="0" w:line="234" w:lineRule="auto"/>
        <w:rPr>
          <w:sz w:val="20"/>
          <w:szCs w:val="20"/>
          <w:color w:val="auto"/>
        </w:rPr>
      </w:pPr>
      <w:r>
        <w:rPr>
          <w:rFonts w:ascii="Arial" w:cs="Arial" w:eastAsia="Arial" w:hAnsi="Arial"/>
          <w:sz w:val="18"/>
          <w:szCs w:val="18"/>
          <w:color w:val="auto"/>
        </w:rPr>
        <w:t>resignation. For purposes of our compensation arrangements, "retirement" generally means the voluntary termination of employment at or after the age of 55 and with a number of years of service that, when added together with the NEO's age, equals at least 65.</w:t>
      </w:r>
    </w:p>
    <w:p>
      <w:pPr>
        <w:spacing w:after="0" w:line="74" w:lineRule="exact"/>
        <w:rPr>
          <w:sz w:val="20"/>
          <w:szCs w:val="20"/>
          <w:color w:val="auto"/>
        </w:rPr>
      </w:pPr>
    </w:p>
    <w:p>
      <w:pPr>
        <w:ind w:left="320"/>
        <w:spacing w:after="0"/>
        <w:rPr>
          <w:sz w:val="20"/>
          <w:szCs w:val="20"/>
          <w:color w:val="auto"/>
        </w:rPr>
      </w:pPr>
      <w:r>
        <w:rPr>
          <w:rFonts w:ascii="Arial" w:cs="Arial" w:eastAsia="Arial" w:hAnsi="Arial"/>
          <w:sz w:val="18"/>
          <w:szCs w:val="18"/>
          <w:color w:val="auto"/>
        </w:rPr>
        <w:t>If an NEO meets the criteria for "retirement" in connection with his or her voluntary resignation, the NEO generally would be entitled to or,</w:t>
      </w:r>
    </w:p>
    <w:p>
      <w:pPr>
        <w:spacing w:after="0" w:line="9" w:lineRule="exact"/>
        <w:rPr>
          <w:sz w:val="20"/>
          <w:szCs w:val="20"/>
          <w:color w:val="auto"/>
        </w:rPr>
      </w:pPr>
    </w:p>
    <w:p>
      <w:pPr>
        <w:spacing w:after="0" w:line="234" w:lineRule="auto"/>
        <w:rPr>
          <w:sz w:val="20"/>
          <w:szCs w:val="20"/>
          <w:color w:val="auto"/>
        </w:rPr>
      </w:pPr>
      <w:r>
        <w:rPr>
          <w:rFonts w:ascii="Arial" w:cs="Arial" w:eastAsia="Arial" w:hAnsi="Arial"/>
          <w:sz w:val="18"/>
          <w:szCs w:val="18"/>
          <w:color w:val="auto"/>
        </w:rPr>
        <w:t>in the case of annual cash incentive awards and performance share awards, may receive upon approval by the Compensation &amp; Human Resources Committee, the following additional payments and benefits:</w:t>
      </w:r>
    </w:p>
    <w:p>
      <w:pPr>
        <w:spacing w:after="0" w:line="21" w:lineRule="exact"/>
        <w:rPr>
          <w:sz w:val="20"/>
          <w:szCs w:val="20"/>
          <w:color w:val="auto"/>
        </w:rPr>
      </w:pPr>
    </w:p>
    <w:p>
      <w:pPr>
        <w:ind w:left="640" w:hanging="313"/>
        <w:spacing w:after="0" w:line="246" w:lineRule="auto"/>
        <w:tabs>
          <w:tab w:leader="none" w:pos="635" w:val="left"/>
        </w:tabs>
        <w:numPr>
          <w:ilvl w:val="0"/>
          <w:numId w:val="77"/>
        </w:numPr>
        <w:rPr>
          <w:rFonts w:ascii="Arial" w:cs="Arial" w:eastAsia="Arial" w:hAnsi="Arial"/>
          <w:sz w:val="18"/>
          <w:szCs w:val="18"/>
          <w:color w:val="auto"/>
        </w:rPr>
      </w:pPr>
      <w:r>
        <w:rPr>
          <w:rFonts w:ascii="Arial" w:cs="Arial" w:eastAsia="Arial" w:hAnsi="Arial"/>
          <w:sz w:val="18"/>
          <w:szCs w:val="18"/>
          <w:color w:val="auto"/>
        </w:rPr>
        <w:t>Extended vesting and exercise period of four additional years (or the remaining term of the option, whichever is shorter) after the retirement date for all outstanding stock options held on the retirement date;</w:t>
      </w:r>
    </w:p>
    <w:p>
      <w:pPr>
        <w:spacing w:after="0" w:line="15" w:lineRule="exact"/>
        <w:rPr>
          <w:rFonts w:ascii="Arial" w:cs="Arial" w:eastAsia="Arial" w:hAnsi="Arial"/>
          <w:sz w:val="18"/>
          <w:szCs w:val="18"/>
          <w:color w:val="auto"/>
        </w:rPr>
      </w:pPr>
    </w:p>
    <w:p>
      <w:pPr>
        <w:jc w:val="both"/>
        <w:ind w:left="640" w:hanging="313"/>
        <w:spacing w:after="0" w:line="236" w:lineRule="auto"/>
        <w:tabs>
          <w:tab w:leader="none" w:pos="635" w:val="left"/>
        </w:tabs>
        <w:numPr>
          <w:ilvl w:val="0"/>
          <w:numId w:val="77"/>
        </w:numPr>
        <w:rPr>
          <w:rFonts w:ascii="Arial" w:cs="Arial" w:eastAsia="Arial" w:hAnsi="Arial"/>
          <w:sz w:val="18"/>
          <w:szCs w:val="18"/>
          <w:color w:val="auto"/>
        </w:rPr>
      </w:pPr>
      <w:r>
        <w:rPr>
          <w:rFonts w:ascii="Arial" w:cs="Arial" w:eastAsia="Arial" w:hAnsi="Arial"/>
          <w:sz w:val="18"/>
          <w:szCs w:val="18"/>
          <w:color w:val="auto"/>
        </w:rPr>
        <w:t>Extended perquisites consisting of reimbursement for amounts incurred for: (i) one additional year of financial planning expenses; (ii) one additional executive physical; (iii) twelve additional months, or through the end of the lease term, whichever is shorter, of lease payments for a Company-leased automobile; and (iv) certain Company products for personal use at no cost for five years following the NEO’s retirement; provided, however, that the NEO is responsible for payment of applicable taxes attributed to the value of such products;</w:t>
      </w:r>
    </w:p>
    <w:p>
      <w:pPr>
        <w:spacing w:after="0" w:line="9" w:lineRule="exact"/>
        <w:rPr>
          <w:rFonts w:ascii="Arial" w:cs="Arial" w:eastAsia="Arial" w:hAnsi="Arial"/>
          <w:sz w:val="18"/>
          <w:szCs w:val="18"/>
          <w:color w:val="auto"/>
        </w:rPr>
      </w:pPr>
    </w:p>
    <w:p>
      <w:pPr>
        <w:jc w:val="both"/>
        <w:ind w:left="640" w:hanging="313"/>
        <w:spacing w:after="0" w:line="237" w:lineRule="auto"/>
        <w:tabs>
          <w:tab w:leader="none" w:pos="635" w:val="left"/>
        </w:tabs>
        <w:numPr>
          <w:ilvl w:val="0"/>
          <w:numId w:val="77"/>
        </w:numPr>
        <w:rPr>
          <w:rFonts w:ascii="Arial" w:cs="Arial" w:eastAsia="Arial" w:hAnsi="Arial"/>
          <w:sz w:val="18"/>
          <w:szCs w:val="18"/>
          <w:color w:val="auto"/>
        </w:rPr>
      </w:pPr>
      <w:r>
        <w:rPr>
          <w:rFonts w:ascii="Arial" w:cs="Arial" w:eastAsia="Arial" w:hAnsi="Arial"/>
          <w:sz w:val="18"/>
          <w:szCs w:val="18"/>
          <w:color w:val="auto"/>
        </w:rPr>
        <w:t>Prorated payment of an outstanding annual cash incentive award if the NEO retires prior to the date payment is made in settlement of the annual cash incentive award, which is typically in early December, but only: (i) if threshold levels are met and at the percentage of the target achieved; and (ii) in an amount that is proportionate to the portion of the fiscal year performance period that was completed as of the retirement date; and</w:t>
      </w:r>
    </w:p>
    <w:p>
      <w:pPr>
        <w:spacing w:after="0" w:line="22" w:lineRule="exact"/>
        <w:rPr>
          <w:rFonts w:ascii="Arial" w:cs="Arial" w:eastAsia="Arial" w:hAnsi="Arial"/>
          <w:sz w:val="18"/>
          <w:szCs w:val="18"/>
          <w:color w:val="auto"/>
        </w:rPr>
      </w:pPr>
    </w:p>
    <w:p>
      <w:pPr>
        <w:jc w:val="both"/>
        <w:ind w:left="640" w:hanging="313"/>
        <w:spacing w:after="0" w:line="233" w:lineRule="auto"/>
        <w:tabs>
          <w:tab w:leader="none" w:pos="635" w:val="left"/>
        </w:tabs>
        <w:numPr>
          <w:ilvl w:val="0"/>
          <w:numId w:val="77"/>
        </w:numPr>
        <w:rPr>
          <w:rFonts w:ascii="Arial" w:cs="Arial" w:eastAsia="Arial" w:hAnsi="Arial"/>
          <w:sz w:val="18"/>
          <w:szCs w:val="18"/>
          <w:color w:val="auto"/>
        </w:rPr>
      </w:pPr>
      <w:r>
        <w:rPr>
          <w:rFonts w:ascii="Arial" w:cs="Arial" w:eastAsia="Arial" w:hAnsi="Arial"/>
          <w:sz w:val="18"/>
          <w:szCs w:val="18"/>
          <w:color w:val="auto"/>
        </w:rPr>
        <w:t>Prorated payment of outstanding performance share awards if the NEO retires after completion of at least one fiscal year of our current three-fiscal year performance period, but only: (i) if threshold levels are met and at the percentage of the target achieved; and</w:t>
      </w:r>
    </w:p>
    <w:p>
      <w:pPr>
        <w:spacing w:after="0" w:line="1" w:lineRule="exact"/>
        <w:rPr>
          <w:rFonts w:ascii="Arial" w:cs="Arial" w:eastAsia="Arial" w:hAnsi="Arial"/>
          <w:sz w:val="18"/>
          <w:szCs w:val="18"/>
          <w:color w:val="auto"/>
        </w:rPr>
      </w:pPr>
    </w:p>
    <w:p>
      <w:pPr>
        <w:ind w:left="900" w:hanging="253"/>
        <w:spacing w:after="0" w:line="232" w:lineRule="auto"/>
        <w:tabs>
          <w:tab w:leader="none" w:pos="900" w:val="left"/>
        </w:tabs>
        <w:numPr>
          <w:ilvl w:val="1"/>
          <w:numId w:val="77"/>
        </w:numPr>
        <w:rPr>
          <w:rFonts w:ascii="Arial" w:cs="Arial" w:eastAsia="Arial" w:hAnsi="Arial"/>
          <w:sz w:val="18"/>
          <w:szCs w:val="18"/>
          <w:color w:val="auto"/>
        </w:rPr>
      </w:pPr>
      <w:r>
        <w:rPr>
          <w:rFonts w:ascii="Arial" w:cs="Arial" w:eastAsia="Arial" w:hAnsi="Arial"/>
          <w:sz w:val="18"/>
          <w:szCs w:val="18"/>
          <w:color w:val="auto"/>
        </w:rPr>
        <w:t>in an amount that is proportionate to the portion of the performance period based on the number of months or years that the NEO</w:t>
      </w:r>
    </w:p>
    <w:p>
      <w:pPr>
        <w:ind w:left="640"/>
        <w:spacing w:after="0"/>
        <w:rPr>
          <w:sz w:val="20"/>
          <w:szCs w:val="20"/>
          <w:color w:val="auto"/>
        </w:rPr>
      </w:pPr>
      <w:r>
        <w:rPr>
          <w:rFonts w:ascii="Arial" w:cs="Arial" w:eastAsia="Arial" w:hAnsi="Arial"/>
          <w:sz w:val="18"/>
          <w:szCs w:val="18"/>
          <w:color w:val="auto"/>
        </w:rPr>
        <w:t>was employed or performed services during the performance period as of the NEO’s retirement date.</w:t>
      </w: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79375</wp:posOffset>
            </wp:positionV>
            <wp:extent cx="7159625" cy="4254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103" w:right="339" w:bottom="1440" w:gutter="0" w:footer="0" w:header="0"/>
        </w:sectPr>
      </w:pPr>
    </w:p>
    <w:bookmarkStart w:id="75" w:name="page76"/>
    <w:bookmarkEnd w:id="75"/>
    <w:p>
      <w:pPr>
        <w:ind w:left="320"/>
        <w:spacing w:after="0"/>
        <w:rPr>
          <w:sz w:val="20"/>
          <w:szCs w:val="20"/>
          <w:color w:val="auto"/>
        </w:rPr>
      </w:pPr>
      <w:r>
        <w:rPr>
          <w:rFonts w:ascii="Arial" w:cs="Arial" w:eastAsia="Arial" w:hAnsi="Arial"/>
          <w:sz w:val="18"/>
          <w:szCs w:val="18"/>
          <w:color w:val="auto"/>
        </w:rPr>
        <w:t>Any such payment for any prorated annual cash incentive or performance share awards would be made at the same time payments are</w:t>
      </w:r>
    </w:p>
    <w:p>
      <w:pPr>
        <w:spacing w:after="0" w:line="9" w:lineRule="exact"/>
        <w:rPr>
          <w:sz w:val="20"/>
          <w:szCs w:val="20"/>
          <w:color w:val="auto"/>
        </w:rPr>
      </w:pPr>
    </w:p>
    <w:p>
      <w:pPr>
        <w:ind w:right="20"/>
        <w:spacing w:after="0" w:line="234" w:lineRule="auto"/>
        <w:rPr>
          <w:sz w:val="20"/>
          <w:szCs w:val="20"/>
          <w:color w:val="auto"/>
        </w:rPr>
      </w:pPr>
      <w:r>
        <w:rPr>
          <w:rFonts w:ascii="Arial" w:cs="Arial" w:eastAsia="Arial" w:hAnsi="Arial"/>
          <w:sz w:val="18"/>
          <w:szCs w:val="18"/>
          <w:color w:val="auto"/>
        </w:rPr>
        <w:t>made to our other executive officers after the certification of performance achieved by the Compensation &amp; Human Resources Committee at the meeting following the completion of the applicable performance period.</w:t>
      </w:r>
    </w:p>
    <w:p>
      <w:pPr>
        <w:spacing w:after="0" w:line="72"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 xml:space="preserve">Disability or Death. </w:t>
      </w:r>
      <w:r>
        <w:rPr>
          <w:rFonts w:ascii="Arial" w:cs="Arial" w:eastAsia="Arial" w:hAnsi="Arial"/>
          <w:sz w:val="18"/>
          <w:szCs w:val="18"/>
          <w:color w:val="auto"/>
        </w:rPr>
        <w:t>In the event of a termination as the result of the disability or death of an NEO, the NEO, or his or her beneficiary,</w:t>
      </w:r>
    </w:p>
    <w:p>
      <w:pPr>
        <w:spacing w:after="0" w:line="229" w:lineRule="auto"/>
        <w:rPr>
          <w:sz w:val="20"/>
          <w:szCs w:val="20"/>
          <w:color w:val="auto"/>
        </w:rPr>
      </w:pPr>
      <w:r>
        <w:rPr>
          <w:rFonts w:ascii="Arial" w:cs="Arial" w:eastAsia="Arial" w:hAnsi="Arial"/>
          <w:sz w:val="18"/>
          <w:szCs w:val="18"/>
          <w:color w:val="auto"/>
        </w:rPr>
        <w:t>would be entitled to or, in the case of annual cash incentive awards and performance share awards, may receive upon approval by the</w:t>
      </w:r>
    </w:p>
    <w:p>
      <w:pPr>
        <w:spacing w:after="0"/>
        <w:rPr>
          <w:sz w:val="20"/>
          <w:szCs w:val="20"/>
          <w:color w:val="auto"/>
        </w:rPr>
      </w:pPr>
      <w:r>
        <w:rPr>
          <w:rFonts w:ascii="Arial" w:cs="Arial" w:eastAsia="Arial" w:hAnsi="Arial"/>
          <w:sz w:val="18"/>
          <w:szCs w:val="18"/>
          <w:color w:val="auto"/>
        </w:rPr>
        <w:t>Compensation &amp; Human Resources Committee, the following additional payments and benefits:</w:t>
      </w:r>
    </w:p>
    <w:p>
      <w:pPr>
        <w:spacing w:after="0" w:line="31" w:lineRule="exact"/>
        <w:rPr>
          <w:sz w:val="20"/>
          <w:szCs w:val="20"/>
          <w:color w:val="auto"/>
        </w:rPr>
      </w:pPr>
    </w:p>
    <w:p>
      <w:pPr>
        <w:ind w:left="640" w:hanging="313"/>
        <w:spacing w:after="0" w:line="255" w:lineRule="auto"/>
        <w:tabs>
          <w:tab w:leader="none" w:pos="635" w:val="left"/>
        </w:tabs>
        <w:numPr>
          <w:ilvl w:val="0"/>
          <w:numId w:val="78"/>
        </w:numPr>
        <w:rPr>
          <w:rFonts w:ascii="Arial" w:cs="Arial" w:eastAsia="Arial" w:hAnsi="Arial"/>
          <w:sz w:val="18"/>
          <w:szCs w:val="18"/>
          <w:color w:val="auto"/>
        </w:rPr>
      </w:pPr>
      <w:r>
        <w:rPr>
          <w:rFonts w:ascii="Arial" w:cs="Arial" w:eastAsia="Arial" w:hAnsi="Arial"/>
          <w:sz w:val="18"/>
          <w:szCs w:val="18"/>
          <w:color w:val="auto"/>
        </w:rPr>
        <w:t>Immediate vesting of all outstanding stock options held as of the termination date and stock options may be exercised for a period of up to one year (or the remaining term of the option, whichever is shorter) after the termination date;</w:t>
      </w:r>
    </w:p>
    <w:p>
      <w:pPr>
        <w:jc w:val="both"/>
        <w:ind w:left="640" w:hanging="313"/>
        <w:spacing w:after="0" w:line="237" w:lineRule="auto"/>
        <w:tabs>
          <w:tab w:leader="none" w:pos="635" w:val="left"/>
        </w:tabs>
        <w:numPr>
          <w:ilvl w:val="0"/>
          <w:numId w:val="78"/>
        </w:numPr>
        <w:rPr>
          <w:rFonts w:ascii="Arial" w:cs="Arial" w:eastAsia="Arial" w:hAnsi="Arial"/>
          <w:sz w:val="18"/>
          <w:szCs w:val="18"/>
          <w:color w:val="auto"/>
        </w:rPr>
      </w:pPr>
      <w:r>
        <w:rPr>
          <w:rFonts w:ascii="Arial" w:cs="Arial" w:eastAsia="Arial" w:hAnsi="Arial"/>
          <w:sz w:val="18"/>
          <w:szCs w:val="18"/>
          <w:color w:val="auto"/>
        </w:rPr>
        <w:t>Prorated payment of an outstanding annual cash incentive award if the termination of the NEO is prior to the date payment is made in settlement of the annual cash incentive award, but only: (i) if threshold levels are met and at the percentage of the target achieved; and (ii) in an amount that is proportionate to the portion of the fiscal year performance period that was completed as of the termination date; and</w:t>
      </w:r>
    </w:p>
    <w:p>
      <w:pPr>
        <w:spacing w:after="0" w:line="23" w:lineRule="exact"/>
        <w:rPr>
          <w:rFonts w:ascii="Arial" w:cs="Arial" w:eastAsia="Arial" w:hAnsi="Arial"/>
          <w:sz w:val="18"/>
          <w:szCs w:val="18"/>
          <w:color w:val="auto"/>
        </w:rPr>
      </w:pPr>
    </w:p>
    <w:p>
      <w:pPr>
        <w:jc w:val="both"/>
        <w:ind w:left="640" w:hanging="313"/>
        <w:spacing w:after="0" w:line="237" w:lineRule="auto"/>
        <w:tabs>
          <w:tab w:leader="none" w:pos="635" w:val="left"/>
        </w:tabs>
        <w:numPr>
          <w:ilvl w:val="0"/>
          <w:numId w:val="78"/>
        </w:numPr>
        <w:rPr>
          <w:rFonts w:ascii="Arial" w:cs="Arial" w:eastAsia="Arial" w:hAnsi="Arial"/>
          <w:sz w:val="18"/>
          <w:szCs w:val="18"/>
          <w:color w:val="auto"/>
        </w:rPr>
      </w:pPr>
      <w:r>
        <w:rPr>
          <w:rFonts w:ascii="Arial" w:cs="Arial" w:eastAsia="Arial" w:hAnsi="Arial"/>
          <w:sz w:val="18"/>
          <w:szCs w:val="18"/>
          <w:color w:val="auto"/>
        </w:rPr>
        <w:t>Prorated payment of outstanding performance share awards if the NEO was employed for at least one fiscal year of our current three-fiscal year performance period, but only: (i) if threshold levels are met and at the percentage of the target achieved; and (ii) in an amount that is proportionate to the portion of the performance period based on the number of months or years that the NEO was employed or performed services during the performance period as of the NEO’s termination date.</w:t>
      </w:r>
    </w:p>
    <w:p>
      <w:pPr>
        <w:spacing w:after="0" w:line="76" w:lineRule="exact"/>
        <w:rPr>
          <w:sz w:val="20"/>
          <w:szCs w:val="20"/>
          <w:color w:val="auto"/>
        </w:rPr>
      </w:pPr>
    </w:p>
    <w:p>
      <w:pPr>
        <w:ind w:firstLine="320"/>
        <w:spacing w:after="0" w:line="233" w:lineRule="auto"/>
        <w:rPr>
          <w:sz w:val="20"/>
          <w:szCs w:val="20"/>
          <w:color w:val="auto"/>
        </w:rPr>
      </w:pPr>
      <w:r>
        <w:rPr>
          <w:rFonts w:ascii="Arial" w:cs="Arial" w:eastAsia="Arial" w:hAnsi="Arial"/>
          <w:sz w:val="18"/>
          <w:szCs w:val="18"/>
          <w:color w:val="auto"/>
        </w:rPr>
        <w:t>Any such payment for any prorated annual cash incentive or performance share awards would be made at the same time payments are made to our other executive officers after the certification of performance achieved by the Compensation &amp; Human Resources Committee at</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the meeting following the completion of the applicable performance period.</w:t>
      </w:r>
    </w:p>
    <w:p>
      <w:pPr>
        <w:spacing w:after="0" w:line="69" w:lineRule="exact"/>
        <w:rPr>
          <w:sz w:val="20"/>
          <w:szCs w:val="20"/>
          <w:color w:val="auto"/>
        </w:rPr>
      </w:pPr>
    </w:p>
    <w:p>
      <w:pPr>
        <w:ind w:firstLine="320"/>
        <w:spacing w:after="0" w:line="242" w:lineRule="auto"/>
        <w:rPr>
          <w:sz w:val="20"/>
          <w:szCs w:val="20"/>
          <w:color w:val="auto"/>
        </w:rPr>
      </w:pPr>
      <w:r>
        <w:rPr>
          <w:rFonts w:ascii="Arial" w:cs="Arial" w:eastAsia="Arial" w:hAnsi="Arial"/>
          <w:sz w:val="18"/>
          <w:szCs w:val="18"/>
          <w:b w:val="1"/>
          <w:bCs w:val="1"/>
          <w:color w:val="auto"/>
        </w:rPr>
        <w:t xml:space="preserve">Involuntary Termination by TTC. </w:t>
      </w:r>
      <w:r>
        <w:rPr>
          <w:rFonts w:ascii="Arial" w:cs="Arial" w:eastAsia="Arial" w:hAnsi="Arial"/>
          <w:sz w:val="18"/>
          <w:szCs w:val="18"/>
          <w:color w:val="auto"/>
        </w:rPr>
        <w:t>Since our NEOs do not have employment or severance agreements or arrangements other than as</w:t>
      </w:r>
      <w:r>
        <w:rPr>
          <w:rFonts w:ascii="Arial" w:cs="Arial" w:eastAsia="Arial" w:hAnsi="Arial"/>
          <w:sz w:val="18"/>
          <w:szCs w:val="18"/>
          <w:b w:val="1"/>
          <w:bCs w:val="1"/>
          <w:color w:val="auto"/>
        </w:rPr>
        <w:t xml:space="preserve"> </w:t>
      </w:r>
      <w:r>
        <w:rPr>
          <w:rFonts w:ascii="Arial" w:cs="Arial" w:eastAsia="Arial" w:hAnsi="Arial"/>
          <w:sz w:val="18"/>
          <w:szCs w:val="18"/>
          <w:color w:val="auto"/>
        </w:rPr>
        <w:t>provided for in our CIC policy, we would not be obligated to provide any additional payments or benefits to our NEOs in the event of an</w:t>
      </w:r>
    </w:p>
    <w:p>
      <w:pPr>
        <w:spacing w:after="0" w:line="1" w:lineRule="exact"/>
        <w:rPr>
          <w:sz w:val="20"/>
          <w:szCs w:val="20"/>
          <w:color w:val="auto"/>
        </w:rPr>
      </w:pPr>
    </w:p>
    <w:p>
      <w:pPr>
        <w:spacing w:after="0" w:line="234" w:lineRule="auto"/>
        <w:rPr>
          <w:sz w:val="20"/>
          <w:szCs w:val="20"/>
          <w:color w:val="auto"/>
        </w:rPr>
      </w:pPr>
      <w:r>
        <w:rPr>
          <w:rFonts w:ascii="Arial" w:cs="Arial" w:eastAsia="Arial" w:hAnsi="Arial"/>
          <w:sz w:val="18"/>
          <w:szCs w:val="18"/>
          <w:color w:val="auto"/>
        </w:rPr>
        <w:t>involuntary termination of employment by us. Any negotiated separation arrangement typically requires that the NEO sign a release and waiver of claims and comply with confidentiality and non-compete restrictions.</w:t>
      </w:r>
    </w:p>
    <w:p>
      <w:pPr>
        <w:spacing w:after="0" w:line="72"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 xml:space="preserve">Termination by TTC for Cause. </w:t>
      </w:r>
      <w:r>
        <w:rPr>
          <w:rFonts w:ascii="Arial" w:cs="Arial" w:eastAsia="Arial" w:hAnsi="Arial"/>
          <w:sz w:val="18"/>
          <w:szCs w:val="18"/>
          <w:color w:val="auto"/>
        </w:rPr>
        <w:t>In the event of a termination of an NEO's employment by us for cause, we would not be obligated to</w:t>
      </w:r>
    </w:p>
    <w:p>
      <w:pPr>
        <w:spacing w:after="0" w:line="11" w:lineRule="exact"/>
        <w:rPr>
          <w:sz w:val="20"/>
          <w:szCs w:val="20"/>
          <w:color w:val="auto"/>
        </w:rPr>
      </w:pPr>
    </w:p>
    <w:p>
      <w:pPr>
        <w:spacing w:after="0" w:line="234" w:lineRule="auto"/>
        <w:rPr>
          <w:sz w:val="20"/>
          <w:szCs w:val="20"/>
          <w:color w:val="auto"/>
        </w:rPr>
      </w:pPr>
      <w:r>
        <w:rPr>
          <w:rFonts w:ascii="Arial" w:cs="Arial" w:eastAsia="Arial" w:hAnsi="Arial"/>
          <w:sz w:val="18"/>
          <w:szCs w:val="18"/>
          <w:color w:val="auto"/>
        </w:rPr>
        <w:t>provide any additional payments or benefits to the executive. In addition, we may have certain clawback rights, as described below under "Clawback Provisions."</w:t>
      </w:r>
    </w:p>
    <w:p>
      <w:pPr>
        <w:spacing w:after="0" w:line="59" w:lineRule="exact"/>
        <w:rPr>
          <w:sz w:val="20"/>
          <w:szCs w:val="20"/>
          <w:color w:val="auto"/>
        </w:rPr>
      </w:pPr>
    </w:p>
    <w:p>
      <w:pPr>
        <w:ind w:firstLine="320"/>
        <w:spacing w:after="0" w:line="234" w:lineRule="auto"/>
        <w:rPr>
          <w:sz w:val="20"/>
          <w:szCs w:val="20"/>
          <w:color w:val="auto"/>
        </w:rPr>
      </w:pPr>
      <w:r>
        <w:rPr>
          <w:rFonts w:ascii="Arial" w:cs="Arial" w:eastAsia="Arial" w:hAnsi="Arial"/>
          <w:sz w:val="18"/>
          <w:szCs w:val="18"/>
          <w:b w:val="1"/>
          <w:bCs w:val="1"/>
          <w:color w:val="auto"/>
        </w:rPr>
        <w:t xml:space="preserve">Change in Control. </w:t>
      </w:r>
      <w:r>
        <w:rPr>
          <w:rFonts w:ascii="Arial" w:cs="Arial" w:eastAsia="Arial" w:hAnsi="Arial"/>
          <w:sz w:val="18"/>
          <w:szCs w:val="18"/>
          <w:color w:val="auto"/>
        </w:rPr>
        <w:t>We have a CIC policy generally applicable to our executive officers. Our CIC policy incorporates a "double trigger"</w:t>
      </w:r>
      <w:r>
        <w:rPr>
          <w:rFonts w:ascii="Arial" w:cs="Arial" w:eastAsia="Arial" w:hAnsi="Arial"/>
          <w:sz w:val="18"/>
          <w:szCs w:val="18"/>
          <w:b w:val="1"/>
          <w:bCs w:val="1"/>
          <w:color w:val="auto"/>
        </w:rPr>
        <w:t xml:space="preserve"> </w:t>
      </w:r>
      <w:r>
        <w:rPr>
          <w:rFonts w:ascii="Arial" w:cs="Arial" w:eastAsia="Arial" w:hAnsi="Arial"/>
          <w:sz w:val="18"/>
          <w:szCs w:val="18"/>
          <w:color w:val="auto"/>
        </w:rPr>
        <w:t>mechanism and provides for a cash severance payment and certain other benefits if within three years after a change in control the NEO's</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employment is terminated by us without just cause or the NEO terminates his or her employment for good reason, or if such termination occurs</w:t>
      </w:r>
    </w:p>
    <w:p>
      <w:pPr>
        <w:spacing w:after="0" w:line="5" w:lineRule="exact"/>
        <w:rPr>
          <w:sz w:val="20"/>
          <w:szCs w:val="20"/>
          <w:color w:val="auto"/>
        </w:rPr>
      </w:pPr>
    </w:p>
    <w:p>
      <w:pPr>
        <w:spacing w:after="0" w:line="234" w:lineRule="auto"/>
        <w:rPr>
          <w:sz w:val="20"/>
          <w:szCs w:val="20"/>
          <w:color w:val="auto"/>
        </w:rPr>
      </w:pPr>
      <w:r>
        <w:rPr>
          <w:rFonts w:ascii="Arial" w:cs="Arial" w:eastAsia="Arial" w:hAnsi="Arial"/>
          <w:sz w:val="18"/>
          <w:szCs w:val="18"/>
          <w:color w:val="auto"/>
        </w:rPr>
        <w:t>at the request of a third party who had taken steps reasonably calculated to effect the change in control. The payments and benefits the NEO would be entitled to receive include:</w:t>
      </w:r>
    </w:p>
    <w:p>
      <w:pPr>
        <w:spacing w:after="0" w:line="21" w:lineRule="exact"/>
        <w:rPr>
          <w:sz w:val="20"/>
          <w:szCs w:val="20"/>
          <w:color w:val="auto"/>
        </w:rPr>
      </w:pPr>
    </w:p>
    <w:p>
      <w:pPr>
        <w:ind w:left="640" w:hanging="313"/>
        <w:spacing w:after="0" w:line="255" w:lineRule="auto"/>
        <w:tabs>
          <w:tab w:leader="none" w:pos="635" w:val="left"/>
        </w:tabs>
        <w:numPr>
          <w:ilvl w:val="0"/>
          <w:numId w:val="79"/>
        </w:numPr>
        <w:rPr>
          <w:rFonts w:ascii="Arial" w:cs="Arial" w:eastAsia="Arial" w:hAnsi="Arial"/>
          <w:sz w:val="18"/>
          <w:szCs w:val="18"/>
          <w:color w:val="auto"/>
        </w:rPr>
      </w:pPr>
      <w:r>
        <w:rPr>
          <w:rFonts w:ascii="Arial" w:cs="Arial" w:eastAsia="Arial" w:hAnsi="Arial"/>
          <w:sz w:val="18"/>
          <w:szCs w:val="18"/>
          <w:color w:val="auto"/>
        </w:rPr>
        <w:t>a lump sum cash severance payment equal to two times (or three times for the CEO) the sum of the NEO’s then current annual base salary and target annual cash incentive award;</w:t>
      </w:r>
    </w:p>
    <w:p>
      <w:pPr>
        <w:jc w:val="both"/>
        <w:ind w:left="640" w:hanging="313"/>
        <w:spacing w:after="0" w:line="247" w:lineRule="auto"/>
        <w:tabs>
          <w:tab w:leader="none" w:pos="635" w:val="left"/>
        </w:tabs>
        <w:numPr>
          <w:ilvl w:val="0"/>
          <w:numId w:val="79"/>
        </w:numPr>
        <w:rPr>
          <w:rFonts w:ascii="Arial" w:cs="Arial" w:eastAsia="Arial" w:hAnsi="Arial"/>
          <w:sz w:val="18"/>
          <w:szCs w:val="18"/>
          <w:color w:val="auto"/>
        </w:rPr>
      </w:pPr>
      <w:r>
        <w:rPr>
          <w:rFonts w:ascii="Arial" w:cs="Arial" w:eastAsia="Arial" w:hAnsi="Arial"/>
          <w:sz w:val="18"/>
          <w:szCs w:val="18"/>
          <w:color w:val="auto"/>
        </w:rPr>
        <w:t>a lump sum cash payment in an amount equal to the NEO’s pro-rated target annual cash incentive award for the fiscal year in which the termination date occurs, reduced by any amounts paid under the terms of the applicable equity compensation policy for the same period of time;</w:t>
      </w:r>
    </w:p>
    <w:p>
      <w:pPr>
        <w:spacing w:after="0" w:line="1" w:lineRule="exact"/>
        <w:rPr>
          <w:rFonts w:ascii="Arial" w:cs="Arial" w:eastAsia="Arial" w:hAnsi="Arial"/>
          <w:sz w:val="18"/>
          <w:szCs w:val="18"/>
          <w:color w:val="auto"/>
        </w:rPr>
      </w:pPr>
    </w:p>
    <w:p>
      <w:pPr>
        <w:jc w:val="both"/>
        <w:ind w:left="640" w:right="20" w:hanging="313"/>
        <w:spacing w:after="0" w:line="247" w:lineRule="auto"/>
        <w:tabs>
          <w:tab w:leader="none" w:pos="635" w:val="left"/>
        </w:tabs>
        <w:numPr>
          <w:ilvl w:val="0"/>
          <w:numId w:val="79"/>
        </w:numPr>
        <w:rPr>
          <w:rFonts w:ascii="Arial" w:cs="Arial" w:eastAsia="Arial" w:hAnsi="Arial"/>
          <w:sz w:val="18"/>
          <w:szCs w:val="18"/>
          <w:color w:val="auto"/>
        </w:rPr>
      </w:pPr>
      <w:r>
        <w:rPr>
          <w:rFonts w:ascii="Arial" w:cs="Arial" w:eastAsia="Arial" w:hAnsi="Arial"/>
          <w:sz w:val="18"/>
          <w:szCs w:val="18"/>
          <w:color w:val="auto"/>
        </w:rPr>
        <w:t>eligibility for continuation coverage under our medical, dental and other group health plans for a period of three years following the termination date and reimbursement for any costs incurred in securing such continuation coverage that are in excess of costs that would have been incurred by the NEO immediately prior to his or her termination date to obtain such coverage; and</w:t>
      </w:r>
    </w:p>
    <w:p>
      <w:pPr>
        <w:spacing w:after="0" w:line="1" w:lineRule="exact"/>
        <w:rPr>
          <w:rFonts w:ascii="Arial" w:cs="Arial" w:eastAsia="Arial" w:hAnsi="Arial"/>
          <w:sz w:val="18"/>
          <w:szCs w:val="18"/>
          <w:color w:val="auto"/>
        </w:rPr>
      </w:pPr>
    </w:p>
    <w:p>
      <w:pPr>
        <w:ind w:left="640" w:hanging="313"/>
        <w:spacing w:after="0"/>
        <w:tabs>
          <w:tab w:leader="none" w:pos="640" w:val="left"/>
        </w:tabs>
        <w:numPr>
          <w:ilvl w:val="0"/>
          <w:numId w:val="79"/>
        </w:numPr>
        <w:rPr>
          <w:rFonts w:ascii="Arial" w:cs="Arial" w:eastAsia="Arial" w:hAnsi="Arial"/>
          <w:sz w:val="18"/>
          <w:szCs w:val="18"/>
          <w:color w:val="auto"/>
        </w:rPr>
      </w:pPr>
      <w:r>
        <w:rPr>
          <w:rFonts w:ascii="Arial" w:cs="Arial" w:eastAsia="Arial" w:hAnsi="Arial"/>
          <w:sz w:val="18"/>
          <w:szCs w:val="18"/>
          <w:color w:val="auto"/>
        </w:rPr>
        <w:t>two years of outplacement services.</w:t>
      </w:r>
    </w:p>
    <w:p>
      <w:pPr>
        <w:spacing w:after="0" w:line="100" w:lineRule="exact"/>
        <w:rPr>
          <w:sz w:val="20"/>
          <w:szCs w:val="20"/>
          <w:color w:val="auto"/>
        </w:rPr>
      </w:pPr>
    </w:p>
    <w:p>
      <w:pPr>
        <w:ind w:left="320"/>
        <w:spacing w:after="0"/>
        <w:rPr>
          <w:sz w:val="20"/>
          <w:szCs w:val="20"/>
          <w:color w:val="auto"/>
        </w:rPr>
      </w:pPr>
      <w:r>
        <w:rPr>
          <w:rFonts w:ascii="Arial" w:cs="Arial" w:eastAsia="Arial" w:hAnsi="Arial"/>
          <w:sz w:val="17"/>
          <w:szCs w:val="17"/>
          <w:color w:val="auto"/>
        </w:rPr>
        <w:t>Our CIC policy does not provide a "gross-up" for 280G excise tax and, as a condition to the payment of any severance payment, the NEO</w:t>
      </w:r>
    </w:p>
    <w:p>
      <w:pPr>
        <w:spacing w:after="0" w:line="21" w:lineRule="exact"/>
        <w:rPr>
          <w:sz w:val="20"/>
          <w:szCs w:val="20"/>
          <w:color w:val="auto"/>
        </w:rPr>
      </w:pPr>
    </w:p>
    <w:p>
      <w:pPr>
        <w:spacing w:after="0" w:line="234" w:lineRule="auto"/>
        <w:rPr>
          <w:sz w:val="20"/>
          <w:szCs w:val="20"/>
          <w:color w:val="auto"/>
        </w:rPr>
      </w:pPr>
      <w:r>
        <w:rPr>
          <w:rFonts w:ascii="Arial" w:cs="Arial" w:eastAsia="Arial" w:hAnsi="Arial"/>
          <w:sz w:val="18"/>
          <w:szCs w:val="18"/>
          <w:color w:val="auto"/>
        </w:rPr>
        <w:t>must execute a release of claims against us. If a change in control, as generally defined below, has not occurred, our Board may terminate our CIC policy after two years' advance notice of such termination.</w:t>
      </w:r>
    </w:p>
    <w:p>
      <w:pPr>
        <w:spacing w:after="0" w:line="74" w:lineRule="exact"/>
        <w:rPr>
          <w:sz w:val="20"/>
          <w:szCs w:val="20"/>
          <w:color w:val="auto"/>
        </w:rPr>
      </w:pPr>
    </w:p>
    <w:p>
      <w:pPr>
        <w:ind w:firstLine="320"/>
        <w:spacing w:after="0" w:line="255" w:lineRule="auto"/>
        <w:rPr>
          <w:sz w:val="20"/>
          <w:szCs w:val="20"/>
          <w:color w:val="auto"/>
        </w:rPr>
      </w:pPr>
      <w:r>
        <w:rPr>
          <w:rFonts w:ascii="Arial" w:cs="Arial" w:eastAsia="Arial" w:hAnsi="Arial"/>
          <w:sz w:val="18"/>
          <w:szCs w:val="18"/>
          <w:color w:val="auto"/>
        </w:rPr>
        <w:t>In addition to our CIC policy, our 2022 Plan provides that if we experience a change in control, as generally defined below, and if outstanding awards are continued, assumed, or substituted, whether or not there is a qualifying termination of employment:</w:t>
      </w:r>
    </w:p>
    <w:p>
      <w:pPr>
        <w:ind w:left="640" w:hanging="313"/>
        <w:spacing w:after="0" w:line="262" w:lineRule="auto"/>
        <w:tabs>
          <w:tab w:leader="none" w:pos="635" w:val="left"/>
        </w:tabs>
        <w:numPr>
          <w:ilvl w:val="0"/>
          <w:numId w:val="80"/>
        </w:numPr>
        <w:rPr>
          <w:rFonts w:ascii="Arial" w:cs="Arial" w:eastAsia="Arial" w:hAnsi="Arial"/>
          <w:sz w:val="18"/>
          <w:szCs w:val="18"/>
          <w:color w:val="auto"/>
        </w:rPr>
      </w:pPr>
      <w:r>
        <w:rPr>
          <w:rFonts w:ascii="Arial" w:cs="Arial" w:eastAsia="Arial" w:hAnsi="Arial"/>
          <w:sz w:val="18"/>
          <w:szCs w:val="18"/>
          <w:color w:val="auto"/>
        </w:rPr>
        <w:t>all stock options immediately vest, become exercisable in full and remain exercisable for their remaining term following the change in control;</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79375</wp:posOffset>
            </wp:positionV>
            <wp:extent cx="7159625" cy="4254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097" w:right="339" w:bottom="1440" w:gutter="0" w:footer="0" w:header="0"/>
        </w:sectPr>
      </w:pPr>
    </w:p>
    <w:bookmarkStart w:id="76" w:name="page77"/>
    <w:bookmarkEnd w:id="76"/>
    <w:p>
      <w:pPr>
        <w:jc w:val="both"/>
        <w:ind w:left="640" w:hanging="313"/>
        <w:spacing w:after="0" w:line="239" w:lineRule="auto"/>
        <w:tabs>
          <w:tab w:leader="none" w:pos="635" w:val="left"/>
        </w:tabs>
        <w:numPr>
          <w:ilvl w:val="0"/>
          <w:numId w:val="81"/>
        </w:numPr>
        <w:rPr>
          <w:rFonts w:ascii="Arial" w:cs="Arial" w:eastAsia="Arial" w:hAnsi="Arial"/>
          <w:sz w:val="18"/>
          <w:szCs w:val="18"/>
          <w:color w:val="auto"/>
        </w:rPr>
      </w:pPr>
      <w:r>
        <w:rPr>
          <w:rFonts w:ascii="Arial" w:cs="Arial" w:eastAsia="Arial" w:hAnsi="Arial"/>
          <w:sz w:val="18"/>
          <w:szCs w:val="18"/>
          <w:color w:val="auto"/>
        </w:rPr>
        <w:t>all outstanding annual cash incentive awards for performance periods in progress at the time of the change in control immediately vest and become immediately payable in cash based on the greater of: (i) achievement at target; or (ii) actual achievement through the date of the change in control;</w:t>
      </w:r>
    </w:p>
    <w:p>
      <w:pPr>
        <w:spacing w:after="0" w:line="22" w:lineRule="exact"/>
        <w:rPr>
          <w:rFonts w:ascii="Arial" w:cs="Arial" w:eastAsia="Arial" w:hAnsi="Arial"/>
          <w:sz w:val="18"/>
          <w:szCs w:val="18"/>
          <w:color w:val="auto"/>
        </w:rPr>
      </w:pPr>
    </w:p>
    <w:p>
      <w:pPr>
        <w:jc w:val="both"/>
        <w:ind w:left="640" w:hanging="313"/>
        <w:spacing w:after="0" w:line="239" w:lineRule="auto"/>
        <w:tabs>
          <w:tab w:leader="none" w:pos="635" w:val="left"/>
        </w:tabs>
        <w:numPr>
          <w:ilvl w:val="0"/>
          <w:numId w:val="81"/>
        </w:numPr>
        <w:rPr>
          <w:rFonts w:ascii="Arial" w:cs="Arial" w:eastAsia="Arial" w:hAnsi="Arial"/>
          <w:sz w:val="18"/>
          <w:szCs w:val="18"/>
          <w:color w:val="auto"/>
        </w:rPr>
      </w:pPr>
      <w:r>
        <w:rPr>
          <w:rFonts w:ascii="Arial" w:cs="Arial" w:eastAsia="Arial" w:hAnsi="Arial"/>
          <w:sz w:val="18"/>
          <w:szCs w:val="18"/>
          <w:color w:val="auto"/>
        </w:rPr>
        <w:t>all outstanding performance share awards for performance periods in progress at the time of the change in control immediately vest and become payable in shares of our common stock, at the greater of: (i) target; or (ii) actual achievement of performance goals through the date of the change in control; and</w:t>
      </w:r>
    </w:p>
    <w:p>
      <w:pPr>
        <w:spacing w:after="0" w:line="22" w:lineRule="exact"/>
        <w:rPr>
          <w:rFonts w:ascii="Arial" w:cs="Arial" w:eastAsia="Arial" w:hAnsi="Arial"/>
          <w:sz w:val="18"/>
          <w:szCs w:val="18"/>
          <w:color w:val="auto"/>
        </w:rPr>
      </w:pPr>
    </w:p>
    <w:p>
      <w:pPr>
        <w:jc w:val="both"/>
        <w:ind w:left="640" w:hanging="313"/>
        <w:spacing w:after="0" w:line="239" w:lineRule="auto"/>
        <w:tabs>
          <w:tab w:leader="none" w:pos="635" w:val="left"/>
        </w:tabs>
        <w:numPr>
          <w:ilvl w:val="0"/>
          <w:numId w:val="81"/>
        </w:numPr>
        <w:rPr>
          <w:rFonts w:ascii="Arial" w:cs="Arial" w:eastAsia="Arial" w:hAnsi="Arial"/>
          <w:sz w:val="18"/>
          <w:szCs w:val="18"/>
          <w:color w:val="auto"/>
        </w:rPr>
      </w:pPr>
      <w:r>
        <w:rPr>
          <w:rFonts w:ascii="Arial" w:cs="Arial" w:eastAsia="Arial" w:hAnsi="Arial"/>
          <w:sz w:val="18"/>
          <w:szCs w:val="18"/>
          <w:color w:val="auto"/>
        </w:rPr>
        <w:t>all outstanding shares of restricted stock and restricted stock unit awards with vesting based solely on the participant’s continued service immediately vest and become non-forfeitable or issuable, as the case may be, and shall be settled in cash or shares of our common stock.</w:t>
      </w:r>
    </w:p>
    <w:p>
      <w:pPr>
        <w:spacing w:after="0" w:line="75" w:lineRule="exact"/>
        <w:rPr>
          <w:sz w:val="20"/>
          <w:szCs w:val="20"/>
          <w:color w:val="auto"/>
        </w:rPr>
      </w:pPr>
    </w:p>
    <w:p>
      <w:pPr>
        <w:ind w:left="320"/>
        <w:spacing w:after="0"/>
        <w:rPr>
          <w:sz w:val="20"/>
          <w:szCs w:val="20"/>
          <w:color w:val="auto"/>
        </w:rPr>
      </w:pPr>
      <w:r>
        <w:rPr>
          <w:rFonts w:ascii="Arial" w:cs="Arial" w:eastAsia="Arial" w:hAnsi="Arial"/>
          <w:sz w:val="18"/>
          <w:szCs w:val="18"/>
          <w:color w:val="auto"/>
        </w:rPr>
        <w:t>If outstanding equity based awards are not continued, assumed or substituted:</w:t>
      </w:r>
    </w:p>
    <w:p>
      <w:pPr>
        <w:spacing w:after="0" w:line="47" w:lineRule="exact"/>
        <w:rPr>
          <w:sz w:val="20"/>
          <w:szCs w:val="20"/>
          <w:color w:val="auto"/>
        </w:rPr>
      </w:pPr>
    </w:p>
    <w:p>
      <w:pPr>
        <w:jc w:val="both"/>
        <w:ind w:left="640" w:hanging="313"/>
        <w:spacing w:after="0" w:line="233" w:lineRule="auto"/>
        <w:tabs>
          <w:tab w:leader="none" w:pos="635" w:val="left"/>
        </w:tabs>
        <w:numPr>
          <w:ilvl w:val="0"/>
          <w:numId w:val="82"/>
        </w:numPr>
        <w:rPr>
          <w:rFonts w:ascii="Arial" w:cs="Arial" w:eastAsia="Arial" w:hAnsi="Arial"/>
          <w:sz w:val="18"/>
          <w:szCs w:val="18"/>
          <w:color w:val="auto"/>
        </w:rPr>
      </w:pPr>
      <w:r>
        <w:rPr>
          <w:rFonts w:ascii="Arial" w:cs="Arial" w:eastAsia="Arial" w:hAnsi="Arial"/>
          <w:sz w:val="18"/>
          <w:szCs w:val="18"/>
          <w:color w:val="auto"/>
        </w:rPr>
        <w:t>all stock options immediately vest and become exercisable and the Compensation &amp; Human Resources Committee shall: (i) give the participant a reasonable opportunity to exercise the option prior to the change in control; and (ii) pay the participant in cash for each unexercised option, the excess, if any, between the option exercise price and the per share consideration payable to shareholders, provided the participant shall receive payment of the fair market value of any contingent or delayed consideration on the basis of the Committee’s good faith estimate of the present value of the probable future value of such consideration;</w:t>
      </w:r>
    </w:p>
    <w:p>
      <w:pPr>
        <w:spacing w:after="0" w:line="22" w:lineRule="exact"/>
        <w:rPr>
          <w:rFonts w:ascii="Arial" w:cs="Arial" w:eastAsia="Arial" w:hAnsi="Arial"/>
          <w:sz w:val="18"/>
          <w:szCs w:val="18"/>
          <w:color w:val="auto"/>
        </w:rPr>
      </w:pPr>
    </w:p>
    <w:p>
      <w:pPr>
        <w:jc w:val="both"/>
        <w:ind w:left="640" w:hanging="313"/>
        <w:spacing w:after="0" w:line="233" w:lineRule="auto"/>
        <w:tabs>
          <w:tab w:leader="none" w:pos="635" w:val="left"/>
        </w:tabs>
        <w:numPr>
          <w:ilvl w:val="0"/>
          <w:numId w:val="82"/>
        </w:numPr>
        <w:rPr>
          <w:rFonts w:ascii="Arial" w:cs="Arial" w:eastAsia="Arial" w:hAnsi="Arial"/>
          <w:sz w:val="18"/>
          <w:szCs w:val="18"/>
          <w:color w:val="auto"/>
        </w:rPr>
      </w:pPr>
      <w:r>
        <w:rPr>
          <w:rFonts w:ascii="Arial" w:cs="Arial" w:eastAsia="Arial" w:hAnsi="Arial"/>
          <w:sz w:val="18"/>
          <w:szCs w:val="18"/>
          <w:color w:val="auto"/>
        </w:rPr>
        <w:t>all restricted stock awards and restricted stock unit awards with vesting based solely on the participant’s continued service will immediately vest and be settled in cash or shares of our common stock, provided, if payment is to be made in shares of our common stock, the participant will receive the excess, if any, between the consideration received by shareholders of our Company for shares of our Company in connection with the change in control and the purchase price, if any, of the restricted stock or restricted stock unit award, multiplied by the number of shares subject to such award; and</w:t>
      </w:r>
    </w:p>
    <w:p>
      <w:pPr>
        <w:spacing w:after="0" w:line="22" w:lineRule="exact"/>
        <w:rPr>
          <w:rFonts w:ascii="Arial" w:cs="Arial" w:eastAsia="Arial" w:hAnsi="Arial"/>
          <w:sz w:val="18"/>
          <w:szCs w:val="18"/>
          <w:color w:val="auto"/>
        </w:rPr>
      </w:pPr>
    </w:p>
    <w:p>
      <w:pPr>
        <w:jc w:val="both"/>
        <w:ind w:left="640" w:hanging="313"/>
        <w:spacing w:after="0" w:line="236" w:lineRule="auto"/>
        <w:tabs>
          <w:tab w:leader="none" w:pos="635" w:val="left"/>
        </w:tabs>
        <w:numPr>
          <w:ilvl w:val="0"/>
          <w:numId w:val="82"/>
        </w:numPr>
        <w:rPr>
          <w:rFonts w:ascii="Arial" w:cs="Arial" w:eastAsia="Arial" w:hAnsi="Arial"/>
          <w:sz w:val="18"/>
          <w:szCs w:val="18"/>
          <w:color w:val="auto"/>
        </w:rPr>
      </w:pPr>
      <w:r>
        <w:rPr>
          <w:rFonts w:ascii="Arial" w:cs="Arial" w:eastAsia="Arial" w:hAnsi="Arial"/>
          <w:sz w:val="18"/>
          <w:szCs w:val="18"/>
          <w:color w:val="auto"/>
        </w:rPr>
        <w:t>all outstanding performance share awards for performance periods in progress at the time of the change in control will immediately vest and become payable in shares of our common stock, at the greater of (i) target, or (ii) actual achievement of performance goals through the date of the change in control, provided, for the payment to be made in shares of our common stock, the participant will receive the consideration received by shareholders of our Company for shares of our Company in connection with the change in control.</w:t>
      </w:r>
    </w:p>
    <w:p>
      <w:pPr>
        <w:spacing w:after="0" w:line="63" w:lineRule="exact"/>
        <w:rPr>
          <w:sz w:val="20"/>
          <w:szCs w:val="20"/>
          <w:color w:val="auto"/>
        </w:rPr>
      </w:pPr>
    </w:p>
    <w:p>
      <w:pPr>
        <w:ind w:firstLine="320"/>
        <w:spacing w:after="0" w:line="262" w:lineRule="auto"/>
        <w:rPr>
          <w:sz w:val="20"/>
          <w:szCs w:val="20"/>
          <w:color w:val="auto"/>
        </w:rPr>
      </w:pPr>
      <w:r>
        <w:rPr>
          <w:rFonts w:ascii="Arial" w:cs="Arial" w:eastAsia="Arial" w:hAnsi="Arial"/>
          <w:sz w:val="18"/>
          <w:szCs w:val="18"/>
          <w:color w:val="auto"/>
        </w:rPr>
        <w:t>Our prior 2010 Plan provides that if we experience a change in control, as generally defined below, whether or not there is a qualifying termination of employment:</w:t>
      </w:r>
    </w:p>
    <w:p>
      <w:pPr>
        <w:spacing w:after="0" w:line="2" w:lineRule="exact"/>
        <w:rPr>
          <w:sz w:val="20"/>
          <w:szCs w:val="20"/>
          <w:color w:val="auto"/>
        </w:rPr>
      </w:pPr>
    </w:p>
    <w:p>
      <w:pPr>
        <w:ind w:left="640" w:hanging="313"/>
        <w:spacing w:after="0" w:line="246" w:lineRule="auto"/>
        <w:tabs>
          <w:tab w:leader="none" w:pos="635" w:val="left"/>
        </w:tabs>
        <w:numPr>
          <w:ilvl w:val="0"/>
          <w:numId w:val="83"/>
        </w:numPr>
        <w:rPr>
          <w:rFonts w:ascii="Arial" w:cs="Arial" w:eastAsia="Arial" w:hAnsi="Arial"/>
          <w:sz w:val="18"/>
          <w:szCs w:val="18"/>
          <w:color w:val="auto"/>
        </w:rPr>
      </w:pPr>
      <w:r>
        <w:rPr>
          <w:rFonts w:ascii="Arial" w:cs="Arial" w:eastAsia="Arial" w:hAnsi="Arial"/>
          <w:sz w:val="18"/>
          <w:szCs w:val="18"/>
          <w:color w:val="auto"/>
        </w:rPr>
        <w:t>all stock options immediately vest, become exercisable in full and remain exercisable for their remaining term following the change in control;</w:t>
      </w:r>
    </w:p>
    <w:p>
      <w:pPr>
        <w:spacing w:after="0" w:line="15" w:lineRule="exact"/>
        <w:rPr>
          <w:rFonts w:ascii="Arial" w:cs="Arial" w:eastAsia="Arial" w:hAnsi="Arial"/>
          <w:sz w:val="18"/>
          <w:szCs w:val="18"/>
          <w:color w:val="auto"/>
        </w:rPr>
      </w:pPr>
    </w:p>
    <w:p>
      <w:pPr>
        <w:ind w:left="640" w:hanging="313"/>
        <w:spacing w:after="0" w:line="255" w:lineRule="auto"/>
        <w:tabs>
          <w:tab w:leader="none" w:pos="635" w:val="left"/>
        </w:tabs>
        <w:numPr>
          <w:ilvl w:val="0"/>
          <w:numId w:val="83"/>
        </w:numPr>
        <w:rPr>
          <w:rFonts w:ascii="Arial" w:cs="Arial" w:eastAsia="Arial" w:hAnsi="Arial"/>
          <w:sz w:val="18"/>
          <w:szCs w:val="18"/>
          <w:color w:val="auto"/>
        </w:rPr>
      </w:pPr>
      <w:r>
        <w:rPr>
          <w:rFonts w:ascii="Arial" w:cs="Arial" w:eastAsia="Arial" w:hAnsi="Arial"/>
          <w:sz w:val="18"/>
          <w:szCs w:val="18"/>
          <w:color w:val="auto"/>
        </w:rPr>
        <w:t>all outstanding annual cash incentive awards for performance periods in progress at the time of the change in control immediately vest and become immediately payable at target in cash;</w:t>
      </w:r>
    </w:p>
    <w:p>
      <w:pPr>
        <w:jc w:val="both"/>
        <w:ind w:left="640" w:hanging="313"/>
        <w:spacing w:after="0" w:line="237" w:lineRule="auto"/>
        <w:tabs>
          <w:tab w:leader="none" w:pos="635" w:val="left"/>
        </w:tabs>
        <w:numPr>
          <w:ilvl w:val="0"/>
          <w:numId w:val="83"/>
        </w:numPr>
        <w:rPr>
          <w:rFonts w:ascii="Arial" w:cs="Arial" w:eastAsia="Arial" w:hAnsi="Arial"/>
          <w:sz w:val="18"/>
          <w:szCs w:val="18"/>
          <w:color w:val="auto"/>
        </w:rPr>
      </w:pPr>
      <w:r>
        <w:rPr>
          <w:rFonts w:ascii="Arial" w:cs="Arial" w:eastAsia="Arial" w:hAnsi="Arial"/>
          <w:sz w:val="18"/>
          <w:szCs w:val="18"/>
          <w:color w:val="auto"/>
        </w:rPr>
        <w:t>all outstanding performance share awards for performance periods in progress at the time of the change in control immediately vest and become payable at maximum levels of performance in shares of our common stock, provided, however, that the CIC policy provides that for executive officers covered by the CIC policy, any such performance share awards are payable at target (not in full or at maximum); and</w:t>
      </w:r>
    </w:p>
    <w:p>
      <w:pPr>
        <w:spacing w:after="0" w:line="23" w:lineRule="exact"/>
        <w:rPr>
          <w:rFonts w:ascii="Arial" w:cs="Arial" w:eastAsia="Arial" w:hAnsi="Arial"/>
          <w:sz w:val="18"/>
          <w:szCs w:val="18"/>
          <w:color w:val="auto"/>
        </w:rPr>
      </w:pPr>
    </w:p>
    <w:p>
      <w:pPr>
        <w:ind w:left="640" w:hanging="313"/>
        <w:spacing w:after="0" w:line="262" w:lineRule="auto"/>
        <w:tabs>
          <w:tab w:leader="none" w:pos="635" w:val="left"/>
        </w:tabs>
        <w:numPr>
          <w:ilvl w:val="0"/>
          <w:numId w:val="83"/>
        </w:numPr>
        <w:rPr>
          <w:rFonts w:ascii="Arial" w:cs="Arial" w:eastAsia="Arial" w:hAnsi="Arial"/>
          <w:sz w:val="18"/>
          <w:szCs w:val="18"/>
          <w:color w:val="auto"/>
        </w:rPr>
      </w:pPr>
      <w:r>
        <w:rPr>
          <w:rFonts w:ascii="Arial" w:cs="Arial" w:eastAsia="Arial" w:hAnsi="Arial"/>
          <w:sz w:val="18"/>
          <w:szCs w:val="18"/>
          <w:color w:val="auto"/>
        </w:rPr>
        <w:t>all outstanding shares of restricted stock and restricted stock unit awards immediately vest and become non-forfeitable or issuable, as the case may be.</w:t>
      </w:r>
    </w:p>
    <w:p>
      <w:pPr>
        <w:spacing w:after="0" w:line="42" w:lineRule="exact"/>
        <w:rPr>
          <w:sz w:val="20"/>
          <w:szCs w:val="20"/>
          <w:color w:val="auto"/>
        </w:rPr>
      </w:pPr>
    </w:p>
    <w:p>
      <w:pPr>
        <w:ind w:firstLine="320"/>
        <w:spacing w:after="0" w:line="241" w:lineRule="auto"/>
        <w:rPr>
          <w:sz w:val="20"/>
          <w:szCs w:val="20"/>
          <w:color w:val="auto"/>
        </w:rPr>
      </w:pPr>
      <w:r>
        <w:rPr>
          <w:rFonts w:ascii="Arial" w:cs="Arial" w:eastAsia="Arial" w:hAnsi="Arial"/>
          <w:sz w:val="18"/>
          <w:szCs w:val="18"/>
          <w:color w:val="auto"/>
        </w:rPr>
        <w:t>Alternatively, the Compensation &amp; Human Resources Committee may elect to terminate such options, restricted stock awards, restricted stock unit awards or performance share awards in exchange for a cash payment for each option, restricted stock, restricted stock unit or</w:t>
      </w:r>
    </w:p>
    <w:p>
      <w:pPr>
        <w:spacing w:after="0" w:line="1" w:lineRule="exact"/>
        <w:rPr>
          <w:sz w:val="20"/>
          <w:szCs w:val="20"/>
          <w:color w:val="auto"/>
        </w:rPr>
      </w:pPr>
    </w:p>
    <w:p>
      <w:pPr>
        <w:jc w:val="both"/>
        <w:spacing w:after="0" w:line="224" w:lineRule="auto"/>
        <w:rPr>
          <w:sz w:val="20"/>
          <w:szCs w:val="20"/>
          <w:color w:val="auto"/>
        </w:rPr>
      </w:pPr>
      <w:r>
        <w:rPr>
          <w:rFonts w:ascii="Arial" w:cs="Arial" w:eastAsia="Arial" w:hAnsi="Arial"/>
          <w:sz w:val="18"/>
          <w:szCs w:val="18"/>
          <w:color w:val="auto"/>
        </w:rPr>
        <w:t>performance share award in an amount equal to the excess, if any, between the consideration received by shareholders of our Company for shares of our Company in connection with the change in control and the exercise or purchase price, if any, of the option, restricted stock,</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restricted stock unit award or performance share award, multiplied by the number of shares subject to such option or award.</w:t>
      </w:r>
    </w:p>
    <w:p>
      <w:pPr>
        <w:spacing w:after="0" w:line="84" w:lineRule="exact"/>
        <w:rPr>
          <w:sz w:val="20"/>
          <w:szCs w:val="20"/>
          <w:color w:val="auto"/>
        </w:rPr>
      </w:pPr>
    </w:p>
    <w:p>
      <w:pPr>
        <w:ind w:firstLine="320"/>
        <w:spacing w:after="0" w:line="246" w:lineRule="auto"/>
        <w:rPr>
          <w:sz w:val="20"/>
          <w:szCs w:val="20"/>
          <w:color w:val="auto"/>
        </w:rPr>
      </w:pPr>
      <w:r>
        <w:rPr>
          <w:rFonts w:ascii="Arial" w:cs="Arial" w:eastAsia="Arial" w:hAnsi="Arial"/>
          <w:sz w:val="18"/>
          <w:szCs w:val="18"/>
          <w:color w:val="auto"/>
        </w:rPr>
        <w:t>Neither our 2022 Plan nor our 2010 Plan provides a "gross-up" for 280G excise tax, but does provide for a reduction of payments if such payments would result in lower higher after-tax income taking into consideration the 280G excise tax.</w:t>
      </w:r>
    </w:p>
    <w:p>
      <w:pPr>
        <w:spacing w:after="0" w:line="69" w:lineRule="exact"/>
        <w:rPr>
          <w:sz w:val="20"/>
          <w:szCs w:val="20"/>
          <w:color w:val="auto"/>
        </w:rPr>
      </w:pPr>
    </w:p>
    <w:p>
      <w:pPr>
        <w:ind w:left="320"/>
        <w:spacing w:after="0"/>
        <w:rPr>
          <w:sz w:val="20"/>
          <w:szCs w:val="20"/>
          <w:color w:val="auto"/>
        </w:rPr>
      </w:pPr>
      <w:r>
        <w:rPr>
          <w:rFonts w:ascii="Arial" w:cs="Arial" w:eastAsia="Arial" w:hAnsi="Arial"/>
          <w:sz w:val="18"/>
          <w:szCs w:val="18"/>
          <w:color w:val="auto"/>
        </w:rPr>
        <w:t>For purposes of our CIC policy, 2022 Plan and 2010 Plan, and subject to limited exceptions, a "change in control" occurs if:</w:t>
      </w:r>
    </w:p>
    <w:p>
      <w:pPr>
        <w:spacing w:after="0" w:line="47" w:lineRule="exact"/>
        <w:rPr>
          <w:sz w:val="20"/>
          <w:szCs w:val="20"/>
          <w:color w:val="auto"/>
        </w:rPr>
      </w:pPr>
    </w:p>
    <w:p>
      <w:pPr>
        <w:ind w:left="640" w:hanging="313"/>
        <w:spacing w:after="0" w:line="246" w:lineRule="auto"/>
        <w:tabs>
          <w:tab w:leader="none" w:pos="635" w:val="left"/>
        </w:tabs>
        <w:numPr>
          <w:ilvl w:val="0"/>
          <w:numId w:val="84"/>
        </w:numPr>
        <w:rPr>
          <w:rFonts w:ascii="Arial" w:cs="Arial" w:eastAsia="Arial" w:hAnsi="Arial"/>
          <w:sz w:val="18"/>
          <w:szCs w:val="18"/>
          <w:color w:val="auto"/>
        </w:rPr>
      </w:pPr>
      <w:r>
        <w:rPr>
          <w:rFonts w:ascii="Arial" w:cs="Arial" w:eastAsia="Arial" w:hAnsi="Arial"/>
          <w:sz w:val="18"/>
          <w:szCs w:val="18"/>
          <w:color w:val="auto"/>
        </w:rPr>
        <w:t>another person becomes the beneficial owner of 20% of our then-outstanding common stock or the combined voting power of our then-outstanding voting stock;</w:t>
      </w:r>
    </w:p>
    <w:p>
      <w:pPr>
        <w:spacing w:after="0" w:line="15" w:lineRule="exact"/>
        <w:rPr>
          <w:rFonts w:ascii="Arial" w:cs="Arial" w:eastAsia="Arial" w:hAnsi="Arial"/>
          <w:sz w:val="18"/>
          <w:szCs w:val="18"/>
          <w:color w:val="auto"/>
        </w:rPr>
      </w:pPr>
    </w:p>
    <w:p>
      <w:pPr>
        <w:ind w:left="640" w:hanging="313"/>
        <w:spacing w:after="0"/>
        <w:tabs>
          <w:tab w:leader="none" w:pos="640" w:val="left"/>
        </w:tabs>
        <w:numPr>
          <w:ilvl w:val="0"/>
          <w:numId w:val="84"/>
        </w:numPr>
        <w:rPr>
          <w:rFonts w:ascii="Arial" w:cs="Arial" w:eastAsia="Arial" w:hAnsi="Arial"/>
          <w:sz w:val="18"/>
          <w:szCs w:val="18"/>
          <w:color w:val="auto"/>
        </w:rPr>
      </w:pPr>
      <w:r>
        <w:rPr>
          <w:rFonts w:ascii="Arial" w:cs="Arial" w:eastAsia="Arial" w:hAnsi="Arial"/>
          <w:sz w:val="18"/>
          <w:szCs w:val="18"/>
          <w:color w:val="auto"/>
        </w:rPr>
        <w:t>a majority of our Board becomes comprised of persons other than those for whom election proxies have been solicited by our Board;</w:t>
      </w: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79375</wp:posOffset>
            </wp:positionV>
            <wp:extent cx="7159625" cy="425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097" w:right="339" w:bottom="1440" w:gutter="0" w:footer="0" w:header="0"/>
        </w:sectPr>
      </w:pPr>
    </w:p>
    <w:bookmarkStart w:id="77" w:name="page78"/>
    <w:bookmarkEnd w:id="77"/>
    <w:p>
      <w:pPr>
        <w:jc w:val="both"/>
        <w:ind w:left="640" w:hanging="313"/>
        <w:spacing w:after="0" w:line="237" w:lineRule="auto"/>
        <w:tabs>
          <w:tab w:leader="none" w:pos="635" w:val="left"/>
        </w:tabs>
        <w:numPr>
          <w:ilvl w:val="0"/>
          <w:numId w:val="85"/>
        </w:numPr>
        <w:rPr>
          <w:rFonts w:ascii="Arial" w:cs="Arial" w:eastAsia="Arial" w:hAnsi="Arial"/>
          <w:sz w:val="18"/>
          <w:szCs w:val="18"/>
          <w:color w:val="auto"/>
        </w:rPr>
      </w:pPr>
      <w:r>
        <w:rPr>
          <w:rFonts w:ascii="Arial" w:cs="Arial" w:eastAsia="Arial" w:hAnsi="Arial"/>
          <w:sz w:val="18"/>
          <w:szCs w:val="18"/>
          <w:color w:val="auto"/>
        </w:rPr>
        <w:t>the completion of certain business combinations, including a reorganization, merger, consolidation, the sale of all or substantially all of our assets or the acquisition by us of assets or stock of another entity, where the shareholders before the business combination fail to beneficially own and have voting power for more than 50% of our Company or the resulting company after the business combination; or</w:t>
      </w:r>
    </w:p>
    <w:p>
      <w:pPr>
        <w:spacing w:after="0" w:line="22" w:lineRule="exact"/>
        <w:rPr>
          <w:rFonts w:ascii="Arial" w:cs="Arial" w:eastAsia="Arial" w:hAnsi="Arial"/>
          <w:sz w:val="18"/>
          <w:szCs w:val="18"/>
          <w:color w:val="auto"/>
        </w:rPr>
      </w:pPr>
    </w:p>
    <w:p>
      <w:pPr>
        <w:ind w:left="640" w:hanging="313"/>
        <w:spacing w:after="0"/>
        <w:tabs>
          <w:tab w:leader="none" w:pos="640" w:val="left"/>
        </w:tabs>
        <w:numPr>
          <w:ilvl w:val="0"/>
          <w:numId w:val="85"/>
        </w:numPr>
        <w:rPr>
          <w:rFonts w:ascii="Arial" w:cs="Arial" w:eastAsia="Arial" w:hAnsi="Arial"/>
          <w:sz w:val="18"/>
          <w:szCs w:val="18"/>
          <w:color w:val="auto"/>
        </w:rPr>
      </w:pPr>
      <w:r>
        <w:rPr>
          <w:rFonts w:ascii="Arial" w:cs="Arial" w:eastAsia="Arial" w:hAnsi="Arial"/>
          <w:sz w:val="18"/>
          <w:szCs w:val="18"/>
          <w:color w:val="auto"/>
        </w:rPr>
        <w:t>our shareholders approve a complete liquidation or dissolution of our Company.</w:t>
      </w:r>
    </w:p>
    <w:p>
      <w:pPr>
        <w:spacing w:after="0" w:line="87" w:lineRule="exact"/>
        <w:rPr>
          <w:sz w:val="20"/>
          <w:szCs w:val="20"/>
          <w:color w:val="auto"/>
        </w:rPr>
      </w:pPr>
    </w:p>
    <w:p>
      <w:pPr>
        <w:jc w:val="both"/>
        <w:ind w:firstLine="320"/>
        <w:spacing w:after="0" w:line="247" w:lineRule="auto"/>
        <w:rPr>
          <w:sz w:val="20"/>
          <w:szCs w:val="20"/>
          <w:color w:val="auto"/>
        </w:rPr>
      </w:pPr>
      <w:r>
        <w:rPr>
          <w:rFonts w:ascii="Arial" w:cs="Arial" w:eastAsia="Arial" w:hAnsi="Arial"/>
          <w:sz w:val="18"/>
          <w:szCs w:val="18"/>
          <w:color w:val="auto"/>
        </w:rPr>
        <w:t>Additionally, under our nonqualified deferred compensation and retirement plans, upon the occurrence of a change in control, we must transfer cash or property to a "rabbi" trust for the benefit of plan participants in an amount sufficient to cause the trust to be funded at a level equal to the present value of all accumulated or accrued benefits then payable to or on behalf of plan participants.</w:t>
      </w:r>
    </w:p>
    <w:p>
      <w:pPr>
        <w:spacing w:after="0" w:line="53" w:lineRule="exact"/>
        <w:rPr>
          <w:sz w:val="20"/>
          <w:szCs w:val="20"/>
          <w:color w:val="auto"/>
        </w:rPr>
      </w:pPr>
    </w:p>
    <w:p>
      <w:pPr>
        <w:jc w:val="both"/>
        <w:ind w:firstLine="320"/>
        <w:spacing w:after="0" w:line="256" w:lineRule="auto"/>
        <w:rPr>
          <w:sz w:val="20"/>
          <w:szCs w:val="20"/>
          <w:color w:val="auto"/>
        </w:rPr>
      </w:pPr>
      <w:r>
        <w:rPr>
          <w:rFonts w:ascii="Arial" w:cs="Arial" w:eastAsia="Arial" w:hAnsi="Arial"/>
          <w:sz w:val="17"/>
          <w:szCs w:val="17"/>
          <w:b w:val="1"/>
          <w:bCs w:val="1"/>
          <w:color w:val="auto"/>
        </w:rPr>
        <w:t xml:space="preserve">Potential Payments Upon Termination or Change In Control. </w:t>
      </w:r>
      <w:r>
        <w:rPr>
          <w:rFonts w:ascii="Arial" w:cs="Arial" w:eastAsia="Arial" w:hAnsi="Arial"/>
          <w:sz w:val="17"/>
          <w:szCs w:val="17"/>
          <w:color w:val="auto"/>
        </w:rPr>
        <w:t>The following table quantifies the payments and benefits for which the</w:t>
      </w:r>
      <w:r>
        <w:rPr>
          <w:rFonts w:ascii="Arial" w:cs="Arial" w:eastAsia="Arial" w:hAnsi="Arial"/>
          <w:sz w:val="17"/>
          <w:szCs w:val="17"/>
          <w:b w:val="1"/>
          <w:bCs w:val="1"/>
          <w:color w:val="auto"/>
        </w:rPr>
        <w:t xml:space="preserve"> </w:t>
      </w:r>
      <w:r>
        <w:rPr>
          <w:rFonts w:ascii="Arial" w:cs="Arial" w:eastAsia="Arial" w:hAnsi="Arial"/>
          <w:sz w:val="17"/>
          <w:szCs w:val="17"/>
          <w:color w:val="auto"/>
        </w:rPr>
        <w:t>amount, vesting or time of payment is altered by each of the foregoing termination of employment or change in control situations. For purposes</w:t>
      </w:r>
    </w:p>
    <w:p>
      <w:pPr>
        <w:spacing w:after="0" w:line="1" w:lineRule="exact"/>
        <w:rPr>
          <w:sz w:val="20"/>
          <w:szCs w:val="20"/>
          <w:color w:val="auto"/>
        </w:rPr>
      </w:pPr>
    </w:p>
    <w:p>
      <w:pPr>
        <w:jc w:val="both"/>
        <w:spacing w:after="0" w:line="224" w:lineRule="auto"/>
        <w:rPr>
          <w:sz w:val="20"/>
          <w:szCs w:val="20"/>
          <w:color w:val="auto"/>
        </w:rPr>
      </w:pPr>
      <w:r>
        <w:rPr>
          <w:rFonts w:ascii="Arial" w:cs="Arial" w:eastAsia="Arial" w:hAnsi="Arial"/>
          <w:sz w:val="18"/>
          <w:szCs w:val="18"/>
          <w:color w:val="auto"/>
        </w:rPr>
        <w:t>of quantifying payments and benefits, amounts are calculated: (i) for each NEO as if the termination or change in control occurred on October 31, 2024, the last day of our 2024 fiscal year; and (ii) using a per share value of $80.48, which represents the closing price of our common</w:t>
      </w:r>
    </w:p>
    <w:p>
      <w:pPr>
        <w:spacing w:after="0" w:line="1" w:lineRule="exact"/>
        <w:rPr>
          <w:sz w:val="20"/>
          <w:szCs w:val="20"/>
          <w:color w:val="auto"/>
        </w:rPr>
      </w:pPr>
    </w:p>
    <w:p>
      <w:pPr>
        <w:jc w:val="both"/>
        <w:spacing w:after="0" w:line="243" w:lineRule="auto"/>
        <w:rPr>
          <w:sz w:val="20"/>
          <w:szCs w:val="20"/>
          <w:color w:val="auto"/>
        </w:rPr>
      </w:pPr>
      <w:r>
        <w:rPr>
          <w:rFonts w:ascii="Arial" w:cs="Arial" w:eastAsia="Arial" w:hAnsi="Arial"/>
          <w:sz w:val="18"/>
          <w:szCs w:val="18"/>
          <w:color w:val="auto"/>
        </w:rPr>
        <w:t>stock, on October 31, 2024. Material assumptions used in calculating the estimated payments and benefits are described in footnotes to the table.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097" w:right="339" w:bottom="1440" w:gutter="0" w:footer="0" w:header="0"/>
        </w:sectPr>
      </w:pPr>
    </w:p>
    <w:bookmarkStart w:id="78" w:name="page79"/>
    <w:bookmarkEnd w:id="78"/>
    <w:p>
      <w:pPr>
        <w:ind w:left="8740"/>
        <w:spacing w:after="0"/>
        <w:rPr>
          <w:sz w:val="20"/>
          <w:szCs w:val="20"/>
          <w:color w:val="auto"/>
        </w:rPr>
      </w:pPr>
      <w:r>
        <w:rPr>
          <w:rFonts w:ascii="Arial" w:cs="Arial" w:eastAsia="Arial" w:hAnsi="Arial"/>
          <w:sz w:val="12"/>
          <w:szCs w:val="12"/>
          <w:b w:val="1"/>
          <w:bCs w:val="1"/>
          <w:color w:val="FFFFFF"/>
        </w:rPr>
        <w:drawing>
          <wp:anchor simplePos="0" relativeHeight="251657728" behindDoc="1" locked="0" layoutInCell="0" allowOverlap="1">
            <wp:simplePos x="0" y="0"/>
            <wp:positionH relativeFrom="page">
              <wp:posOffset>360045</wp:posOffset>
            </wp:positionH>
            <wp:positionV relativeFrom="page">
              <wp:posOffset>732790</wp:posOffset>
            </wp:positionV>
            <wp:extent cx="6828790" cy="68643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6828790" cy="686435"/>
                    </a:xfrm>
                    <a:prstGeom prst="rect">
                      <a:avLst/>
                    </a:prstGeom>
                    <a:noFill/>
                  </pic:spPr>
                </pic:pic>
              </a:graphicData>
            </a:graphic>
          </wp:anchor>
        </w:drawing>
        <w:t>Change in Control</w:t>
      </w:r>
    </w:p>
    <w:p>
      <w:pPr>
        <w:spacing w:after="0" w:line="53"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3160" w:type="dxa"/>
            <w:vAlign w:val="bottom"/>
          </w:tcPr>
          <w:p>
            <w:pPr>
              <w:spacing w:after="0"/>
              <w:rPr>
                <w:sz w:val="15"/>
                <w:szCs w:val="15"/>
                <w:color w:val="auto"/>
              </w:rPr>
            </w:pPr>
          </w:p>
        </w:tc>
        <w:tc>
          <w:tcPr>
            <w:tcW w:w="900" w:type="dxa"/>
            <w:vAlign w:val="bottom"/>
            <w:shd w:val="clear" w:color="auto" w:fill="BF2115"/>
          </w:tcPr>
          <w:p>
            <w:pPr>
              <w:spacing w:after="0"/>
              <w:rPr>
                <w:sz w:val="15"/>
                <w:szCs w:val="15"/>
                <w:color w:val="auto"/>
              </w:rPr>
            </w:pPr>
          </w:p>
        </w:tc>
        <w:tc>
          <w:tcPr>
            <w:tcW w:w="60" w:type="dxa"/>
            <w:vAlign w:val="bottom"/>
            <w:shd w:val="clear" w:color="auto" w:fill="BF2115"/>
          </w:tcPr>
          <w:p>
            <w:pPr>
              <w:spacing w:after="0"/>
              <w:rPr>
                <w:sz w:val="15"/>
                <w:szCs w:val="15"/>
                <w:color w:val="auto"/>
              </w:rPr>
            </w:pPr>
          </w:p>
        </w:tc>
        <w:tc>
          <w:tcPr>
            <w:tcW w:w="280" w:type="dxa"/>
            <w:vAlign w:val="bottom"/>
            <w:shd w:val="clear" w:color="auto" w:fill="BF2115"/>
          </w:tcPr>
          <w:p>
            <w:pPr>
              <w:spacing w:after="0"/>
              <w:rPr>
                <w:sz w:val="15"/>
                <w:szCs w:val="15"/>
                <w:color w:val="auto"/>
              </w:rPr>
            </w:pPr>
          </w:p>
        </w:tc>
        <w:tc>
          <w:tcPr>
            <w:tcW w:w="840" w:type="dxa"/>
            <w:vAlign w:val="bottom"/>
            <w:shd w:val="clear" w:color="auto" w:fill="BF2115"/>
          </w:tcPr>
          <w:p>
            <w:pPr>
              <w:spacing w:after="0"/>
              <w:rPr>
                <w:sz w:val="15"/>
                <w:szCs w:val="15"/>
                <w:color w:val="auto"/>
              </w:rPr>
            </w:pPr>
          </w:p>
        </w:tc>
        <w:tc>
          <w:tcPr>
            <w:tcW w:w="380" w:type="dxa"/>
            <w:vAlign w:val="bottom"/>
            <w:shd w:val="clear" w:color="auto" w:fill="BF2115"/>
          </w:tcPr>
          <w:p>
            <w:pPr>
              <w:spacing w:after="0"/>
              <w:rPr>
                <w:sz w:val="15"/>
                <w:szCs w:val="15"/>
                <w:color w:val="auto"/>
              </w:rPr>
            </w:pPr>
          </w:p>
        </w:tc>
        <w:tc>
          <w:tcPr>
            <w:tcW w:w="1040" w:type="dxa"/>
            <w:vAlign w:val="bottom"/>
            <w:gridSpan w:val="2"/>
            <w:vMerge w:val="restart"/>
            <w:shd w:val="clear" w:color="auto" w:fill="BF2115"/>
          </w:tcPr>
          <w:p>
            <w:pPr>
              <w:jc w:val="center"/>
              <w:spacing w:after="0"/>
              <w:rPr>
                <w:sz w:val="20"/>
                <w:szCs w:val="20"/>
                <w:color w:val="auto"/>
              </w:rPr>
            </w:pPr>
            <w:r>
              <w:rPr>
                <w:rFonts w:ascii="Arial" w:cs="Arial" w:eastAsia="Arial" w:hAnsi="Arial"/>
                <w:sz w:val="12"/>
                <w:szCs w:val="12"/>
                <w:b w:val="1"/>
                <w:bCs w:val="1"/>
                <w:color w:val="FFFFFF"/>
              </w:rPr>
              <w:t>Involuntary</w:t>
            </w:r>
          </w:p>
        </w:tc>
        <w:tc>
          <w:tcPr>
            <w:tcW w:w="1140" w:type="dxa"/>
            <w:vAlign w:val="bottom"/>
            <w:gridSpan w:val="2"/>
            <w:vMerge w:val="restart"/>
            <w:shd w:val="clear" w:color="auto" w:fill="BF2115"/>
          </w:tcPr>
          <w:p>
            <w:pPr>
              <w:jc w:val="center"/>
              <w:spacing w:after="0"/>
              <w:rPr>
                <w:sz w:val="20"/>
                <w:szCs w:val="20"/>
                <w:color w:val="auto"/>
              </w:rPr>
            </w:pPr>
            <w:r>
              <w:rPr>
                <w:rFonts w:ascii="Arial" w:cs="Arial" w:eastAsia="Arial" w:hAnsi="Arial"/>
                <w:sz w:val="12"/>
                <w:szCs w:val="12"/>
                <w:b w:val="1"/>
                <w:bCs w:val="1"/>
                <w:color w:val="FFFFFF"/>
              </w:rPr>
              <w:t>Termination</w:t>
            </w:r>
          </w:p>
        </w:tc>
        <w:tc>
          <w:tcPr>
            <w:tcW w:w="1020" w:type="dxa"/>
            <w:vAlign w:val="bottom"/>
            <w:shd w:val="clear" w:color="auto" w:fill="BF2115"/>
          </w:tcPr>
          <w:p>
            <w:pPr>
              <w:spacing w:after="0"/>
              <w:rPr>
                <w:sz w:val="15"/>
                <w:szCs w:val="15"/>
                <w:color w:val="auto"/>
              </w:rPr>
            </w:pPr>
          </w:p>
        </w:tc>
        <w:tc>
          <w:tcPr>
            <w:tcW w:w="380" w:type="dxa"/>
            <w:vAlign w:val="bottom"/>
            <w:shd w:val="clear" w:color="auto" w:fill="BF2115"/>
          </w:tcPr>
          <w:p>
            <w:pPr>
              <w:spacing w:after="0"/>
              <w:rPr>
                <w:sz w:val="15"/>
                <w:szCs w:val="15"/>
                <w:color w:val="auto"/>
              </w:rPr>
            </w:pPr>
          </w:p>
        </w:tc>
        <w:tc>
          <w:tcPr>
            <w:tcW w:w="1560" w:type="dxa"/>
            <w:vAlign w:val="bottom"/>
            <w:gridSpan w:val="2"/>
            <w:shd w:val="clear" w:color="auto" w:fill="BF2115"/>
          </w:tcPr>
          <w:p>
            <w:pPr>
              <w:jc w:val="center"/>
              <w:spacing w:after="0"/>
              <w:rPr>
                <w:sz w:val="20"/>
                <w:szCs w:val="20"/>
                <w:color w:val="auto"/>
              </w:rPr>
            </w:pPr>
            <w:r>
              <w:rPr>
                <w:rFonts w:ascii="Arial" w:cs="Arial" w:eastAsia="Arial" w:hAnsi="Arial"/>
                <w:sz w:val="12"/>
                <w:szCs w:val="12"/>
                <w:b w:val="1"/>
                <w:bCs w:val="1"/>
                <w:color w:val="FFFFFF"/>
              </w:rPr>
              <w:t>Termination Without</w:t>
            </w:r>
          </w:p>
        </w:tc>
        <w:tc>
          <w:tcPr>
            <w:tcW w:w="0" w:type="dxa"/>
            <w:vAlign w:val="bottom"/>
          </w:tcPr>
          <w:p>
            <w:pPr>
              <w:spacing w:after="0"/>
              <w:rPr>
                <w:sz w:val="1"/>
                <w:szCs w:val="1"/>
                <w:color w:val="auto"/>
              </w:rPr>
            </w:pPr>
          </w:p>
        </w:tc>
      </w:tr>
      <w:tr>
        <w:trPr>
          <w:trHeight w:val="133"/>
        </w:trPr>
        <w:tc>
          <w:tcPr>
            <w:tcW w:w="3160" w:type="dxa"/>
            <w:vAlign w:val="bottom"/>
          </w:tcPr>
          <w:p>
            <w:pPr>
              <w:spacing w:after="0"/>
              <w:rPr>
                <w:sz w:val="11"/>
                <w:szCs w:val="11"/>
                <w:color w:val="auto"/>
              </w:rPr>
            </w:pPr>
          </w:p>
        </w:tc>
        <w:tc>
          <w:tcPr>
            <w:tcW w:w="960" w:type="dxa"/>
            <w:vAlign w:val="bottom"/>
            <w:gridSpan w:val="2"/>
            <w:shd w:val="clear" w:color="auto" w:fill="BF2115"/>
          </w:tcPr>
          <w:p>
            <w:pPr>
              <w:jc w:val="center"/>
              <w:ind w:left="238"/>
              <w:spacing w:after="0" w:line="134" w:lineRule="exact"/>
              <w:rPr>
                <w:sz w:val="20"/>
                <w:szCs w:val="20"/>
                <w:color w:val="auto"/>
              </w:rPr>
            </w:pPr>
            <w:r>
              <w:rPr>
                <w:rFonts w:ascii="Arial" w:cs="Arial" w:eastAsia="Arial" w:hAnsi="Arial"/>
                <w:sz w:val="12"/>
                <w:szCs w:val="12"/>
                <w:b w:val="1"/>
                <w:bCs w:val="1"/>
                <w:color w:val="FFFFFF"/>
              </w:rPr>
              <w:t>Voluntary</w:t>
            </w:r>
          </w:p>
        </w:tc>
        <w:tc>
          <w:tcPr>
            <w:tcW w:w="280" w:type="dxa"/>
            <w:vAlign w:val="bottom"/>
            <w:shd w:val="clear" w:color="auto" w:fill="BF2115"/>
          </w:tcPr>
          <w:p>
            <w:pPr>
              <w:spacing w:after="0"/>
              <w:rPr>
                <w:sz w:val="11"/>
                <w:szCs w:val="11"/>
                <w:color w:val="auto"/>
              </w:rPr>
            </w:pPr>
          </w:p>
        </w:tc>
        <w:tc>
          <w:tcPr>
            <w:tcW w:w="840" w:type="dxa"/>
            <w:vAlign w:val="bottom"/>
            <w:shd w:val="clear" w:color="auto" w:fill="BF2115"/>
          </w:tcPr>
          <w:p>
            <w:pPr>
              <w:spacing w:after="0"/>
              <w:rPr>
                <w:sz w:val="11"/>
                <w:szCs w:val="11"/>
                <w:color w:val="auto"/>
              </w:rPr>
            </w:pPr>
          </w:p>
        </w:tc>
        <w:tc>
          <w:tcPr>
            <w:tcW w:w="380" w:type="dxa"/>
            <w:vAlign w:val="bottom"/>
            <w:shd w:val="clear" w:color="auto" w:fill="BF2115"/>
          </w:tcPr>
          <w:p>
            <w:pPr>
              <w:spacing w:after="0"/>
              <w:rPr>
                <w:sz w:val="11"/>
                <w:szCs w:val="11"/>
                <w:color w:val="auto"/>
              </w:rPr>
            </w:pPr>
          </w:p>
        </w:tc>
        <w:tc>
          <w:tcPr>
            <w:tcW w:w="1040" w:type="dxa"/>
            <w:vAlign w:val="bottom"/>
            <w:gridSpan w:val="2"/>
            <w:vMerge w:val="continue"/>
            <w:shd w:val="clear" w:color="auto" w:fill="BF2115"/>
          </w:tcPr>
          <w:p>
            <w:pPr>
              <w:spacing w:after="0"/>
              <w:rPr>
                <w:sz w:val="11"/>
                <w:szCs w:val="11"/>
                <w:color w:val="auto"/>
              </w:rPr>
            </w:pPr>
          </w:p>
        </w:tc>
        <w:tc>
          <w:tcPr>
            <w:tcW w:w="1140" w:type="dxa"/>
            <w:vAlign w:val="bottom"/>
            <w:gridSpan w:val="2"/>
            <w:vMerge w:val="continue"/>
            <w:shd w:val="clear" w:color="auto" w:fill="BF2115"/>
          </w:tcPr>
          <w:p>
            <w:pPr>
              <w:spacing w:after="0"/>
              <w:rPr>
                <w:sz w:val="11"/>
                <w:szCs w:val="11"/>
                <w:color w:val="auto"/>
              </w:rPr>
            </w:pPr>
          </w:p>
        </w:tc>
        <w:tc>
          <w:tcPr>
            <w:tcW w:w="1020" w:type="dxa"/>
            <w:vAlign w:val="bottom"/>
            <w:shd w:val="clear" w:color="auto" w:fill="BF2115"/>
          </w:tcPr>
          <w:p>
            <w:pPr>
              <w:spacing w:after="0"/>
              <w:rPr>
                <w:sz w:val="11"/>
                <w:szCs w:val="11"/>
                <w:color w:val="auto"/>
              </w:rPr>
            </w:pPr>
          </w:p>
        </w:tc>
        <w:tc>
          <w:tcPr>
            <w:tcW w:w="380" w:type="dxa"/>
            <w:vAlign w:val="bottom"/>
            <w:shd w:val="clear" w:color="auto" w:fill="BF2115"/>
          </w:tcPr>
          <w:p>
            <w:pPr>
              <w:spacing w:after="0"/>
              <w:rPr>
                <w:sz w:val="11"/>
                <w:szCs w:val="11"/>
                <w:color w:val="auto"/>
              </w:rPr>
            </w:pPr>
          </w:p>
        </w:tc>
        <w:tc>
          <w:tcPr>
            <w:tcW w:w="1560" w:type="dxa"/>
            <w:vAlign w:val="bottom"/>
            <w:gridSpan w:val="2"/>
            <w:shd w:val="clear" w:color="auto" w:fill="BF2115"/>
          </w:tcPr>
          <w:p>
            <w:pPr>
              <w:jc w:val="center"/>
              <w:spacing w:after="0" w:line="134" w:lineRule="exact"/>
              <w:rPr>
                <w:sz w:val="20"/>
                <w:szCs w:val="20"/>
                <w:color w:val="auto"/>
              </w:rPr>
            </w:pPr>
            <w:r>
              <w:rPr>
                <w:rFonts w:ascii="Arial" w:cs="Arial" w:eastAsia="Arial" w:hAnsi="Arial"/>
                <w:sz w:val="12"/>
                <w:szCs w:val="12"/>
                <w:b w:val="1"/>
                <w:bCs w:val="1"/>
                <w:color w:val="FFFFFF"/>
              </w:rPr>
              <w:t>Cause by TTC or by</w:t>
            </w:r>
          </w:p>
        </w:tc>
        <w:tc>
          <w:tcPr>
            <w:tcW w:w="0" w:type="dxa"/>
            <w:vAlign w:val="bottom"/>
          </w:tcPr>
          <w:p>
            <w:pPr>
              <w:spacing w:after="0"/>
              <w:rPr>
                <w:sz w:val="1"/>
                <w:szCs w:val="1"/>
                <w:color w:val="auto"/>
              </w:rPr>
            </w:pPr>
          </w:p>
        </w:tc>
      </w:tr>
      <w:tr>
        <w:trPr>
          <w:trHeight w:val="160"/>
        </w:trPr>
        <w:tc>
          <w:tcPr>
            <w:tcW w:w="3160" w:type="dxa"/>
            <w:vAlign w:val="bottom"/>
          </w:tcPr>
          <w:p>
            <w:pPr>
              <w:spacing w:after="0"/>
              <w:rPr>
                <w:sz w:val="13"/>
                <w:szCs w:val="13"/>
                <w:color w:val="auto"/>
              </w:rPr>
            </w:pPr>
          </w:p>
        </w:tc>
        <w:tc>
          <w:tcPr>
            <w:tcW w:w="1240" w:type="dxa"/>
            <w:vAlign w:val="bottom"/>
            <w:gridSpan w:val="3"/>
            <w:shd w:val="clear" w:color="auto" w:fill="BF2115"/>
          </w:tcPr>
          <w:p>
            <w:pPr>
              <w:jc w:val="center"/>
              <w:spacing w:after="0"/>
              <w:rPr>
                <w:sz w:val="20"/>
                <w:szCs w:val="20"/>
                <w:color w:val="auto"/>
              </w:rPr>
            </w:pPr>
            <w:r>
              <w:rPr>
                <w:rFonts w:ascii="Arial" w:cs="Arial" w:eastAsia="Arial" w:hAnsi="Arial"/>
                <w:sz w:val="12"/>
                <w:szCs w:val="12"/>
                <w:b w:val="1"/>
                <w:bCs w:val="1"/>
                <w:color w:val="FFFFFF"/>
              </w:rPr>
              <w:t>Resignation /</w:t>
            </w:r>
          </w:p>
        </w:tc>
        <w:tc>
          <w:tcPr>
            <w:tcW w:w="1220" w:type="dxa"/>
            <w:vAlign w:val="bottom"/>
            <w:gridSpan w:val="2"/>
            <w:shd w:val="clear" w:color="auto" w:fill="BF2115"/>
          </w:tcPr>
          <w:p>
            <w:pPr>
              <w:jc w:val="center"/>
              <w:spacing w:after="0"/>
              <w:rPr>
                <w:sz w:val="20"/>
                <w:szCs w:val="20"/>
                <w:color w:val="auto"/>
              </w:rPr>
            </w:pPr>
            <w:r>
              <w:rPr>
                <w:rFonts w:ascii="Arial" w:cs="Arial" w:eastAsia="Arial" w:hAnsi="Arial"/>
                <w:sz w:val="12"/>
                <w:szCs w:val="12"/>
                <w:b w:val="1"/>
                <w:bCs w:val="1"/>
                <w:color w:val="FFFFFF"/>
              </w:rPr>
              <w:t>Disability or</w:t>
            </w:r>
          </w:p>
        </w:tc>
        <w:tc>
          <w:tcPr>
            <w:tcW w:w="1040" w:type="dxa"/>
            <w:vAlign w:val="bottom"/>
            <w:gridSpan w:val="2"/>
            <w:shd w:val="clear" w:color="auto" w:fill="BF2115"/>
          </w:tcPr>
          <w:p>
            <w:pPr>
              <w:jc w:val="center"/>
              <w:spacing w:after="0"/>
              <w:rPr>
                <w:sz w:val="20"/>
                <w:szCs w:val="20"/>
                <w:color w:val="auto"/>
              </w:rPr>
            </w:pPr>
            <w:r>
              <w:rPr>
                <w:rFonts w:ascii="Arial" w:cs="Arial" w:eastAsia="Arial" w:hAnsi="Arial"/>
                <w:sz w:val="12"/>
                <w:szCs w:val="12"/>
                <w:b w:val="1"/>
                <w:bCs w:val="1"/>
                <w:color w:val="FFFFFF"/>
              </w:rPr>
              <w:t>Termination by</w:t>
            </w:r>
          </w:p>
        </w:tc>
        <w:tc>
          <w:tcPr>
            <w:tcW w:w="1140" w:type="dxa"/>
            <w:vAlign w:val="bottom"/>
            <w:gridSpan w:val="2"/>
            <w:shd w:val="clear" w:color="auto" w:fill="BF2115"/>
          </w:tcPr>
          <w:p>
            <w:pPr>
              <w:jc w:val="center"/>
              <w:spacing w:after="0"/>
              <w:rPr>
                <w:sz w:val="20"/>
                <w:szCs w:val="20"/>
                <w:color w:val="auto"/>
              </w:rPr>
            </w:pPr>
            <w:r>
              <w:rPr>
                <w:rFonts w:ascii="Arial" w:cs="Arial" w:eastAsia="Arial" w:hAnsi="Arial"/>
                <w:sz w:val="12"/>
                <w:szCs w:val="12"/>
                <w:b w:val="1"/>
                <w:bCs w:val="1"/>
                <w:color w:val="FFFFFF"/>
              </w:rPr>
              <w:t>by TTC for</w:t>
            </w:r>
          </w:p>
        </w:tc>
        <w:tc>
          <w:tcPr>
            <w:tcW w:w="1400" w:type="dxa"/>
            <w:vAlign w:val="bottom"/>
            <w:gridSpan w:val="2"/>
            <w:shd w:val="clear" w:color="auto" w:fill="BF2115"/>
          </w:tcPr>
          <w:p>
            <w:pPr>
              <w:jc w:val="center"/>
              <w:spacing w:after="0"/>
              <w:rPr>
                <w:sz w:val="20"/>
                <w:szCs w:val="20"/>
                <w:color w:val="auto"/>
              </w:rPr>
            </w:pPr>
            <w:r>
              <w:rPr>
                <w:rFonts w:ascii="Arial" w:cs="Arial" w:eastAsia="Arial" w:hAnsi="Arial"/>
                <w:sz w:val="12"/>
                <w:szCs w:val="12"/>
                <w:b w:val="1"/>
                <w:bCs w:val="1"/>
                <w:color w:val="FFFFFF"/>
              </w:rPr>
              <w:t>No Termination</w:t>
            </w:r>
          </w:p>
        </w:tc>
        <w:tc>
          <w:tcPr>
            <w:tcW w:w="1560" w:type="dxa"/>
            <w:vAlign w:val="bottom"/>
            <w:gridSpan w:val="2"/>
            <w:shd w:val="clear" w:color="auto" w:fill="BF2115"/>
          </w:tcPr>
          <w:p>
            <w:pPr>
              <w:jc w:val="center"/>
              <w:spacing w:after="0"/>
              <w:rPr>
                <w:sz w:val="20"/>
                <w:szCs w:val="20"/>
                <w:color w:val="auto"/>
              </w:rPr>
            </w:pPr>
            <w:r>
              <w:rPr>
                <w:rFonts w:ascii="Arial" w:cs="Arial" w:eastAsia="Arial" w:hAnsi="Arial"/>
                <w:sz w:val="12"/>
                <w:szCs w:val="12"/>
                <w:b w:val="1"/>
                <w:bCs w:val="1"/>
                <w:color w:val="FFFFFF"/>
              </w:rPr>
              <w:t>Executive for Good</w:t>
            </w:r>
          </w:p>
        </w:tc>
        <w:tc>
          <w:tcPr>
            <w:tcW w:w="0" w:type="dxa"/>
            <w:vAlign w:val="bottom"/>
          </w:tcPr>
          <w:p>
            <w:pPr>
              <w:spacing w:after="0"/>
              <w:rPr>
                <w:sz w:val="1"/>
                <w:szCs w:val="1"/>
                <w:color w:val="auto"/>
              </w:rPr>
            </w:pPr>
          </w:p>
        </w:tc>
      </w:tr>
      <w:tr>
        <w:trPr>
          <w:trHeight w:val="160"/>
        </w:trPr>
        <w:tc>
          <w:tcPr>
            <w:tcW w:w="3160" w:type="dxa"/>
            <w:vAlign w:val="bottom"/>
          </w:tcPr>
          <w:p>
            <w:pPr>
              <w:spacing w:after="0"/>
              <w:rPr>
                <w:sz w:val="13"/>
                <w:szCs w:val="13"/>
                <w:color w:val="auto"/>
              </w:rPr>
            </w:pPr>
          </w:p>
        </w:tc>
        <w:tc>
          <w:tcPr>
            <w:tcW w:w="1240" w:type="dxa"/>
            <w:vAlign w:val="bottom"/>
            <w:gridSpan w:val="3"/>
            <w:shd w:val="clear" w:color="auto" w:fill="BF2115"/>
          </w:tcPr>
          <w:p>
            <w:pPr>
              <w:jc w:val="center"/>
              <w:spacing w:after="0" w:line="160" w:lineRule="exact"/>
              <w:rPr>
                <w:sz w:val="20"/>
                <w:szCs w:val="20"/>
                <w:color w:val="auto"/>
              </w:rPr>
            </w:pPr>
            <w:r>
              <w:rPr>
                <w:rFonts w:ascii="Arial" w:cs="Arial" w:eastAsia="Arial" w:hAnsi="Arial"/>
                <w:sz w:val="12"/>
                <w:szCs w:val="12"/>
                <w:b w:val="1"/>
                <w:bCs w:val="1"/>
                <w:color w:val="FFFFFF"/>
                <w:w w:val="97"/>
              </w:rPr>
              <w:t>Retirement</w:t>
            </w:r>
            <w:r>
              <w:rPr>
                <w:rFonts w:ascii="Arial" w:cs="Arial" w:eastAsia="Arial" w:hAnsi="Arial"/>
                <w:sz w:val="16"/>
                <w:szCs w:val="16"/>
                <w:b w:val="1"/>
                <w:bCs w:val="1"/>
                <w:color w:val="FFFFFF"/>
                <w:w w:val="97"/>
                <w:vertAlign w:val="superscript"/>
              </w:rPr>
              <w:t>(1)</w:t>
            </w:r>
          </w:p>
        </w:tc>
        <w:tc>
          <w:tcPr>
            <w:tcW w:w="840" w:type="dxa"/>
            <w:vAlign w:val="bottom"/>
            <w:shd w:val="clear" w:color="auto" w:fill="BF2115"/>
          </w:tcPr>
          <w:p>
            <w:pPr>
              <w:jc w:val="center"/>
              <w:ind w:left="318"/>
              <w:spacing w:after="0"/>
              <w:rPr>
                <w:sz w:val="20"/>
                <w:szCs w:val="20"/>
                <w:color w:val="auto"/>
              </w:rPr>
            </w:pPr>
            <w:r>
              <w:rPr>
                <w:rFonts w:ascii="Arial" w:cs="Arial" w:eastAsia="Arial" w:hAnsi="Arial"/>
                <w:sz w:val="12"/>
                <w:szCs w:val="12"/>
                <w:b w:val="1"/>
                <w:bCs w:val="1"/>
                <w:color w:val="FFFFFF"/>
              </w:rPr>
              <w:t>Death</w:t>
            </w:r>
          </w:p>
        </w:tc>
        <w:tc>
          <w:tcPr>
            <w:tcW w:w="380" w:type="dxa"/>
            <w:vAlign w:val="bottom"/>
            <w:shd w:val="clear" w:color="auto" w:fill="BF2115"/>
          </w:tcPr>
          <w:p>
            <w:pPr>
              <w:spacing w:after="0"/>
              <w:rPr>
                <w:sz w:val="13"/>
                <w:szCs w:val="13"/>
                <w:color w:val="auto"/>
              </w:rPr>
            </w:pPr>
          </w:p>
        </w:tc>
        <w:tc>
          <w:tcPr>
            <w:tcW w:w="1040" w:type="dxa"/>
            <w:vAlign w:val="bottom"/>
            <w:gridSpan w:val="2"/>
            <w:shd w:val="clear" w:color="auto" w:fill="BF2115"/>
          </w:tcPr>
          <w:p>
            <w:pPr>
              <w:jc w:val="center"/>
              <w:spacing w:after="0"/>
              <w:rPr>
                <w:sz w:val="20"/>
                <w:szCs w:val="20"/>
                <w:color w:val="auto"/>
              </w:rPr>
            </w:pPr>
            <w:r>
              <w:rPr>
                <w:rFonts w:ascii="Arial" w:cs="Arial" w:eastAsia="Arial" w:hAnsi="Arial"/>
                <w:sz w:val="12"/>
                <w:szCs w:val="12"/>
                <w:b w:val="1"/>
                <w:bCs w:val="1"/>
                <w:color w:val="FFFFFF"/>
              </w:rPr>
              <w:t>TTC</w:t>
            </w:r>
          </w:p>
        </w:tc>
        <w:tc>
          <w:tcPr>
            <w:tcW w:w="1140" w:type="dxa"/>
            <w:vAlign w:val="bottom"/>
            <w:gridSpan w:val="2"/>
            <w:shd w:val="clear" w:color="auto" w:fill="BF2115"/>
          </w:tcPr>
          <w:p>
            <w:pPr>
              <w:jc w:val="center"/>
              <w:spacing w:after="0"/>
              <w:rPr>
                <w:sz w:val="20"/>
                <w:szCs w:val="20"/>
                <w:color w:val="auto"/>
              </w:rPr>
            </w:pPr>
            <w:r>
              <w:rPr>
                <w:rFonts w:ascii="Arial" w:cs="Arial" w:eastAsia="Arial" w:hAnsi="Arial"/>
                <w:sz w:val="12"/>
                <w:szCs w:val="12"/>
                <w:b w:val="1"/>
                <w:bCs w:val="1"/>
                <w:color w:val="FFFFFF"/>
              </w:rPr>
              <w:t>Cause</w:t>
            </w:r>
          </w:p>
        </w:tc>
        <w:tc>
          <w:tcPr>
            <w:tcW w:w="1020" w:type="dxa"/>
            <w:vAlign w:val="bottom"/>
            <w:shd w:val="clear" w:color="auto" w:fill="BF2115"/>
          </w:tcPr>
          <w:p>
            <w:pPr>
              <w:jc w:val="center"/>
              <w:ind w:left="318"/>
              <w:spacing w:after="0"/>
              <w:rPr>
                <w:sz w:val="20"/>
                <w:szCs w:val="20"/>
                <w:color w:val="auto"/>
              </w:rPr>
            </w:pPr>
            <w:r>
              <w:rPr>
                <w:rFonts w:ascii="Arial" w:cs="Arial" w:eastAsia="Arial" w:hAnsi="Arial"/>
                <w:sz w:val="12"/>
                <w:szCs w:val="12"/>
                <w:b w:val="1"/>
                <w:bCs w:val="1"/>
                <w:color w:val="FFFFFF"/>
                <w:w w:val="97"/>
              </w:rPr>
              <w:t>Event</w:t>
            </w:r>
          </w:p>
        </w:tc>
        <w:tc>
          <w:tcPr>
            <w:tcW w:w="380" w:type="dxa"/>
            <w:vAlign w:val="bottom"/>
            <w:shd w:val="clear" w:color="auto" w:fill="BF2115"/>
          </w:tcPr>
          <w:p>
            <w:pPr>
              <w:spacing w:after="0"/>
              <w:rPr>
                <w:sz w:val="13"/>
                <w:szCs w:val="13"/>
                <w:color w:val="auto"/>
              </w:rPr>
            </w:pPr>
          </w:p>
        </w:tc>
        <w:tc>
          <w:tcPr>
            <w:tcW w:w="1180" w:type="dxa"/>
            <w:vAlign w:val="bottom"/>
            <w:shd w:val="clear" w:color="auto" w:fill="BF2115"/>
          </w:tcPr>
          <w:p>
            <w:pPr>
              <w:jc w:val="center"/>
              <w:ind w:left="318"/>
              <w:spacing w:after="0"/>
              <w:rPr>
                <w:sz w:val="20"/>
                <w:szCs w:val="20"/>
                <w:color w:val="auto"/>
              </w:rPr>
            </w:pPr>
            <w:r>
              <w:rPr>
                <w:rFonts w:ascii="Arial" w:cs="Arial" w:eastAsia="Arial" w:hAnsi="Arial"/>
                <w:sz w:val="12"/>
                <w:szCs w:val="12"/>
                <w:b w:val="1"/>
                <w:bCs w:val="1"/>
                <w:color w:val="FFFFFF"/>
              </w:rPr>
              <w:t>Reason</w:t>
            </w:r>
          </w:p>
        </w:tc>
        <w:tc>
          <w:tcPr>
            <w:tcW w:w="380" w:type="dxa"/>
            <w:vAlign w:val="bottom"/>
            <w:shd w:val="clear" w:color="auto" w:fill="BF2115"/>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3160" w:type="dxa"/>
            <w:vAlign w:val="bottom"/>
          </w:tcPr>
          <w:p>
            <w:pPr>
              <w:ind w:left="20"/>
              <w:spacing w:after="0"/>
              <w:rPr>
                <w:sz w:val="20"/>
                <w:szCs w:val="20"/>
                <w:color w:val="auto"/>
              </w:rPr>
            </w:pPr>
            <w:r>
              <w:rPr>
                <w:rFonts w:ascii="Arial" w:cs="Arial" w:eastAsia="Arial" w:hAnsi="Arial"/>
                <w:sz w:val="12"/>
                <w:szCs w:val="12"/>
                <w:b w:val="1"/>
                <w:bCs w:val="1"/>
                <w:color w:val="FFFFFF"/>
              </w:rPr>
              <w:t>Name/Payment Type</w:t>
            </w:r>
          </w:p>
        </w:tc>
        <w:tc>
          <w:tcPr>
            <w:tcW w:w="900" w:type="dxa"/>
            <w:vAlign w:val="bottom"/>
            <w:tcBorders>
              <w:bottom w:val="single" w:sz="8" w:color="BF2115"/>
            </w:tcBorders>
            <w:shd w:val="clear" w:color="auto" w:fill="BF2115"/>
          </w:tcPr>
          <w:p>
            <w:pPr>
              <w:jc w:val="center"/>
              <w:ind w:left="298"/>
              <w:spacing w:after="0"/>
              <w:rPr>
                <w:sz w:val="20"/>
                <w:szCs w:val="20"/>
                <w:color w:val="auto"/>
              </w:rPr>
            </w:pPr>
            <w:r>
              <w:rPr>
                <w:rFonts w:ascii="Arial" w:cs="Arial" w:eastAsia="Arial" w:hAnsi="Arial"/>
                <w:sz w:val="12"/>
                <w:szCs w:val="12"/>
                <w:b w:val="1"/>
                <w:bCs w:val="1"/>
                <w:color w:val="FFFFFF"/>
                <w:w w:val="95"/>
              </w:rPr>
              <w:t>($)</w:t>
            </w:r>
          </w:p>
        </w:tc>
        <w:tc>
          <w:tcPr>
            <w:tcW w:w="60" w:type="dxa"/>
            <w:vAlign w:val="bottom"/>
            <w:tcBorders>
              <w:bottom w:val="single" w:sz="8" w:color="BF2115"/>
            </w:tcBorders>
            <w:shd w:val="clear" w:color="auto" w:fill="BF2115"/>
          </w:tcPr>
          <w:p>
            <w:pPr>
              <w:spacing w:after="0"/>
              <w:rPr>
                <w:sz w:val="14"/>
                <w:szCs w:val="14"/>
                <w:color w:val="auto"/>
              </w:rPr>
            </w:pPr>
          </w:p>
        </w:tc>
        <w:tc>
          <w:tcPr>
            <w:tcW w:w="280" w:type="dxa"/>
            <w:vAlign w:val="bottom"/>
            <w:tcBorders>
              <w:bottom w:val="single" w:sz="8" w:color="BF2115"/>
            </w:tcBorders>
            <w:shd w:val="clear" w:color="auto" w:fill="BF2115"/>
          </w:tcPr>
          <w:p>
            <w:pPr>
              <w:spacing w:after="0"/>
              <w:rPr>
                <w:sz w:val="14"/>
                <w:szCs w:val="14"/>
                <w:color w:val="auto"/>
              </w:rPr>
            </w:pPr>
          </w:p>
        </w:tc>
        <w:tc>
          <w:tcPr>
            <w:tcW w:w="840" w:type="dxa"/>
            <w:vAlign w:val="bottom"/>
            <w:tcBorders>
              <w:bottom w:val="single" w:sz="8" w:color="BF2115"/>
            </w:tcBorders>
            <w:shd w:val="clear" w:color="auto" w:fill="BF2115"/>
          </w:tcPr>
          <w:p>
            <w:pPr>
              <w:jc w:val="center"/>
              <w:ind w:left="318"/>
              <w:spacing w:after="0"/>
              <w:rPr>
                <w:sz w:val="20"/>
                <w:szCs w:val="20"/>
                <w:color w:val="auto"/>
              </w:rPr>
            </w:pPr>
            <w:r>
              <w:rPr>
                <w:rFonts w:ascii="Arial" w:cs="Arial" w:eastAsia="Arial" w:hAnsi="Arial"/>
                <w:sz w:val="12"/>
                <w:szCs w:val="12"/>
                <w:b w:val="1"/>
                <w:bCs w:val="1"/>
                <w:color w:val="FFFFFF"/>
                <w:w w:val="95"/>
              </w:rPr>
              <w:t>($)</w:t>
            </w:r>
          </w:p>
        </w:tc>
        <w:tc>
          <w:tcPr>
            <w:tcW w:w="380" w:type="dxa"/>
            <w:vAlign w:val="bottom"/>
            <w:tcBorders>
              <w:bottom w:val="single" w:sz="8" w:color="BF2115"/>
            </w:tcBorders>
            <w:shd w:val="clear" w:color="auto" w:fill="BF2115"/>
          </w:tcPr>
          <w:p>
            <w:pPr>
              <w:spacing w:after="0"/>
              <w:rPr>
                <w:sz w:val="14"/>
                <w:szCs w:val="14"/>
                <w:color w:val="auto"/>
              </w:rPr>
            </w:pPr>
          </w:p>
        </w:tc>
        <w:tc>
          <w:tcPr>
            <w:tcW w:w="680" w:type="dxa"/>
            <w:vAlign w:val="bottom"/>
            <w:tcBorders>
              <w:bottom w:val="single" w:sz="8" w:color="BF2115"/>
            </w:tcBorders>
            <w:shd w:val="clear" w:color="auto" w:fill="BF2115"/>
          </w:tcPr>
          <w:p>
            <w:pPr>
              <w:jc w:val="center"/>
              <w:ind w:left="298"/>
              <w:spacing w:after="0"/>
              <w:rPr>
                <w:sz w:val="20"/>
                <w:szCs w:val="20"/>
                <w:color w:val="auto"/>
              </w:rPr>
            </w:pPr>
            <w:r>
              <w:rPr>
                <w:rFonts w:ascii="Arial" w:cs="Arial" w:eastAsia="Arial" w:hAnsi="Arial"/>
                <w:sz w:val="12"/>
                <w:szCs w:val="12"/>
                <w:b w:val="1"/>
                <w:bCs w:val="1"/>
                <w:color w:val="FFFFFF"/>
              </w:rPr>
              <w:t>($)</w:t>
            </w:r>
          </w:p>
        </w:tc>
        <w:tc>
          <w:tcPr>
            <w:tcW w:w="360" w:type="dxa"/>
            <w:vAlign w:val="bottom"/>
            <w:tcBorders>
              <w:bottom w:val="single" w:sz="8" w:color="BF2115"/>
            </w:tcBorders>
            <w:shd w:val="clear" w:color="auto" w:fill="BF2115"/>
          </w:tcPr>
          <w:p>
            <w:pPr>
              <w:spacing w:after="0"/>
              <w:rPr>
                <w:sz w:val="14"/>
                <w:szCs w:val="14"/>
                <w:color w:val="auto"/>
              </w:rPr>
            </w:pPr>
          </w:p>
        </w:tc>
        <w:tc>
          <w:tcPr>
            <w:tcW w:w="660" w:type="dxa"/>
            <w:vAlign w:val="bottom"/>
            <w:tcBorders>
              <w:bottom w:val="single" w:sz="8" w:color="BF2115"/>
            </w:tcBorders>
            <w:shd w:val="clear" w:color="auto" w:fill="BF2115"/>
          </w:tcPr>
          <w:p>
            <w:pPr>
              <w:jc w:val="right"/>
              <w:spacing w:after="0"/>
              <w:rPr>
                <w:sz w:val="20"/>
                <w:szCs w:val="20"/>
                <w:color w:val="auto"/>
              </w:rPr>
            </w:pPr>
            <w:r>
              <w:rPr>
                <w:rFonts w:ascii="Arial" w:cs="Arial" w:eastAsia="Arial" w:hAnsi="Arial"/>
                <w:sz w:val="12"/>
                <w:szCs w:val="12"/>
                <w:b w:val="1"/>
                <w:bCs w:val="1"/>
                <w:color w:val="FFFFFF"/>
              </w:rPr>
              <w:t>($)</w:t>
            </w:r>
          </w:p>
        </w:tc>
        <w:tc>
          <w:tcPr>
            <w:tcW w:w="480" w:type="dxa"/>
            <w:vAlign w:val="bottom"/>
            <w:tcBorders>
              <w:bottom w:val="single" w:sz="8" w:color="BF2115"/>
            </w:tcBorders>
            <w:shd w:val="clear" w:color="auto" w:fill="BF2115"/>
          </w:tcPr>
          <w:p>
            <w:pPr>
              <w:spacing w:after="0"/>
              <w:rPr>
                <w:sz w:val="14"/>
                <w:szCs w:val="14"/>
                <w:color w:val="auto"/>
              </w:rPr>
            </w:pPr>
          </w:p>
        </w:tc>
        <w:tc>
          <w:tcPr>
            <w:tcW w:w="1020" w:type="dxa"/>
            <w:vAlign w:val="bottom"/>
            <w:tcBorders>
              <w:bottom w:val="single" w:sz="8" w:color="BF2115"/>
            </w:tcBorders>
            <w:shd w:val="clear" w:color="auto" w:fill="BF2115"/>
          </w:tcPr>
          <w:p>
            <w:pPr>
              <w:jc w:val="center"/>
              <w:ind w:left="318"/>
              <w:spacing w:after="0"/>
              <w:rPr>
                <w:sz w:val="20"/>
                <w:szCs w:val="20"/>
                <w:color w:val="auto"/>
              </w:rPr>
            </w:pPr>
            <w:r>
              <w:rPr>
                <w:rFonts w:ascii="Arial" w:cs="Arial" w:eastAsia="Arial" w:hAnsi="Arial"/>
                <w:sz w:val="12"/>
                <w:szCs w:val="12"/>
                <w:b w:val="1"/>
                <w:bCs w:val="1"/>
                <w:color w:val="FFFFFF"/>
              </w:rPr>
              <w:t>($)</w:t>
            </w:r>
          </w:p>
        </w:tc>
        <w:tc>
          <w:tcPr>
            <w:tcW w:w="380" w:type="dxa"/>
            <w:vAlign w:val="bottom"/>
            <w:tcBorders>
              <w:bottom w:val="single" w:sz="8" w:color="BF2115"/>
            </w:tcBorders>
            <w:shd w:val="clear" w:color="auto" w:fill="BF2115"/>
          </w:tcPr>
          <w:p>
            <w:pPr>
              <w:spacing w:after="0"/>
              <w:rPr>
                <w:sz w:val="14"/>
                <w:szCs w:val="14"/>
                <w:color w:val="auto"/>
              </w:rPr>
            </w:pPr>
          </w:p>
        </w:tc>
        <w:tc>
          <w:tcPr>
            <w:tcW w:w="1180" w:type="dxa"/>
            <w:vAlign w:val="bottom"/>
            <w:tcBorders>
              <w:bottom w:val="single" w:sz="8" w:color="BF2115"/>
            </w:tcBorders>
            <w:shd w:val="clear" w:color="auto" w:fill="BF2115"/>
          </w:tcPr>
          <w:p>
            <w:pPr>
              <w:jc w:val="center"/>
              <w:ind w:left="318"/>
              <w:spacing w:after="0"/>
              <w:rPr>
                <w:sz w:val="20"/>
                <w:szCs w:val="20"/>
                <w:color w:val="auto"/>
              </w:rPr>
            </w:pPr>
            <w:r>
              <w:rPr>
                <w:rFonts w:ascii="Arial" w:cs="Arial" w:eastAsia="Arial" w:hAnsi="Arial"/>
                <w:sz w:val="12"/>
                <w:szCs w:val="12"/>
                <w:b w:val="1"/>
                <w:bCs w:val="1"/>
                <w:color w:val="FFFFFF"/>
              </w:rPr>
              <w:t>($)</w:t>
            </w:r>
          </w:p>
        </w:tc>
        <w:tc>
          <w:tcPr>
            <w:tcW w:w="380" w:type="dxa"/>
            <w:vAlign w:val="bottom"/>
            <w:tcBorders>
              <w:bottom w:val="single" w:sz="8" w:color="BF2115"/>
            </w:tcBorders>
            <w:shd w:val="clear" w:color="auto" w:fill="BF2115"/>
          </w:tcPr>
          <w:p>
            <w:pPr>
              <w:spacing w:after="0"/>
              <w:rPr>
                <w:sz w:val="14"/>
                <w:szCs w:val="14"/>
                <w:color w:val="auto"/>
              </w:rPr>
            </w:pPr>
          </w:p>
        </w:tc>
        <w:tc>
          <w:tcPr>
            <w:tcW w:w="0" w:type="dxa"/>
            <w:vAlign w:val="bottom"/>
          </w:tcPr>
          <w:p>
            <w:pPr>
              <w:spacing w:after="0"/>
              <w:rPr>
                <w:sz w:val="1"/>
                <w:szCs w:val="1"/>
                <w:color w:val="auto"/>
              </w:rPr>
            </w:pPr>
          </w:p>
        </w:tc>
      </w:tr>
      <w:tr>
        <w:trPr>
          <w:trHeight w:val="173"/>
        </w:trPr>
        <w:tc>
          <w:tcPr>
            <w:tcW w:w="3160" w:type="dxa"/>
            <w:vAlign w:val="bottom"/>
          </w:tcPr>
          <w:p>
            <w:pPr>
              <w:ind w:left="20"/>
              <w:spacing w:after="0"/>
              <w:rPr>
                <w:sz w:val="20"/>
                <w:szCs w:val="20"/>
                <w:color w:val="auto"/>
              </w:rPr>
            </w:pPr>
            <w:r>
              <w:rPr>
                <w:rFonts w:ascii="Arial" w:cs="Arial" w:eastAsia="Arial" w:hAnsi="Arial"/>
                <w:sz w:val="12"/>
                <w:szCs w:val="12"/>
                <w:color w:val="auto"/>
              </w:rPr>
              <w:t>Richard M. Olson</w:t>
            </w:r>
          </w:p>
        </w:tc>
        <w:tc>
          <w:tcPr>
            <w:tcW w:w="9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62"/>
        </w:trPr>
        <w:tc>
          <w:tcPr>
            <w:tcW w:w="3160" w:type="dxa"/>
            <w:vAlign w:val="bottom"/>
          </w:tcPr>
          <w:p>
            <w:pPr>
              <w:ind w:left="220"/>
              <w:spacing w:after="0"/>
              <w:rPr>
                <w:sz w:val="20"/>
                <w:szCs w:val="20"/>
                <w:color w:val="auto"/>
              </w:rPr>
            </w:pPr>
            <w:r>
              <w:rPr>
                <w:rFonts w:ascii="Arial" w:cs="Arial" w:eastAsia="Arial" w:hAnsi="Arial"/>
                <w:sz w:val="12"/>
                <w:szCs w:val="12"/>
                <w:color w:val="auto"/>
              </w:rPr>
              <w:t>Cash Severance Payment</w:t>
            </w:r>
            <w:r>
              <w:rPr>
                <w:rFonts w:ascii="Arial" w:cs="Arial" w:eastAsia="Arial" w:hAnsi="Arial"/>
                <w:sz w:val="16"/>
                <w:szCs w:val="16"/>
                <w:color w:val="auto"/>
                <w:vertAlign w:val="superscript"/>
              </w:rPr>
              <w:t>2</w:t>
            </w:r>
          </w:p>
        </w:tc>
        <w:tc>
          <w:tcPr>
            <w:tcW w:w="900" w:type="dxa"/>
            <w:vAlign w:val="bottom"/>
          </w:tcPr>
          <w:p>
            <w:pPr>
              <w:jc w:val="right"/>
              <w:spacing w:after="0"/>
              <w:rPr>
                <w:sz w:val="20"/>
                <w:szCs w:val="20"/>
                <w:color w:val="auto"/>
              </w:rPr>
            </w:pPr>
            <w:r>
              <w:rPr>
                <w:rFonts w:ascii="Arial" w:cs="Arial" w:eastAsia="Arial" w:hAnsi="Arial"/>
                <w:sz w:val="12"/>
                <w:szCs w:val="12"/>
                <w:color w:val="auto"/>
              </w:rPr>
              <w:t>0</w:t>
            </w:r>
          </w:p>
        </w:tc>
        <w:tc>
          <w:tcPr>
            <w:tcW w:w="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Arial" w:cs="Arial" w:eastAsia="Arial" w:hAnsi="Arial"/>
                <w:sz w:val="12"/>
                <w:szCs w:val="12"/>
                <w:color w:val="auto"/>
              </w:rPr>
              <w:t>0</w:t>
            </w:r>
          </w:p>
        </w:tc>
        <w:tc>
          <w:tcPr>
            <w:tcW w:w="380" w:type="dxa"/>
            <w:vAlign w:val="bottom"/>
          </w:tcPr>
          <w:p>
            <w:pPr>
              <w:spacing w:after="0"/>
              <w:rPr>
                <w:sz w:val="22"/>
                <w:szCs w:val="22"/>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0</w:t>
            </w:r>
          </w:p>
        </w:tc>
        <w:tc>
          <w:tcPr>
            <w:tcW w:w="360" w:type="dxa"/>
            <w:vAlign w:val="bottom"/>
          </w:tcPr>
          <w:p>
            <w:pPr>
              <w:spacing w:after="0"/>
              <w:rPr>
                <w:sz w:val="22"/>
                <w:szCs w:val="22"/>
                <w:color w:val="auto"/>
              </w:rPr>
            </w:pPr>
          </w:p>
        </w:tc>
        <w:tc>
          <w:tcPr>
            <w:tcW w:w="660" w:type="dxa"/>
            <w:vAlign w:val="bottom"/>
          </w:tcPr>
          <w:p>
            <w:pPr>
              <w:jc w:val="right"/>
              <w:spacing w:after="0"/>
              <w:rPr>
                <w:sz w:val="20"/>
                <w:szCs w:val="20"/>
                <w:color w:val="auto"/>
              </w:rPr>
            </w:pPr>
            <w:r>
              <w:rPr>
                <w:rFonts w:ascii="Arial" w:cs="Arial" w:eastAsia="Arial" w:hAnsi="Arial"/>
                <w:sz w:val="12"/>
                <w:szCs w:val="12"/>
                <w:color w:val="auto"/>
              </w:rPr>
              <w:t>0</w:t>
            </w:r>
          </w:p>
        </w:tc>
        <w:tc>
          <w:tcPr>
            <w:tcW w:w="48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12"/>
                <w:szCs w:val="12"/>
                <w:color w:val="auto"/>
              </w:rPr>
              <w:t>0</w:t>
            </w:r>
          </w:p>
        </w:tc>
        <w:tc>
          <w:tcPr>
            <w:tcW w:w="380" w:type="dxa"/>
            <w:vAlign w:val="bottom"/>
          </w:tcPr>
          <w:p>
            <w:pPr>
              <w:spacing w:after="0"/>
              <w:rPr>
                <w:sz w:val="22"/>
                <w:szCs w:val="22"/>
                <w:color w:val="auto"/>
              </w:rPr>
            </w:pPr>
          </w:p>
        </w:tc>
        <w:tc>
          <w:tcPr>
            <w:tcW w:w="1180" w:type="dxa"/>
            <w:vAlign w:val="bottom"/>
          </w:tcPr>
          <w:p>
            <w:pPr>
              <w:jc w:val="right"/>
              <w:spacing w:after="0"/>
              <w:rPr>
                <w:sz w:val="20"/>
                <w:szCs w:val="20"/>
                <w:color w:val="auto"/>
              </w:rPr>
            </w:pPr>
            <w:r>
              <w:rPr>
                <w:rFonts w:ascii="Arial" w:cs="Arial" w:eastAsia="Arial" w:hAnsi="Arial"/>
                <w:sz w:val="12"/>
                <w:szCs w:val="12"/>
                <w:color w:val="auto"/>
              </w:rPr>
              <w:t>8,211,000</w:t>
            </w:r>
          </w:p>
        </w:tc>
        <w:tc>
          <w:tcPr>
            <w:tcW w:w="3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0"/>
        </w:trPr>
        <w:tc>
          <w:tcPr>
            <w:tcW w:w="3160" w:type="dxa"/>
            <w:vAlign w:val="bottom"/>
          </w:tcPr>
          <w:p>
            <w:pPr>
              <w:ind w:left="220"/>
              <w:spacing w:after="0"/>
              <w:rPr>
                <w:sz w:val="20"/>
                <w:szCs w:val="20"/>
                <w:color w:val="auto"/>
              </w:rPr>
            </w:pPr>
            <w:r>
              <w:rPr>
                <w:rFonts w:ascii="Arial" w:cs="Arial" w:eastAsia="Arial" w:hAnsi="Arial"/>
                <w:sz w:val="12"/>
                <w:szCs w:val="12"/>
                <w:color w:val="auto"/>
              </w:rPr>
              <w:t>Unvested &amp; Accelerated Stock Options</w:t>
            </w:r>
            <w:r>
              <w:rPr>
                <w:rFonts w:ascii="Arial" w:cs="Arial" w:eastAsia="Arial" w:hAnsi="Arial"/>
                <w:sz w:val="16"/>
                <w:szCs w:val="16"/>
                <w:color w:val="auto"/>
                <w:vertAlign w:val="superscript"/>
              </w:rPr>
              <w:t>3</w:t>
            </w:r>
          </w:p>
        </w:tc>
        <w:tc>
          <w:tcPr>
            <w:tcW w:w="900" w:type="dxa"/>
            <w:vAlign w:val="bottom"/>
          </w:tcPr>
          <w:p>
            <w:pPr>
              <w:jc w:val="right"/>
              <w:spacing w:after="0"/>
              <w:rPr>
                <w:sz w:val="20"/>
                <w:szCs w:val="20"/>
                <w:color w:val="auto"/>
              </w:rPr>
            </w:pPr>
            <w:r>
              <w:rPr>
                <w:rFonts w:ascii="Arial" w:cs="Arial" w:eastAsia="Arial" w:hAnsi="Arial"/>
                <w:sz w:val="12"/>
                <w:szCs w:val="12"/>
                <w:color w:val="auto"/>
              </w:rPr>
              <w:t>0</w:t>
            </w:r>
          </w:p>
        </w:tc>
        <w:tc>
          <w:tcPr>
            <w:tcW w:w="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2"/>
                <w:szCs w:val="12"/>
                <w:color w:val="auto"/>
              </w:rPr>
              <w:t>0</w:t>
            </w:r>
          </w:p>
        </w:tc>
        <w:tc>
          <w:tcPr>
            <w:tcW w:w="38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0</w:t>
            </w:r>
          </w:p>
        </w:tc>
        <w:tc>
          <w:tcPr>
            <w:tcW w:w="36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2"/>
                <w:szCs w:val="12"/>
                <w:color w:val="auto"/>
              </w:rPr>
              <w:t>0</w:t>
            </w:r>
          </w:p>
        </w:tc>
        <w:tc>
          <w:tcPr>
            <w:tcW w:w="48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2"/>
                <w:szCs w:val="12"/>
                <w:color w:val="auto"/>
              </w:rPr>
              <w:t>0</w:t>
            </w:r>
          </w:p>
        </w:tc>
        <w:tc>
          <w:tcPr>
            <w:tcW w:w="38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2"/>
                <w:szCs w:val="12"/>
                <w:color w:val="auto"/>
              </w:rPr>
              <w:t>0</w:t>
            </w:r>
          </w:p>
        </w:tc>
        <w:tc>
          <w:tcPr>
            <w:tcW w:w="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5"/>
        </w:trPr>
        <w:tc>
          <w:tcPr>
            <w:tcW w:w="3160" w:type="dxa"/>
            <w:vAlign w:val="bottom"/>
          </w:tcPr>
          <w:p>
            <w:pPr>
              <w:ind w:left="220"/>
              <w:spacing w:after="0"/>
              <w:rPr>
                <w:sz w:val="20"/>
                <w:szCs w:val="20"/>
                <w:color w:val="auto"/>
              </w:rPr>
            </w:pPr>
            <w:r>
              <w:rPr>
                <w:rFonts w:ascii="Arial" w:cs="Arial" w:eastAsia="Arial" w:hAnsi="Arial"/>
                <w:sz w:val="12"/>
                <w:szCs w:val="12"/>
                <w:color w:val="auto"/>
              </w:rPr>
              <w:t>Performance Share Award Payouts</w:t>
            </w:r>
          </w:p>
        </w:tc>
        <w:tc>
          <w:tcPr>
            <w:tcW w:w="900" w:type="dxa"/>
            <w:vAlign w:val="bottom"/>
          </w:tcPr>
          <w:p>
            <w:pPr>
              <w:jc w:val="right"/>
              <w:spacing w:after="0"/>
              <w:rPr>
                <w:sz w:val="20"/>
                <w:szCs w:val="20"/>
                <w:color w:val="auto"/>
              </w:rPr>
            </w:pPr>
            <w:r>
              <w:rPr>
                <w:rFonts w:ascii="Arial" w:cs="Arial" w:eastAsia="Arial" w:hAnsi="Arial"/>
                <w:sz w:val="12"/>
                <w:szCs w:val="12"/>
                <w:color w:val="auto"/>
              </w:rPr>
              <w:t>382,441</w:t>
            </w:r>
          </w:p>
        </w:tc>
        <w:tc>
          <w:tcPr>
            <w:tcW w:w="60" w:type="dxa"/>
            <w:vAlign w:val="bottom"/>
          </w:tcPr>
          <w:p>
            <w:pPr>
              <w:spacing w:after="0"/>
              <w:rPr>
                <w:sz w:val="14"/>
                <w:szCs w:val="14"/>
                <w:color w:val="auto"/>
              </w:rPr>
            </w:pPr>
          </w:p>
        </w:tc>
        <w:tc>
          <w:tcPr>
            <w:tcW w:w="280" w:type="dxa"/>
            <w:vAlign w:val="bottom"/>
          </w:tcPr>
          <w:p>
            <w:pPr>
              <w:jc w:val="right"/>
              <w:ind w:right="18"/>
              <w:spacing w:after="0"/>
              <w:rPr>
                <w:sz w:val="20"/>
                <w:szCs w:val="20"/>
                <w:color w:val="auto"/>
              </w:rPr>
            </w:pPr>
            <w:r>
              <w:rPr>
                <w:rFonts w:ascii="Arial" w:cs="Arial" w:eastAsia="Arial" w:hAnsi="Arial"/>
                <w:sz w:val="12"/>
                <w:szCs w:val="12"/>
                <w:color w:val="auto"/>
              </w:rPr>
              <w:t>(4)</w:t>
            </w:r>
          </w:p>
        </w:tc>
        <w:tc>
          <w:tcPr>
            <w:tcW w:w="840" w:type="dxa"/>
            <w:vAlign w:val="bottom"/>
          </w:tcPr>
          <w:p>
            <w:pPr>
              <w:jc w:val="right"/>
              <w:spacing w:after="0"/>
              <w:rPr>
                <w:sz w:val="20"/>
                <w:szCs w:val="20"/>
                <w:color w:val="auto"/>
              </w:rPr>
            </w:pPr>
            <w:r>
              <w:rPr>
                <w:rFonts w:ascii="Arial" w:cs="Arial" w:eastAsia="Arial" w:hAnsi="Arial"/>
                <w:sz w:val="12"/>
                <w:szCs w:val="12"/>
                <w:color w:val="auto"/>
              </w:rPr>
              <w:t>382,441</w:t>
            </w:r>
          </w:p>
        </w:tc>
        <w:tc>
          <w:tcPr>
            <w:tcW w:w="380" w:type="dxa"/>
            <w:vAlign w:val="bottom"/>
          </w:tcPr>
          <w:p>
            <w:pPr>
              <w:jc w:val="right"/>
              <w:ind w:right="58"/>
              <w:spacing w:after="0"/>
              <w:rPr>
                <w:sz w:val="20"/>
                <w:szCs w:val="20"/>
                <w:color w:val="auto"/>
              </w:rPr>
            </w:pPr>
            <w:r>
              <w:rPr>
                <w:rFonts w:ascii="Arial" w:cs="Arial" w:eastAsia="Arial" w:hAnsi="Arial"/>
                <w:sz w:val="12"/>
                <w:szCs w:val="12"/>
                <w:color w:val="auto"/>
              </w:rPr>
              <w:t>(4)</w:t>
            </w:r>
          </w:p>
        </w:tc>
        <w:tc>
          <w:tcPr>
            <w:tcW w:w="680" w:type="dxa"/>
            <w:vAlign w:val="bottom"/>
          </w:tcPr>
          <w:p>
            <w:pPr>
              <w:jc w:val="right"/>
              <w:spacing w:after="0"/>
              <w:rPr>
                <w:sz w:val="20"/>
                <w:szCs w:val="20"/>
                <w:color w:val="auto"/>
              </w:rPr>
            </w:pPr>
            <w:r>
              <w:rPr>
                <w:rFonts w:ascii="Arial" w:cs="Arial" w:eastAsia="Arial" w:hAnsi="Arial"/>
                <w:sz w:val="12"/>
                <w:szCs w:val="12"/>
                <w:color w:val="auto"/>
              </w:rPr>
              <w:t>0</w:t>
            </w:r>
          </w:p>
        </w:tc>
        <w:tc>
          <w:tcPr>
            <w:tcW w:w="36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2"/>
                <w:szCs w:val="12"/>
                <w:color w:val="auto"/>
              </w:rPr>
              <w:t>0</w:t>
            </w:r>
          </w:p>
        </w:tc>
        <w:tc>
          <w:tcPr>
            <w:tcW w:w="48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2"/>
                <w:szCs w:val="12"/>
                <w:color w:val="auto"/>
              </w:rPr>
              <w:t>2,586,064</w:t>
            </w:r>
          </w:p>
        </w:tc>
        <w:tc>
          <w:tcPr>
            <w:tcW w:w="380" w:type="dxa"/>
            <w:vAlign w:val="bottom"/>
          </w:tcPr>
          <w:p>
            <w:pPr>
              <w:jc w:val="right"/>
              <w:ind w:right="58"/>
              <w:spacing w:after="0"/>
              <w:rPr>
                <w:sz w:val="20"/>
                <w:szCs w:val="20"/>
                <w:color w:val="auto"/>
              </w:rPr>
            </w:pPr>
            <w:r>
              <w:rPr>
                <w:rFonts w:ascii="Arial" w:cs="Arial" w:eastAsia="Arial" w:hAnsi="Arial"/>
                <w:sz w:val="12"/>
                <w:szCs w:val="12"/>
                <w:color w:val="auto"/>
              </w:rPr>
              <w:t>(5)</w:t>
            </w:r>
          </w:p>
        </w:tc>
        <w:tc>
          <w:tcPr>
            <w:tcW w:w="1180" w:type="dxa"/>
            <w:vAlign w:val="bottom"/>
          </w:tcPr>
          <w:p>
            <w:pPr>
              <w:jc w:val="right"/>
              <w:spacing w:after="0"/>
              <w:rPr>
                <w:sz w:val="20"/>
                <w:szCs w:val="20"/>
                <w:color w:val="auto"/>
              </w:rPr>
            </w:pPr>
            <w:r>
              <w:rPr>
                <w:rFonts w:ascii="Arial" w:cs="Arial" w:eastAsia="Arial" w:hAnsi="Arial"/>
                <w:sz w:val="12"/>
                <w:szCs w:val="12"/>
                <w:color w:val="auto"/>
              </w:rPr>
              <w:t>2,586,064</w:t>
            </w:r>
          </w:p>
        </w:tc>
        <w:tc>
          <w:tcPr>
            <w:tcW w:w="380" w:type="dxa"/>
            <w:vAlign w:val="bottom"/>
          </w:tcPr>
          <w:p>
            <w:pPr>
              <w:jc w:val="right"/>
              <w:ind w:right="38"/>
              <w:spacing w:after="0"/>
              <w:rPr>
                <w:sz w:val="20"/>
                <w:szCs w:val="20"/>
                <w:color w:val="auto"/>
              </w:rPr>
            </w:pPr>
            <w:r>
              <w:rPr>
                <w:rFonts w:ascii="Arial" w:cs="Arial" w:eastAsia="Arial" w:hAnsi="Arial"/>
                <w:sz w:val="12"/>
                <w:szCs w:val="12"/>
                <w:color w:val="auto"/>
              </w:rPr>
              <w:t>(5)</w:t>
            </w:r>
          </w:p>
        </w:tc>
        <w:tc>
          <w:tcPr>
            <w:tcW w:w="0" w:type="dxa"/>
            <w:vAlign w:val="bottom"/>
          </w:tcPr>
          <w:p>
            <w:pPr>
              <w:spacing w:after="0"/>
              <w:rPr>
                <w:sz w:val="1"/>
                <w:szCs w:val="1"/>
                <w:color w:val="auto"/>
              </w:rPr>
            </w:pPr>
          </w:p>
        </w:tc>
      </w:tr>
      <w:tr>
        <w:trPr>
          <w:trHeight w:val="262"/>
        </w:trPr>
        <w:tc>
          <w:tcPr>
            <w:tcW w:w="3160" w:type="dxa"/>
            <w:vAlign w:val="bottom"/>
          </w:tcPr>
          <w:p>
            <w:pPr>
              <w:ind w:left="220"/>
              <w:spacing w:after="0"/>
              <w:rPr>
                <w:sz w:val="20"/>
                <w:szCs w:val="20"/>
                <w:color w:val="auto"/>
              </w:rPr>
            </w:pPr>
            <w:r>
              <w:rPr>
                <w:rFonts w:ascii="Arial" w:cs="Arial" w:eastAsia="Arial" w:hAnsi="Arial"/>
                <w:sz w:val="12"/>
                <w:szCs w:val="12"/>
                <w:color w:val="auto"/>
              </w:rPr>
              <w:t>Welfare Plan Benefits</w:t>
            </w:r>
            <w:r>
              <w:rPr>
                <w:rFonts w:ascii="Arial" w:cs="Arial" w:eastAsia="Arial" w:hAnsi="Arial"/>
                <w:sz w:val="16"/>
                <w:szCs w:val="16"/>
                <w:color w:val="auto"/>
                <w:vertAlign w:val="superscript"/>
              </w:rPr>
              <w:t>6</w:t>
            </w:r>
          </w:p>
        </w:tc>
        <w:tc>
          <w:tcPr>
            <w:tcW w:w="900" w:type="dxa"/>
            <w:vAlign w:val="bottom"/>
          </w:tcPr>
          <w:p>
            <w:pPr>
              <w:jc w:val="right"/>
              <w:spacing w:after="0"/>
              <w:rPr>
                <w:sz w:val="20"/>
                <w:szCs w:val="20"/>
                <w:color w:val="auto"/>
              </w:rPr>
            </w:pPr>
            <w:r>
              <w:rPr>
                <w:rFonts w:ascii="Arial" w:cs="Arial" w:eastAsia="Arial" w:hAnsi="Arial"/>
                <w:sz w:val="12"/>
                <w:szCs w:val="12"/>
                <w:color w:val="auto"/>
              </w:rPr>
              <w:t>0</w:t>
            </w:r>
          </w:p>
        </w:tc>
        <w:tc>
          <w:tcPr>
            <w:tcW w:w="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Arial" w:cs="Arial" w:eastAsia="Arial" w:hAnsi="Arial"/>
                <w:sz w:val="12"/>
                <w:szCs w:val="12"/>
                <w:color w:val="auto"/>
              </w:rPr>
              <w:t>0</w:t>
            </w:r>
          </w:p>
        </w:tc>
        <w:tc>
          <w:tcPr>
            <w:tcW w:w="380" w:type="dxa"/>
            <w:vAlign w:val="bottom"/>
          </w:tcPr>
          <w:p>
            <w:pPr>
              <w:spacing w:after="0"/>
              <w:rPr>
                <w:sz w:val="22"/>
                <w:szCs w:val="22"/>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0</w:t>
            </w:r>
          </w:p>
        </w:tc>
        <w:tc>
          <w:tcPr>
            <w:tcW w:w="360" w:type="dxa"/>
            <w:vAlign w:val="bottom"/>
          </w:tcPr>
          <w:p>
            <w:pPr>
              <w:spacing w:after="0"/>
              <w:rPr>
                <w:sz w:val="22"/>
                <w:szCs w:val="22"/>
                <w:color w:val="auto"/>
              </w:rPr>
            </w:pPr>
          </w:p>
        </w:tc>
        <w:tc>
          <w:tcPr>
            <w:tcW w:w="660" w:type="dxa"/>
            <w:vAlign w:val="bottom"/>
          </w:tcPr>
          <w:p>
            <w:pPr>
              <w:jc w:val="right"/>
              <w:spacing w:after="0"/>
              <w:rPr>
                <w:sz w:val="20"/>
                <w:szCs w:val="20"/>
                <w:color w:val="auto"/>
              </w:rPr>
            </w:pPr>
            <w:r>
              <w:rPr>
                <w:rFonts w:ascii="Arial" w:cs="Arial" w:eastAsia="Arial" w:hAnsi="Arial"/>
                <w:sz w:val="12"/>
                <w:szCs w:val="12"/>
                <w:color w:val="auto"/>
              </w:rPr>
              <w:t>0</w:t>
            </w:r>
          </w:p>
        </w:tc>
        <w:tc>
          <w:tcPr>
            <w:tcW w:w="48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12"/>
                <w:szCs w:val="12"/>
                <w:color w:val="auto"/>
              </w:rPr>
              <w:t>0</w:t>
            </w:r>
          </w:p>
        </w:tc>
        <w:tc>
          <w:tcPr>
            <w:tcW w:w="380" w:type="dxa"/>
            <w:vAlign w:val="bottom"/>
          </w:tcPr>
          <w:p>
            <w:pPr>
              <w:spacing w:after="0"/>
              <w:rPr>
                <w:sz w:val="22"/>
                <w:szCs w:val="22"/>
                <w:color w:val="auto"/>
              </w:rPr>
            </w:pPr>
          </w:p>
        </w:tc>
        <w:tc>
          <w:tcPr>
            <w:tcW w:w="1180" w:type="dxa"/>
            <w:vAlign w:val="bottom"/>
          </w:tcPr>
          <w:p>
            <w:pPr>
              <w:jc w:val="right"/>
              <w:spacing w:after="0"/>
              <w:rPr>
                <w:sz w:val="20"/>
                <w:szCs w:val="20"/>
                <w:color w:val="auto"/>
              </w:rPr>
            </w:pPr>
            <w:r>
              <w:rPr>
                <w:rFonts w:ascii="Arial" w:cs="Arial" w:eastAsia="Arial" w:hAnsi="Arial"/>
                <w:sz w:val="12"/>
                <w:szCs w:val="12"/>
                <w:color w:val="auto"/>
              </w:rPr>
              <w:t>71,169</w:t>
            </w:r>
          </w:p>
        </w:tc>
        <w:tc>
          <w:tcPr>
            <w:tcW w:w="3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3"/>
        </w:trPr>
        <w:tc>
          <w:tcPr>
            <w:tcW w:w="3160" w:type="dxa"/>
            <w:vAlign w:val="bottom"/>
          </w:tcPr>
          <w:p>
            <w:pPr>
              <w:ind w:left="220"/>
              <w:spacing w:after="0"/>
              <w:rPr>
                <w:sz w:val="20"/>
                <w:szCs w:val="20"/>
                <w:color w:val="auto"/>
              </w:rPr>
            </w:pPr>
            <w:r>
              <w:rPr>
                <w:rFonts w:ascii="Arial" w:cs="Arial" w:eastAsia="Arial" w:hAnsi="Arial"/>
                <w:sz w:val="12"/>
                <w:szCs w:val="12"/>
                <w:color w:val="auto"/>
              </w:rPr>
              <w:t>Outplacement Services</w:t>
            </w:r>
            <w:r>
              <w:rPr>
                <w:rFonts w:ascii="Arial" w:cs="Arial" w:eastAsia="Arial" w:hAnsi="Arial"/>
                <w:sz w:val="16"/>
                <w:szCs w:val="16"/>
                <w:color w:val="auto"/>
                <w:vertAlign w:val="superscript"/>
              </w:rPr>
              <w:t>7</w:t>
            </w:r>
          </w:p>
        </w:tc>
        <w:tc>
          <w:tcPr>
            <w:tcW w:w="900" w:type="dxa"/>
            <w:vAlign w:val="bottom"/>
          </w:tcPr>
          <w:p>
            <w:pPr>
              <w:jc w:val="right"/>
              <w:spacing w:after="0"/>
              <w:rPr>
                <w:sz w:val="20"/>
                <w:szCs w:val="20"/>
                <w:color w:val="auto"/>
              </w:rPr>
            </w:pPr>
            <w:r>
              <w:rPr>
                <w:rFonts w:ascii="Arial" w:cs="Arial" w:eastAsia="Arial" w:hAnsi="Arial"/>
                <w:sz w:val="12"/>
                <w:szCs w:val="12"/>
                <w:color w:val="auto"/>
              </w:rPr>
              <w:t>0</w:t>
            </w: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2"/>
                <w:szCs w:val="12"/>
                <w:color w:val="auto"/>
              </w:rPr>
              <w:t>0</w:t>
            </w:r>
          </w:p>
        </w:tc>
        <w:tc>
          <w:tcPr>
            <w:tcW w:w="3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0</w:t>
            </w:r>
          </w:p>
        </w:tc>
        <w:tc>
          <w:tcPr>
            <w:tcW w:w="3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2"/>
                <w:szCs w:val="12"/>
                <w:color w:val="auto"/>
              </w:rPr>
              <w:t>0</w:t>
            </w:r>
          </w:p>
        </w:tc>
        <w:tc>
          <w:tcPr>
            <w:tcW w:w="4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2"/>
                <w:szCs w:val="12"/>
                <w:color w:val="auto"/>
              </w:rPr>
              <w:t>0</w:t>
            </w:r>
          </w:p>
        </w:tc>
        <w:tc>
          <w:tcPr>
            <w:tcW w:w="3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2"/>
                <w:szCs w:val="12"/>
                <w:color w:val="auto"/>
              </w:rPr>
              <w:t>30,000</w:t>
            </w:r>
          </w:p>
        </w:tc>
        <w:tc>
          <w:tcPr>
            <w:tcW w:w="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3160" w:type="dxa"/>
            <w:vAlign w:val="bottom"/>
          </w:tcPr>
          <w:p>
            <w:pPr>
              <w:ind w:left="220"/>
              <w:spacing w:after="0"/>
              <w:rPr>
                <w:sz w:val="20"/>
                <w:szCs w:val="20"/>
                <w:color w:val="auto"/>
              </w:rPr>
            </w:pPr>
            <w:r>
              <w:rPr>
                <w:rFonts w:ascii="Arial" w:cs="Arial" w:eastAsia="Arial" w:hAnsi="Arial"/>
                <w:sz w:val="12"/>
                <w:szCs w:val="12"/>
                <w:color w:val="auto"/>
              </w:rPr>
              <w:t>Perquisites</w:t>
            </w:r>
            <w:r>
              <w:rPr>
                <w:rFonts w:ascii="Arial" w:cs="Arial" w:eastAsia="Arial" w:hAnsi="Arial"/>
                <w:sz w:val="16"/>
                <w:szCs w:val="16"/>
                <w:color w:val="auto"/>
                <w:vertAlign w:val="superscript"/>
              </w:rPr>
              <w:t>8</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26,671</w:t>
            </w:r>
          </w:p>
        </w:tc>
        <w:tc>
          <w:tcPr>
            <w:tcW w:w="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0</w:t>
            </w:r>
          </w:p>
        </w:tc>
        <w:tc>
          <w:tcPr>
            <w:tcW w:w="380" w:type="dxa"/>
            <w:vAlign w:val="bottom"/>
          </w:tcPr>
          <w:p>
            <w:pPr>
              <w:spacing w:after="0"/>
              <w:rPr>
                <w:sz w:val="16"/>
                <w:szCs w:val="16"/>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0</w:t>
            </w:r>
          </w:p>
        </w:tc>
        <w:tc>
          <w:tcPr>
            <w:tcW w:w="360" w:type="dxa"/>
            <w:vAlign w:val="bottom"/>
          </w:tcPr>
          <w:p>
            <w:pPr>
              <w:spacing w:after="0"/>
              <w:rPr>
                <w:sz w:val="16"/>
                <w:szCs w:val="16"/>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0</w:t>
            </w:r>
          </w:p>
        </w:tc>
        <w:tc>
          <w:tcPr>
            <w:tcW w:w="480" w:type="dxa"/>
            <w:vAlign w:val="bottom"/>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0</w:t>
            </w:r>
          </w:p>
        </w:tc>
        <w:tc>
          <w:tcPr>
            <w:tcW w:w="380" w:type="dxa"/>
            <w:vAlign w:val="bottom"/>
          </w:tcPr>
          <w:p>
            <w:pPr>
              <w:spacing w:after="0"/>
              <w:rPr>
                <w:sz w:val="16"/>
                <w:szCs w:val="16"/>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0</w:t>
            </w:r>
          </w:p>
        </w:tc>
        <w:tc>
          <w:tcPr>
            <w:tcW w:w="3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3"/>
        </w:trPr>
        <w:tc>
          <w:tcPr>
            <w:tcW w:w="3160" w:type="dxa"/>
            <w:vAlign w:val="bottom"/>
          </w:tcPr>
          <w:p>
            <w:pPr>
              <w:ind w:left="20"/>
              <w:spacing w:after="0"/>
              <w:rPr>
                <w:sz w:val="20"/>
                <w:szCs w:val="20"/>
                <w:color w:val="auto"/>
              </w:rPr>
            </w:pPr>
            <w:r>
              <w:rPr>
                <w:rFonts w:ascii="Arial" w:cs="Arial" w:eastAsia="Arial" w:hAnsi="Arial"/>
                <w:sz w:val="12"/>
                <w:szCs w:val="12"/>
                <w:b w:val="1"/>
                <w:bCs w:val="1"/>
                <w:color w:val="auto"/>
              </w:rPr>
              <w:t>Total</w:t>
            </w:r>
          </w:p>
        </w:tc>
        <w:tc>
          <w:tcPr>
            <w:tcW w:w="900" w:type="dxa"/>
            <w:vAlign w:val="bottom"/>
          </w:tcPr>
          <w:p>
            <w:pPr>
              <w:jc w:val="right"/>
              <w:spacing w:after="0"/>
              <w:rPr>
                <w:sz w:val="20"/>
                <w:szCs w:val="20"/>
                <w:color w:val="auto"/>
              </w:rPr>
            </w:pPr>
            <w:r>
              <w:rPr>
                <w:rFonts w:ascii="Arial" w:cs="Arial" w:eastAsia="Arial" w:hAnsi="Arial"/>
                <w:sz w:val="12"/>
                <w:szCs w:val="12"/>
                <w:b w:val="1"/>
                <w:bCs w:val="1"/>
                <w:color w:val="auto"/>
              </w:rPr>
              <w:t>409,112</w:t>
            </w:r>
          </w:p>
        </w:tc>
        <w:tc>
          <w:tcPr>
            <w:tcW w:w="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2"/>
                <w:szCs w:val="12"/>
                <w:b w:val="1"/>
                <w:bCs w:val="1"/>
                <w:color w:val="auto"/>
              </w:rPr>
              <w:t>382,441</w:t>
            </w:r>
          </w:p>
        </w:tc>
        <w:tc>
          <w:tcPr>
            <w:tcW w:w="38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2"/>
                <w:szCs w:val="12"/>
                <w:b w:val="1"/>
                <w:bCs w:val="1"/>
                <w:color w:val="auto"/>
              </w:rPr>
              <w:t>0</w:t>
            </w:r>
          </w:p>
        </w:tc>
        <w:tc>
          <w:tcPr>
            <w:tcW w:w="36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2"/>
                <w:szCs w:val="12"/>
                <w:b w:val="1"/>
                <w:bCs w:val="1"/>
                <w:color w:val="auto"/>
              </w:rPr>
              <w:t>0</w:t>
            </w:r>
          </w:p>
        </w:tc>
        <w:tc>
          <w:tcPr>
            <w:tcW w:w="48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2"/>
                <w:szCs w:val="12"/>
                <w:b w:val="1"/>
                <w:bCs w:val="1"/>
                <w:color w:val="auto"/>
              </w:rPr>
              <w:t>2,586,064</w:t>
            </w:r>
          </w:p>
        </w:tc>
        <w:tc>
          <w:tcPr>
            <w:tcW w:w="38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Arial" w:cs="Arial" w:eastAsia="Arial" w:hAnsi="Arial"/>
                <w:sz w:val="12"/>
                <w:szCs w:val="12"/>
                <w:b w:val="1"/>
                <w:bCs w:val="1"/>
                <w:color w:val="auto"/>
              </w:rPr>
              <w:t>10,898,233</w:t>
            </w:r>
          </w:p>
        </w:tc>
        <w:tc>
          <w:tcPr>
            <w:tcW w:w="3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31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3"/>
        </w:trPr>
        <w:tc>
          <w:tcPr>
            <w:tcW w:w="3160" w:type="dxa"/>
            <w:vAlign w:val="bottom"/>
            <w:shd w:val="clear" w:color="auto" w:fill="DBDBDB"/>
          </w:tcPr>
          <w:p>
            <w:pPr>
              <w:ind w:left="20"/>
              <w:spacing w:after="0"/>
              <w:rPr>
                <w:sz w:val="20"/>
                <w:szCs w:val="20"/>
                <w:color w:val="auto"/>
              </w:rPr>
            </w:pPr>
            <w:r>
              <w:rPr>
                <w:rFonts w:ascii="Arial" w:cs="Arial" w:eastAsia="Arial" w:hAnsi="Arial"/>
                <w:sz w:val="12"/>
                <w:szCs w:val="12"/>
                <w:color w:val="auto"/>
              </w:rPr>
              <w:t>Angela C. Drake</w:t>
            </w:r>
          </w:p>
        </w:tc>
        <w:tc>
          <w:tcPr>
            <w:tcW w:w="900" w:type="dxa"/>
            <w:vAlign w:val="bottom"/>
            <w:shd w:val="clear" w:color="auto" w:fill="DBDBDB"/>
          </w:tcPr>
          <w:p>
            <w:pPr>
              <w:spacing w:after="0"/>
              <w:rPr>
                <w:sz w:val="15"/>
                <w:szCs w:val="15"/>
                <w:color w:val="auto"/>
              </w:rPr>
            </w:pPr>
          </w:p>
        </w:tc>
        <w:tc>
          <w:tcPr>
            <w:tcW w:w="60" w:type="dxa"/>
            <w:vAlign w:val="bottom"/>
            <w:shd w:val="clear" w:color="auto" w:fill="DBDBDB"/>
          </w:tcPr>
          <w:p>
            <w:pPr>
              <w:spacing w:after="0"/>
              <w:rPr>
                <w:sz w:val="15"/>
                <w:szCs w:val="15"/>
                <w:color w:val="auto"/>
              </w:rPr>
            </w:pPr>
          </w:p>
        </w:tc>
        <w:tc>
          <w:tcPr>
            <w:tcW w:w="280" w:type="dxa"/>
            <w:vAlign w:val="bottom"/>
            <w:shd w:val="clear" w:color="auto" w:fill="DBDBDB"/>
          </w:tcPr>
          <w:p>
            <w:pPr>
              <w:spacing w:after="0"/>
              <w:rPr>
                <w:sz w:val="15"/>
                <w:szCs w:val="15"/>
                <w:color w:val="auto"/>
              </w:rPr>
            </w:pPr>
          </w:p>
        </w:tc>
        <w:tc>
          <w:tcPr>
            <w:tcW w:w="840" w:type="dxa"/>
            <w:vAlign w:val="bottom"/>
            <w:shd w:val="clear" w:color="auto" w:fill="DBDBDB"/>
          </w:tcPr>
          <w:p>
            <w:pPr>
              <w:spacing w:after="0"/>
              <w:rPr>
                <w:sz w:val="15"/>
                <w:szCs w:val="15"/>
                <w:color w:val="auto"/>
              </w:rPr>
            </w:pPr>
          </w:p>
        </w:tc>
        <w:tc>
          <w:tcPr>
            <w:tcW w:w="380" w:type="dxa"/>
            <w:vAlign w:val="bottom"/>
            <w:shd w:val="clear" w:color="auto" w:fill="DBDBDB"/>
          </w:tcPr>
          <w:p>
            <w:pPr>
              <w:spacing w:after="0"/>
              <w:rPr>
                <w:sz w:val="15"/>
                <w:szCs w:val="15"/>
                <w:color w:val="auto"/>
              </w:rPr>
            </w:pPr>
          </w:p>
        </w:tc>
        <w:tc>
          <w:tcPr>
            <w:tcW w:w="680" w:type="dxa"/>
            <w:vAlign w:val="bottom"/>
            <w:shd w:val="clear" w:color="auto" w:fill="DBDBDB"/>
          </w:tcPr>
          <w:p>
            <w:pPr>
              <w:spacing w:after="0"/>
              <w:rPr>
                <w:sz w:val="15"/>
                <w:szCs w:val="15"/>
                <w:color w:val="auto"/>
              </w:rPr>
            </w:pPr>
          </w:p>
        </w:tc>
        <w:tc>
          <w:tcPr>
            <w:tcW w:w="360" w:type="dxa"/>
            <w:vAlign w:val="bottom"/>
            <w:shd w:val="clear" w:color="auto" w:fill="DBDBDB"/>
          </w:tcPr>
          <w:p>
            <w:pPr>
              <w:spacing w:after="0"/>
              <w:rPr>
                <w:sz w:val="15"/>
                <w:szCs w:val="15"/>
                <w:color w:val="auto"/>
              </w:rPr>
            </w:pPr>
          </w:p>
        </w:tc>
        <w:tc>
          <w:tcPr>
            <w:tcW w:w="660" w:type="dxa"/>
            <w:vAlign w:val="bottom"/>
            <w:shd w:val="clear" w:color="auto" w:fill="DBDBDB"/>
          </w:tcPr>
          <w:p>
            <w:pPr>
              <w:spacing w:after="0"/>
              <w:rPr>
                <w:sz w:val="15"/>
                <w:szCs w:val="15"/>
                <w:color w:val="auto"/>
              </w:rPr>
            </w:pPr>
          </w:p>
        </w:tc>
        <w:tc>
          <w:tcPr>
            <w:tcW w:w="480" w:type="dxa"/>
            <w:vAlign w:val="bottom"/>
            <w:shd w:val="clear" w:color="auto" w:fill="DBDBDB"/>
          </w:tcPr>
          <w:p>
            <w:pPr>
              <w:spacing w:after="0"/>
              <w:rPr>
                <w:sz w:val="15"/>
                <w:szCs w:val="15"/>
                <w:color w:val="auto"/>
              </w:rPr>
            </w:pPr>
          </w:p>
        </w:tc>
        <w:tc>
          <w:tcPr>
            <w:tcW w:w="1020" w:type="dxa"/>
            <w:vAlign w:val="bottom"/>
            <w:shd w:val="clear" w:color="auto" w:fill="DBDBDB"/>
          </w:tcPr>
          <w:p>
            <w:pPr>
              <w:spacing w:after="0"/>
              <w:rPr>
                <w:sz w:val="15"/>
                <w:szCs w:val="15"/>
                <w:color w:val="auto"/>
              </w:rPr>
            </w:pPr>
          </w:p>
        </w:tc>
        <w:tc>
          <w:tcPr>
            <w:tcW w:w="380" w:type="dxa"/>
            <w:vAlign w:val="bottom"/>
            <w:shd w:val="clear" w:color="auto" w:fill="DBDBDB"/>
          </w:tcPr>
          <w:p>
            <w:pPr>
              <w:spacing w:after="0"/>
              <w:rPr>
                <w:sz w:val="15"/>
                <w:szCs w:val="15"/>
                <w:color w:val="auto"/>
              </w:rPr>
            </w:pPr>
          </w:p>
        </w:tc>
        <w:tc>
          <w:tcPr>
            <w:tcW w:w="1180" w:type="dxa"/>
            <w:vAlign w:val="bottom"/>
            <w:shd w:val="clear" w:color="auto" w:fill="DBDBDB"/>
          </w:tcPr>
          <w:p>
            <w:pPr>
              <w:spacing w:after="0"/>
              <w:rPr>
                <w:sz w:val="15"/>
                <w:szCs w:val="15"/>
                <w:color w:val="auto"/>
              </w:rPr>
            </w:pPr>
          </w:p>
        </w:tc>
        <w:tc>
          <w:tcPr>
            <w:tcW w:w="380" w:type="dxa"/>
            <w:vAlign w:val="bottom"/>
            <w:shd w:val="clear" w:color="auto" w:fill="DBDBDB"/>
          </w:tcPr>
          <w:p>
            <w:pPr>
              <w:spacing w:after="0"/>
              <w:rPr>
                <w:sz w:val="15"/>
                <w:szCs w:val="15"/>
                <w:color w:val="auto"/>
              </w:rPr>
            </w:pPr>
          </w:p>
        </w:tc>
        <w:tc>
          <w:tcPr>
            <w:tcW w:w="0" w:type="dxa"/>
            <w:vAlign w:val="bottom"/>
          </w:tcPr>
          <w:p>
            <w:pPr>
              <w:spacing w:after="0"/>
              <w:rPr>
                <w:sz w:val="1"/>
                <w:szCs w:val="1"/>
                <w:color w:val="auto"/>
              </w:rPr>
            </w:pPr>
          </w:p>
        </w:tc>
      </w:tr>
      <w:tr>
        <w:trPr>
          <w:trHeight w:val="240"/>
        </w:trPr>
        <w:tc>
          <w:tcPr>
            <w:tcW w:w="3160" w:type="dxa"/>
            <w:vAlign w:val="bottom"/>
            <w:shd w:val="clear" w:color="auto" w:fill="DBDBDB"/>
          </w:tcPr>
          <w:p>
            <w:pPr>
              <w:ind w:left="220"/>
              <w:spacing w:after="0"/>
              <w:rPr>
                <w:sz w:val="20"/>
                <w:szCs w:val="20"/>
                <w:color w:val="auto"/>
              </w:rPr>
            </w:pPr>
            <w:r>
              <w:rPr>
                <w:rFonts w:ascii="Arial" w:cs="Arial" w:eastAsia="Arial" w:hAnsi="Arial"/>
                <w:sz w:val="12"/>
                <w:szCs w:val="12"/>
                <w:color w:val="auto"/>
              </w:rPr>
              <w:t>Cash Severance Payment</w:t>
            </w:r>
            <w:r>
              <w:rPr>
                <w:rFonts w:ascii="Arial" w:cs="Arial" w:eastAsia="Arial" w:hAnsi="Arial"/>
                <w:sz w:val="16"/>
                <w:szCs w:val="16"/>
                <w:color w:val="auto"/>
                <w:vertAlign w:val="superscript"/>
              </w:rPr>
              <w:t>2</w:t>
            </w:r>
          </w:p>
        </w:tc>
        <w:tc>
          <w:tcPr>
            <w:tcW w:w="900" w:type="dxa"/>
            <w:vAlign w:val="bottom"/>
            <w:shd w:val="clear" w:color="auto" w:fill="DBDBDB"/>
          </w:tcPr>
          <w:p>
            <w:pPr>
              <w:jc w:val="right"/>
              <w:spacing w:after="0"/>
              <w:rPr>
                <w:sz w:val="20"/>
                <w:szCs w:val="20"/>
                <w:color w:val="auto"/>
              </w:rPr>
            </w:pPr>
            <w:r>
              <w:rPr>
                <w:rFonts w:ascii="Arial" w:cs="Arial" w:eastAsia="Arial" w:hAnsi="Arial"/>
                <w:sz w:val="12"/>
                <w:szCs w:val="12"/>
                <w:color w:val="auto"/>
              </w:rPr>
              <w:t>0</w:t>
            </w:r>
          </w:p>
        </w:tc>
        <w:tc>
          <w:tcPr>
            <w:tcW w:w="60" w:type="dxa"/>
            <w:vAlign w:val="bottom"/>
            <w:shd w:val="clear" w:color="auto" w:fill="DBDBDB"/>
          </w:tcPr>
          <w:p>
            <w:pPr>
              <w:spacing w:after="0"/>
              <w:rPr>
                <w:sz w:val="20"/>
                <w:szCs w:val="20"/>
                <w:color w:val="auto"/>
              </w:rPr>
            </w:pPr>
          </w:p>
        </w:tc>
        <w:tc>
          <w:tcPr>
            <w:tcW w:w="280" w:type="dxa"/>
            <w:vAlign w:val="bottom"/>
            <w:shd w:val="clear" w:color="auto" w:fill="DBDBDB"/>
          </w:tcPr>
          <w:p>
            <w:pPr>
              <w:spacing w:after="0"/>
              <w:rPr>
                <w:sz w:val="20"/>
                <w:szCs w:val="20"/>
                <w:color w:val="auto"/>
              </w:rPr>
            </w:pPr>
          </w:p>
        </w:tc>
        <w:tc>
          <w:tcPr>
            <w:tcW w:w="840" w:type="dxa"/>
            <w:vAlign w:val="bottom"/>
            <w:shd w:val="clear" w:color="auto" w:fill="DBDBDB"/>
          </w:tcPr>
          <w:p>
            <w:pPr>
              <w:jc w:val="right"/>
              <w:spacing w:after="0"/>
              <w:rPr>
                <w:sz w:val="20"/>
                <w:szCs w:val="20"/>
                <w:color w:val="auto"/>
              </w:rPr>
            </w:pPr>
            <w:r>
              <w:rPr>
                <w:rFonts w:ascii="Arial" w:cs="Arial" w:eastAsia="Arial" w:hAnsi="Arial"/>
                <w:sz w:val="12"/>
                <w:szCs w:val="12"/>
                <w:color w:val="auto"/>
              </w:rPr>
              <w:t>0</w:t>
            </w:r>
          </w:p>
        </w:tc>
        <w:tc>
          <w:tcPr>
            <w:tcW w:w="380" w:type="dxa"/>
            <w:vAlign w:val="bottom"/>
            <w:shd w:val="clear" w:color="auto" w:fill="DBDBDB"/>
          </w:tcPr>
          <w:p>
            <w:pPr>
              <w:spacing w:after="0"/>
              <w:rPr>
                <w:sz w:val="20"/>
                <w:szCs w:val="20"/>
                <w:color w:val="auto"/>
              </w:rPr>
            </w:pPr>
          </w:p>
        </w:tc>
        <w:tc>
          <w:tcPr>
            <w:tcW w:w="680" w:type="dxa"/>
            <w:vAlign w:val="bottom"/>
            <w:shd w:val="clear" w:color="auto" w:fill="DBDBDB"/>
          </w:tcPr>
          <w:p>
            <w:pPr>
              <w:jc w:val="right"/>
              <w:spacing w:after="0"/>
              <w:rPr>
                <w:sz w:val="20"/>
                <w:szCs w:val="20"/>
                <w:color w:val="auto"/>
              </w:rPr>
            </w:pPr>
            <w:r>
              <w:rPr>
                <w:rFonts w:ascii="Arial" w:cs="Arial" w:eastAsia="Arial" w:hAnsi="Arial"/>
                <w:sz w:val="12"/>
                <w:szCs w:val="12"/>
                <w:color w:val="auto"/>
              </w:rPr>
              <w:t>0</w:t>
            </w:r>
          </w:p>
        </w:tc>
        <w:tc>
          <w:tcPr>
            <w:tcW w:w="360" w:type="dxa"/>
            <w:vAlign w:val="bottom"/>
            <w:shd w:val="clear" w:color="auto" w:fill="DBDBDB"/>
          </w:tcPr>
          <w:p>
            <w:pPr>
              <w:spacing w:after="0"/>
              <w:rPr>
                <w:sz w:val="20"/>
                <w:szCs w:val="20"/>
                <w:color w:val="auto"/>
              </w:rPr>
            </w:pPr>
          </w:p>
        </w:tc>
        <w:tc>
          <w:tcPr>
            <w:tcW w:w="660" w:type="dxa"/>
            <w:vAlign w:val="bottom"/>
            <w:shd w:val="clear" w:color="auto" w:fill="DBDBDB"/>
          </w:tcPr>
          <w:p>
            <w:pPr>
              <w:jc w:val="right"/>
              <w:spacing w:after="0"/>
              <w:rPr>
                <w:sz w:val="20"/>
                <w:szCs w:val="20"/>
                <w:color w:val="auto"/>
              </w:rPr>
            </w:pPr>
            <w:r>
              <w:rPr>
                <w:rFonts w:ascii="Arial" w:cs="Arial" w:eastAsia="Arial" w:hAnsi="Arial"/>
                <w:sz w:val="12"/>
                <w:szCs w:val="12"/>
                <w:color w:val="auto"/>
              </w:rPr>
              <w:t>0</w:t>
            </w:r>
          </w:p>
        </w:tc>
        <w:tc>
          <w:tcPr>
            <w:tcW w:w="480" w:type="dxa"/>
            <w:vAlign w:val="bottom"/>
            <w:shd w:val="clear" w:color="auto" w:fill="DBDBDB"/>
          </w:tcPr>
          <w:p>
            <w:pPr>
              <w:spacing w:after="0"/>
              <w:rPr>
                <w:sz w:val="20"/>
                <w:szCs w:val="20"/>
                <w:color w:val="auto"/>
              </w:rPr>
            </w:pPr>
          </w:p>
        </w:tc>
        <w:tc>
          <w:tcPr>
            <w:tcW w:w="1020" w:type="dxa"/>
            <w:vAlign w:val="bottom"/>
            <w:shd w:val="clear" w:color="auto" w:fill="DBDBDB"/>
          </w:tcPr>
          <w:p>
            <w:pPr>
              <w:jc w:val="right"/>
              <w:spacing w:after="0"/>
              <w:rPr>
                <w:sz w:val="20"/>
                <w:szCs w:val="20"/>
                <w:color w:val="auto"/>
              </w:rPr>
            </w:pPr>
            <w:r>
              <w:rPr>
                <w:rFonts w:ascii="Arial" w:cs="Arial" w:eastAsia="Arial" w:hAnsi="Arial"/>
                <w:sz w:val="12"/>
                <w:szCs w:val="12"/>
                <w:color w:val="auto"/>
              </w:rPr>
              <w:t>0</w:t>
            </w:r>
          </w:p>
        </w:tc>
        <w:tc>
          <w:tcPr>
            <w:tcW w:w="380" w:type="dxa"/>
            <w:vAlign w:val="bottom"/>
            <w:shd w:val="clear" w:color="auto" w:fill="DBDBDB"/>
          </w:tcPr>
          <w:p>
            <w:pPr>
              <w:spacing w:after="0"/>
              <w:rPr>
                <w:sz w:val="20"/>
                <w:szCs w:val="20"/>
                <w:color w:val="auto"/>
              </w:rPr>
            </w:pPr>
          </w:p>
        </w:tc>
        <w:tc>
          <w:tcPr>
            <w:tcW w:w="1180" w:type="dxa"/>
            <w:vAlign w:val="bottom"/>
            <w:shd w:val="clear" w:color="auto" w:fill="DBDBDB"/>
          </w:tcPr>
          <w:p>
            <w:pPr>
              <w:jc w:val="right"/>
              <w:spacing w:after="0"/>
              <w:rPr>
                <w:sz w:val="20"/>
                <w:szCs w:val="20"/>
                <w:color w:val="auto"/>
              </w:rPr>
            </w:pPr>
            <w:r>
              <w:rPr>
                <w:rFonts w:ascii="Arial" w:cs="Arial" w:eastAsia="Arial" w:hAnsi="Arial"/>
                <w:sz w:val="12"/>
                <w:szCs w:val="12"/>
                <w:color w:val="auto"/>
              </w:rPr>
              <w:t>1,997,500</w:t>
            </w:r>
          </w:p>
        </w:tc>
        <w:tc>
          <w:tcPr>
            <w:tcW w:w="380" w:type="dxa"/>
            <w:vAlign w:val="bottom"/>
            <w:shd w:val="clear" w:color="auto" w:fill="DBDBDB"/>
          </w:tcPr>
          <w:p>
            <w:pPr>
              <w:spacing w:after="0"/>
              <w:rPr>
                <w:sz w:val="20"/>
                <w:szCs w:val="20"/>
                <w:color w:val="auto"/>
              </w:rPr>
            </w:pPr>
          </w:p>
        </w:tc>
        <w:tc>
          <w:tcPr>
            <w:tcW w:w="0" w:type="dxa"/>
            <w:vAlign w:val="bottom"/>
          </w:tcPr>
          <w:p>
            <w:pPr>
              <w:spacing w:after="0"/>
              <w:rPr>
                <w:sz w:val="1"/>
                <w:szCs w:val="1"/>
                <w:color w:val="auto"/>
              </w:rPr>
            </w:pPr>
          </w:p>
        </w:tc>
      </w:tr>
      <w:tr>
        <w:trPr>
          <w:trHeight w:val="213"/>
        </w:trPr>
        <w:tc>
          <w:tcPr>
            <w:tcW w:w="3160" w:type="dxa"/>
            <w:vAlign w:val="bottom"/>
            <w:shd w:val="clear" w:color="auto" w:fill="DBDBDB"/>
          </w:tcPr>
          <w:p>
            <w:pPr>
              <w:ind w:left="220"/>
              <w:spacing w:after="0"/>
              <w:rPr>
                <w:sz w:val="20"/>
                <w:szCs w:val="20"/>
                <w:color w:val="auto"/>
              </w:rPr>
            </w:pPr>
            <w:r>
              <w:rPr>
                <w:rFonts w:ascii="Arial" w:cs="Arial" w:eastAsia="Arial" w:hAnsi="Arial"/>
                <w:sz w:val="12"/>
                <w:szCs w:val="12"/>
                <w:color w:val="auto"/>
              </w:rPr>
              <w:t>Unvested &amp; Accelerated Stock Options</w:t>
            </w:r>
            <w:r>
              <w:rPr>
                <w:rFonts w:ascii="Arial" w:cs="Arial" w:eastAsia="Arial" w:hAnsi="Arial"/>
                <w:sz w:val="16"/>
                <w:szCs w:val="16"/>
                <w:color w:val="auto"/>
                <w:vertAlign w:val="superscript"/>
              </w:rPr>
              <w:t>3</w:t>
            </w:r>
          </w:p>
        </w:tc>
        <w:tc>
          <w:tcPr>
            <w:tcW w:w="900" w:type="dxa"/>
            <w:vAlign w:val="bottom"/>
            <w:shd w:val="clear" w:color="auto" w:fill="DBDBDB"/>
          </w:tcPr>
          <w:p>
            <w:pPr>
              <w:jc w:val="right"/>
              <w:spacing w:after="0"/>
              <w:rPr>
                <w:sz w:val="20"/>
                <w:szCs w:val="20"/>
                <w:color w:val="auto"/>
              </w:rPr>
            </w:pPr>
            <w:r>
              <w:rPr>
                <w:rFonts w:ascii="Arial" w:cs="Arial" w:eastAsia="Arial" w:hAnsi="Arial"/>
                <w:sz w:val="12"/>
                <w:szCs w:val="12"/>
                <w:color w:val="auto"/>
              </w:rPr>
              <w:t>0</w:t>
            </w:r>
          </w:p>
        </w:tc>
        <w:tc>
          <w:tcPr>
            <w:tcW w:w="60" w:type="dxa"/>
            <w:vAlign w:val="bottom"/>
            <w:shd w:val="clear" w:color="auto" w:fill="DBDBDB"/>
          </w:tcPr>
          <w:p>
            <w:pPr>
              <w:spacing w:after="0"/>
              <w:rPr>
                <w:sz w:val="18"/>
                <w:szCs w:val="18"/>
                <w:color w:val="auto"/>
              </w:rPr>
            </w:pPr>
          </w:p>
        </w:tc>
        <w:tc>
          <w:tcPr>
            <w:tcW w:w="280" w:type="dxa"/>
            <w:vAlign w:val="bottom"/>
            <w:shd w:val="clear" w:color="auto" w:fill="DBDBDB"/>
          </w:tcPr>
          <w:p>
            <w:pPr>
              <w:spacing w:after="0"/>
              <w:rPr>
                <w:sz w:val="18"/>
                <w:szCs w:val="18"/>
                <w:color w:val="auto"/>
              </w:rPr>
            </w:pPr>
          </w:p>
        </w:tc>
        <w:tc>
          <w:tcPr>
            <w:tcW w:w="840" w:type="dxa"/>
            <w:vAlign w:val="bottom"/>
            <w:shd w:val="clear" w:color="auto" w:fill="DBDBDB"/>
          </w:tcPr>
          <w:p>
            <w:pPr>
              <w:jc w:val="right"/>
              <w:spacing w:after="0"/>
              <w:rPr>
                <w:sz w:val="20"/>
                <w:szCs w:val="20"/>
                <w:color w:val="auto"/>
              </w:rPr>
            </w:pPr>
            <w:r>
              <w:rPr>
                <w:rFonts w:ascii="Arial" w:cs="Arial" w:eastAsia="Arial" w:hAnsi="Arial"/>
                <w:sz w:val="12"/>
                <w:szCs w:val="12"/>
                <w:color w:val="auto"/>
              </w:rPr>
              <w:t>0</w:t>
            </w:r>
          </w:p>
        </w:tc>
        <w:tc>
          <w:tcPr>
            <w:tcW w:w="380" w:type="dxa"/>
            <w:vAlign w:val="bottom"/>
            <w:shd w:val="clear" w:color="auto" w:fill="DBDBDB"/>
          </w:tcPr>
          <w:p>
            <w:pPr>
              <w:spacing w:after="0"/>
              <w:rPr>
                <w:sz w:val="18"/>
                <w:szCs w:val="18"/>
                <w:color w:val="auto"/>
              </w:rPr>
            </w:pPr>
          </w:p>
        </w:tc>
        <w:tc>
          <w:tcPr>
            <w:tcW w:w="680" w:type="dxa"/>
            <w:vAlign w:val="bottom"/>
            <w:shd w:val="clear" w:color="auto" w:fill="DBDBDB"/>
          </w:tcPr>
          <w:p>
            <w:pPr>
              <w:jc w:val="right"/>
              <w:spacing w:after="0"/>
              <w:rPr>
                <w:sz w:val="20"/>
                <w:szCs w:val="20"/>
                <w:color w:val="auto"/>
              </w:rPr>
            </w:pPr>
            <w:r>
              <w:rPr>
                <w:rFonts w:ascii="Arial" w:cs="Arial" w:eastAsia="Arial" w:hAnsi="Arial"/>
                <w:sz w:val="12"/>
                <w:szCs w:val="12"/>
                <w:color w:val="auto"/>
              </w:rPr>
              <w:t>0</w:t>
            </w:r>
          </w:p>
        </w:tc>
        <w:tc>
          <w:tcPr>
            <w:tcW w:w="360" w:type="dxa"/>
            <w:vAlign w:val="bottom"/>
            <w:shd w:val="clear" w:color="auto" w:fill="DBDBDB"/>
          </w:tcPr>
          <w:p>
            <w:pPr>
              <w:spacing w:after="0"/>
              <w:rPr>
                <w:sz w:val="18"/>
                <w:szCs w:val="18"/>
                <w:color w:val="auto"/>
              </w:rPr>
            </w:pPr>
          </w:p>
        </w:tc>
        <w:tc>
          <w:tcPr>
            <w:tcW w:w="660" w:type="dxa"/>
            <w:vAlign w:val="bottom"/>
            <w:shd w:val="clear" w:color="auto" w:fill="DBDBDB"/>
          </w:tcPr>
          <w:p>
            <w:pPr>
              <w:jc w:val="right"/>
              <w:spacing w:after="0"/>
              <w:rPr>
                <w:sz w:val="20"/>
                <w:szCs w:val="20"/>
                <w:color w:val="auto"/>
              </w:rPr>
            </w:pPr>
            <w:r>
              <w:rPr>
                <w:rFonts w:ascii="Arial" w:cs="Arial" w:eastAsia="Arial" w:hAnsi="Arial"/>
                <w:sz w:val="12"/>
                <w:szCs w:val="12"/>
                <w:color w:val="auto"/>
              </w:rPr>
              <w:t>0</w:t>
            </w:r>
          </w:p>
        </w:tc>
        <w:tc>
          <w:tcPr>
            <w:tcW w:w="480" w:type="dxa"/>
            <w:vAlign w:val="bottom"/>
            <w:shd w:val="clear" w:color="auto" w:fill="DBDBDB"/>
          </w:tcPr>
          <w:p>
            <w:pPr>
              <w:spacing w:after="0"/>
              <w:rPr>
                <w:sz w:val="18"/>
                <w:szCs w:val="18"/>
                <w:color w:val="auto"/>
              </w:rPr>
            </w:pPr>
          </w:p>
        </w:tc>
        <w:tc>
          <w:tcPr>
            <w:tcW w:w="1020" w:type="dxa"/>
            <w:vAlign w:val="bottom"/>
            <w:shd w:val="clear" w:color="auto" w:fill="DBDBDB"/>
          </w:tcPr>
          <w:p>
            <w:pPr>
              <w:jc w:val="right"/>
              <w:spacing w:after="0"/>
              <w:rPr>
                <w:sz w:val="20"/>
                <w:szCs w:val="20"/>
                <w:color w:val="auto"/>
              </w:rPr>
            </w:pPr>
            <w:r>
              <w:rPr>
                <w:rFonts w:ascii="Arial" w:cs="Arial" w:eastAsia="Arial" w:hAnsi="Arial"/>
                <w:sz w:val="12"/>
                <w:szCs w:val="12"/>
                <w:color w:val="auto"/>
              </w:rPr>
              <w:t>0</w:t>
            </w:r>
          </w:p>
        </w:tc>
        <w:tc>
          <w:tcPr>
            <w:tcW w:w="380" w:type="dxa"/>
            <w:vAlign w:val="bottom"/>
            <w:shd w:val="clear" w:color="auto" w:fill="DBDBDB"/>
          </w:tcPr>
          <w:p>
            <w:pPr>
              <w:spacing w:after="0"/>
              <w:rPr>
                <w:sz w:val="18"/>
                <w:szCs w:val="18"/>
                <w:color w:val="auto"/>
              </w:rPr>
            </w:pPr>
          </w:p>
        </w:tc>
        <w:tc>
          <w:tcPr>
            <w:tcW w:w="1180" w:type="dxa"/>
            <w:vAlign w:val="bottom"/>
            <w:shd w:val="clear" w:color="auto" w:fill="DBDBDB"/>
          </w:tcPr>
          <w:p>
            <w:pPr>
              <w:jc w:val="right"/>
              <w:spacing w:after="0"/>
              <w:rPr>
                <w:sz w:val="20"/>
                <w:szCs w:val="20"/>
                <w:color w:val="auto"/>
              </w:rPr>
            </w:pPr>
            <w:r>
              <w:rPr>
                <w:rFonts w:ascii="Arial" w:cs="Arial" w:eastAsia="Arial" w:hAnsi="Arial"/>
                <w:sz w:val="12"/>
                <w:szCs w:val="12"/>
                <w:color w:val="auto"/>
              </w:rPr>
              <w:t>0</w:t>
            </w:r>
          </w:p>
        </w:tc>
        <w:tc>
          <w:tcPr>
            <w:tcW w:w="380" w:type="dxa"/>
            <w:vAlign w:val="bottom"/>
            <w:shd w:val="clear" w:color="auto" w:fill="DBDBDB"/>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160" w:type="dxa"/>
            <w:vAlign w:val="bottom"/>
            <w:shd w:val="clear" w:color="auto" w:fill="DBDBDB"/>
          </w:tcPr>
          <w:p>
            <w:pPr>
              <w:ind w:left="220"/>
              <w:spacing w:after="0"/>
              <w:rPr>
                <w:sz w:val="20"/>
                <w:szCs w:val="20"/>
                <w:color w:val="auto"/>
              </w:rPr>
            </w:pPr>
            <w:r>
              <w:rPr>
                <w:rFonts w:ascii="Arial" w:cs="Arial" w:eastAsia="Arial" w:hAnsi="Arial"/>
                <w:sz w:val="12"/>
                <w:szCs w:val="12"/>
                <w:color w:val="auto"/>
              </w:rPr>
              <w:t>Unvested &amp; Accelerated Restricted Stock Units</w:t>
            </w:r>
            <w:r>
              <w:rPr>
                <w:rFonts w:ascii="Arial" w:cs="Arial" w:eastAsia="Arial" w:hAnsi="Arial"/>
                <w:sz w:val="16"/>
                <w:szCs w:val="16"/>
                <w:color w:val="auto"/>
                <w:vertAlign w:val="superscript"/>
              </w:rPr>
              <w:t>9</w:t>
            </w:r>
          </w:p>
        </w:tc>
        <w:tc>
          <w:tcPr>
            <w:tcW w:w="900" w:type="dxa"/>
            <w:vAlign w:val="bottom"/>
            <w:shd w:val="clear" w:color="auto" w:fill="DBDBDB"/>
          </w:tcPr>
          <w:p>
            <w:pPr>
              <w:jc w:val="right"/>
              <w:spacing w:after="0"/>
              <w:rPr>
                <w:sz w:val="20"/>
                <w:szCs w:val="20"/>
                <w:color w:val="auto"/>
              </w:rPr>
            </w:pPr>
            <w:r>
              <w:rPr>
                <w:rFonts w:ascii="Arial" w:cs="Arial" w:eastAsia="Arial" w:hAnsi="Arial"/>
                <w:sz w:val="12"/>
                <w:szCs w:val="12"/>
                <w:color w:val="auto"/>
              </w:rPr>
              <w:t>0</w:t>
            </w:r>
          </w:p>
        </w:tc>
        <w:tc>
          <w:tcPr>
            <w:tcW w:w="60" w:type="dxa"/>
            <w:vAlign w:val="bottom"/>
            <w:shd w:val="clear" w:color="auto" w:fill="DBDBDB"/>
          </w:tcPr>
          <w:p>
            <w:pPr>
              <w:spacing w:after="0"/>
              <w:rPr>
                <w:sz w:val="18"/>
                <w:szCs w:val="18"/>
                <w:color w:val="auto"/>
              </w:rPr>
            </w:pPr>
          </w:p>
        </w:tc>
        <w:tc>
          <w:tcPr>
            <w:tcW w:w="280" w:type="dxa"/>
            <w:vAlign w:val="bottom"/>
            <w:shd w:val="clear" w:color="auto" w:fill="DBDBDB"/>
          </w:tcPr>
          <w:p>
            <w:pPr>
              <w:spacing w:after="0"/>
              <w:rPr>
                <w:sz w:val="18"/>
                <w:szCs w:val="18"/>
                <w:color w:val="auto"/>
              </w:rPr>
            </w:pPr>
          </w:p>
        </w:tc>
        <w:tc>
          <w:tcPr>
            <w:tcW w:w="840" w:type="dxa"/>
            <w:vAlign w:val="bottom"/>
            <w:shd w:val="clear" w:color="auto" w:fill="DBDBDB"/>
          </w:tcPr>
          <w:p>
            <w:pPr>
              <w:jc w:val="right"/>
              <w:spacing w:after="0"/>
              <w:rPr>
                <w:sz w:val="20"/>
                <w:szCs w:val="20"/>
                <w:color w:val="auto"/>
              </w:rPr>
            </w:pPr>
            <w:r>
              <w:rPr>
                <w:rFonts w:ascii="Arial" w:cs="Arial" w:eastAsia="Arial" w:hAnsi="Arial"/>
                <w:sz w:val="12"/>
                <w:szCs w:val="12"/>
                <w:color w:val="auto"/>
              </w:rPr>
              <w:t>0</w:t>
            </w:r>
          </w:p>
        </w:tc>
        <w:tc>
          <w:tcPr>
            <w:tcW w:w="380" w:type="dxa"/>
            <w:vAlign w:val="bottom"/>
            <w:shd w:val="clear" w:color="auto" w:fill="DBDBDB"/>
          </w:tcPr>
          <w:p>
            <w:pPr>
              <w:spacing w:after="0"/>
              <w:rPr>
                <w:sz w:val="18"/>
                <w:szCs w:val="18"/>
                <w:color w:val="auto"/>
              </w:rPr>
            </w:pPr>
          </w:p>
        </w:tc>
        <w:tc>
          <w:tcPr>
            <w:tcW w:w="680" w:type="dxa"/>
            <w:vAlign w:val="bottom"/>
            <w:shd w:val="clear" w:color="auto" w:fill="DBDBDB"/>
          </w:tcPr>
          <w:p>
            <w:pPr>
              <w:jc w:val="right"/>
              <w:spacing w:after="0"/>
              <w:rPr>
                <w:sz w:val="20"/>
                <w:szCs w:val="20"/>
                <w:color w:val="auto"/>
              </w:rPr>
            </w:pPr>
            <w:r>
              <w:rPr>
                <w:rFonts w:ascii="Arial" w:cs="Arial" w:eastAsia="Arial" w:hAnsi="Arial"/>
                <w:sz w:val="12"/>
                <w:szCs w:val="12"/>
                <w:color w:val="auto"/>
              </w:rPr>
              <w:t>0</w:t>
            </w:r>
          </w:p>
        </w:tc>
        <w:tc>
          <w:tcPr>
            <w:tcW w:w="360" w:type="dxa"/>
            <w:vAlign w:val="bottom"/>
            <w:shd w:val="clear" w:color="auto" w:fill="DBDBDB"/>
          </w:tcPr>
          <w:p>
            <w:pPr>
              <w:spacing w:after="0"/>
              <w:rPr>
                <w:sz w:val="18"/>
                <w:szCs w:val="18"/>
                <w:color w:val="auto"/>
              </w:rPr>
            </w:pPr>
          </w:p>
        </w:tc>
        <w:tc>
          <w:tcPr>
            <w:tcW w:w="660" w:type="dxa"/>
            <w:vAlign w:val="bottom"/>
            <w:shd w:val="clear" w:color="auto" w:fill="DBDBDB"/>
          </w:tcPr>
          <w:p>
            <w:pPr>
              <w:jc w:val="right"/>
              <w:spacing w:after="0"/>
              <w:rPr>
                <w:sz w:val="20"/>
                <w:szCs w:val="20"/>
                <w:color w:val="auto"/>
              </w:rPr>
            </w:pPr>
            <w:r>
              <w:rPr>
                <w:rFonts w:ascii="Arial" w:cs="Arial" w:eastAsia="Arial" w:hAnsi="Arial"/>
                <w:sz w:val="12"/>
                <w:szCs w:val="12"/>
                <w:color w:val="auto"/>
              </w:rPr>
              <w:t>0</w:t>
            </w:r>
          </w:p>
        </w:tc>
        <w:tc>
          <w:tcPr>
            <w:tcW w:w="480" w:type="dxa"/>
            <w:vAlign w:val="bottom"/>
            <w:shd w:val="clear" w:color="auto" w:fill="DBDBDB"/>
          </w:tcPr>
          <w:p>
            <w:pPr>
              <w:spacing w:after="0"/>
              <w:rPr>
                <w:sz w:val="18"/>
                <w:szCs w:val="18"/>
                <w:color w:val="auto"/>
              </w:rPr>
            </w:pPr>
          </w:p>
        </w:tc>
        <w:tc>
          <w:tcPr>
            <w:tcW w:w="1020" w:type="dxa"/>
            <w:vAlign w:val="bottom"/>
            <w:shd w:val="clear" w:color="auto" w:fill="DBDBDB"/>
          </w:tcPr>
          <w:p>
            <w:pPr>
              <w:jc w:val="right"/>
              <w:spacing w:after="0"/>
              <w:rPr>
                <w:sz w:val="20"/>
                <w:szCs w:val="20"/>
                <w:color w:val="auto"/>
              </w:rPr>
            </w:pPr>
            <w:r>
              <w:rPr>
                <w:rFonts w:ascii="Arial" w:cs="Arial" w:eastAsia="Arial" w:hAnsi="Arial"/>
                <w:sz w:val="12"/>
                <w:szCs w:val="12"/>
                <w:color w:val="auto"/>
              </w:rPr>
              <w:t>428,686</w:t>
            </w:r>
          </w:p>
        </w:tc>
        <w:tc>
          <w:tcPr>
            <w:tcW w:w="380" w:type="dxa"/>
            <w:vAlign w:val="bottom"/>
            <w:shd w:val="clear" w:color="auto" w:fill="DBDBDB"/>
          </w:tcPr>
          <w:p>
            <w:pPr>
              <w:spacing w:after="0"/>
              <w:rPr>
                <w:sz w:val="18"/>
                <w:szCs w:val="18"/>
                <w:color w:val="auto"/>
              </w:rPr>
            </w:pPr>
          </w:p>
        </w:tc>
        <w:tc>
          <w:tcPr>
            <w:tcW w:w="1180" w:type="dxa"/>
            <w:vAlign w:val="bottom"/>
            <w:shd w:val="clear" w:color="auto" w:fill="DBDBDB"/>
          </w:tcPr>
          <w:p>
            <w:pPr>
              <w:jc w:val="right"/>
              <w:spacing w:after="0"/>
              <w:rPr>
                <w:sz w:val="20"/>
                <w:szCs w:val="20"/>
                <w:color w:val="auto"/>
              </w:rPr>
            </w:pPr>
            <w:r>
              <w:rPr>
                <w:rFonts w:ascii="Arial" w:cs="Arial" w:eastAsia="Arial" w:hAnsi="Arial"/>
                <w:sz w:val="12"/>
                <w:szCs w:val="12"/>
                <w:color w:val="auto"/>
              </w:rPr>
              <w:t>428,686</w:t>
            </w:r>
          </w:p>
        </w:tc>
        <w:tc>
          <w:tcPr>
            <w:tcW w:w="380" w:type="dxa"/>
            <w:vAlign w:val="bottom"/>
            <w:shd w:val="clear" w:color="auto" w:fill="DBDBDB"/>
          </w:tcPr>
          <w:p>
            <w:pPr>
              <w:jc w:val="right"/>
              <w:spacing w:after="0"/>
              <w:rPr>
                <w:sz w:val="20"/>
                <w:szCs w:val="20"/>
                <w:color w:val="auto"/>
              </w:rPr>
            </w:pPr>
            <w:r>
              <w:rPr>
                <w:rFonts w:ascii="Arial" w:cs="Arial" w:eastAsia="Arial" w:hAnsi="Arial"/>
                <w:sz w:val="12"/>
                <w:szCs w:val="12"/>
                <w:color w:val="auto"/>
              </w:rPr>
              <w:t>(9)</w:t>
            </w:r>
          </w:p>
        </w:tc>
        <w:tc>
          <w:tcPr>
            <w:tcW w:w="0" w:type="dxa"/>
            <w:vAlign w:val="bottom"/>
          </w:tcPr>
          <w:p>
            <w:pPr>
              <w:spacing w:after="0"/>
              <w:rPr>
                <w:sz w:val="1"/>
                <w:szCs w:val="1"/>
                <w:color w:val="auto"/>
              </w:rPr>
            </w:pPr>
          </w:p>
        </w:tc>
      </w:tr>
      <w:tr>
        <w:trPr>
          <w:trHeight w:val="173"/>
        </w:trPr>
        <w:tc>
          <w:tcPr>
            <w:tcW w:w="3160" w:type="dxa"/>
            <w:vAlign w:val="bottom"/>
            <w:shd w:val="clear" w:color="auto" w:fill="DBDBDB"/>
          </w:tcPr>
          <w:p>
            <w:pPr>
              <w:ind w:left="220"/>
              <w:spacing w:after="0"/>
              <w:rPr>
                <w:sz w:val="20"/>
                <w:szCs w:val="20"/>
                <w:color w:val="auto"/>
              </w:rPr>
            </w:pPr>
            <w:r>
              <w:rPr>
                <w:rFonts w:ascii="Arial" w:cs="Arial" w:eastAsia="Arial" w:hAnsi="Arial"/>
                <w:sz w:val="12"/>
                <w:szCs w:val="12"/>
                <w:color w:val="auto"/>
              </w:rPr>
              <w:t>Performance Share Award Payouts</w:t>
            </w:r>
          </w:p>
        </w:tc>
        <w:tc>
          <w:tcPr>
            <w:tcW w:w="900" w:type="dxa"/>
            <w:vAlign w:val="bottom"/>
            <w:shd w:val="clear" w:color="auto" w:fill="DBDBDB"/>
          </w:tcPr>
          <w:p>
            <w:pPr>
              <w:jc w:val="right"/>
              <w:spacing w:after="0"/>
              <w:rPr>
                <w:sz w:val="20"/>
                <w:szCs w:val="20"/>
                <w:color w:val="auto"/>
              </w:rPr>
            </w:pPr>
            <w:r>
              <w:rPr>
                <w:rFonts w:ascii="Arial" w:cs="Arial" w:eastAsia="Arial" w:hAnsi="Arial"/>
                <w:sz w:val="12"/>
                <w:szCs w:val="12"/>
                <w:color w:val="auto"/>
              </w:rPr>
              <w:t>22,543</w:t>
            </w:r>
          </w:p>
        </w:tc>
        <w:tc>
          <w:tcPr>
            <w:tcW w:w="60" w:type="dxa"/>
            <w:vAlign w:val="bottom"/>
            <w:shd w:val="clear" w:color="auto" w:fill="DBDBDB"/>
          </w:tcPr>
          <w:p>
            <w:pPr>
              <w:spacing w:after="0"/>
              <w:rPr>
                <w:sz w:val="15"/>
                <w:szCs w:val="15"/>
                <w:color w:val="auto"/>
              </w:rPr>
            </w:pPr>
          </w:p>
        </w:tc>
        <w:tc>
          <w:tcPr>
            <w:tcW w:w="280" w:type="dxa"/>
            <w:vAlign w:val="bottom"/>
            <w:shd w:val="clear" w:color="auto" w:fill="DBDBDB"/>
          </w:tcPr>
          <w:p>
            <w:pPr>
              <w:jc w:val="right"/>
              <w:ind w:right="18"/>
              <w:spacing w:after="0"/>
              <w:rPr>
                <w:sz w:val="20"/>
                <w:szCs w:val="20"/>
                <w:color w:val="auto"/>
              </w:rPr>
            </w:pPr>
            <w:r>
              <w:rPr>
                <w:rFonts w:ascii="Arial" w:cs="Arial" w:eastAsia="Arial" w:hAnsi="Arial"/>
                <w:sz w:val="12"/>
                <w:szCs w:val="12"/>
                <w:color w:val="auto"/>
              </w:rPr>
              <w:t>(4)</w:t>
            </w:r>
          </w:p>
        </w:tc>
        <w:tc>
          <w:tcPr>
            <w:tcW w:w="840" w:type="dxa"/>
            <w:vAlign w:val="bottom"/>
            <w:shd w:val="clear" w:color="auto" w:fill="DBDBDB"/>
          </w:tcPr>
          <w:p>
            <w:pPr>
              <w:jc w:val="right"/>
              <w:spacing w:after="0"/>
              <w:rPr>
                <w:sz w:val="20"/>
                <w:szCs w:val="20"/>
                <w:color w:val="auto"/>
              </w:rPr>
            </w:pPr>
            <w:r>
              <w:rPr>
                <w:rFonts w:ascii="Arial" w:cs="Arial" w:eastAsia="Arial" w:hAnsi="Arial"/>
                <w:sz w:val="12"/>
                <w:szCs w:val="12"/>
                <w:color w:val="auto"/>
              </w:rPr>
              <w:t>22,534</w:t>
            </w:r>
          </w:p>
        </w:tc>
        <w:tc>
          <w:tcPr>
            <w:tcW w:w="380" w:type="dxa"/>
            <w:vAlign w:val="bottom"/>
            <w:shd w:val="clear" w:color="auto" w:fill="DBDBDB"/>
          </w:tcPr>
          <w:p>
            <w:pPr>
              <w:jc w:val="right"/>
              <w:ind w:right="58"/>
              <w:spacing w:after="0"/>
              <w:rPr>
                <w:sz w:val="20"/>
                <w:szCs w:val="20"/>
                <w:color w:val="auto"/>
              </w:rPr>
            </w:pPr>
            <w:r>
              <w:rPr>
                <w:rFonts w:ascii="Arial" w:cs="Arial" w:eastAsia="Arial" w:hAnsi="Arial"/>
                <w:sz w:val="12"/>
                <w:szCs w:val="12"/>
                <w:color w:val="auto"/>
              </w:rPr>
              <w:t>(4)</w:t>
            </w:r>
          </w:p>
        </w:tc>
        <w:tc>
          <w:tcPr>
            <w:tcW w:w="680" w:type="dxa"/>
            <w:vAlign w:val="bottom"/>
            <w:shd w:val="clear" w:color="auto" w:fill="DBDBDB"/>
          </w:tcPr>
          <w:p>
            <w:pPr>
              <w:jc w:val="right"/>
              <w:spacing w:after="0"/>
              <w:rPr>
                <w:sz w:val="20"/>
                <w:szCs w:val="20"/>
                <w:color w:val="auto"/>
              </w:rPr>
            </w:pPr>
            <w:r>
              <w:rPr>
                <w:rFonts w:ascii="Arial" w:cs="Arial" w:eastAsia="Arial" w:hAnsi="Arial"/>
                <w:sz w:val="12"/>
                <w:szCs w:val="12"/>
                <w:color w:val="auto"/>
              </w:rPr>
              <w:t>0</w:t>
            </w:r>
          </w:p>
        </w:tc>
        <w:tc>
          <w:tcPr>
            <w:tcW w:w="360" w:type="dxa"/>
            <w:vAlign w:val="bottom"/>
            <w:shd w:val="clear" w:color="auto" w:fill="DBDBDB"/>
          </w:tcPr>
          <w:p>
            <w:pPr>
              <w:spacing w:after="0"/>
              <w:rPr>
                <w:sz w:val="15"/>
                <w:szCs w:val="15"/>
                <w:color w:val="auto"/>
              </w:rPr>
            </w:pPr>
          </w:p>
        </w:tc>
        <w:tc>
          <w:tcPr>
            <w:tcW w:w="660" w:type="dxa"/>
            <w:vAlign w:val="bottom"/>
            <w:shd w:val="clear" w:color="auto" w:fill="DBDBDB"/>
          </w:tcPr>
          <w:p>
            <w:pPr>
              <w:jc w:val="right"/>
              <w:spacing w:after="0"/>
              <w:rPr>
                <w:sz w:val="20"/>
                <w:szCs w:val="20"/>
                <w:color w:val="auto"/>
              </w:rPr>
            </w:pPr>
            <w:r>
              <w:rPr>
                <w:rFonts w:ascii="Arial" w:cs="Arial" w:eastAsia="Arial" w:hAnsi="Arial"/>
                <w:sz w:val="12"/>
                <w:szCs w:val="12"/>
                <w:color w:val="auto"/>
              </w:rPr>
              <w:t>0</w:t>
            </w:r>
          </w:p>
        </w:tc>
        <w:tc>
          <w:tcPr>
            <w:tcW w:w="480" w:type="dxa"/>
            <w:vAlign w:val="bottom"/>
            <w:shd w:val="clear" w:color="auto" w:fill="DBDBDB"/>
          </w:tcPr>
          <w:p>
            <w:pPr>
              <w:spacing w:after="0"/>
              <w:rPr>
                <w:sz w:val="15"/>
                <w:szCs w:val="15"/>
                <w:color w:val="auto"/>
              </w:rPr>
            </w:pPr>
          </w:p>
        </w:tc>
        <w:tc>
          <w:tcPr>
            <w:tcW w:w="1020" w:type="dxa"/>
            <w:vAlign w:val="bottom"/>
            <w:shd w:val="clear" w:color="auto" w:fill="DBDBDB"/>
          </w:tcPr>
          <w:p>
            <w:pPr>
              <w:jc w:val="right"/>
              <w:spacing w:after="0"/>
              <w:rPr>
                <w:sz w:val="20"/>
                <w:szCs w:val="20"/>
                <w:color w:val="auto"/>
              </w:rPr>
            </w:pPr>
            <w:r>
              <w:rPr>
                <w:rFonts w:ascii="Arial" w:cs="Arial" w:eastAsia="Arial" w:hAnsi="Arial"/>
                <w:sz w:val="12"/>
                <w:szCs w:val="12"/>
                <w:color w:val="auto"/>
              </w:rPr>
              <w:t>300,351</w:t>
            </w:r>
          </w:p>
        </w:tc>
        <w:tc>
          <w:tcPr>
            <w:tcW w:w="380" w:type="dxa"/>
            <w:vAlign w:val="bottom"/>
            <w:shd w:val="clear" w:color="auto" w:fill="DBDBDB"/>
          </w:tcPr>
          <w:p>
            <w:pPr>
              <w:jc w:val="right"/>
              <w:ind w:right="58"/>
              <w:spacing w:after="0"/>
              <w:rPr>
                <w:sz w:val="20"/>
                <w:szCs w:val="20"/>
                <w:color w:val="auto"/>
              </w:rPr>
            </w:pPr>
            <w:r>
              <w:rPr>
                <w:rFonts w:ascii="Arial" w:cs="Arial" w:eastAsia="Arial" w:hAnsi="Arial"/>
                <w:sz w:val="12"/>
                <w:szCs w:val="12"/>
                <w:color w:val="auto"/>
              </w:rPr>
              <w:t>(5)</w:t>
            </w:r>
          </w:p>
        </w:tc>
        <w:tc>
          <w:tcPr>
            <w:tcW w:w="1180" w:type="dxa"/>
            <w:vAlign w:val="bottom"/>
            <w:shd w:val="clear" w:color="auto" w:fill="DBDBDB"/>
          </w:tcPr>
          <w:p>
            <w:pPr>
              <w:jc w:val="right"/>
              <w:spacing w:after="0"/>
              <w:rPr>
                <w:sz w:val="20"/>
                <w:szCs w:val="20"/>
                <w:color w:val="auto"/>
              </w:rPr>
            </w:pPr>
            <w:r>
              <w:rPr>
                <w:rFonts w:ascii="Arial" w:cs="Arial" w:eastAsia="Arial" w:hAnsi="Arial"/>
                <w:sz w:val="12"/>
                <w:szCs w:val="12"/>
                <w:color w:val="auto"/>
              </w:rPr>
              <w:t>300,351</w:t>
            </w:r>
          </w:p>
        </w:tc>
        <w:tc>
          <w:tcPr>
            <w:tcW w:w="380" w:type="dxa"/>
            <w:vAlign w:val="bottom"/>
            <w:shd w:val="clear" w:color="auto" w:fill="DBDBDB"/>
          </w:tcPr>
          <w:p>
            <w:pPr>
              <w:jc w:val="right"/>
              <w:ind w:right="38"/>
              <w:spacing w:after="0"/>
              <w:rPr>
                <w:sz w:val="20"/>
                <w:szCs w:val="20"/>
                <w:color w:val="auto"/>
              </w:rPr>
            </w:pPr>
            <w:r>
              <w:rPr>
                <w:rFonts w:ascii="Arial" w:cs="Arial" w:eastAsia="Arial" w:hAnsi="Arial"/>
                <w:sz w:val="12"/>
                <w:szCs w:val="12"/>
                <w:color w:val="auto"/>
              </w:rPr>
              <w:t>(5)</w:t>
            </w:r>
          </w:p>
        </w:tc>
        <w:tc>
          <w:tcPr>
            <w:tcW w:w="0" w:type="dxa"/>
            <w:vAlign w:val="bottom"/>
          </w:tcPr>
          <w:p>
            <w:pPr>
              <w:spacing w:after="0"/>
              <w:rPr>
                <w:sz w:val="1"/>
                <w:szCs w:val="1"/>
                <w:color w:val="auto"/>
              </w:rPr>
            </w:pPr>
          </w:p>
        </w:tc>
      </w:tr>
      <w:tr>
        <w:trPr>
          <w:trHeight w:val="240"/>
        </w:trPr>
        <w:tc>
          <w:tcPr>
            <w:tcW w:w="3160" w:type="dxa"/>
            <w:vAlign w:val="bottom"/>
            <w:shd w:val="clear" w:color="auto" w:fill="DBDBDB"/>
          </w:tcPr>
          <w:p>
            <w:pPr>
              <w:ind w:left="220"/>
              <w:spacing w:after="0"/>
              <w:rPr>
                <w:sz w:val="20"/>
                <w:szCs w:val="20"/>
                <w:color w:val="auto"/>
              </w:rPr>
            </w:pPr>
            <w:r>
              <w:rPr>
                <w:rFonts w:ascii="Arial" w:cs="Arial" w:eastAsia="Arial" w:hAnsi="Arial"/>
                <w:sz w:val="12"/>
                <w:szCs w:val="12"/>
                <w:color w:val="auto"/>
              </w:rPr>
              <w:t>Welfare Plan Benefits</w:t>
            </w:r>
            <w:r>
              <w:rPr>
                <w:rFonts w:ascii="Arial" w:cs="Arial" w:eastAsia="Arial" w:hAnsi="Arial"/>
                <w:sz w:val="16"/>
                <w:szCs w:val="16"/>
                <w:color w:val="auto"/>
                <w:vertAlign w:val="superscript"/>
              </w:rPr>
              <w:t>6</w:t>
            </w:r>
          </w:p>
        </w:tc>
        <w:tc>
          <w:tcPr>
            <w:tcW w:w="900" w:type="dxa"/>
            <w:vAlign w:val="bottom"/>
            <w:shd w:val="clear" w:color="auto" w:fill="DBDBDB"/>
          </w:tcPr>
          <w:p>
            <w:pPr>
              <w:jc w:val="right"/>
              <w:spacing w:after="0"/>
              <w:rPr>
                <w:sz w:val="20"/>
                <w:szCs w:val="20"/>
                <w:color w:val="auto"/>
              </w:rPr>
            </w:pPr>
            <w:r>
              <w:rPr>
                <w:rFonts w:ascii="Arial" w:cs="Arial" w:eastAsia="Arial" w:hAnsi="Arial"/>
                <w:sz w:val="12"/>
                <w:szCs w:val="12"/>
                <w:color w:val="auto"/>
              </w:rPr>
              <w:t>0</w:t>
            </w:r>
          </w:p>
        </w:tc>
        <w:tc>
          <w:tcPr>
            <w:tcW w:w="60" w:type="dxa"/>
            <w:vAlign w:val="bottom"/>
            <w:shd w:val="clear" w:color="auto" w:fill="DBDBDB"/>
          </w:tcPr>
          <w:p>
            <w:pPr>
              <w:spacing w:after="0"/>
              <w:rPr>
                <w:sz w:val="20"/>
                <w:szCs w:val="20"/>
                <w:color w:val="auto"/>
              </w:rPr>
            </w:pPr>
          </w:p>
        </w:tc>
        <w:tc>
          <w:tcPr>
            <w:tcW w:w="280" w:type="dxa"/>
            <w:vAlign w:val="bottom"/>
            <w:shd w:val="clear" w:color="auto" w:fill="DBDBDB"/>
          </w:tcPr>
          <w:p>
            <w:pPr>
              <w:spacing w:after="0"/>
              <w:rPr>
                <w:sz w:val="20"/>
                <w:szCs w:val="20"/>
                <w:color w:val="auto"/>
              </w:rPr>
            </w:pPr>
          </w:p>
        </w:tc>
        <w:tc>
          <w:tcPr>
            <w:tcW w:w="840" w:type="dxa"/>
            <w:vAlign w:val="bottom"/>
            <w:shd w:val="clear" w:color="auto" w:fill="DBDBDB"/>
          </w:tcPr>
          <w:p>
            <w:pPr>
              <w:jc w:val="right"/>
              <w:spacing w:after="0"/>
              <w:rPr>
                <w:sz w:val="20"/>
                <w:szCs w:val="20"/>
                <w:color w:val="auto"/>
              </w:rPr>
            </w:pPr>
            <w:r>
              <w:rPr>
                <w:rFonts w:ascii="Arial" w:cs="Arial" w:eastAsia="Arial" w:hAnsi="Arial"/>
                <w:sz w:val="12"/>
                <w:szCs w:val="12"/>
                <w:color w:val="auto"/>
              </w:rPr>
              <w:t>0</w:t>
            </w:r>
          </w:p>
        </w:tc>
        <w:tc>
          <w:tcPr>
            <w:tcW w:w="380" w:type="dxa"/>
            <w:vAlign w:val="bottom"/>
            <w:shd w:val="clear" w:color="auto" w:fill="DBDBDB"/>
          </w:tcPr>
          <w:p>
            <w:pPr>
              <w:spacing w:after="0"/>
              <w:rPr>
                <w:sz w:val="20"/>
                <w:szCs w:val="20"/>
                <w:color w:val="auto"/>
              </w:rPr>
            </w:pPr>
          </w:p>
        </w:tc>
        <w:tc>
          <w:tcPr>
            <w:tcW w:w="680" w:type="dxa"/>
            <w:vAlign w:val="bottom"/>
            <w:shd w:val="clear" w:color="auto" w:fill="DBDBDB"/>
          </w:tcPr>
          <w:p>
            <w:pPr>
              <w:jc w:val="right"/>
              <w:spacing w:after="0"/>
              <w:rPr>
                <w:sz w:val="20"/>
                <w:szCs w:val="20"/>
                <w:color w:val="auto"/>
              </w:rPr>
            </w:pPr>
            <w:r>
              <w:rPr>
                <w:rFonts w:ascii="Arial" w:cs="Arial" w:eastAsia="Arial" w:hAnsi="Arial"/>
                <w:sz w:val="12"/>
                <w:szCs w:val="12"/>
                <w:color w:val="auto"/>
              </w:rPr>
              <w:t>0</w:t>
            </w:r>
          </w:p>
        </w:tc>
        <w:tc>
          <w:tcPr>
            <w:tcW w:w="360" w:type="dxa"/>
            <w:vAlign w:val="bottom"/>
            <w:shd w:val="clear" w:color="auto" w:fill="DBDBDB"/>
          </w:tcPr>
          <w:p>
            <w:pPr>
              <w:spacing w:after="0"/>
              <w:rPr>
                <w:sz w:val="20"/>
                <w:szCs w:val="20"/>
                <w:color w:val="auto"/>
              </w:rPr>
            </w:pPr>
          </w:p>
        </w:tc>
        <w:tc>
          <w:tcPr>
            <w:tcW w:w="660" w:type="dxa"/>
            <w:vAlign w:val="bottom"/>
            <w:shd w:val="clear" w:color="auto" w:fill="DBDBDB"/>
          </w:tcPr>
          <w:p>
            <w:pPr>
              <w:jc w:val="right"/>
              <w:spacing w:after="0"/>
              <w:rPr>
                <w:sz w:val="20"/>
                <w:szCs w:val="20"/>
                <w:color w:val="auto"/>
              </w:rPr>
            </w:pPr>
            <w:r>
              <w:rPr>
                <w:rFonts w:ascii="Arial" w:cs="Arial" w:eastAsia="Arial" w:hAnsi="Arial"/>
                <w:sz w:val="12"/>
                <w:szCs w:val="12"/>
                <w:color w:val="auto"/>
              </w:rPr>
              <w:t>0</w:t>
            </w:r>
          </w:p>
        </w:tc>
        <w:tc>
          <w:tcPr>
            <w:tcW w:w="480" w:type="dxa"/>
            <w:vAlign w:val="bottom"/>
            <w:shd w:val="clear" w:color="auto" w:fill="DBDBDB"/>
          </w:tcPr>
          <w:p>
            <w:pPr>
              <w:spacing w:after="0"/>
              <w:rPr>
                <w:sz w:val="20"/>
                <w:szCs w:val="20"/>
                <w:color w:val="auto"/>
              </w:rPr>
            </w:pPr>
          </w:p>
        </w:tc>
        <w:tc>
          <w:tcPr>
            <w:tcW w:w="1020" w:type="dxa"/>
            <w:vAlign w:val="bottom"/>
            <w:shd w:val="clear" w:color="auto" w:fill="DBDBDB"/>
          </w:tcPr>
          <w:p>
            <w:pPr>
              <w:jc w:val="right"/>
              <w:spacing w:after="0"/>
              <w:rPr>
                <w:sz w:val="20"/>
                <w:szCs w:val="20"/>
                <w:color w:val="auto"/>
              </w:rPr>
            </w:pPr>
            <w:r>
              <w:rPr>
                <w:rFonts w:ascii="Arial" w:cs="Arial" w:eastAsia="Arial" w:hAnsi="Arial"/>
                <w:sz w:val="12"/>
                <w:szCs w:val="12"/>
                <w:color w:val="auto"/>
              </w:rPr>
              <w:t>0</w:t>
            </w:r>
          </w:p>
        </w:tc>
        <w:tc>
          <w:tcPr>
            <w:tcW w:w="380" w:type="dxa"/>
            <w:vAlign w:val="bottom"/>
            <w:shd w:val="clear" w:color="auto" w:fill="DBDBDB"/>
          </w:tcPr>
          <w:p>
            <w:pPr>
              <w:spacing w:after="0"/>
              <w:rPr>
                <w:sz w:val="20"/>
                <w:szCs w:val="20"/>
                <w:color w:val="auto"/>
              </w:rPr>
            </w:pPr>
          </w:p>
        </w:tc>
        <w:tc>
          <w:tcPr>
            <w:tcW w:w="1180" w:type="dxa"/>
            <w:vAlign w:val="bottom"/>
            <w:shd w:val="clear" w:color="auto" w:fill="DBDBDB"/>
          </w:tcPr>
          <w:p>
            <w:pPr>
              <w:jc w:val="right"/>
              <w:spacing w:after="0"/>
              <w:rPr>
                <w:sz w:val="20"/>
                <w:szCs w:val="20"/>
                <w:color w:val="auto"/>
              </w:rPr>
            </w:pPr>
            <w:r>
              <w:rPr>
                <w:rFonts w:ascii="Arial" w:cs="Arial" w:eastAsia="Arial" w:hAnsi="Arial"/>
                <w:sz w:val="12"/>
                <w:szCs w:val="12"/>
                <w:color w:val="auto"/>
              </w:rPr>
              <w:t>68,784</w:t>
            </w:r>
          </w:p>
        </w:tc>
        <w:tc>
          <w:tcPr>
            <w:tcW w:w="380" w:type="dxa"/>
            <w:vAlign w:val="bottom"/>
            <w:shd w:val="clear" w:color="auto" w:fill="DBDBDB"/>
          </w:tcPr>
          <w:p>
            <w:pPr>
              <w:spacing w:after="0"/>
              <w:rPr>
                <w:sz w:val="20"/>
                <w:szCs w:val="20"/>
                <w:color w:val="auto"/>
              </w:rPr>
            </w:pPr>
          </w:p>
        </w:tc>
        <w:tc>
          <w:tcPr>
            <w:tcW w:w="0" w:type="dxa"/>
            <w:vAlign w:val="bottom"/>
          </w:tcPr>
          <w:p>
            <w:pPr>
              <w:spacing w:after="0"/>
              <w:rPr>
                <w:sz w:val="1"/>
                <w:szCs w:val="1"/>
                <w:color w:val="auto"/>
              </w:rPr>
            </w:pPr>
          </w:p>
        </w:tc>
      </w:tr>
      <w:tr>
        <w:trPr>
          <w:trHeight w:val="213"/>
        </w:trPr>
        <w:tc>
          <w:tcPr>
            <w:tcW w:w="3160" w:type="dxa"/>
            <w:vAlign w:val="bottom"/>
            <w:shd w:val="clear" w:color="auto" w:fill="DBDBDB"/>
          </w:tcPr>
          <w:p>
            <w:pPr>
              <w:ind w:left="220"/>
              <w:spacing w:after="0"/>
              <w:rPr>
                <w:sz w:val="20"/>
                <w:szCs w:val="20"/>
                <w:color w:val="auto"/>
              </w:rPr>
            </w:pPr>
            <w:r>
              <w:rPr>
                <w:rFonts w:ascii="Arial" w:cs="Arial" w:eastAsia="Arial" w:hAnsi="Arial"/>
                <w:sz w:val="12"/>
                <w:szCs w:val="12"/>
                <w:color w:val="auto"/>
              </w:rPr>
              <w:t>Outplacement Services</w:t>
            </w:r>
            <w:r>
              <w:rPr>
                <w:rFonts w:ascii="Arial" w:cs="Arial" w:eastAsia="Arial" w:hAnsi="Arial"/>
                <w:sz w:val="16"/>
                <w:szCs w:val="16"/>
                <w:color w:val="auto"/>
                <w:vertAlign w:val="superscript"/>
              </w:rPr>
              <w:t>7</w:t>
            </w:r>
          </w:p>
        </w:tc>
        <w:tc>
          <w:tcPr>
            <w:tcW w:w="900" w:type="dxa"/>
            <w:vAlign w:val="bottom"/>
            <w:shd w:val="clear" w:color="auto" w:fill="DBDBDB"/>
          </w:tcPr>
          <w:p>
            <w:pPr>
              <w:jc w:val="right"/>
              <w:spacing w:after="0"/>
              <w:rPr>
                <w:sz w:val="20"/>
                <w:szCs w:val="20"/>
                <w:color w:val="auto"/>
              </w:rPr>
            </w:pPr>
            <w:r>
              <w:rPr>
                <w:rFonts w:ascii="Arial" w:cs="Arial" w:eastAsia="Arial" w:hAnsi="Arial"/>
                <w:sz w:val="12"/>
                <w:szCs w:val="12"/>
                <w:color w:val="auto"/>
              </w:rPr>
              <w:t>0</w:t>
            </w:r>
          </w:p>
        </w:tc>
        <w:tc>
          <w:tcPr>
            <w:tcW w:w="60" w:type="dxa"/>
            <w:vAlign w:val="bottom"/>
            <w:shd w:val="clear" w:color="auto" w:fill="DBDBDB"/>
          </w:tcPr>
          <w:p>
            <w:pPr>
              <w:spacing w:after="0"/>
              <w:rPr>
                <w:sz w:val="18"/>
                <w:szCs w:val="18"/>
                <w:color w:val="auto"/>
              </w:rPr>
            </w:pPr>
          </w:p>
        </w:tc>
        <w:tc>
          <w:tcPr>
            <w:tcW w:w="280" w:type="dxa"/>
            <w:vAlign w:val="bottom"/>
            <w:shd w:val="clear" w:color="auto" w:fill="DBDBDB"/>
          </w:tcPr>
          <w:p>
            <w:pPr>
              <w:spacing w:after="0"/>
              <w:rPr>
                <w:sz w:val="18"/>
                <w:szCs w:val="18"/>
                <w:color w:val="auto"/>
              </w:rPr>
            </w:pPr>
          </w:p>
        </w:tc>
        <w:tc>
          <w:tcPr>
            <w:tcW w:w="840" w:type="dxa"/>
            <w:vAlign w:val="bottom"/>
            <w:shd w:val="clear" w:color="auto" w:fill="DBDBDB"/>
          </w:tcPr>
          <w:p>
            <w:pPr>
              <w:jc w:val="right"/>
              <w:spacing w:after="0"/>
              <w:rPr>
                <w:sz w:val="20"/>
                <w:szCs w:val="20"/>
                <w:color w:val="auto"/>
              </w:rPr>
            </w:pPr>
            <w:r>
              <w:rPr>
                <w:rFonts w:ascii="Arial" w:cs="Arial" w:eastAsia="Arial" w:hAnsi="Arial"/>
                <w:sz w:val="12"/>
                <w:szCs w:val="12"/>
                <w:color w:val="auto"/>
              </w:rPr>
              <w:t>0</w:t>
            </w:r>
          </w:p>
        </w:tc>
        <w:tc>
          <w:tcPr>
            <w:tcW w:w="380" w:type="dxa"/>
            <w:vAlign w:val="bottom"/>
            <w:shd w:val="clear" w:color="auto" w:fill="DBDBDB"/>
          </w:tcPr>
          <w:p>
            <w:pPr>
              <w:spacing w:after="0"/>
              <w:rPr>
                <w:sz w:val="18"/>
                <w:szCs w:val="18"/>
                <w:color w:val="auto"/>
              </w:rPr>
            </w:pPr>
          </w:p>
        </w:tc>
        <w:tc>
          <w:tcPr>
            <w:tcW w:w="680" w:type="dxa"/>
            <w:vAlign w:val="bottom"/>
            <w:shd w:val="clear" w:color="auto" w:fill="DBDBDB"/>
          </w:tcPr>
          <w:p>
            <w:pPr>
              <w:jc w:val="right"/>
              <w:spacing w:after="0"/>
              <w:rPr>
                <w:sz w:val="20"/>
                <w:szCs w:val="20"/>
                <w:color w:val="auto"/>
              </w:rPr>
            </w:pPr>
            <w:r>
              <w:rPr>
                <w:rFonts w:ascii="Arial" w:cs="Arial" w:eastAsia="Arial" w:hAnsi="Arial"/>
                <w:sz w:val="12"/>
                <w:szCs w:val="12"/>
                <w:color w:val="auto"/>
              </w:rPr>
              <w:t>0</w:t>
            </w:r>
          </w:p>
        </w:tc>
        <w:tc>
          <w:tcPr>
            <w:tcW w:w="360" w:type="dxa"/>
            <w:vAlign w:val="bottom"/>
            <w:shd w:val="clear" w:color="auto" w:fill="DBDBDB"/>
          </w:tcPr>
          <w:p>
            <w:pPr>
              <w:spacing w:after="0"/>
              <w:rPr>
                <w:sz w:val="18"/>
                <w:szCs w:val="18"/>
                <w:color w:val="auto"/>
              </w:rPr>
            </w:pPr>
          </w:p>
        </w:tc>
        <w:tc>
          <w:tcPr>
            <w:tcW w:w="660" w:type="dxa"/>
            <w:vAlign w:val="bottom"/>
            <w:shd w:val="clear" w:color="auto" w:fill="DBDBDB"/>
          </w:tcPr>
          <w:p>
            <w:pPr>
              <w:jc w:val="right"/>
              <w:spacing w:after="0"/>
              <w:rPr>
                <w:sz w:val="20"/>
                <w:szCs w:val="20"/>
                <w:color w:val="auto"/>
              </w:rPr>
            </w:pPr>
            <w:r>
              <w:rPr>
                <w:rFonts w:ascii="Arial" w:cs="Arial" w:eastAsia="Arial" w:hAnsi="Arial"/>
                <w:sz w:val="12"/>
                <w:szCs w:val="12"/>
                <w:color w:val="auto"/>
              </w:rPr>
              <w:t>0</w:t>
            </w:r>
          </w:p>
        </w:tc>
        <w:tc>
          <w:tcPr>
            <w:tcW w:w="480" w:type="dxa"/>
            <w:vAlign w:val="bottom"/>
            <w:shd w:val="clear" w:color="auto" w:fill="DBDBDB"/>
          </w:tcPr>
          <w:p>
            <w:pPr>
              <w:spacing w:after="0"/>
              <w:rPr>
                <w:sz w:val="18"/>
                <w:szCs w:val="18"/>
                <w:color w:val="auto"/>
              </w:rPr>
            </w:pPr>
          </w:p>
        </w:tc>
        <w:tc>
          <w:tcPr>
            <w:tcW w:w="1020" w:type="dxa"/>
            <w:vAlign w:val="bottom"/>
            <w:shd w:val="clear" w:color="auto" w:fill="DBDBDB"/>
          </w:tcPr>
          <w:p>
            <w:pPr>
              <w:jc w:val="right"/>
              <w:spacing w:after="0"/>
              <w:rPr>
                <w:sz w:val="20"/>
                <w:szCs w:val="20"/>
                <w:color w:val="auto"/>
              </w:rPr>
            </w:pPr>
            <w:r>
              <w:rPr>
                <w:rFonts w:ascii="Arial" w:cs="Arial" w:eastAsia="Arial" w:hAnsi="Arial"/>
                <w:sz w:val="12"/>
                <w:szCs w:val="12"/>
                <w:color w:val="auto"/>
              </w:rPr>
              <w:t>0</w:t>
            </w:r>
          </w:p>
        </w:tc>
        <w:tc>
          <w:tcPr>
            <w:tcW w:w="380" w:type="dxa"/>
            <w:vAlign w:val="bottom"/>
            <w:shd w:val="clear" w:color="auto" w:fill="DBDBDB"/>
          </w:tcPr>
          <w:p>
            <w:pPr>
              <w:spacing w:after="0"/>
              <w:rPr>
                <w:sz w:val="18"/>
                <w:szCs w:val="18"/>
                <w:color w:val="auto"/>
              </w:rPr>
            </w:pPr>
          </w:p>
        </w:tc>
        <w:tc>
          <w:tcPr>
            <w:tcW w:w="1180" w:type="dxa"/>
            <w:vAlign w:val="bottom"/>
            <w:shd w:val="clear" w:color="auto" w:fill="DBDBDB"/>
          </w:tcPr>
          <w:p>
            <w:pPr>
              <w:jc w:val="right"/>
              <w:spacing w:after="0"/>
              <w:rPr>
                <w:sz w:val="20"/>
                <w:szCs w:val="20"/>
                <w:color w:val="auto"/>
              </w:rPr>
            </w:pPr>
            <w:r>
              <w:rPr>
                <w:rFonts w:ascii="Arial" w:cs="Arial" w:eastAsia="Arial" w:hAnsi="Arial"/>
                <w:sz w:val="12"/>
                <w:szCs w:val="12"/>
                <w:color w:val="auto"/>
              </w:rPr>
              <w:t>30,000</w:t>
            </w:r>
          </w:p>
        </w:tc>
        <w:tc>
          <w:tcPr>
            <w:tcW w:w="380" w:type="dxa"/>
            <w:vAlign w:val="bottom"/>
            <w:shd w:val="clear" w:color="auto" w:fill="DBDBDB"/>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160" w:type="dxa"/>
            <w:vAlign w:val="bottom"/>
            <w:tcBorders>
              <w:bottom w:val="single" w:sz="8" w:color="DBDBDB"/>
            </w:tcBorders>
            <w:shd w:val="clear" w:color="auto" w:fill="DBDBDB"/>
          </w:tcPr>
          <w:p>
            <w:pPr>
              <w:ind w:left="220"/>
              <w:spacing w:after="0"/>
              <w:rPr>
                <w:sz w:val="20"/>
                <w:szCs w:val="20"/>
                <w:color w:val="auto"/>
              </w:rPr>
            </w:pPr>
            <w:r>
              <w:rPr>
                <w:rFonts w:ascii="Arial" w:cs="Arial" w:eastAsia="Arial" w:hAnsi="Arial"/>
                <w:sz w:val="12"/>
                <w:szCs w:val="12"/>
                <w:color w:val="auto"/>
              </w:rPr>
              <w:t>Perquisites</w:t>
            </w:r>
            <w:r>
              <w:rPr>
                <w:rFonts w:ascii="Arial" w:cs="Arial" w:eastAsia="Arial" w:hAnsi="Arial"/>
                <w:sz w:val="16"/>
                <w:szCs w:val="16"/>
                <w:color w:val="auto"/>
                <w:vertAlign w:val="superscript"/>
              </w:rPr>
              <w:t>8</w:t>
            </w:r>
          </w:p>
        </w:tc>
        <w:tc>
          <w:tcPr>
            <w:tcW w:w="9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2"/>
                <w:szCs w:val="12"/>
                <w:color w:val="auto"/>
              </w:rPr>
              <w:t>30,229</w:t>
            </w:r>
          </w:p>
        </w:tc>
        <w:tc>
          <w:tcPr>
            <w:tcW w:w="60" w:type="dxa"/>
            <w:vAlign w:val="bottom"/>
            <w:tcBorders>
              <w:bottom w:val="single" w:sz="8" w:color="DBDBDB"/>
            </w:tcBorders>
            <w:shd w:val="clear" w:color="auto" w:fill="DBDBDB"/>
          </w:tcPr>
          <w:p>
            <w:pPr>
              <w:spacing w:after="0"/>
              <w:rPr>
                <w:sz w:val="18"/>
                <w:szCs w:val="18"/>
                <w:color w:val="auto"/>
              </w:rPr>
            </w:pPr>
          </w:p>
        </w:tc>
        <w:tc>
          <w:tcPr>
            <w:tcW w:w="280" w:type="dxa"/>
            <w:vAlign w:val="bottom"/>
            <w:tcBorders>
              <w:bottom w:val="single" w:sz="8" w:color="DBDBDB"/>
            </w:tcBorders>
            <w:shd w:val="clear" w:color="auto" w:fill="DBDBDB"/>
          </w:tcPr>
          <w:p>
            <w:pPr>
              <w:spacing w:after="0"/>
              <w:rPr>
                <w:sz w:val="18"/>
                <w:szCs w:val="18"/>
                <w:color w:val="auto"/>
              </w:rPr>
            </w:pPr>
          </w:p>
        </w:tc>
        <w:tc>
          <w:tcPr>
            <w:tcW w:w="8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2"/>
                <w:szCs w:val="12"/>
                <w:color w:val="auto"/>
              </w:rPr>
              <w:t>0</w:t>
            </w:r>
          </w:p>
        </w:tc>
        <w:tc>
          <w:tcPr>
            <w:tcW w:w="380" w:type="dxa"/>
            <w:vAlign w:val="bottom"/>
            <w:tcBorders>
              <w:bottom w:val="single" w:sz="8" w:color="DBDBDB"/>
            </w:tcBorders>
            <w:shd w:val="clear" w:color="auto" w:fill="DBDBDB"/>
          </w:tcPr>
          <w:p>
            <w:pPr>
              <w:spacing w:after="0"/>
              <w:rPr>
                <w:sz w:val="18"/>
                <w:szCs w:val="18"/>
                <w:color w:val="auto"/>
              </w:rPr>
            </w:pPr>
          </w:p>
        </w:tc>
        <w:tc>
          <w:tcPr>
            <w:tcW w:w="6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2"/>
                <w:szCs w:val="12"/>
                <w:color w:val="auto"/>
              </w:rPr>
              <w:t>0</w:t>
            </w:r>
          </w:p>
        </w:tc>
        <w:tc>
          <w:tcPr>
            <w:tcW w:w="360" w:type="dxa"/>
            <w:vAlign w:val="bottom"/>
            <w:tcBorders>
              <w:bottom w:val="single" w:sz="8" w:color="DBDBDB"/>
            </w:tcBorders>
            <w:shd w:val="clear" w:color="auto" w:fill="DBDBDB"/>
          </w:tcPr>
          <w:p>
            <w:pPr>
              <w:spacing w:after="0"/>
              <w:rPr>
                <w:sz w:val="18"/>
                <w:szCs w:val="18"/>
                <w:color w:val="auto"/>
              </w:rPr>
            </w:pPr>
          </w:p>
        </w:tc>
        <w:tc>
          <w:tcPr>
            <w:tcW w:w="6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2"/>
                <w:szCs w:val="12"/>
                <w:color w:val="auto"/>
              </w:rPr>
              <w:t>0</w:t>
            </w:r>
          </w:p>
        </w:tc>
        <w:tc>
          <w:tcPr>
            <w:tcW w:w="480" w:type="dxa"/>
            <w:vAlign w:val="bottom"/>
            <w:tcBorders>
              <w:bottom w:val="single" w:sz="8" w:color="DBDBDB"/>
            </w:tcBorders>
            <w:shd w:val="clear" w:color="auto" w:fill="DBDBDB"/>
          </w:tcPr>
          <w:p>
            <w:pPr>
              <w:spacing w:after="0"/>
              <w:rPr>
                <w:sz w:val="18"/>
                <w:szCs w:val="18"/>
                <w:color w:val="auto"/>
              </w:rPr>
            </w:pPr>
          </w:p>
        </w:tc>
        <w:tc>
          <w:tcPr>
            <w:tcW w:w="10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2"/>
                <w:szCs w:val="12"/>
                <w:color w:val="auto"/>
              </w:rPr>
              <w:t>0</w:t>
            </w:r>
          </w:p>
        </w:tc>
        <w:tc>
          <w:tcPr>
            <w:tcW w:w="380" w:type="dxa"/>
            <w:vAlign w:val="bottom"/>
            <w:tcBorders>
              <w:bottom w:val="single" w:sz="8" w:color="DBDBDB"/>
            </w:tcBorders>
            <w:shd w:val="clear" w:color="auto" w:fill="DBDBDB"/>
          </w:tcPr>
          <w:p>
            <w:pPr>
              <w:spacing w:after="0"/>
              <w:rPr>
                <w:sz w:val="18"/>
                <w:szCs w:val="18"/>
                <w:color w:val="auto"/>
              </w:rPr>
            </w:pPr>
          </w:p>
        </w:tc>
        <w:tc>
          <w:tcPr>
            <w:tcW w:w="11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2"/>
                <w:szCs w:val="12"/>
                <w:color w:val="auto"/>
              </w:rPr>
              <w:t>0</w:t>
            </w:r>
          </w:p>
        </w:tc>
        <w:tc>
          <w:tcPr>
            <w:tcW w:w="380" w:type="dxa"/>
            <w:vAlign w:val="bottom"/>
            <w:tcBorders>
              <w:bottom w:val="single" w:sz="8" w:color="DBDBDB"/>
            </w:tcBorders>
            <w:shd w:val="clear" w:color="auto" w:fill="DBDBDB"/>
          </w:tcPr>
          <w:p>
            <w:pPr>
              <w:spacing w:after="0"/>
              <w:rPr>
                <w:sz w:val="18"/>
                <w:szCs w:val="18"/>
                <w:color w:val="auto"/>
              </w:rPr>
            </w:pPr>
          </w:p>
        </w:tc>
        <w:tc>
          <w:tcPr>
            <w:tcW w:w="0" w:type="dxa"/>
            <w:vAlign w:val="bottom"/>
          </w:tcPr>
          <w:p>
            <w:pPr>
              <w:spacing w:after="0"/>
              <w:rPr>
                <w:sz w:val="1"/>
                <w:szCs w:val="1"/>
                <w:color w:val="auto"/>
              </w:rPr>
            </w:pPr>
          </w:p>
        </w:tc>
      </w:tr>
      <w:tr>
        <w:trPr>
          <w:trHeight w:val="173"/>
        </w:trPr>
        <w:tc>
          <w:tcPr>
            <w:tcW w:w="316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2"/>
                <w:szCs w:val="12"/>
                <w:b w:val="1"/>
                <w:bCs w:val="1"/>
                <w:color w:val="auto"/>
              </w:rPr>
              <w:t>Total</w:t>
            </w:r>
          </w:p>
        </w:tc>
        <w:tc>
          <w:tcPr>
            <w:tcW w:w="90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2"/>
                <w:szCs w:val="12"/>
                <w:b w:val="1"/>
                <w:bCs w:val="1"/>
                <w:color w:val="auto"/>
              </w:rPr>
              <w:t>52,772</w:t>
            </w:r>
          </w:p>
        </w:tc>
        <w:tc>
          <w:tcPr>
            <w:tcW w:w="60" w:type="dxa"/>
            <w:vAlign w:val="bottom"/>
            <w:tcBorders>
              <w:bottom w:val="single" w:sz="8" w:color="DBDBDB"/>
            </w:tcBorders>
            <w:shd w:val="clear" w:color="auto" w:fill="DBDBDB"/>
          </w:tcPr>
          <w:p>
            <w:pPr>
              <w:spacing w:after="0"/>
              <w:rPr>
                <w:sz w:val="15"/>
                <w:szCs w:val="15"/>
                <w:color w:val="auto"/>
              </w:rPr>
            </w:pPr>
          </w:p>
        </w:tc>
        <w:tc>
          <w:tcPr>
            <w:tcW w:w="280" w:type="dxa"/>
            <w:vAlign w:val="bottom"/>
            <w:tcBorders>
              <w:bottom w:val="single" w:sz="8" w:color="DBDBDB"/>
            </w:tcBorders>
            <w:shd w:val="clear" w:color="auto" w:fill="DBDBDB"/>
          </w:tcPr>
          <w:p>
            <w:pPr>
              <w:spacing w:after="0"/>
              <w:rPr>
                <w:sz w:val="15"/>
                <w:szCs w:val="15"/>
                <w:color w:val="auto"/>
              </w:rPr>
            </w:pPr>
          </w:p>
        </w:tc>
        <w:tc>
          <w:tcPr>
            <w:tcW w:w="84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2"/>
                <w:szCs w:val="12"/>
                <w:b w:val="1"/>
                <w:bCs w:val="1"/>
                <w:color w:val="auto"/>
              </w:rPr>
              <w:t>22,534</w:t>
            </w:r>
          </w:p>
        </w:tc>
        <w:tc>
          <w:tcPr>
            <w:tcW w:w="380" w:type="dxa"/>
            <w:vAlign w:val="bottom"/>
            <w:tcBorders>
              <w:bottom w:val="single" w:sz="8" w:color="DBDBDB"/>
            </w:tcBorders>
            <w:shd w:val="clear" w:color="auto" w:fill="DBDBDB"/>
          </w:tcPr>
          <w:p>
            <w:pPr>
              <w:spacing w:after="0"/>
              <w:rPr>
                <w:sz w:val="15"/>
                <w:szCs w:val="15"/>
                <w:color w:val="auto"/>
              </w:rPr>
            </w:pPr>
          </w:p>
        </w:tc>
        <w:tc>
          <w:tcPr>
            <w:tcW w:w="68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2"/>
                <w:szCs w:val="12"/>
                <w:b w:val="1"/>
                <w:bCs w:val="1"/>
                <w:color w:val="auto"/>
              </w:rPr>
              <w:t>0</w:t>
            </w:r>
          </w:p>
        </w:tc>
        <w:tc>
          <w:tcPr>
            <w:tcW w:w="360" w:type="dxa"/>
            <w:vAlign w:val="bottom"/>
            <w:tcBorders>
              <w:bottom w:val="single" w:sz="8" w:color="DBDBDB"/>
            </w:tcBorders>
            <w:shd w:val="clear" w:color="auto" w:fill="DBDBDB"/>
          </w:tcPr>
          <w:p>
            <w:pPr>
              <w:spacing w:after="0"/>
              <w:rPr>
                <w:sz w:val="15"/>
                <w:szCs w:val="15"/>
                <w:color w:val="auto"/>
              </w:rPr>
            </w:pPr>
          </w:p>
        </w:tc>
        <w:tc>
          <w:tcPr>
            <w:tcW w:w="66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2"/>
                <w:szCs w:val="12"/>
                <w:b w:val="1"/>
                <w:bCs w:val="1"/>
                <w:color w:val="auto"/>
              </w:rPr>
              <w:t>0</w:t>
            </w:r>
          </w:p>
        </w:tc>
        <w:tc>
          <w:tcPr>
            <w:tcW w:w="480" w:type="dxa"/>
            <w:vAlign w:val="bottom"/>
            <w:tcBorders>
              <w:bottom w:val="single" w:sz="8" w:color="DBDBDB"/>
            </w:tcBorders>
            <w:shd w:val="clear" w:color="auto" w:fill="DBDBDB"/>
          </w:tcPr>
          <w:p>
            <w:pPr>
              <w:spacing w:after="0"/>
              <w:rPr>
                <w:sz w:val="15"/>
                <w:szCs w:val="15"/>
                <w:color w:val="auto"/>
              </w:rPr>
            </w:pPr>
          </w:p>
        </w:tc>
        <w:tc>
          <w:tcPr>
            <w:tcW w:w="102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2"/>
                <w:szCs w:val="12"/>
                <w:b w:val="1"/>
                <w:bCs w:val="1"/>
                <w:color w:val="auto"/>
              </w:rPr>
              <w:t>729,037</w:t>
            </w:r>
          </w:p>
        </w:tc>
        <w:tc>
          <w:tcPr>
            <w:tcW w:w="380" w:type="dxa"/>
            <w:vAlign w:val="bottom"/>
            <w:tcBorders>
              <w:bottom w:val="single" w:sz="8" w:color="DBDBDB"/>
            </w:tcBorders>
            <w:shd w:val="clear" w:color="auto" w:fill="DBDBDB"/>
          </w:tcPr>
          <w:p>
            <w:pPr>
              <w:spacing w:after="0"/>
              <w:rPr>
                <w:sz w:val="15"/>
                <w:szCs w:val="15"/>
                <w:color w:val="auto"/>
              </w:rPr>
            </w:pPr>
          </w:p>
        </w:tc>
        <w:tc>
          <w:tcPr>
            <w:tcW w:w="118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2"/>
                <w:szCs w:val="12"/>
                <w:b w:val="1"/>
                <w:bCs w:val="1"/>
                <w:color w:val="auto"/>
              </w:rPr>
              <w:t>2,825,321</w:t>
            </w:r>
          </w:p>
        </w:tc>
        <w:tc>
          <w:tcPr>
            <w:tcW w:w="380" w:type="dxa"/>
            <w:vAlign w:val="bottom"/>
            <w:tcBorders>
              <w:bottom w:val="single" w:sz="8" w:color="DBDBDB"/>
            </w:tcBorders>
            <w:shd w:val="clear" w:color="auto" w:fill="DBDBDB"/>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3160" w:type="dxa"/>
            <w:vAlign w:val="bottom"/>
          </w:tcPr>
          <w:p>
            <w:pPr>
              <w:ind w:left="20"/>
              <w:spacing w:after="0"/>
              <w:rPr>
                <w:sz w:val="20"/>
                <w:szCs w:val="20"/>
                <w:color w:val="auto"/>
              </w:rPr>
            </w:pPr>
            <w:r>
              <w:rPr>
                <w:rFonts w:ascii="Arial" w:cs="Arial" w:eastAsia="Arial" w:hAnsi="Arial"/>
                <w:sz w:val="12"/>
                <w:szCs w:val="12"/>
                <w:color w:val="auto"/>
              </w:rPr>
              <w:t>Kevin N. Carpenter</w:t>
            </w:r>
          </w:p>
        </w:tc>
        <w:tc>
          <w:tcPr>
            <w:tcW w:w="9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62"/>
        </w:trPr>
        <w:tc>
          <w:tcPr>
            <w:tcW w:w="3160" w:type="dxa"/>
            <w:vAlign w:val="bottom"/>
          </w:tcPr>
          <w:p>
            <w:pPr>
              <w:ind w:left="220"/>
              <w:spacing w:after="0"/>
              <w:rPr>
                <w:sz w:val="20"/>
                <w:szCs w:val="20"/>
                <w:color w:val="auto"/>
              </w:rPr>
            </w:pPr>
            <w:r>
              <w:rPr>
                <w:rFonts w:ascii="Arial" w:cs="Arial" w:eastAsia="Arial" w:hAnsi="Arial"/>
                <w:sz w:val="12"/>
                <w:szCs w:val="12"/>
                <w:color w:val="auto"/>
              </w:rPr>
              <w:t>Cash Severance Payment</w:t>
            </w:r>
            <w:r>
              <w:rPr>
                <w:rFonts w:ascii="Arial" w:cs="Arial" w:eastAsia="Arial" w:hAnsi="Arial"/>
                <w:sz w:val="16"/>
                <w:szCs w:val="16"/>
                <w:color w:val="auto"/>
                <w:vertAlign w:val="superscript"/>
              </w:rPr>
              <w:t>2</w:t>
            </w:r>
          </w:p>
        </w:tc>
        <w:tc>
          <w:tcPr>
            <w:tcW w:w="900" w:type="dxa"/>
            <w:vAlign w:val="bottom"/>
          </w:tcPr>
          <w:p>
            <w:pPr>
              <w:jc w:val="right"/>
              <w:spacing w:after="0"/>
              <w:rPr>
                <w:sz w:val="20"/>
                <w:szCs w:val="20"/>
                <w:color w:val="auto"/>
              </w:rPr>
            </w:pPr>
            <w:r>
              <w:rPr>
                <w:rFonts w:ascii="Arial" w:cs="Arial" w:eastAsia="Arial" w:hAnsi="Arial"/>
                <w:sz w:val="12"/>
                <w:szCs w:val="12"/>
                <w:color w:val="auto"/>
              </w:rPr>
              <w:t>0</w:t>
            </w:r>
          </w:p>
        </w:tc>
        <w:tc>
          <w:tcPr>
            <w:tcW w:w="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Arial" w:cs="Arial" w:eastAsia="Arial" w:hAnsi="Arial"/>
                <w:sz w:val="12"/>
                <w:szCs w:val="12"/>
                <w:color w:val="auto"/>
              </w:rPr>
              <w:t>0</w:t>
            </w:r>
          </w:p>
        </w:tc>
        <w:tc>
          <w:tcPr>
            <w:tcW w:w="380" w:type="dxa"/>
            <w:vAlign w:val="bottom"/>
          </w:tcPr>
          <w:p>
            <w:pPr>
              <w:spacing w:after="0"/>
              <w:rPr>
                <w:sz w:val="22"/>
                <w:szCs w:val="22"/>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0</w:t>
            </w:r>
          </w:p>
        </w:tc>
        <w:tc>
          <w:tcPr>
            <w:tcW w:w="360" w:type="dxa"/>
            <w:vAlign w:val="bottom"/>
          </w:tcPr>
          <w:p>
            <w:pPr>
              <w:spacing w:after="0"/>
              <w:rPr>
                <w:sz w:val="22"/>
                <w:szCs w:val="22"/>
                <w:color w:val="auto"/>
              </w:rPr>
            </w:pPr>
          </w:p>
        </w:tc>
        <w:tc>
          <w:tcPr>
            <w:tcW w:w="660" w:type="dxa"/>
            <w:vAlign w:val="bottom"/>
          </w:tcPr>
          <w:p>
            <w:pPr>
              <w:jc w:val="right"/>
              <w:spacing w:after="0"/>
              <w:rPr>
                <w:sz w:val="20"/>
                <w:szCs w:val="20"/>
                <w:color w:val="auto"/>
              </w:rPr>
            </w:pPr>
            <w:r>
              <w:rPr>
                <w:rFonts w:ascii="Arial" w:cs="Arial" w:eastAsia="Arial" w:hAnsi="Arial"/>
                <w:sz w:val="12"/>
                <w:szCs w:val="12"/>
                <w:color w:val="auto"/>
              </w:rPr>
              <w:t>0</w:t>
            </w:r>
          </w:p>
        </w:tc>
        <w:tc>
          <w:tcPr>
            <w:tcW w:w="48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12"/>
                <w:szCs w:val="12"/>
                <w:color w:val="auto"/>
              </w:rPr>
              <w:t>0</w:t>
            </w:r>
          </w:p>
        </w:tc>
        <w:tc>
          <w:tcPr>
            <w:tcW w:w="380" w:type="dxa"/>
            <w:vAlign w:val="bottom"/>
          </w:tcPr>
          <w:p>
            <w:pPr>
              <w:spacing w:after="0"/>
              <w:rPr>
                <w:sz w:val="22"/>
                <w:szCs w:val="22"/>
                <w:color w:val="auto"/>
              </w:rPr>
            </w:pPr>
          </w:p>
        </w:tc>
        <w:tc>
          <w:tcPr>
            <w:tcW w:w="1180" w:type="dxa"/>
            <w:vAlign w:val="bottom"/>
          </w:tcPr>
          <w:p>
            <w:pPr>
              <w:jc w:val="right"/>
              <w:spacing w:after="0"/>
              <w:rPr>
                <w:sz w:val="20"/>
                <w:szCs w:val="20"/>
                <w:color w:val="auto"/>
              </w:rPr>
            </w:pPr>
            <w:r>
              <w:rPr>
                <w:rFonts w:ascii="Arial" w:cs="Arial" w:eastAsia="Arial" w:hAnsi="Arial"/>
                <w:sz w:val="12"/>
                <w:szCs w:val="12"/>
                <w:color w:val="auto"/>
              </w:rPr>
              <w:t>1,699,500</w:t>
            </w:r>
          </w:p>
        </w:tc>
        <w:tc>
          <w:tcPr>
            <w:tcW w:w="3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3"/>
        </w:trPr>
        <w:tc>
          <w:tcPr>
            <w:tcW w:w="3160" w:type="dxa"/>
            <w:vAlign w:val="bottom"/>
          </w:tcPr>
          <w:p>
            <w:pPr>
              <w:ind w:left="220"/>
              <w:spacing w:after="0"/>
              <w:rPr>
                <w:sz w:val="20"/>
                <w:szCs w:val="20"/>
                <w:color w:val="auto"/>
              </w:rPr>
            </w:pPr>
            <w:r>
              <w:rPr>
                <w:rFonts w:ascii="Arial" w:cs="Arial" w:eastAsia="Arial" w:hAnsi="Arial"/>
                <w:sz w:val="12"/>
                <w:szCs w:val="12"/>
                <w:color w:val="auto"/>
              </w:rPr>
              <w:t>Unvested &amp; Accelerated Stock Options</w:t>
            </w:r>
            <w:r>
              <w:rPr>
                <w:rFonts w:ascii="Arial" w:cs="Arial" w:eastAsia="Arial" w:hAnsi="Arial"/>
                <w:sz w:val="16"/>
                <w:szCs w:val="16"/>
                <w:color w:val="auto"/>
                <w:vertAlign w:val="superscript"/>
              </w:rPr>
              <w:t>3</w:t>
            </w:r>
          </w:p>
        </w:tc>
        <w:tc>
          <w:tcPr>
            <w:tcW w:w="900" w:type="dxa"/>
            <w:vAlign w:val="bottom"/>
          </w:tcPr>
          <w:p>
            <w:pPr>
              <w:jc w:val="right"/>
              <w:spacing w:after="0"/>
              <w:rPr>
                <w:sz w:val="20"/>
                <w:szCs w:val="20"/>
                <w:color w:val="auto"/>
              </w:rPr>
            </w:pPr>
            <w:r>
              <w:rPr>
                <w:rFonts w:ascii="Arial" w:cs="Arial" w:eastAsia="Arial" w:hAnsi="Arial"/>
                <w:sz w:val="12"/>
                <w:szCs w:val="12"/>
                <w:color w:val="auto"/>
              </w:rPr>
              <w:t>0</w:t>
            </w: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2"/>
                <w:szCs w:val="12"/>
                <w:color w:val="auto"/>
              </w:rPr>
              <w:t>0</w:t>
            </w:r>
          </w:p>
        </w:tc>
        <w:tc>
          <w:tcPr>
            <w:tcW w:w="3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0</w:t>
            </w:r>
          </w:p>
        </w:tc>
        <w:tc>
          <w:tcPr>
            <w:tcW w:w="3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2"/>
                <w:szCs w:val="12"/>
                <w:color w:val="auto"/>
              </w:rPr>
              <w:t>0</w:t>
            </w:r>
          </w:p>
        </w:tc>
        <w:tc>
          <w:tcPr>
            <w:tcW w:w="4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2"/>
                <w:szCs w:val="12"/>
                <w:color w:val="auto"/>
              </w:rPr>
              <w:t>0</w:t>
            </w:r>
          </w:p>
        </w:tc>
        <w:tc>
          <w:tcPr>
            <w:tcW w:w="3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2"/>
                <w:szCs w:val="12"/>
                <w:color w:val="auto"/>
              </w:rPr>
              <w:t>0</w:t>
            </w:r>
          </w:p>
        </w:tc>
        <w:tc>
          <w:tcPr>
            <w:tcW w:w="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0"/>
        </w:trPr>
        <w:tc>
          <w:tcPr>
            <w:tcW w:w="3160" w:type="dxa"/>
            <w:vAlign w:val="bottom"/>
          </w:tcPr>
          <w:p>
            <w:pPr>
              <w:ind w:left="220"/>
              <w:spacing w:after="0"/>
              <w:rPr>
                <w:sz w:val="20"/>
                <w:szCs w:val="20"/>
                <w:color w:val="auto"/>
              </w:rPr>
            </w:pPr>
            <w:r>
              <w:rPr>
                <w:rFonts w:ascii="Arial" w:cs="Arial" w:eastAsia="Arial" w:hAnsi="Arial"/>
                <w:sz w:val="12"/>
                <w:szCs w:val="12"/>
                <w:color w:val="auto"/>
              </w:rPr>
              <w:t>Unvested &amp; Accelerated Restricted Stock Units</w:t>
            </w:r>
            <w:r>
              <w:rPr>
                <w:rFonts w:ascii="Arial" w:cs="Arial" w:eastAsia="Arial" w:hAnsi="Arial"/>
                <w:sz w:val="16"/>
                <w:szCs w:val="16"/>
                <w:color w:val="auto"/>
                <w:vertAlign w:val="superscript"/>
              </w:rPr>
              <w:t>9</w:t>
            </w:r>
          </w:p>
        </w:tc>
        <w:tc>
          <w:tcPr>
            <w:tcW w:w="900" w:type="dxa"/>
            <w:vAlign w:val="bottom"/>
          </w:tcPr>
          <w:p>
            <w:pPr>
              <w:jc w:val="right"/>
              <w:spacing w:after="0"/>
              <w:rPr>
                <w:sz w:val="20"/>
                <w:szCs w:val="20"/>
                <w:color w:val="auto"/>
              </w:rPr>
            </w:pPr>
            <w:r>
              <w:rPr>
                <w:rFonts w:ascii="Arial" w:cs="Arial" w:eastAsia="Arial" w:hAnsi="Arial"/>
                <w:sz w:val="12"/>
                <w:szCs w:val="12"/>
                <w:color w:val="auto"/>
              </w:rPr>
              <w:t>0</w:t>
            </w:r>
          </w:p>
        </w:tc>
        <w:tc>
          <w:tcPr>
            <w:tcW w:w="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2"/>
                <w:szCs w:val="12"/>
                <w:color w:val="auto"/>
              </w:rPr>
              <w:t>0</w:t>
            </w:r>
          </w:p>
        </w:tc>
        <w:tc>
          <w:tcPr>
            <w:tcW w:w="38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0</w:t>
            </w:r>
          </w:p>
        </w:tc>
        <w:tc>
          <w:tcPr>
            <w:tcW w:w="36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2"/>
                <w:szCs w:val="12"/>
                <w:color w:val="auto"/>
              </w:rPr>
              <w:t>0</w:t>
            </w:r>
          </w:p>
        </w:tc>
        <w:tc>
          <w:tcPr>
            <w:tcW w:w="48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2"/>
                <w:szCs w:val="12"/>
                <w:color w:val="auto"/>
              </w:rPr>
              <w:t>1,052,630</w:t>
            </w:r>
          </w:p>
        </w:tc>
        <w:tc>
          <w:tcPr>
            <w:tcW w:w="38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2"/>
                <w:szCs w:val="12"/>
                <w:color w:val="auto"/>
              </w:rPr>
              <w:t>1,052,630</w:t>
            </w:r>
          </w:p>
        </w:tc>
        <w:tc>
          <w:tcPr>
            <w:tcW w:w="380" w:type="dxa"/>
            <w:vAlign w:val="bottom"/>
          </w:tcPr>
          <w:p>
            <w:pPr>
              <w:jc w:val="right"/>
              <w:ind w:right="38"/>
              <w:spacing w:after="0"/>
              <w:rPr>
                <w:sz w:val="20"/>
                <w:szCs w:val="20"/>
                <w:color w:val="auto"/>
              </w:rPr>
            </w:pPr>
            <w:r>
              <w:rPr>
                <w:rFonts w:ascii="Arial" w:cs="Arial" w:eastAsia="Arial" w:hAnsi="Arial"/>
                <w:sz w:val="12"/>
                <w:szCs w:val="12"/>
                <w:color w:val="auto"/>
              </w:rPr>
              <w:t>(9)</w:t>
            </w:r>
          </w:p>
        </w:tc>
        <w:tc>
          <w:tcPr>
            <w:tcW w:w="0" w:type="dxa"/>
            <w:vAlign w:val="bottom"/>
          </w:tcPr>
          <w:p>
            <w:pPr>
              <w:spacing w:after="0"/>
              <w:rPr>
                <w:sz w:val="1"/>
                <w:szCs w:val="1"/>
                <w:color w:val="auto"/>
              </w:rPr>
            </w:pPr>
          </w:p>
        </w:tc>
      </w:tr>
      <w:tr>
        <w:trPr>
          <w:trHeight w:val="165"/>
        </w:trPr>
        <w:tc>
          <w:tcPr>
            <w:tcW w:w="3160" w:type="dxa"/>
            <w:vAlign w:val="bottom"/>
          </w:tcPr>
          <w:p>
            <w:pPr>
              <w:ind w:left="220"/>
              <w:spacing w:after="0"/>
              <w:rPr>
                <w:sz w:val="20"/>
                <w:szCs w:val="20"/>
                <w:color w:val="auto"/>
              </w:rPr>
            </w:pPr>
            <w:r>
              <w:rPr>
                <w:rFonts w:ascii="Arial" w:cs="Arial" w:eastAsia="Arial" w:hAnsi="Arial"/>
                <w:sz w:val="12"/>
                <w:szCs w:val="12"/>
                <w:color w:val="auto"/>
              </w:rPr>
              <w:t>Performance Share Award Payouts</w:t>
            </w:r>
          </w:p>
        </w:tc>
        <w:tc>
          <w:tcPr>
            <w:tcW w:w="900" w:type="dxa"/>
            <w:vAlign w:val="bottom"/>
          </w:tcPr>
          <w:p>
            <w:pPr>
              <w:jc w:val="right"/>
              <w:spacing w:after="0"/>
              <w:rPr>
                <w:sz w:val="20"/>
                <w:szCs w:val="20"/>
                <w:color w:val="auto"/>
              </w:rPr>
            </w:pPr>
            <w:r>
              <w:rPr>
                <w:rFonts w:ascii="Arial" w:cs="Arial" w:eastAsia="Arial" w:hAnsi="Arial"/>
                <w:sz w:val="12"/>
                <w:szCs w:val="12"/>
                <w:color w:val="auto"/>
              </w:rPr>
              <w:t>34,526</w:t>
            </w:r>
          </w:p>
        </w:tc>
        <w:tc>
          <w:tcPr>
            <w:tcW w:w="60" w:type="dxa"/>
            <w:vAlign w:val="bottom"/>
          </w:tcPr>
          <w:p>
            <w:pPr>
              <w:spacing w:after="0"/>
              <w:rPr>
                <w:sz w:val="14"/>
                <w:szCs w:val="14"/>
                <w:color w:val="auto"/>
              </w:rPr>
            </w:pPr>
          </w:p>
        </w:tc>
        <w:tc>
          <w:tcPr>
            <w:tcW w:w="280" w:type="dxa"/>
            <w:vAlign w:val="bottom"/>
          </w:tcPr>
          <w:p>
            <w:pPr>
              <w:jc w:val="right"/>
              <w:ind w:right="18"/>
              <w:spacing w:after="0"/>
              <w:rPr>
                <w:sz w:val="20"/>
                <w:szCs w:val="20"/>
                <w:color w:val="auto"/>
              </w:rPr>
            </w:pPr>
            <w:r>
              <w:rPr>
                <w:rFonts w:ascii="Arial" w:cs="Arial" w:eastAsia="Arial" w:hAnsi="Arial"/>
                <w:sz w:val="12"/>
                <w:szCs w:val="12"/>
                <w:color w:val="auto"/>
              </w:rPr>
              <w:t>(4)</w:t>
            </w:r>
          </w:p>
        </w:tc>
        <w:tc>
          <w:tcPr>
            <w:tcW w:w="840" w:type="dxa"/>
            <w:vAlign w:val="bottom"/>
          </w:tcPr>
          <w:p>
            <w:pPr>
              <w:jc w:val="right"/>
              <w:spacing w:after="0"/>
              <w:rPr>
                <w:sz w:val="20"/>
                <w:szCs w:val="20"/>
                <w:color w:val="auto"/>
              </w:rPr>
            </w:pPr>
            <w:r>
              <w:rPr>
                <w:rFonts w:ascii="Arial" w:cs="Arial" w:eastAsia="Arial" w:hAnsi="Arial"/>
                <w:sz w:val="12"/>
                <w:szCs w:val="12"/>
                <w:color w:val="auto"/>
              </w:rPr>
              <w:t>34,526</w:t>
            </w:r>
          </w:p>
        </w:tc>
        <w:tc>
          <w:tcPr>
            <w:tcW w:w="380" w:type="dxa"/>
            <w:vAlign w:val="bottom"/>
          </w:tcPr>
          <w:p>
            <w:pPr>
              <w:jc w:val="right"/>
              <w:ind w:right="58"/>
              <w:spacing w:after="0"/>
              <w:rPr>
                <w:sz w:val="20"/>
                <w:szCs w:val="20"/>
                <w:color w:val="auto"/>
              </w:rPr>
            </w:pPr>
            <w:r>
              <w:rPr>
                <w:rFonts w:ascii="Arial" w:cs="Arial" w:eastAsia="Arial" w:hAnsi="Arial"/>
                <w:sz w:val="12"/>
                <w:szCs w:val="12"/>
                <w:color w:val="auto"/>
              </w:rPr>
              <w:t>(4)</w:t>
            </w:r>
          </w:p>
        </w:tc>
        <w:tc>
          <w:tcPr>
            <w:tcW w:w="680" w:type="dxa"/>
            <w:vAlign w:val="bottom"/>
          </w:tcPr>
          <w:p>
            <w:pPr>
              <w:jc w:val="right"/>
              <w:spacing w:after="0"/>
              <w:rPr>
                <w:sz w:val="20"/>
                <w:szCs w:val="20"/>
                <w:color w:val="auto"/>
              </w:rPr>
            </w:pPr>
            <w:r>
              <w:rPr>
                <w:rFonts w:ascii="Arial" w:cs="Arial" w:eastAsia="Arial" w:hAnsi="Arial"/>
                <w:sz w:val="12"/>
                <w:szCs w:val="12"/>
                <w:color w:val="auto"/>
              </w:rPr>
              <w:t>0</w:t>
            </w:r>
          </w:p>
        </w:tc>
        <w:tc>
          <w:tcPr>
            <w:tcW w:w="36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2"/>
                <w:szCs w:val="12"/>
                <w:color w:val="auto"/>
              </w:rPr>
              <w:t>0</w:t>
            </w:r>
          </w:p>
        </w:tc>
        <w:tc>
          <w:tcPr>
            <w:tcW w:w="48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2"/>
                <w:szCs w:val="12"/>
                <w:color w:val="auto"/>
              </w:rPr>
              <w:t>252,144</w:t>
            </w:r>
          </w:p>
        </w:tc>
        <w:tc>
          <w:tcPr>
            <w:tcW w:w="380" w:type="dxa"/>
            <w:vAlign w:val="bottom"/>
          </w:tcPr>
          <w:p>
            <w:pPr>
              <w:jc w:val="right"/>
              <w:ind w:right="58"/>
              <w:spacing w:after="0"/>
              <w:rPr>
                <w:sz w:val="20"/>
                <w:szCs w:val="20"/>
                <w:color w:val="auto"/>
              </w:rPr>
            </w:pPr>
            <w:r>
              <w:rPr>
                <w:rFonts w:ascii="Arial" w:cs="Arial" w:eastAsia="Arial" w:hAnsi="Arial"/>
                <w:sz w:val="12"/>
                <w:szCs w:val="12"/>
                <w:color w:val="auto"/>
              </w:rPr>
              <w:t>(5)</w:t>
            </w:r>
          </w:p>
        </w:tc>
        <w:tc>
          <w:tcPr>
            <w:tcW w:w="1180" w:type="dxa"/>
            <w:vAlign w:val="bottom"/>
          </w:tcPr>
          <w:p>
            <w:pPr>
              <w:jc w:val="right"/>
              <w:spacing w:after="0"/>
              <w:rPr>
                <w:sz w:val="20"/>
                <w:szCs w:val="20"/>
                <w:color w:val="auto"/>
              </w:rPr>
            </w:pPr>
            <w:r>
              <w:rPr>
                <w:rFonts w:ascii="Arial" w:cs="Arial" w:eastAsia="Arial" w:hAnsi="Arial"/>
                <w:sz w:val="12"/>
                <w:szCs w:val="12"/>
                <w:color w:val="auto"/>
              </w:rPr>
              <w:t>252,144</w:t>
            </w:r>
          </w:p>
        </w:tc>
        <w:tc>
          <w:tcPr>
            <w:tcW w:w="380" w:type="dxa"/>
            <w:vAlign w:val="bottom"/>
          </w:tcPr>
          <w:p>
            <w:pPr>
              <w:jc w:val="right"/>
              <w:ind w:right="38"/>
              <w:spacing w:after="0"/>
              <w:rPr>
                <w:sz w:val="20"/>
                <w:szCs w:val="20"/>
                <w:color w:val="auto"/>
              </w:rPr>
            </w:pPr>
            <w:r>
              <w:rPr>
                <w:rFonts w:ascii="Arial" w:cs="Arial" w:eastAsia="Arial" w:hAnsi="Arial"/>
                <w:sz w:val="12"/>
                <w:szCs w:val="12"/>
                <w:color w:val="auto"/>
              </w:rPr>
              <w:t>(5)</w:t>
            </w:r>
          </w:p>
        </w:tc>
        <w:tc>
          <w:tcPr>
            <w:tcW w:w="0" w:type="dxa"/>
            <w:vAlign w:val="bottom"/>
          </w:tcPr>
          <w:p>
            <w:pPr>
              <w:spacing w:after="0"/>
              <w:rPr>
                <w:sz w:val="1"/>
                <w:szCs w:val="1"/>
                <w:color w:val="auto"/>
              </w:rPr>
            </w:pPr>
          </w:p>
        </w:tc>
      </w:tr>
      <w:tr>
        <w:trPr>
          <w:trHeight w:val="262"/>
        </w:trPr>
        <w:tc>
          <w:tcPr>
            <w:tcW w:w="3160" w:type="dxa"/>
            <w:vAlign w:val="bottom"/>
          </w:tcPr>
          <w:p>
            <w:pPr>
              <w:ind w:left="220"/>
              <w:spacing w:after="0"/>
              <w:rPr>
                <w:sz w:val="20"/>
                <w:szCs w:val="20"/>
                <w:color w:val="auto"/>
              </w:rPr>
            </w:pPr>
            <w:r>
              <w:rPr>
                <w:rFonts w:ascii="Arial" w:cs="Arial" w:eastAsia="Arial" w:hAnsi="Arial"/>
                <w:sz w:val="12"/>
                <w:szCs w:val="12"/>
                <w:color w:val="auto"/>
              </w:rPr>
              <w:t>Welfare Plan Benefits</w:t>
            </w:r>
            <w:r>
              <w:rPr>
                <w:rFonts w:ascii="Arial" w:cs="Arial" w:eastAsia="Arial" w:hAnsi="Arial"/>
                <w:sz w:val="16"/>
                <w:szCs w:val="16"/>
                <w:color w:val="auto"/>
                <w:vertAlign w:val="superscript"/>
              </w:rPr>
              <w:t>6</w:t>
            </w:r>
          </w:p>
        </w:tc>
        <w:tc>
          <w:tcPr>
            <w:tcW w:w="900" w:type="dxa"/>
            <w:vAlign w:val="bottom"/>
          </w:tcPr>
          <w:p>
            <w:pPr>
              <w:jc w:val="right"/>
              <w:spacing w:after="0"/>
              <w:rPr>
                <w:sz w:val="20"/>
                <w:szCs w:val="20"/>
                <w:color w:val="auto"/>
              </w:rPr>
            </w:pPr>
            <w:r>
              <w:rPr>
                <w:rFonts w:ascii="Arial" w:cs="Arial" w:eastAsia="Arial" w:hAnsi="Arial"/>
                <w:sz w:val="12"/>
                <w:szCs w:val="12"/>
                <w:color w:val="auto"/>
              </w:rPr>
              <w:t>0</w:t>
            </w:r>
          </w:p>
        </w:tc>
        <w:tc>
          <w:tcPr>
            <w:tcW w:w="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Arial" w:cs="Arial" w:eastAsia="Arial" w:hAnsi="Arial"/>
                <w:sz w:val="12"/>
                <w:szCs w:val="12"/>
                <w:color w:val="auto"/>
              </w:rPr>
              <w:t>0</w:t>
            </w:r>
          </w:p>
        </w:tc>
        <w:tc>
          <w:tcPr>
            <w:tcW w:w="380" w:type="dxa"/>
            <w:vAlign w:val="bottom"/>
          </w:tcPr>
          <w:p>
            <w:pPr>
              <w:spacing w:after="0"/>
              <w:rPr>
                <w:sz w:val="22"/>
                <w:szCs w:val="22"/>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0</w:t>
            </w:r>
          </w:p>
        </w:tc>
        <w:tc>
          <w:tcPr>
            <w:tcW w:w="360" w:type="dxa"/>
            <w:vAlign w:val="bottom"/>
          </w:tcPr>
          <w:p>
            <w:pPr>
              <w:spacing w:after="0"/>
              <w:rPr>
                <w:sz w:val="22"/>
                <w:szCs w:val="22"/>
                <w:color w:val="auto"/>
              </w:rPr>
            </w:pPr>
          </w:p>
        </w:tc>
        <w:tc>
          <w:tcPr>
            <w:tcW w:w="660" w:type="dxa"/>
            <w:vAlign w:val="bottom"/>
          </w:tcPr>
          <w:p>
            <w:pPr>
              <w:jc w:val="right"/>
              <w:spacing w:after="0"/>
              <w:rPr>
                <w:sz w:val="20"/>
                <w:szCs w:val="20"/>
                <w:color w:val="auto"/>
              </w:rPr>
            </w:pPr>
            <w:r>
              <w:rPr>
                <w:rFonts w:ascii="Arial" w:cs="Arial" w:eastAsia="Arial" w:hAnsi="Arial"/>
                <w:sz w:val="12"/>
                <w:szCs w:val="12"/>
                <w:color w:val="auto"/>
              </w:rPr>
              <w:t>0</w:t>
            </w:r>
          </w:p>
        </w:tc>
        <w:tc>
          <w:tcPr>
            <w:tcW w:w="48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12"/>
                <w:szCs w:val="12"/>
                <w:color w:val="auto"/>
              </w:rPr>
              <w:t>0</w:t>
            </w:r>
          </w:p>
        </w:tc>
        <w:tc>
          <w:tcPr>
            <w:tcW w:w="380" w:type="dxa"/>
            <w:vAlign w:val="bottom"/>
          </w:tcPr>
          <w:p>
            <w:pPr>
              <w:spacing w:after="0"/>
              <w:rPr>
                <w:sz w:val="22"/>
                <w:szCs w:val="22"/>
                <w:color w:val="auto"/>
              </w:rPr>
            </w:pPr>
          </w:p>
        </w:tc>
        <w:tc>
          <w:tcPr>
            <w:tcW w:w="1180" w:type="dxa"/>
            <w:vAlign w:val="bottom"/>
          </w:tcPr>
          <w:p>
            <w:pPr>
              <w:jc w:val="right"/>
              <w:spacing w:after="0"/>
              <w:rPr>
                <w:sz w:val="20"/>
                <w:szCs w:val="20"/>
                <w:color w:val="auto"/>
              </w:rPr>
            </w:pPr>
            <w:r>
              <w:rPr>
                <w:rFonts w:ascii="Arial" w:cs="Arial" w:eastAsia="Arial" w:hAnsi="Arial"/>
                <w:sz w:val="12"/>
                <w:szCs w:val="12"/>
                <w:color w:val="auto"/>
              </w:rPr>
              <w:t>42,981</w:t>
            </w:r>
          </w:p>
        </w:tc>
        <w:tc>
          <w:tcPr>
            <w:tcW w:w="3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3"/>
        </w:trPr>
        <w:tc>
          <w:tcPr>
            <w:tcW w:w="3160" w:type="dxa"/>
            <w:vAlign w:val="bottom"/>
          </w:tcPr>
          <w:p>
            <w:pPr>
              <w:ind w:left="220"/>
              <w:spacing w:after="0"/>
              <w:rPr>
                <w:sz w:val="20"/>
                <w:szCs w:val="20"/>
                <w:color w:val="auto"/>
              </w:rPr>
            </w:pPr>
            <w:r>
              <w:rPr>
                <w:rFonts w:ascii="Arial" w:cs="Arial" w:eastAsia="Arial" w:hAnsi="Arial"/>
                <w:sz w:val="12"/>
                <w:szCs w:val="12"/>
                <w:color w:val="auto"/>
              </w:rPr>
              <w:t>Outplacement Services</w:t>
            </w:r>
            <w:r>
              <w:rPr>
                <w:rFonts w:ascii="Arial" w:cs="Arial" w:eastAsia="Arial" w:hAnsi="Arial"/>
                <w:sz w:val="16"/>
                <w:szCs w:val="16"/>
                <w:color w:val="auto"/>
                <w:vertAlign w:val="superscript"/>
              </w:rPr>
              <w:t>7</w:t>
            </w:r>
          </w:p>
        </w:tc>
        <w:tc>
          <w:tcPr>
            <w:tcW w:w="900" w:type="dxa"/>
            <w:vAlign w:val="bottom"/>
          </w:tcPr>
          <w:p>
            <w:pPr>
              <w:jc w:val="right"/>
              <w:spacing w:after="0"/>
              <w:rPr>
                <w:sz w:val="20"/>
                <w:szCs w:val="20"/>
                <w:color w:val="auto"/>
              </w:rPr>
            </w:pPr>
            <w:r>
              <w:rPr>
                <w:rFonts w:ascii="Arial" w:cs="Arial" w:eastAsia="Arial" w:hAnsi="Arial"/>
                <w:sz w:val="12"/>
                <w:szCs w:val="12"/>
                <w:color w:val="auto"/>
              </w:rPr>
              <w:t>0</w:t>
            </w: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2"/>
                <w:szCs w:val="12"/>
                <w:color w:val="auto"/>
              </w:rPr>
              <w:t>0</w:t>
            </w:r>
          </w:p>
        </w:tc>
        <w:tc>
          <w:tcPr>
            <w:tcW w:w="3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0</w:t>
            </w:r>
          </w:p>
        </w:tc>
        <w:tc>
          <w:tcPr>
            <w:tcW w:w="3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2"/>
                <w:szCs w:val="12"/>
                <w:color w:val="auto"/>
              </w:rPr>
              <w:t>0</w:t>
            </w:r>
          </w:p>
        </w:tc>
        <w:tc>
          <w:tcPr>
            <w:tcW w:w="4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2"/>
                <w:szCs w:val="12"/>
                <w:color w:val="auto"/>
              </w:rPr>
              <w:t>0</w:t>
            </w:r>
          </w:p>
        </w:tc>
        <w:tc>
          <w:tcPr>
            <w:tcW w:w="3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2"/>
                <w:szCs w:val="12"/>
                <w:color w:val="auto"/>
              </w:rPr>
              <w:t>0</w:t>
            </w:r>
          </w:p>
        </w:tc>
        <w:tc>
          <w:tcPr>
            <w:tcW w:w="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3160" w:type="dxa"/>
            <w:vAlign w:val="bottom"/>
          </w:tcPr>
          <w:p>
            <w:pPr>
              <w:ind w:left="220"/>
              <w:spacing w:after="0"/>
              <w:rPr>
                <w:sz w:val="20"/>
                <w:szCs w:val="20"/>
                <w:color w:val="auto"/>
              </w:rPr>
            </w:pPr>
            <w:r>
              <w:rPr>
                <w:rFonts w:ascii="Arial" w:cs="Arial" w:eastAsia="Arial" w:hAnsi="Arial"/>
                <w:sz w:val="12"/>
                <w:szCs w:val="12"/>
                <w:color w:val="auto"/>
              </w:rPr>
              <w:t>Perquisites</w:t>
            </w:r>
            <w:r>
              <w:rPr>
                <w:rFonts w:ascii="Arial" w:cs="Arial" w:eastAsia="Arial" w:hAnsi="Arial"/>
                <w:sz w:val="16"/>
                <w:szCs w:val="16"/>
                <w:color w:val="auto"/>
                <w:vertAlign w:val="superscript"/>
              </w:rPr>
              <w:t>8</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37,732</w:t>
            </w:r>
          </w:p>
        </w:tc>
        <w:tc>
          <w:tcPr>
            <w:tcW w:w="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0</w:t>
            </w:r>
          </w:p>
        </w:tc>
        <w:tc>
          <w:tcPr>
            <w:tcW w:w="380" w:type="dxa"/>
            <w:vAlign w:val="bottom"/>
          </w:tcPr>
          <w:p>
            <w:pPr>
              <w:spacing w:after="0"/>
              <w:rPr>
                <w:sz w:val="16"/>
                <w:szCs w:val="16"/>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0</w:t>
            </w:r>
          </w:p>
        </w:tc>
        <w:tc>
          <w:tcPr>
            <w:tcW w:w="360" w:type="dxa"/>
            <w:vAlign w:val="bottom"/>
          </w:tcPr>
          <w:p>
            <w:pPr>
              <w:spacing w:after="0"/>
              <w:rPr>
                <w:sz w:val="16"/>
                <w:szCs w:val="16"/>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0</w:t>
            </w:r>
          </w:p>
        </w:tc>
        <w:tc>
          <w:tcPr>
            <w:tcW w:w="480" w:type="dxa"/>
            <w:vAlign w:val="bottom"/>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0</w:t>
            </w:r>
          </w:p>
        </w:tc>
        <w:tc>
          <w:tcPr>
            <w:tcW w:w="380" w:type="dxa"/>
            <w:vAlign w:val="bottom"/>
          </w:tcPr>
          <w:p>
            <w:pPr>
              <w:spacing w:after="0"/>
              <w:rPr>
                <w:sz w:val="16"/>
                <w:szCs w:val="16"/>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0</w:t>
            </w:r>
          </w:p>
        </w:tc>
        <w:tc>
          <w:tcPr>
            <w:tcW w:w="3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3"/>
        </w:trPr>
        <w:tc>
          <w:tcPr>
            <w:tcW w:w="3160" w:type="dxa"/>
            <w:vAlign w:val="bottom"/>
          </w:tcPr>
          <w:p>
            <w:pPr>
              <w:ind w:left="20"/>
              <w:spacing w:after="0"/>
              <w:rPr>
                <w:sz w:val="20"/>
                <w:szCs w:val="20"/>
                <w:color w:val="auto"/>
              </w:rPr>
            </w:pPr>
            <w:r>
              <w:rPr>
                <w:rFonts w:ascii="Arial" w:cs="Arial" w:eastAsia="Arial" w:hAnsi="Arial"/>
                <w:sz w:val="12"/>
                <w:szCs w:val="12"/>
                <w:b w:val="1"/>
                <w:bCs w:val="1"/>
                <w:color w:val="auto"/>
              </w:rPr>
              <w:t>Total</w:t>
            </w:r>
          </w:p>
        </w:tc>
        <w:tc>
          <w:tcPr>
            <w:tcW w:w="900" w:type="dxa"/>
            <w:vAlign w:val="bottom"/>
          </w:tcPr>
          <w:p>
            <w:pPr>
              <w:jc w:val="right"/>
              <w:spacing w:after="0"/>
              <w:rPr>
                <w:sz w:val="20"/>
                <w:szCs w:val="20"/>
                <w:color w:val="auto"/>
              </w:rPr>
            </w:pPr>
            <w:r>
              <w:rPr>
                <w:rFonts w:ascii="Arial" w:cs="Arial" w:eastAsia="Arial" w:hAnsi="Arial"/>
                <w:sz w:val="12"/>
                <w:szCs w:val="12"/>
                <w:b w:val="1"/>
                <w:bCs w:val="1"/>
                <w:color w:val="auto"/>
              </w:rPr>
              <w:t>72,258</w:t>
            </w:r>
          </w:p>
        </w:tc>
        <w:tc>
          <w:tcPr>
            <w:tcW w:w="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2"/>
                <w:szCs w:val="12"/>
                <w:b w:val="1"/>
                <w:bCs w:val="1"/>
                <w:color w:val="auto"/>
              </w:rPr>
              <w:t>34,526</w:t>
            </w:r>
          </w:p>
        </w:tc>
        <w:tc>
          <w:tcPr>
            <w:tcW w:w="38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2"/>
                <w:szCs w:val="12"/>
                <w:b w:val="1"/>
                <w:bCs w:val="1"/>
                <w:color w:val="auto"/>
              </w:rPr>
              <w:t>0</w:t>
            </w:r>
          </w:p>
        </w:tc>
        <w:tc>
          <w:tcPr>
            <w:tcW w:w="36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2"/>
                <w:szCs w:val="12"/>
                <w:b w:val="1"/>
                <w:bCs w:val="1"/>
                <w:color w:val="auto"/>
              </w:rPr>
              <w:t>0</w:t>
            </w:r>
          </w:p>
        </w:tc>
        <w:tc>
          <w:tcPr>
            <w:tcW w:w="48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2"/>
                <w:szCs w:val="12"/>
                <w:b w:val="1"/>
                <w:bCs w:val="1"/>
                <w:color w:val="auto"/>
              </w:rPr>
              <w:t>1,304,774</w:t>
            </w:r>
          </w:p>
        </w:tc>
        <w:tc>
          <w:tcPr>
            <w:tcW w:w="38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Arial" w:cs="Arial" w:eastAsia="Arial" w:hAnsi="Arial"/>
                <w:sz w:val="12"/>
                <w:szCs w:val="12"/>
                <w:b w:val="1"/>
                <w:bCs w:val="1"/>
                <w:color w:val="auto"/>
              </w:rPr>
              <w:t>3,047,255</w:t>
            </w:r>
          </w:p>
        </w:tc>
        <w:tc>
          <w:tcPr>
            <w:tcW w:w="3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31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580" w:type="dxa"/>
            <w:vAlign w:val="bottom"/>
            <w:gridSpan w:val="3"/>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9"/>
        </w:trPr>
        <w:tc>
          <w:tcPr>
            <w:tcW w:w="3160" w:type="dxa"/>
            <w:vAlign w:val="bottom"/>
            <w:shd w:val="clear" w:color="auto" w:fill="BF2115"/>
          </w:tcPr>
          <w:p>
            <w:pPr>
              <w:spacing w:after="0"/>
              <w:rPr>
                <w:sz w:val="15"/>
                <w:szCs w:val="15"/>
                <w:color w:val="auto"/>
              </w:rPr>
            </w:pPr>
          </w:p>
        </w:tc>
        <w:tc>
          <w:tcPr>
            <w:tcW w:w="900" w:type="dxa"/>
            <w:vAlign w:val="bottom"/>
            <w:shd w:val="clear" w:color="auto" w:fill="BF2115"/>
          </w:tcPr>
          <w:p>
            <w:pPr>
              <w:spacing w:after="0"/>
              <w:rPr>
                <w:sz w:val="15"/>
                <w:szCs w:val="15"/>
                <w:color w:val="auto"/>
              </w:rPr>
            </w:pPr>
          </w:p>
        </w:tc>
        <w:tc>
          <w:tcPr>
            <w:tcW w:w="60" w:type="dxa"/>
            <w:vAlign w:val="bottom"/>
            <w:shd w:val="clear" w:color="auto" w:fill="BF2115"/>
          </w:tcPr>
          <w:p>
            <w:pPr>
              <w:spacing w:after="0"/>
              <w:rPr>
                <w:sz w:val="15"/>
                <w:szCs w:val="15"/>
                <w:color w:val="auto"/>
              </w:rPr>
            </w:pPr>
          </w:p>
        </w:tc>
        <w:tc>
          <w:tcPr>
            <w:tcW w:w="280" w:type="dxa"/>
            <w:vAlign w:val="bottom"/>
            <w:shd w:val="clear" w:color="auto" w:fill="BF2115"/>
          </w:tcPr>
          <w:p>
            <w:pPr>
              <w:spacing w:after="0"/>
              <w:rPr>
                <w:sz w:val="15"/>
                <w:szCs w:val="15"/>
                <w:color w:val="auto"/>
              </w:rPr>
            </w:pPr>
          </w:p>
        </w:tc>
        <w:tc>
          <w:tcPr>
            <w:tcW w:w="840" w:type="dxa"/>
            <w:vAlign w:val="bottom"/>
            <w:shd w:val="clear" w:color="auto" w:fill="BF2115"/>
          </w:tcPr>
          <w:p>
            <w:pPr>
              <w:spacing w:after="0"/>
              <w:rPr>
                <w:sz w:val="15"/>
                <w:szCs w:val="15"/>
                <w:color w:val="auto"/>
              </w:rPr>
            </w:pPr>
          </w:p>
        </w:tc>
        <w:tc>
          <w:tcPr>
            <w:tcW w:w="380" w:type="dxa"/>
            <w:vAlign w:val="bottom"/>
            <w:shd w:val="clear" w:color="auto" w:fill="BF2115"/>
          </w:tcPr>
          <w:p>
            <w:pPr>
              <w:spacing w:after="0"/>
              <w:rPr>
                <w:sz w:val="15"/>
                <w:szCs w:val="15"/>
                <w:color w:val="auto"/>
              </w:rPr>
            </w:pPr>
          </w:p>
        </w:tc>
        <w:tc>
          <w:tcPr>
            <w:tcW w:w="680" w:type="dxa"/>
            <w:vAlign w:val="bottom"/>
            <w:shd w:val="clear" w:color="auto" w:fill="BF2115"/>
          </w:tcPr>
          <w:p>
            <w:pPr>
              <w:spacing w:after="0"/>
              <w:rPr>
                <w:sz w:val="15"/>
                <w:szCs w:val="15"/>
                <w:color w:val="auto"/>
              </w:rPr>
            </w:pPr>
          </w:p>
        </w:tc>
        <w:tc>
          <w:tcPr>
            <w:tcW w:w="360" w:type="dxa"/>
            <w:vAlign w:val="bottom"/>
            <w:shd w:val="clear" w:color="auto" w:fill="BF2115"/>
          </w:tcPr>
          <w:p>
            <w:pPr>
              <w:spacing w:after="0"/>
              <w:rPr>
                <w:sz w:val="15"/>
                <w:szCs w:val="15"/>
                <w:color w:val="auto"/>
              </w:rPr>
            </w:pPr>
          </w:p>
        </w:tc>
        <w:tc>
          <w:tcPr>
            <w:tcW w:w="660" w:type="dxa"/>
            <w:vAlign w:val="bottom"/>
            <w:shd w:val="clear" w:color="auto" w:fill="BF2115"/>
          </w:tcPr>
          <w:p>
            <w:pPr>
              <w:spacing w:after="0"/>
              <w:rPr>
                <w:sz w:val="15"/>
                <w:szCs w:val="15"/>
                <w:color w:val="auto"/>
              </w:rPr>
            </w:pPr>
          </w:p>
        </w:tc>
        <w:tc>
          <w:tcPr>
            <w:tcW w:w="480" w:type="dxa"/>
            <w:vAlign w:val="bottom"/>
            <w:shd w:val="clear" w:color="auto" w:fill="BF2115"/>
          </w:tcPr>
          <w:p>
            <w:pPr>
              <w:spacing w:after="0"/>
              <w:rPr>
                <w:sz w:val="15"/>
                <w:szCs w:val="15"/>
                <w:color w:val="auto"/>
              </w:rPr>
            </w:pPr>
          </w:p>
        </w:tc>
        <w:tc>
          <w:tcPr>
            <w:tcW w:w="2580" w:type="dxa"/>
            <w:vAlign w:val="bottom"/>
            <w:gridSpan w:val="3"/>
            <w:shd w:val="clear" w:color="auto" w:fill="BF2115"/>
          </w:tcPr>
          <w:p>
            <w:pPr>
              <w:jc w:val="right"/>
              <w:ind w:right="498"/>
              <w:spacing w:after="0"/>
              <w:rPr>
                <w:sz w:val="20"/>
                <w:szCs w:val="20"/>
                <w:color w:val="auto"/>
              </w:rPr>
            </w:pPr>
            <w:r>
              <w:rPr>
                <w:rFonts w:ascii="Arial" w:cs="Arial" w:eastAsia="Arial" w:hAnsi="Arial"/>
                <w:sz w:val="12"/>
                <w:szCs w:val="12"/>
                <w:b w:val="1"/>
                <w:bCs w:val="1"/>
                <w:color w:val="FFFFFF"/>
              </w:rPr>
              <w:t>Change in Control</w:t>
            </w:r>
          </w:p>
        </w:tc>
        <w:tc>
          <w:tcPr>
            <w:tcW w:w="380" w:type="dxa"/>
            <w:vAlign w:val="bottom"/>
            <w:shd w:val="clear" w:color="auto" w:fill="BF2115"/>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3160" w:type="dxa"/>
            <w:vAlign w:val="bottom"/>
            <w:shd w:val="clear" w:color="auto" w:fill="BF2115"/>
          </w:tcPr>
          <w:p>
            <w:pPr>
              <w:spacing w:after="0"/>
              <w:rPr>
                <w:sz w:val="18"/>
                <w:szCs w:val="18"/>
                <w:color w:val="auto"/>
              </w:rPr>
            </w:pPr>
          </w:p>
        </w:tc>
        <w:tc>
          <w:tcPr>
            <w:tcW w:w="900" w:type="dxa"/>
            <w:vAlign w:val="bottom"/>
            <w:shd w:val="clear" w:color="auto" w:fill="BF2115"/>
          </w:tcPr>
          <w:p>
            <w:pPr>
              <w:spacing w:after="0"/>
              <w:rPr>
                <w:sz w:val="18"/>
                <w:szCs w:val="18"/>
                <w:color w:val="auto"/>
              </w:rPr>
            </w:pPr>
          </w:p>
        </w:tc>
        <w:tc>
          <w:tcPr>
            <w:tcW w:w="60" w:type="dxa"/>
            <w:vAlign w:val="bottom"/>
            <w:shd w:val="clear" w:color="auto" w:fill="BF2115"/>
          </w:tcPr>
          <w:p>
            <w:pPr>
              <w:spacing w:after="0"/>
              <w:rPr>
                <w:sz w:val="18"/>
                <w:szCs w:val="18"/>
                <w:color w:val="auto"/>
              </w:rPr>
            </w:pPr>
          </w:p>
        </w:tc>
        <w:tc>
          <w:tcPr>
            <w:tcW w:w="280" w:type="dxa"/>
            <w:vAlign w:val="bottom"/>
            <w:shd w:val="clear" w:color="auto" w:fill="BF2115"/>
          </w:tcPr>
          <w:p>
            <w:pPr>
              <w:spacing w:after="0"/>
              <w:rPr>
                <w:sz w:val="18"/>
                <w:szCs w:val="18"/>
                <w:color w:val="auto"/>
              </w:rPr>
            </w:pPr>
          </w:p>
        </w:tc>
        <w:tc>
          <w:tcPr>
            <w:tcW w:w="840" w:type="dxa"/>
            <w:vAlign w:val="bottom"/>
            <w:shd w:val="clear" w:color="auto" w:fill="BF2115"/>
          </w:tcPr>
          <w:p>
            <w:pPr>
              <w:spacing w:after="0"/>
              <w:rPr>
                <w:sz w:val="18"/>
                <w:szCs w:val="18"/>
                <w:color w:val="auto"/>
              </w:rPr>
            </w:pPr>
          </w:p>
        </w:tc>
        <w:tc>
          <w:tcPr>
            <w:tcW w:w="380" w:type="dxa"/>
            <w:vAlign w:val="bottom"/>
            <w:shd w:val="clear" w:color="auto" w:fill="BF2115"/>
          </w:tcPr>
          <w:p>
            <w:pPr>
              <w:spacing w:after="0"/>
              <w:rPr>
                <w:sz w:val="18"/>
                <w:szCs w:val="18"/>
                <w:color w:val="auto"/>
              </w:rPr>
            </w:pPr>
          </w:p>
        </w:tc>
        <w:tc>
          <w:tcPr>
            <w:tcW w:w="680" w:type="dxa"/>
            <w:vAlign w:val="bottom"/>
            <w:shd w:val="clear" w:color="auto" w:fill="BF2115"/>
          </w:tcPr>
          <w:p>
            <w:pPr>
              <w:spacing w:after="0"/>
              <w:rPr>
                <w:sz w:val="18"/>
                <w:szCs w:val="18"/>
                <w:color w:val="auto"/>
              </w:rPr>
            </w:pPr>
          </w:p>
        </w:tc>
        <w:tc>
          <w:tcPr>
            <w:tcW w:w="360" w:type="dxa"/>
            <w:vAlign w:val="bottom"/>
            <w:shd w:val="clear" w:color="auto" w:fill="BF2115"/>
          </w:tcPr>
          <w:p>
            <w:pPr>
              <w:spacing w:after="0"/>
              <w:rPr>
                <w:sz w:val="18"/>
                <w:szCs w:val="18"/>
                <w:color w:val="auto"/>
              </w:rPr>
            </w:pPr>
          </w:p>
        </w:tc>
        <w:tc>
          <w:tcPr>
            <w:tcW w:w="660" w:type="dxa"/>
            <w:vAlign w:val="bottom"/>
            <w:shd w:val="clear" w:color="auto" w:fill="BF2115"/>
          </w:tcPr>
          <w:p>
            <w:pPr>
              <w:spacing w:after="0"/>
              <w:rPr>
                <w:sz w:val="18"/>
                <w:szCs w:val="18"/>
                <w:color w:val="auto"/>
              </w:rPr>
            </w:pPr>
          </w:p>
        </w:tc>
        <w:tc>
          <w:tcPr>
            <w:tcW w:w="480" w:type="dxa"/>
            <w:vAlign w:val="bottom"/>
            <w:shd w:val="clear" w:color="auto" w:fill="BF2115"/>
          </w:tcPr>
          <w:p>
            <w:pPr>
              <w:spacing w:after="0"/>
              <w:rPr>
                <w:sz w:val="18"/>
                <w:szCs w:val="18"/>
                <w:color w:val="auto"/>
              </w:rPr>
            </w:pPr>
          </w:p>
        </w:tc>
        <w:tc>
          <w:tcPr>
            <w:tcW w:w="1020" w:type="dxa"/>
            <w:vAlign w:val="bottom"/>
            <w:shd w:val="clear" w:color="auto" w:fill="BF2115"/>
          </w:tcPr>
          <w:p>
            <w:pPr>
              <w:spacing w:after="0"/>
              <w:rPr>
                <w:sz w:val="18"/>
                <w:szCs w:val="18"/>
                <w:color w:val="auto"/>
              </w:rPr>
            </w:pPr>
          </w:p>
        </w:tc>
        <w:tc>
          <w:tcPr>
            <w:tcW w:w="380" w:type="dxa"/>
            <w:vAlign w:val="bottom"/>
            <w:shd w:val="clear" w:color="auto" w:fill="BF2115"/>
          </w:tcPr>
          <w:p>
            <w:pPr>
              <w:spacing w:after="0"/>
              <w:rPr>
                <w:sz w:val="18"/>
                <w:szCs w:val="18"/>
                <w:color w:val="auto"/>
              </w:rPr>
            </w:pPr>
          </w:p>
        </w:tc>
        <w:tc>
          <w:tcPr>
            <w:tcW w:w="1560" w:type="dxa"/>
            <w:vAlign w:val="bottom"/>
            <w:gridSpan w:val="2"/>
            <w:shd w:val="clear" w:color="auto" w:fill="BF2115"/>
          </w:tcPr>
          <w:p>
            <w:pPr>
              <w:jc w:val="center"/>
              <w:spacing w:after="0"/>
              <w:rPr>
                <w:sz w:val="20"/>
                <w:szCs w:val="20"/>
                <w:color w:val="auto"/>
              </w:rPr>
            </w:pPr>
            <w:r>
              <w:rPr>
                <w:rFonts w:ascii="Arial" w:cs="Arial" w:eastAsia="Arial" w:hAnsi="Arial"/>
                <w:sz w:val="12"/>
                <w:szCs w:val="12"/>
                <w:b w:val="1"/>
                <w:bCs w:val="1"/>
                <w:color w:val="FFFFFF"/>
              </w:rPr>
              <w:t>Termination Without</w:t>
            </w:r>
          </w:p>
        </w:tc>
        <w:tc>
          <w:tcPr>
            <w:tcW w:w="0" w:type="dxa"/>
            <w:vAlign w:val="bottom"/>
          </w:tcPr>
          <w:p>
            <w:pPr>
              <w:spacing w:after="0"/>
              <w:rPr>
                <w:sz w:val="1"/>
                <w:szCs w:val="1"/>
                <w:color w:val="auto"/>
              </w:rPr>
            </w:pPr>
          </w:p>
        </w:tc>
      </w:tr>
      <w:tr>
        <w:trPr>
          <w:trHeight w:val="147"/>
        </w:trPr>
        <w:tc>
          <w:tcPr>
            <w:tcW w:w="3160" w:type="dxa"/>
            <w:vAlign w:val="bottom"/>
            <w:shd w:val="clear" w:color="auto" w:fill="BF2115"/>
          </w:tcPr>
          <w:p>
            <w:pPr>
              <w:spacing w:after="0"/>
              <w:rPr>
                <w:sz w:val="12"/>
                <w:szCs w:val="12"/>
                <w:color w:val="auto"/>
              </w:rPr>
            </w:pPr>
          </w:p>
        </w:tc>
        <w:tc>
          <w:tcPr>
            <w:tcW w:w="960" w:type="dxa"/>
            <w:vAlign w:val="bottom"/>
            <w:gridSpan w:val="2"/>
            <w:shd w:val="clear" w:color="auto" w:fill="BF2115"/>
          </w:tcPr>
          <w:p>
            <w:pPr>
              <w:jc w:val="center"/>
              <w:ind w:left="238"/>
              <w:spacing w:after="0"/>
              <w:rPr>
                <w:sz w:val="20"/>
                <w:szCs w:val="20"/>
                <w:color w:val="auto"/>
              </w:rPr>
            </w:pPr>
            <w:r>
              <w:rPr>
                <w:rFonts w:ascii="Arial" w:cs="Arial" w:eastAsia="Arial" w:hAnsi="Arial"/>
                <w:sz w:val="12"/>
                <w:szCs w:val="12"/>
                <w:b w:val="1"/>
                <w:bCs w:val="1"/>
                <w:color w:val="FFFFFF"/>
              </w:rPr>
              <w:t>Voluntary</w:t>
            </w:r>
          </w:p>
        </w:tc>
        <w:tc>
          <w:tcPr>
            <w:tcW w:w="280" w:type="dxa"/>
            <w:vAlign w:val="bottom"/>
            <w:shd w:val="clear" w:color="auto" w:fill="BF2115"/>
          </w:tcPr>
          <w:p>
            <w:pPr>
              <w:spacing w:after="0"/>
              <w:rPr>
                <w:sz w:val="12"/>
                <w:szCs w:val="12"/>
                <w:color w:val="auto"/>
              </w:rPr>
            </w:pPr>
          </w:p>
        </w:tc>
        <w:tc>
          <w:tcPr>
            <w:tcW w:w="840" w:type="dxa"/>
            <w:vAlign w:val="bottom"/>
            <w:shd w:val="clear" w:color="auto" w:fill="BF2115"/>
          </w:tcPr>
          <w:p>
            <w:pPr>
              <w:spacing w:after="0"/>
              <w:rPr>
                <w:sz w:val="12"/>
                <w:szCs w:val="12"/>
                <w:color w:val="auto"/>
              </w:rPr>
            </w:pPr>
          </w:p>
        </w:tc>
        <w:tc>
          <w:tcPr>
            <w:tcW w:w="380" w:type="dxa"/>
            <w:vAlign w:val="bottom"/>
            <w:shd w:val="clear" w:color="auto" w:fill="BF2115"/>
          </w:tcPr>
          <w:p>
            <w:pPr>
              <w:spacing w:after="0"/>
              <w:rPr>
                <w:sz w:val="12"/>
                <w:szCs w:val="12"/>
                <w:color w:val="auto"/>
              </w:rPr>
            </w:pPr>
          </w:p>
        </w:tc>
        <w:tc>
          <w:tcPr>
            <w:tcW w:w="1040" w:type="dxa"/>
            <w:vAlign w:val="bottom"/>
            <w:gridSpan w:val="2"/>
            <w:shd w:val="clear" w:color="auto" w:fill="BF2115"/>
          </w:tcPr>
          <w:p>
            <w:pPr>
              <w:jc w:val="center"/>
              <w:spacing w:after="0"/>
              <w:rPr>
                <w:sz w:val="20"/>
                <w:szCs w:val="20"/>
                <w:color w:val="auto"/>
              </w:rPr>
            </w:pPr>
            <w:r>
              <w:rPr>
                <w:rFonts w:ascii="Arial" w:cs="Arial" w:eastAsia="Arial" w:hAnsi="Arial"/>
                <w:sz w:val="12"/>
                <w:szCs w:val="12"/>
                <w:b w:val="1"/>
                <w:bCs w:val="1"/>
                <w:color w:val="FFFFFF"/>
              </w:rPr>
              <w:t>Involuntary</w:t>
            </w:r>
          </w:p>
        </w:tc>
        <w:tc>
          <w:tcPr>
            <w:tcW w:w="1140" w:type="dxa"/>
            <w:vAlign w:val="bottom"/>
            <w:gridSpan w:val="2"/>
            <w:shd w:val="clear" w:color="auto" w:fill="BF2115"/>
          </w:tcPr>
          <w:p>
            <w:pPr>
              <w:jc w:val="center"/>
              <w:spacing w:after="0"/>
              <w:rPr>
                <w:sz w:val="20"/>
                <w:szCs w:val="20"/>
                <w:color w:val="auto"/>
              </w:rPr>
            </w:pPr>
            <w:r>
              <w:rPr>
                <w:rFonts w:ascii="Arial" w:cs="Arial" w:eastAsia="Arial" w:hAnsi="Arial"/>
                <w:sz w:val="12"/>
                <w:szCs w:val="12"/>
                <w:b w:val="1"/>
                <w:bCs w:val="1"/>
                <w:color w:val="FFFFFF"/>
              </w:rPr>
              <w:t>Termination</w:t>
            </w:r>
          </w:p>
        </w:tc>
        <w:tc>
          <w:tcPr>
            <w:tcW w:w="1020" w:type="dxa"/>
            <w:vAlign w:val="bottom"/>
            <w:shd w:val="clear" w:color="auto" w:fill="BF2115"/>
          </w:tcPr>
          <w:p>
            <w:pPr>
              <w:spacing w:after="0"/>
              <w:rPr>
                <w:sz w:val="12"/>
                <w:szCs w:val="12"/>
                <w:color w:val="auto"/>
              </w:rPr>
            </w:pPr>
          </w:p>
        </w:tc>
        <w:tc>
          <w:tcPr>
            <w:tcW w:w="380" w:type="dxa"/>
            <w:vAlign w:val="bottom"/>
            <w:shd w:val="clear" w:color="auto" w:fill="BF2115"/>
          </w:tcPr>
          <w:p>
            <w:pPr>
              <w:spacing w:after="0"/>
              <w:rPr>
                <w:sz w:val="12"/>
                <w:szCs w:val="12"/>
                <w:color w:val="auto"/>
              </w:rPr>
            </w:pPr>
          </w:p>
        </w:tc>
        <w:tc>
          <w:tcPr>
            <w:tcW w:w="1560" w:type="dxa"/>
            <w:vAlign w:val="bottom"/>
            <w:gridSpan w:val="2"/>
            <w:shd w:val="clear" w:color="auto" w:fill="BF2115"/>
          </w:tcPr>
          <w:p>
            <w:pPr>
              <w:jc w:val="center"/>
              <w:spacing w:after="0"/>
              <w:rPr>
                <w:sz w:val="20"/>
                <w:szCs w:val="20"/>
                <w:color w:val="auto"/>
              </w:rPr>
            </w:pPr>
            <w:r>
              <w:rPr>
                <w:rFonts w:ascii="Arial" w:cs="Arial" w:eastAsia="Arial" w:hAnsi="Arial"/>
                <w:sz w:val="12"/>
                <w:szCs w:val="12"/>
                <w:b w:val="1"/>
                <w:bCs w:val="1"/>
                <w:color w:val="FFFFFF"/>
              </w:rPr>
              <w:t>Cause by TTC or by</w:t>
            </w:r>
          </w:p>
        </w:tc>
        <w:tc>
          <w:tcPr>
            <w:tcW w:w="0" w:type="dxa"/>
            <w:vAlign w:val="bottom"/>
          </w:tcPr>
          <w:p>
            <w:pPr>
              <w:spacing w:after="0"/>
              <w:rPr>
                <w:sz w:val="1"/>
                <w:szCs w:val="1"/>
                <w:color w:val="auto"/>
              </w:rPr>
            </w:pPr>
          </w:p>
        </w:tc>
      </w:tr>
      <w:tr>
        <w:trPr>
          <w:trHeight w:val="160"/>
        </w:trPr>
        <w:tc>
          <w:tcPr>
            <w:tcW w:w="3160" w:type="dxa"/>
            <w:vAlign w:val="bottom"/>
            <w:shd w:val="clear" w:color="auto" w:fill="BF2115"/>
          </w:tcPr>
          <w:p>
            <w:pPr>
              <w:spacing w:after="0"/>
              <w:rPr>
                <w:sz w:val="13"/>
                <w:szCs w:val="13"/>
                <w:color w:val="auto"/>
              </w:rPr>
            </w:pPr>
          </w:p>
        </w:tc>
        <w:tc>
          <w:tcPr>
            <w:tcW w:w="1240" w:type="dxa"/>
            <w:vAlign w:val="bottom"/>
            <w:gridSpan w:val="3"/>
            <w:shd w:val="clear" w:color="auto" w:fill="BF2115"/>
          </w:tcPr>
          <w:p>
            <w:pPr>
              <w:jc w:val="center"/>
              <w:spacing w:after="0"/>
              <w:rPr>
                <w:sz w:val="20"/>
                <w:szCs w:val="20"/>
                <w:color w:val="auto"/>
              </w:rPr>
            </w:pPr>
            <w:r>
              <w:rPr>
                <w:rFonts w:ascii="Arial" w:cs="Arial" w:eastAsia="Arial" w:hAnsi="Arial"/>
                <w:sz w:val="12"/>
                <w:szCs w:val="12"/>
                <w:b w:val="1"/>
                <w:bCs w:val="1"/>
                <w:color w:val="FFFFFF"/>
              </w:rPr>
              <w:t>Resignation /</w:t>
            </w:r>
          </w:p>
        </w:tc>
        <w:tc>
          <w:tcPr>
            <w:tcW w:w="1220" w:type="dxa"/>
            <w:vAlign w:val="bottom"/>
            <w:gridSpan w:val="2"/>
            <w:shd w:val="clear" w:color="auto" w:fill="BF2115"/>
          </w:tcPr>
          <w:p>
            <w:pPr>
              <w:jc w:val="center"/>
              <w:spacing w:after="0"/>
              <w:rPr>
                <w:sz w:val="20"/>
                <w:szCs w:val="20"/>
                <w:color w:val="auto"/>
              </w:rPr>
            </w:pPr>
            <w:r>
              <w:rPr>
                <w:rFonts w:ascii="Arial" w:cs="Arial" w:eastAsia="Arial" w:hAnsi="Arial"/>
                <w:sz w:val="12"/>
                <w:szCs w:val="12"/>
                <w:b w:val="1"/>
                <w:bCs w:val="1"/>
                <w:color w:val="FFFFFF"/>
              </w:rPr>
              <w:t>Disability or</w:t>
            </w:r>
          </w:p>
        </w:tc>
        <w:tc>
          <w:tcPr>
            <w:tcW w:w="1040" w:type="dxa"/>
            <w:vAlign w:val="bottom"/>
            <w:gridSpan w:val="2"/>
            <w:shd w:val="clear" w:color="auto" w:fill="BF2115"/>
          </w:tcPr>
          <w:p>
            <w:pPr>
              <w:jc w:val="center"/>
              <w:spacing w:after="0"/>
              <w:rPr>
                <w:sz w:val="20"/>
                <w:szCs w:val="20"/>
                <w:color w:val="auto"/>
              </w:rPr>
            </w:pPr>
            <w:r>
              <w:rPr>
                <w:rFonts w:ascii="Arial" w:cs="Arial" w:eastAsia="Arial" w:hAnsi="Arial"/>
                <w:sz w:val="12"/>
                <w:szCs w:val="12"/>
                <w:b w:val="1"/>
                <w:bCs w:val="1"/>
                <w:color w:val="FFFFFF"/>
              </w:rPr>
              <w:t>Termination by</w:t>
            </w:r>
          </w:p>
        </w:tc>
        <w:tc>
          <w:tcPr>
            <w:tcW w:w="1140" w:type="dxa"/>
            <w:vAlign w:val="bottom"/>
            <w:gridSpan w:val="2"/>
            <w:shd w:val="clear" w:color="auto" w:fill="BF2115"/>
          </w:tcPr>
          <w:p>
            <w:pPr>
              <w:jc w:val="center"/>
              <w:spacing w:after="0"/>
              <w:rPr>
                <w:sz w:val="20"/>
                <w:szCs w:val="20"/>
                <w:color w:val="auto"/>
              </w:rPr>
            </w:pPr>
            <w:r>
              <w:rPr>
                <w:rFonts w:ascii="Arial" w:cs="Arial" w:eastAsia="Arial" w:hAnsi="Arial"/>
                <w:sz w:val="12"/>
                <w:szCs w:val="12"/>
                <w:b w:val="1"/>
                <w:bCs w:val="1"/>
                <w:color w:val="FFFFFF"/>
              </w:rPr>
              <w:t>by TTC for</w:t>
            </w:r>
          </w:p>
        </w:tc>
        <w:tc>
          <w:tcPr>
            <w:tcW w:w="1400" w:type="dxa"/>
            <w:vAlign w:val="bottom"/>
            <w:gridSpan w:val="2"/>
            <w:shd w:val="clear" w:color="auto" w:fill="BF2115"/>
          </w:tcPr>
          <w:p>
            <w:pPr>
              <w:jc w:val="center"/>
              <w:spacing w:after="0"/>
              <w:rPr>
                <w:sz w:val="20"/>
                <w:szCs w:val="20"/>
                <w:color w:val="auto"/>
              </w:rPr>
            </w:pPr>
            <w:r>
              <w:rPr>
                <w:rFonts w:ascii="Arial" w:cs="Arial" w:eastAsia="Arial" w:hAnsi="Arial"/>
                <w:sz w:val="12"/>
                <w:szCs w:val="12"/>
                <w:b w:val="1"/>
                <w:bCs w:val="1"/>
                <w:color w:val="FFFFFF"/>
              </w:rPr>
              <w:t>No Termination</w:t>
            </w:r>
          </w:p>
        </w:tc>
        <w:tc>
          <w:tcPr>
            <w:tcW w:w="1560" w:type="dxa"/>
            <w:vAlign w:val="bottom"/>
            <w:gridSpan w:val="2"/>
            <w:shd w:val="clear" w:color="auto" w:fill="BF2115"/>
          </w:tcPr>
          <w:p>
            <w:pPr>
              <w:jc w:val="center"/>
              <w:spacing w:after="0"/>
              <w:rPr>
                <w:sz w:val="20"/>
                <w:szCs w:val="20"/>
                <w:color w:val="auto"/>
              </w:rPr>
            </w:pPr>
            <w:r>
              <w:rPr>
                <w:rFonts w:ascii="Arial" w:cs="Arial" w:eastAsia="Arial" w:hAnsi="Arial"/>
                <w:sz w:val="12"/>
                <w:szCs w:val="12"/>
                <w:b w:val="1"/>
                <w:bCs w:val="1"/>
                <w:color w:val="FFFFFF"/>
              </w:rPr>
              <w:t>Executive for Good</w:t>
            </w:r>
          </w:p>
        </w:tc>
        <w:tc>
          <w:tcPr>
            <w:tcW w:w="0" w:type="dxa"/>
            <w:vAlign w:val="bottom"/>
          </w:tcPr>
          <w:p>
            <w:pPr>
              <w:spacing w:after="0"/>
              <w:rPr>
                <w:sz w:val="1"/>
                <w:szCs w:val="1"/>
                <w:color w:val="auto"/>
              </w:rPr>
            </w:pPr>
          </w:p>
        </w:tc>
      </w:tr>
      <w:tr>
        <w:trPr>
          <w:trHeight w:val="160"/>
        </w:trPr>
        <w:tc>
          <w:tcPr>
            <w:tcW w:w="3160" w:type="dxa"/>
            <w:vAlign w:val="bottom"/>
            <w:shd w:val="clear" w:color="auto" w:fill="BF2115"/>
          </w:tcPr>
          <w:p>
            <w:pPr>
              <w:spacing w:after="0"/>
              <w:rPr>
                <w:sz w:val="13"/>
                <w:szCs w:val="13"/>
                <w:color w:val="auto"/>
              </w:rPr>
            </w:pPr>
          </w:p>
        </w:tc>
        <w:tc>
          <w:tcPr>
            <w:tcW w:w="1240" w:type="dxa"/>
            <w:vAlign w:val="bottom"/>
            <w:gridSpan w:val="3"/>
            <w:shd w:val="clear" w:color="auto" w:fill="BF2115"/>
          </w:tcPr>
          <w:p>
            <w:pPr>
              <w:jc w:val="center"/>
              <w:spacing w:after="0" w:line="160" w:lineRule="exact"/>
              <w:rPr>
                <w:sz w:val="20"/>
                <w:szCs w:val="20"/>
                <w:color w:val="auto"/>
              </w:rPr>
            </w:pPr>
            <w:r>
              <w:rPr>
                <w:rFonts w:ascii="Arial" w:cs="Arial" w:eastAsia="Arial" w:hAnsi="Arial"/>
                <w:sz w:val="12"/>
                <w:szCs w:val="12"/>
                <w:b w:val="1"/>
                <w:bCs w:val="1"/>
                <w:color w:val="FFFFFF"/>
                <w:w w:val="97"/>
              </w:rPr>
              <w:t>Retirement</w:t>
            </w:r>
            <w:r>
              <w:rPr>
                <w:rFonts w:ascii="Arial" w:cs="Arial" w:eastAsia="Arial" w:hAnsi="Arial"/>
                <w:sz w:val="16"/>
                <w:szCs w:val="16"/>
                <w:b w:val="1"/>
                <w:bCs w:val="1"/>
                <w:color w:val="FFFFFF"/>
                <w:w w:val="97"/>
                <w:vertAlign w:val="superscript"/>
              </w:rPr>
              <w:t>(1)</w:t>
            </w:r>
          </w:p>
        </w:tc>
        <w:tc>
          <w:tcPr>
            <w:tcW w:w="840" w:type="dxa"/>
            <w:vAlign w:val="bottom"/>
            <w:shd w:val="clear" w:color="auto" w:fill="BF2115"/>
          </w:tcPr>
          <w:p>
            <w:pPr>
              <w:jc w:val="center"/>
              <w:ind w:left="318"/>
              <w:spacing w:after="0"/>
              <w:rPr>
                <w:sz w:val="20"/>
                <w:szCs w:val="20"/>
                <w:color w:val="auto"/>
              </w:rPr>
            </w:pPr>
            <w:r>
              <w:rPr>
                <w:rFonts w:ascii="Arial" w:cs="Arial" w:eastAsia="Arial" w:hAnsi="Arial"/>
                <w:sz w:val="12"/>
                <w:szCs w:val="12"/>
                <w:b w:val="1"/>
                <w:bCs w:val="1"/>
                <w:color w:val="FFFFFF"/>
              </w:rPr>
              <w:t>Death</w:t>
            </w:r>
          </w:p>
        </w:tc>
        <w:tc>
          <w:tcPr>
            <w:tcW w:w="380" w:type="dxa"/>
            <w:vAlign w:val="bottom"/>
            <w:shd w:val="clear" w:color="auto" w:fill="BF2115"/>
          </w:tcPr>
          <w:p>
            <w:pPr>
              <w:spacing w:after="0"/>
              <w:rPr>
                <w:sz w:val="13"/>
                <w:szCs w:val="13"/>
                <w:color w:val="auto"/>
              </w:rPr>
            </w:pPr>
          </w:p>
        </w:tc>
        <w:tc>
          <w:tcPr>
            <w:tcW w:w="1040" w:type="dxa"/>
            <w:vAlign w:val="bottom"/>
            <w:gridSpan w:val="2"/>
            <w:shd w:val="clear" w:color="auto" w:fill="BF2115"/>
          </w:tcPr>
          <w:p>
            <w:pPr>
              <w:jc w:val="center"/>
              <w:spacing w:after="0"/>
              <w:rPr>
                <w:sz w:val="20"/>
                <w:szCs w:val="20"/>
                <w:color w:val="auto"/>
              </w:rPr>
            </w:pPr>
            <w:r>
              <w:rPr>
                <w:rFonts w:ascii="Arial" w:cs="Arial" w:eastAsia="Arial" w:hAnsi="Arial"/>
                <w:sz w:val="12"/>
                <w:szCs w:val="12"/>
                <w:b w:val="1"/>
                <w:bCs w:val="1"/>
                <w:color w:val="FFFFFF"/>
              </w:rPr>
              <w:t>TTC</w:t>
            </w:r>
          </w:p>
        </w:tc>
        <w:tc>
          <w:tcPr>
            <w:tcW w:w="1140" w:type="dxa"/>
            <w:vAlign w:val="bottom"/>
            <w:gridSpan w:val="2"/>
            <w:shd w:val="clear" w:color="auto" w:fill="BF2115"/>
          </w:tcPr>
          <w:p>
            <w:pPr>
              <w:jc w:val="center"/>
              <w:spacing w:after="0"/>
              <w:rPr>
                <w:sz w:val="20"/>
                <w:szCs w:val="20"/>
                <w:color w:val="auto"/>
              </w:rPr>
            </w:pPr>
            <w:r>
              <w:rPr>
                <w:rFonts w:ascii="Arial" w:cs="Arial" w:eastAsia="Arial" w:hAnsi="Arial"/>
                <w:sz w:val="12"/>
                <w:szCs w:val="12"/>
                <w:b w:val="1"/>
                <w:bCs w:val="1"/>
                <w:color w:val="FFFFFF"/>
              </w:rPr>
              <w:t>Cause</w:t>
            </w:r>
          </w:p>
        </w:tc>
        <w:tc>
          <w:tcPr>
            <w:tcW w:w="1020" w:type="dxa"/>
            <w:vAlign w:val="bottom"/>
            <w:shd w:val="clear" w:color="auto" w:fill="BF2115"/>
          </w:tcPr>
          <w:p>
            <w:pPr>
              <w:jc w:val="center"/>
              <w:ind w:left="318"/>
              <w:spacing w:after="0"/>
              <w:rPr>
                <w:sz w:val="20"/>
                <w:szCs w:val="20"/>
                <w:color w:val="auto"/>
              </w:rPr>
            </w:pPr>
            <w:r>
              <w:rPr>
                <w:rFonts w:ascii="Arial" w:cs="Arial" w:eastAsia="Arial" w:hAnsi="Arial"/>
                <w:sz w:val="12"/>
                <w:szCs w:val="12"/>
                <w:b w:val="1"/>
                <w:bCs w:val="1"/>
                <w:color w:val="FFFFFF"/>
                <w:w w:val="97"/>
              </w:rPr>
              <w:t>Event</w:t>
            </w:r>
          </w:p>
        </w:tc>
        <w:tc>
          <w:tcPr>
            <w:tcW w:w="380" w:type="dxa"/>
            <w:vAlign w:val="bottom"/>
            <w:shd w:val="clear" w:color="auto" w:fill="BF2115"/>
          </w:tcPr>
          <w:p>
            <w:pPr>
              <w:spacing w:after="0"/>
              <w:rPr>
                <w:sz w:val="13"/>
                <w:szCs w:val="13"/>
                <w:color w:val="auto"/>
              </w:rPr>
            </w:pPr>
          </w:p>
        </w:tc>
        <w:tc>
          <w:tcPr>
            <w:tcW w:w="1180" w:type="dxa"/>
            <w:vAlign w:val="bottom"/>
            <w:shd w:val="clear" w:color="auto" w:fill="BF2115"/>
          </w:tcPr>
          <w:p>
            <w:pPr>
              <w:jc w:val="center"/>
              <w:ind w:left="318"/>
              <w:spacing w:after="0"/>
              <w:rPr>
                <w:sz w:val="20"/>
                <w:szCs w:val="20"/>
                <w:color w:val="auto"/>
              </w:rPr>
            </w:pPr>
            <w:r>
              <w:rPr>
                <w:rFonts w:ascii="Arial" w:cs="Arial" w:eastAsia="Arial" w:hAnsi="Arial"/>
                <w:sz w:val="12"/>
                <w:szCs w:val="12"/>
                <w:b w:val="1"/>
                <w:bCs w:val="1"/>
                <w:color w:val="FFFFFF"/>
              </w:rPr>
              <w:t>Reason</w:t>
            </w:r>
          </w:p>
        </w:tc>
        <w:tc>
          <w:tcPr>
            <w:tcW w:w="380" w:type="dxa"/>
            <w:vAlign w:val="bottom"/>
            <w:shd w:val="clear" w:color="auto" w:fill="BF2115"/>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3160" w:type="dxa"/>
            <w:vAlign w:val="bottom"/>
            <w:tcBorders>
              <w:bottom w:val="single" w:sz="8" w:color="BF2115"/>
            </w:tcBorders>
            <w:shd w:val="clear" w:color="auto" w:fill="BF2115"/>
          </w:tcPr>
          <w:p>
            <w:pPr>
              <w:ind w:left="20"/>
              <w:spacing w:after="0"/>
              <w:rPr>
                <w:sz w:val="20"/>
                <w:szCs w:val="20"/>
                <w:color w:val="auto"/>
              </w:rPr>
            </w:pPr>
            <w:r>
              <w:rPr>
                <w:rFonts w:ascii="Arial" w:cs="Arial" w:eastAsia="Arial" w:hAnsi="Arial"/>
                <w:sz w:val="12"/>
                <w:szCs w:val="12"/>
                <w:b w:val="1"/>
                <w:bCs w:val="1"/>
                <w:color w:val="FFFFFF"/>
              </w:rPr>
              <w:t>Name/Payment Type</w:t>
            </w:r>
          </w:p>
        </w:tc>
        <w:tc>
          <w:tcPr>
            <w:tcW w:w="900" w:type="dxa"/>
            <w:vAlign w:val="bottom"/>
            <w:tcBorders>
              <w:bottom w:val="single" w:sz="8" w:color="BF2115"/>
            </w:tcBorders>
            <w:shd w:val="clear" w:color="auto" w:fill="BF2115"/>
          </w:tcPr>
          <w:p>
            <w:pPr>
              <w:jc w:val="center"/>
              <w:ind w:left="298"/>
              <w:spacing w:after="0"/>
              <w:rPr>
                <w:sz w:val="20"/>
                <w:szCs w:val="20"/>
                <w:color w:val="auto"/>
              </w:rPr>
            </w:pPr>
            <w:r>
              <w:rPr>
                <w:rFonts w:ascii="Arial" w:cs="Arial" w:eastAsia="Arial" w:hAnsi="Arial"/>
                <w:sz w:val="12"/>
                <w:szCs w:val="12"/>
                <w:b w:val="1"/>
                <w:bCs w:val="1"/>
                <w:color w:val="FFFFFF"/>
                <w:w w:val="95"/>
              </w:rPr>
              <w:t>($)</w:t>
            </w:r>
          </w:p>
        </w:tc>
        <w:tc>
          <w:tcPr>
            <w:tcW w:w="60" w:type="dxa"/>
            <w:vAlign w:val="bottom"/>
            <w:tcBorders>
              <w:bottom w:val="single" w:sz="8" w:color="BF2115"/>
            </w:tcBorders>
            <w:shd w:val="clear" w:color="auto" w:fill="BF2115"/>
          </w:tcPr>
          <w:p>
            <w:pPr>
              <w:spacing w:after="0"/>
              <w:rPr>
                <w:sz w:val="14"/>
                <w:szCs w:val="14"/>
                <w:color w:val="auto"/>
              </w:rPr>
            </w:pPr>
          </w:p>
        </w:tc>
        <w:tc>
          <w:tcPr>
            <w:tcW w:w="280" w:type="dxa"/>
            <w:vAlign w:val="bottom"/>
            <w:tcBorders>
              <w:bottom w:val="single" w:sz="8" w:color="BF2115"/>
            </w:tcBorders>
            <w:shd w:val="clear" w:color="auto" w:fill="BF2115"/>
          </w:tcPr>
          <w:p>
            <w:pPr>
              <w:spacing w:after="0"/>
              <w:rPr>
                <w:sz w:val="14"/>
                <w:szCs w:val="14"/>
                <w:color w:val="auto"/>
              </w:rPr>
            </w:pPr>
          </w:p>
        </w:tc>
        <w:tc>
          <w:tcPr>
            <w:tcW w:w="840" w:type="dxa"/>
            <w:vAlign w:val="bottom"/>
            <w:tcBorders>
              <w:bottom w:val="single" w:sz="8" w:color="BF2115"/>
            </w:tcBorders>
            <w:shd w:val="clear" w:color="auto" w:fill="BF2115"/>
          </w:tcPr>
          <w:p>
            <w:pPr>
              <w:jc w:val="center"/>
              <w:ind w:left="318"/>
              <w:spacing w:after="0"/>
              <w:rPr>
                <w:sz w:val="20"/>
                <w:szCs w:val="20"/>
                <w:color w:val="auto"/>
              </w:rPr>
            </w:pPr>
            <w:r>
              <w:rPr>
                <w:rFonts w:ascii="Arial" w:cs="Arial" w:eastAsia="Arial" w:hAnsi="Arial"/>
                <w:sz w:val="12"/>
                <w:szCs w:val="12"/>
                <w:b w:val="1"/>
                <w:bCs w:val="1"/>
                <w:color w:val="FFFFFF"/>
                <w:w w:val="95"/>
              </w:rPr>
              <w:t>($)</w:t>
            </w:r>
          </w:p>
        </w:tc>
        <w:tc>
          <w:tcPr>
            <w:tcW w:w="380" w:type="dxa"/>
            <w:vAlign w:val="bottom"/>
            <w:tcBorders>
              <w:bottom w:val="single" w:sz="8" w:color="BF2115"/>
            </w:tcBorders>
            <w:shd w:val="clear" w:color="auto" w:fill="BF2115"/>
          </w:tcPr>
          <w:p>
            <w:pPr>
              <w:spacing w:after="0"/>
              <w:rPr>
                <w:sz w:val="14"/>
                <w:szCs w:val="14"/>
                <w:color w:val="auto"/>
              </w:rPr>
            </w:pPr>
          </w:p>
        </w:tc>
        <w:tc>
          <w:tcPr>
            <w:tcW w:w="680" w:type="dxa"/>
            <w:vAlign w:val="bottom"/>
            <w:tcBorders>
              <w:bottom w:val="single" w:sz="8" w:color="BF2115"/>
            </w:tcBorders>
            <w:shd w:val="clear" w:color="auto" w:fill="BF2115"/>
          </w:tcPr>
          <w:p>
            <w:pPr>
              <w:jc w:val="center"/>
              <w:ind w:left="298"/>
              <w:spacing w:after="0"/>
              <w:rPr>
                <w:sz w:val="20"/>
                <w:szCs w:val="20"/>
                <w:color w:val="auto"/>
              </w:rPr>
            </w:pPr>
            <w:r>
              <w:rPr>
                <w:rFonts w:ascii="Arial" w:cs="Arial" w:eastAsia="Arial" w:hAnsi="Arial"/>
                <w:sz w:val="12"/>
                <w:szCs w:val="12"/>
                <w:b w:val="1"/>
                <w:bCs w:val="1"/>
                <w:color w:val="FFFFFF"/>
              </w:rPr>
              <w:t>($)</w:t>
            </w:r>
          </w:p>
        </w:tc>
        <w:tc>
          <w:tcPr>
            <w:tcW w:w="360" w:type="dxa"/>
            <w:vAlign w:val="bottom"/>
            <w:tcBorders>
              <w:bottom w:val="single" w:sz="8" w:color="BF2115"/>
            </w:tcBorders>
            <w:shd w:val="clear" w:color="auto" w:fill="BF2115"/>
          </w:tcPr>
          <w:p>
            <w:pPr>
              <w:spacing w:after="0"/>
              <w:rPr>
                <w:sz w:val="14"/>
                <w:szCs w:val="14"/>
                <w:color w:val="auto"/>
              </w:rPr>
            </w:pPr>
          </w:p>
        </w:tc>
        <w:tc>
          <w:tcPr>
            <w:tcW w:w="660" w:type="dxa"/>
            <w:vAlign w:val="bottom"/>
            <w:tcBorders>
              <w:bottom w:val="single" w:sz="8" w:color="BF2115"/>
            </w:tcBorders>
            <w:shd w:val="clear" w:color="auto" w:fill="BF2115"/>
          </w:tcPr>
          <w:p>
            <w:pPr>
              <w:jc w:val="right"/>
              <w:spacing w:after="0"/>
              <w:rPr>
                <w:sz w:val="20"/>
                <w:szCs w:val="20"/>
                <w:color w:val="auto"/>
              </w:rPr>
            </w:pPr>
            <w:r>
              <w:rPr>
                <w:rFonts w:ascii="Arial" w:cs="Arial" w:eastAsia="Arial" w:hAnsi="Arial"/>
                <w:sz w:val="12"/>
                <w:szCs w:val="12"/>
                <w:b w:val="1"/>
                <w:bCs w:val="1"/>
                <w:color w:val="FFFFFF"/>
              </w:rPr>
              <w:t>($)</w:t>
            </w:r>
          </w:p>
        </w:tc>
        <w:tc>
          <w:tcPr>
            <w:tcW w:w="480" w:type="dxa"/>
            <w:vAlign w:val="bottom"/>
            <w:tcBorders>
              <w:bottom w:val="single" w:sz="8" w:color="BF2115"/>
            </w:tcBorders>
            <w:shd w:val="clear" w:color="auto" w:fill="BF2115"/>
          </w:tcPr>
          <w:p>
            <w:pPr>
              <w:spacing w:after="0"/>
              <w:rPr>
                <w:sz w:val="14"/>
                <w:szCs w:val="14"/>
                <w:color w:val="auto"/>
              </w:rPr>
            </w:pPr>
          </w:p>
        </w:tc>
        <w:tc>
          <w:tcPr>
            <w:tcW w:w="1020" w:type="dxa"/>
            <w:vAlign w:val="bottom"/>
            <w:tcBorders>
              <w:bottom w:val="single" w:sz="8" w:color="BF2115"/>
            </w:tcBorders>
            <w:shd w:val="clear" w:color="auto" w:fill="BF2115"/>
          </w:tcPr>
          <w:p>
            <w:pPr>
              <w:jc w:val="center"/>
              <w:ind w:left="318"/>
              <w:spacing w:after="0"/>
              <w:rPr>
                <w:sz w:val="20"/>
                <w:szCs w:val="20"/>
                <w:color w:val="auto"/>
              </w:rPr>
            </w:pPr>
            <w:r>
              <w:rPr>
                <w:rFonts w:ascii="Arial" w:cs="Arial" w:eastAsia="Arial" w:hAnsi="Arial"/>
                <w:sz w:val="12"/>
                <w:szCs w:val="12"/>
                <w:b w:val="1"/>
                <w:bCs w:val="1"/>
                <w:color w:val="FFFFFF"/>
              </w:rPr>
              <w:t>($)</w:t>
            </w:r>
          </w:p>
        </w:tc>
        <w:tc>
          <w:tcPr>
            <w:tcW w:w="380" w:type="dxa"/>
            <w:vAlign w:val="bottom"/>
            <w:tcBorders>
              <w:bottom w:val="single" w:sz="8" w:color="BF2115"/>
            </w:tcBorders>
            <w:shd w:val="clear" w:color="auto" w:fill="BF2115"/>
          </w:tcPr>
          <w:p>
            <w:pPr>
              <w:spacing w:after="0"/>
              <w:rPr>
                <w:sz w:val="14"/>
                <w:szCs w:val="14"/>
                <w:color w:val="auto"/>
              </w:rPr>
            </w:pPr>
          </w:p>
        </w:tc>
        <w:tc>
          <w:tcPr>
            <w:tcW w:w="1180" w:type="dxa"/>
            <w:vAlign w:val="bottom"/>
            <w:tcBorders>
              <w:bottom w:val="single" w:sz="8" w:color="BF2115"/>
            </w:tcBorders>
            <w:shd w:val="clear" w:color="auto" w:fill="BF2115"/>
          </w:tcPr>
          <w:p>
            <w:pPr>
              <w:jc w:val="center"/>
              <w:ind w:left="318"/>
              <w:spacing w:after="0"/>
              <w:rPr>
                <w:sz w:val="20"/>
                <w:szCs w:val="20"/>
                <w:color w:val="auto"/>
              </w:rPr>
            </w:pPr>
            <w:r>
              <w:rPr>
                <w:rFonts w:ascii="Arial" w:cs="Arial" w:eastAsia="Arial" w:hAnsi="Arial"/>
                <w:sz w:val="12"/>
                <w:szCs w:val="12"/>
                <w:b w:val="1"/>
                <w:bCs w:val="1"/>
                <w:color w:val="FFFFFF"/>
              </w:rPr>
              <w:t>($)</w:t>
            </w:r>
          </w:p>
        </w:tc>
        <w:tc>
          <w:tcPr>
            <w:tcW w:w="380" w:type="dxa"/>
            <w:vAlign w:val="bottom"/>
            <w:tcBorders>
              <w:bottom w:val="single" w:sz="8" w:color="BF2115"/>
            </w:tcBorders>
            <w:shd w:val="clear" w:color="auto" w:fill="BF2115"/>
          </w:tcPr>
          <w:p>
            <w:pPr>
              <w:spacing w:after="0"/>
              <w:rPr>
                <w:sz w:val="14"/>
                <w:szCs w:val="14"/>
                <w:color w:val="auto"/>
              </w:rPr>
            </w:pPr>
          </w:p>
        </w:tc>
        <w:tc>
          <w:tcPr>
            <w:tcW w:w="0" w:type="dxa"/>
            <w:vAlign w:val="bottom"/>
          </w:tcPr>
          <w:p>
            <w:pPr>
              <w:spacing w:after="0"/>
              <w:rPr>
                <w:sz w:val="1"/>
                <w:szCs w:val="1"/>
                <w:color w:val="auto"/>
              </w:rPr>
            </w:pPr>
          </w:p>
        </w:tc>
      </w:tr>
      <w:tr>
        <w:trPr>
          <w:trHeight w:val="173"/>
        </w:trPr>
        <w:tc>
          <w:tcPr>
            <w:tcW w:w="3160" w:type="dxa"/>
            <w:vAlign w:val="bottom"/>
            <w:shd w:val="clear" w:color="auto" w:fill="DBDBDB"/>
          </w:tcPr>
          <w:p>
            <w:pPr>
              <w:ind w:left="20"/>
              <w:spacing w:after="0"/>
              <w:rPr>
                <w:sz w:val="20"/>
                <w:szCs w:val="20"/>
                <w:color w:val="auto"/>
              </w:rPr>
            </w:pPr>
            <w:r>
              <w:rPr>
                <w:rFonts w:ascii="Arial" w:cs="Arial" w:eastAsia="Arial" w:hAnsi="Arial"/>
                <w:sz w:val="12"/>
                <w:szCs w:val="12"/>
                <w:color w:val="auto"/>
              </w:rPr>
              <w:t>Amy E. Dahl</w:t>
            </w:r>
          </w:p>
        </w:tc>
        <w:tc>
          <w:tcPr>
            <w:tcW w:w="900" w:type="dxa"/>
            <w:vAlign w:val="bottom"/>
            <w:shd w:val="clear" w:color="auto" w:fill="DBDBDB"/>
          </w:tcPr>
          <w:p>
            <w:pPr>
              <w:spacing w:after="0"/>
              <w:rPr>
                <w:sz w:val="15"/>
                <w:szCs w:val="15"/>
                <w:color w:val="auto"/>
              </w:rPr>
            </w:pPr>
          </w:p>
        </w:tc>
        <w:tc>
          <w:tcPr>
            <w:tcW w:w="60" w:type="dxa"/>
            <w:vAlign w:val="bottom"/>
            <w:shd w:val="clear" w:color="auto" w:fill="DBDBDB"/>
          </w:tcPr>
          <w:p>
            <w:pPr>
              <w:spacing w:after="0"/>
              <w:rPr>
                <w:sz w:val="15"/>
                <w:szCs w:val="15"/>
                <w:color w:val="auto"/>
              </w:rPr>
            </w:pPr>
          </w:p>
        </w:tc>
        <w:tc>
          <w:tcPr>
            <w:tcW w:w="280" w:type="dxa"/>
            <w:vAlign w:val="bottom"/>
            <w:shd w:val="clear" w:color="auto" w:fill="DBDBDB"/>
          </w:tcPr>
          <w:p>
            <w:pPr>
              <w:spacing w:after="0"/>
              <w:rPr>
                <w:sz w:val="15"/>
                <w:szCs w:val="15"/>
                <w:color w:val="auto"/>
              </w:rPr>
            </w:pPr>
          </w:p>
        </w:tc>
        <w:tc>
          <w:tcPr>
            <w:tcW w:w="840" w:type="dxa"/>
            <w:vAlign w:val="bottom"/>
            <w:shd w:val="clear" w:color="auto" w:fill="DBDBDB"/>
          </w:tcPr>
          <w:p>
            <w:pPr>
              <w:spacing w:after="0"/>
              <w:rPr>
                <w:sz w:val="15"/>
                <w:szCs w:val="15"/>
                <w:color w:val="auto"/>
              </w:rPr>
            </w:pPr>
          </w:p>
        </w:tc>
        <w:tc>
          <w:tcPr>
            <w:tcW w:w="380" w:type="dxa"/>
            <w:vAlign w:val="bottom"/>
            <w:shd w:val="clear" w:color="auto" w:fill="DBDBDB"/>
          </w:tcPr>
          <w:p>
            <w:pPr>
              <w:spacing w:after="0"/>
              <w:rPr>
                <w:sz w:val="15"/>
                <w:szCs w:val="15"/>
                <w:color w:val="auto"/>
              </w:rPr>
            </w:pPr>
          </w:p>
        </w:tc>
        <w:tc>
          <w:tcPr>
            <w:tcW w:w="680" w:type="dxa"/>
            <w:vAlign w:val="bottom"/>
            <w:shd w:val="clear" w:color="auto" w:fill="DBDBDB"/>
          </w:tcPr>
          <w:p>
            <w:pPr>
              <w:spacing w:after="0"/>
              <w:rPr>
                <w:sz w:val="15"/>
                <w:szCs w:val="15"/>
                <w:color w:val="auto"/>
              </w:rPr>
            </w:pPr>
          </w:p>
        </w:tc>
        <w:tc>
          <w:tcPr>
            <w:tcW w:w="360" w:type="dxa"/>
            <w:vAlign w:val="bottom"/>
            <w:shd w:val="clear" w:color="auto" w:fill="DBDBDB"/>
          </w:tcPr>
          <w:p>
            <w:pPr>
              <w:spacing w:after="0"/>
              <w:rPr>
                <w:sz w:val="15"/>
                <w:szCs w:val="15"/>
                <w:color w:val="auto"/>
              </w:rPr>
            </w:pPr>
          </w:p>
        </w:tc>
        <w:tc>
          <w:tcPr>
            <w:tcW w:w="660" w:type="dxa"/>
            <w:vAlign w:val="bottom"/>
            <w:shd w:val="clear" w:color="auto" w:fill="DBDBDB"/>
          </w:tcPr>
          <w:p>
            <w:pPr>
              <w:spacing w:after="0"/>
              <w:rPr>
                <w:sz w:val="15"/>
                <w:szCs w:val="15"/>
                <w:color w:val="auto"/>
              </w:rPr>
            </w:pPr>
          </w:p>
        </w:tc>
        <w:tc>
          <w:tcPr>
            <w:tcW w:w="480" w:type="dxa"/>
            <w:vAlign w:val="bottom"/>
            <w:shd w:val="clear" w:color="auto" w:fill="DBDBDB"/>
          </w:tcPr>
          <w:p>
            <w:pPr>
              <w:spacing w:after="0"/>
              <w:rPr>
                <w:sz w:val="15"/>
                <w:szCs w:val="15"/>
                <w:color w:val="auto"/>
              </w:rPr>
            </w:pPr>
          </w:p>
        </w:tc>
        <w:tc>
          <w:tcPr>
            <w:tcW w:w="1020" w:type="dxa"/>
            <w:vAlign w:val="bottom"/>
            <w:shd w:val="clear" w:color="auto" w:fill="DBDBDB"/>
          </w:tcPr>
          <w:p>
            <w:pPr>
              <w:spacing w:after="0"/>
              <w:rPr>
                <w:sz w:val="15"/>
                <w:szCs w:val="15"/>
                <w:color w:val="auto"/>
              </w:rPr>
            </w:pPr>
          </w:p>
        </w:tc>
        <w:tc>
          <w:tcPr>
            <w:tcW w:w="380" w:type="dxa"/>
            <w:vAlign w:val="bottom"/>
            <w:shd w:val="clear" w:color="auto" w:fill="DBDBDB"/>
          </w:tcPr>
          <w:p>
            <w:pPr>
              <w:spacing w:after="0"/>
              <w:rPr>
                <w:sz w:val="15"/>
                <w:szCs w:val="15"/>
                <w:color w:val="auto"/>
              </w:rPr>
            </w:pPr>
          </w:p>
        </w:tc>
        <w:tc>
          <w:tcPr>
            <w:tcW w:w="1180" w:type="dxa"/>
            <w:vAlign w:val="bottom"/>
            <w:shd w:val="clear" w:color="auto" w:fill="DBDBDB"/>
          </w:tcPr>
          <w:p>
            <w:pPr>
              <w:spacing w:after="0"/>
              <w:rPr>
                <w:sz w:val="15"/>
                <w:szCs w:val="15"/>
                <w:color w:val="auto"/>
              </w:rPr>
            </w:pPr>
          </w:p>
        </w:tc>
        <w:tc>
          <w:tcPr>
            <w:tcW w:w="380" w:type="dxa"/>
            <w:vAlign w:val="bottom"/>
            <w:shd w:val="clear" w:color="auto" w:fill="DBDBDB"/>
          </w:tcPr>
          <w:p>
            <w:pPr>
              <w:spacing w:after="0"/>
              <w:rPr>
                <w:sz w:val="15"/>
                <w:szCs w:val="15"/>
                <w:color w:val="auto"/>
              </w:rPr>
            </w:pPr>
          </w:p>
        </w:tc>
        <w:tc>
          <w:tcPr>
            <w:tcW w:w="0" w:type="dxa"/>
            <w:vAlign w:val="bottom"/>
          </w:tcPr>
          <w:p>
            <w:pPr>
              <w:spacing w:after="0"/>
              <w:rPr>
                <w:sz w:val="1"/>
                <w:szCs w:val="1"/>
                <w:color w:val="auto"/>
              </w:rPr>
            </w:pPr>
          </w:p>
        </w:tc>
      </w:tr>
      <w:tr>
        <w:trPr>
          <w:trHeight w:val="240"/>
        </w:trPr>
        <w:tc>
          <w:tcPr>
            <w:tcW w:w="3160" w:type="dxa"/>
            <w:vAlign w:val="bottom"/>
            <w:shd w:val="clear" w:color="auto" w:fill="DBDBDB"/>
          </w:tcPr>
          <w:p>
            <w:pPr>
              <w:ind w:left="220"/>
              <w:spacing w:after="0"/>
              <w:rPr>
                <w:sz w:val="20"/>
                <w:szCs w:val="20"/>
                <w:color w:val="auto"/>
              </w:rPr>
            </w:pPr>
            <w:r>
              <w:rPr>
                <w:rFonts w:ascii="Arial" w:cs="Arial" w:eastAsia="Arial" w:hAnsi="Arial"/>
                <w:sz w:val="12"/>
                <w:szCs w:val="12"/>
                <w:color w:val="auto"/>
              </w:rPr>
              <w:t>Cash Severance Payment</w:t>
            </w:r>
            <w:r>
              <w:rPr>
                <w:rFonts w:ascii="Arial" w:cs="Arial" w:eastAsia="Arial" w:hAnsi="Arial"/>
                <w:sz w:val="16"/>
                <w:szCs w:val="16"/>
                <w:color w:val="auto"/>
                <w:vertAlign w:val="superscript"/>
              </w:rPr>
              <w:t>2</w:t>
            </w:r>
          </w:p>
        </w:tc>
        <w:tc>
          <w:tcPr>
            <w:tcW w:w="900" w:type="dxa"/>
            <w:vAlign w:val="bottom"/>
            <w:shd w:val="clear" w:color="auto" w:fill="DBDBDB"/>
          </w:tcPr>
          <w:p>
            <w:pPr>
              <w:jc w:val="right"/>
              <w:spacing w:after="0"/>
              <w:rPr>
                <w:sz w:val="20"/>
                <w:szCs w:val="20"/>
                <w:color w:val="auto"/>
              </w:rPr>
            </w:pPr>
            <w:r>
              <w:rPr>
                <w:rFonts w:ascii="Arial" w:cs="Arial" w:eastAsia="Arial" w:hAnsi="Arial"/>
                <w:sz w:val="12"/>
                <w:szCs w:val="12"/>
                <w:color w:val="auto"/>
              </w:rPr>
              <w:t>0</w:t>
            </w:r>
          </w:p>
        </w:tc>
        <w:tc>
          <w:tcPr>
            <w:tcW w:w="60" w:type="dxa"/>
            <w:vAlign w:val="bottom"/>
            <w:shd w:val="clear" w:color="auto" w:fill="DBDBDB"/>
          </w:tcPr>
          <w:p>
            <w:pPr>
              <w:spacing w:after="0"/>
              <w:rPr>
                <w:sz w:val="20"/>
                <w:szCs w:val="20"/>
                <w:color w:val="auto"/>
              </w:rPr>
            </w:pPr>
          </w:p>
        </w:tc>
        <w:tc>
          <w:tcPr>
            <w:tcW w:w="280" w:type="dxa"/>
            <w:vAlign w:val="bottom"/>
            <w:shd w:val="clear" w:color="auto" w:fill="DBDBDB"/>
          </w:tcPr>
          <w:p>
            <w:pPr>
              <w:spacing w:after="0"/>
              <w:rPr>
                <w:sz w:val="20"/>
                <w:szCs w:val="20"/>
                <w:color w:val="auto"/>
              </w:rPr>
            </w:pPr>
          </w:p>
        </w:tc>
        <w:tc>
          <w:tcPr>
            <w:tcW w:w="840" w:type="dxa"/>
            <w:vAlign w:val="bottom"/>
            <w:shd w:val="clear" w:color="auto" w:fill="DBDBDB"/>
          </w:tcPr>
          <w:p>
            <w:pPr>
              <w:jc w:val="right"/>
              <w:spacing w:after="0"/>
              <w:rPr>
                <w:sz w:val="20"/>
                <w:szCs w:val="20"/>
                <w:color w:val="auto"/>
              </w:rPr>
            </w:pPr>
            <w:r>
              <w:rPr>
                <w:rFonts w:ascii="Arial" w:cs="Arial" w:eastAsia="Arial" w:hAnsi="Arial"/>
                <w:sz w:val="12"/>
                <w:szCs w:val="12"/>
                <w:color w:val="auto"/>
              </w:rPr>
              <w:t>0</w:t>
            </w:r>
          </w:p>
        </w:tc>
        <w:tc>
          <w:tcPr>
            <w:tcW w:w="380" w:type="dxa"/>
            <w:vAlign w:val="bottom"/>
            <w:shd w:val="clear" w:color="auto" w:fill="DBDBDB"/>
          </w:tcPr>
          <w:p>
            <w:pPr>
              <w:spacing w:after="0"/>
              <w:rPr>
                <w:sz w:val="20"/>
                <w:szCs w:val="20"/>
                <w:color w:val="auto"/>
              </w:rPr>
            </w:pPr>
          </w:p>
        </w:tc>
        <w:tc>
          <w:tcPr>
            <w:tcW w:w="680" w:type="dxa"/>
            <w:vAlign w:val="bottom"/>
            <w:shd w:val="clear" w:color="auto" w:fill="DBDBDB"/>
          </w:tcPr>
          <w:p>
            <w:pPr>
              <w:jc w:val="right"/>
              <w:spacing w:after="0"/>
              <w:rPr>
                <w:sz w:val="20"/>
                <w:szCs w:val="20"/>
                <w:color w:val="auto"/>
              </w:rPr>
            </w:pPr>
            <w:r>
              <w:rPr>
                <w:rFonts w:ascii="Arial" w:cs="Arial" w:eastAsia="Arial" w:hAnsi="Arial"/>
                <w:sz w:val="12"/>
                <w:szCs w:val="12"/>
                <w:color w:val="auto"/>
              </w:rPr>
              <w:t>0</w:t>
            </w:r>
          </w:p>
        </w:tc>
        <w:tc>
          <w:tcPr>
            <w:tcW w:w="360" w:type="dxa"/>
            <w:vAlign w:val="bottom"/>
            <w:shd w:val="clear" w:color="auto" w:fill="DBDBDB"/>
          </w:tcPr>
          <w:p>
            <w:pPr>
              <w:spacing w:after="0"/>
              <w:rPr>
                <w:sz w:val="20"/>
                <w:szCs w:val="20"/>
                <w:color w:val="auto"/>
              </w:rPr>
            </w:pPr>
          </w:p>
        </w:tc>
        <w:tc>
          <w:tcPr>
            <w:tcW w:w="660" w:type="dxa"/>
            <w:vAlign w:val="bottom"/>
            <w:shd w:val="clear" w:color="auto" w:fill="DBDBDB"/>
          </w:tcPr>
          <w:p>
            <w:pPr>
              <w:jc w:val="right"/>
              <w:spacing w:after="0"/>
              <w:rPr>
                <w:sz w:val="20"/>
                <w:szCs w:val="20"/>
                <w:color w:val="auto"/>
              </w:rPr>
            </w:pPr>
            <w:r>
              <w:rPr>
                <w:rFonts w:ascii="Arial" w:cs="Arial" w:eastAsia="Arial" w:hAnsi="Arial"/>
                <w:sz w:val="12"/>
                <w:szCs w:val="12"/>
                <w:color w:val="auto"/>
              </w:rPr>
              <w:t>0</w:t>
            </w:r>
          </w:p>
        </w:tc>
        <w:tc>
          <w:tcPr>
            <w:tcW w:w="480" w:type="dxa"/>
            <w:vAlign w:val="bottom"/>
            <w:shd w:val="clear" w:color="auto" w:fill="DBDBDB"/>
          </w:tcPr>
          <w:p>
            <w:pPr>
              <w:spacing w:after="0"/>
              <w:rPr>
                <w:sz w:val="20"/>
                <w:szCs w:val="20"/>
                <w:color w:val="auto"/>
              </w:rPr>
            </w:pPr>
          </w:p>
        </w:tc>
        <w:tc>
          <w:tcPr>
            <w:tcW w:w="1020" w:type="dxa"/>
            <w:vAlign w:val="bottom"/>
            <w:shd w:val="clear" w:color="auto" w:fill="DBDBDB"/>
          </w:tcPr>
          <w:p>
            <w:pPr>
              <w:jc w:val="right"/>
              <w:spacing w:after="0"/>
              <w:rPr>
                <w:sz w:val="20"/>
                <w:szCs w:val="20"/>
                <w:color w:val="auto"/>
              </w:rPr>
            </w:pPr>
            <w:r>
              <w:rPr>
                <w:rFonts w:ascii="Arial" w:cs="Arial" w:eastAsia="Arial" w:hAnsi="Arial"/>
                <w:sz w:val="12"/>
                <w:szCs w:val="12"/>
                <w:color w:val="auto"/>
              </w:rPr>
              <w:t>0</w:t>
            </w:r>
          </w:p>
        </w:tc>
        <w:tc>
          <w:tcPr>
            <w:tcW w:w="380" w:type="dxa"/>
            <w:vAlign w:val="bottom"/>
            <w:shd w:val="clear" w:color="auto" w:fill="DBDBDB"/>
          </w:tcPr>
          <w:p>
            <w:pPr>
              <w:spacing w:after="0"/>
              <w:rPr>
                <w:sz w:val="20"/>
                <w:szCs w:val="20"/>
                <w:color w:val="auto"/>
              </w:rPr>
            </w:pPr>
          </w:p>
        </w:tc>
        <w:tc>
          <w:tcPr>
            <w:tcW w:w="1180" w:type="dxa"/>
            <w:vAlign w:val="bottom"/>
            <w:shd w:val="clear" w:color="auto" w:fill="DBDBDB"/>
          </w:tcPr>
          <w:p>
            <w:pPr>
              <w:jc w:val="right"/>
              <w:spacing w:after="0"/>
              <w:rPr>
                <w:sz w:val="20"/>
                <w:szCs w:val="20"/>
                <w:color w:val="auto"/>
              </w:rPr>
            </w:pPr>
            <w:r>
              <w:rPr>
                <w:rFonts w:ascii="Arial" w:cs="Arial" w:eastAsia="Arial" w:hAnsi="Arial"/>
                <w:sz w:val="12"/>
                <w:szCs w:val="12"/>
                <w:color w:val="auto"/>
              </w:rPr>
              <w:t>1,824,900</w:t>
            </w:r>
          </w:p>
        </w:tc>
        <w:tc>
          <w:tcPr>
            <w:tcW w:w="380" w:type="dxa"/>
            <w:vAlign w:val="bottom"/>
            <w:shd w:val="clear" w:color="auto" w:fill="DBDBDB"/>
          </w:tcPr>
          <w:p>
            <w:pPr>
              <w:spacing w:after="0"/>
              <w:rPr>
                <w:sz w:val="20"/>
                <w:szCs w:val="20"/>
                <w:color w:val="auto"/>
              </w:rPr>
            </w:pPr>
          </w:p>
        </w:tc>
        <w:tc>
          <w:tcPr>
            <w:tcW w:w="0" w:type="dxa"/>
            <w:vAlign w:val="bottom"/>
          </w:tcPr>
          <w:p>
            <w:pPr>
              <w:spacing w:after="0"/>
              <w:rPr>
                <w:sz w:val="1"/>
                <w:szCs w:val="1"/>
                <w:color w:val="auto"/>
              </w:rPr>
            </w:pPr>
          </w:p>
        </w:tc>
      </w:tr>
      <w:tr>
        <w:trPr>
          <w:trHeight w:val="213"/>
        </w:trPr>
        <w:tc>
          <w:tcPr>
            <w:tcW w:w="3160" w:type="dxa"/>
            <w:vAlign w:val="bottom"/>
            <w:shd w:val="clear" w:color="auto" w:fill="DBDBDB"/>
          </w:tcPr>
          <w:p>
            <w:pPr>
              <w:ind w:left="220"/>
              <w:spacing w:after="0"/>
              <w:rPr>
                <w:sz w:val="20"/>
                <w:szCs w:val="20"/>
                <w:color w:val="auto"/>
              </w:rPr>
            </w:pPr>
            <w:r>
              <w:rPr>
                <w:rFonts w:ascii="Arial" w:cs="Arial" w:eastAsia="Arial" w:hAnsi="Arial"/>
                <w:sz w:val="12"/>
                <w:szCs w:val="12"/>
                <w:color w:val="auto"/>
              </w:rPr>
              <w:t>Unvested &amp; Accelerated Stock Options</w:t>
            </w:r>
            <w:r>
              <w:rPr>
                <w:rFonts w:ascii="Arial" w:cs="Arial" w:eastAsia="Arial" w:hAnsi="Arial"/>
                <w:sz w:val="16"/>
                <w:szCs w:val="16"/>
                <w:color w:val="auto"/>
                <w:vertAlign w:val="superscript"/>
              </w:rPr>
              <w:t>3</w:t>
            </w:r>
          </w:p>
        </w:tc>
        <w:tc>
          <w:tcPr>
            <w:tcW w:w="900" w:type="dxa"/>
            <w:vAlign w:val="bottom"/>
            <w:shd w:val="clear" w:color="auto" w:fill="DBDBDB"/>
          </w:tcPr>
          <w:p>
            <w:pPr>
              <w:jc w:val="right"/>
              <w:spacing w:after="0"/>
              <w:rPr>
                <w:sz w:val="20"/>
                <w:szCs w:val="20"/>
                <w:color w:val="auto"/>
              </w:rPr>
            </w:pPr>
            <w:r>
              <w:rPr>
                <w:rFonts w:ascii="Arial" w:cs="Arial" w:eastAsia="Arial" w:hAnsi="Arial"/>
                <w:sz w:val="12"/>
                <w:szCs w:val="12"/>
                <w:color w:val="auto"/>
              </w:rPr>
              <w:t>0</w:t>
            </w:r>
          </w:p>
        </w:tc>
        <w:tc>
          <w:tcPr>
            <w:tcW w:w="60" w:type="dxa"/>
            <w:vAlign w:val="bottom"/>
            <w:shd w:val="clear" w:color="auto" w:fill="DBDBDB"/>
          </w:tcPr>
          <w:p>
            <w:pPr>
              <w:spacing w:after="0"/>
              <w:rPr>
                <w:sz w:val="18"/>
                <w:szCs w:val="18"/>
                <w:color w:val="auto"/>
              </w:rPr>
            </w:pPr>
          </w:p>
        </w:tc>
        <w:tc>
          <w:tcPr>
            <w:tcW w:w="280" w:type="dxa"/>
            <w:vAlign w:val="bottom"/>
            <w:shd w:val="clear" w:color="auto" w:fill="DBDBDB"/>
          </w:tcPr>
          <w:p>
            <w:pPr>
              <w:spacing w:after="0"/>
              <w:rPr>
                <w:sz w:val="18"/>
                <w:szCs w:val="18"/>
                <w:color w:val="auto"/>
              </w:rPr>
            </w:pPr>
          </w:p>
        </w:tc>
        <w:tc>
          <w:tcPr>
            <w:tcW w:w="840" w:type="dxa"/>
            <w:vAlign w:val="bottom"/>
            <w:shd w:val="clear" w:color="auto" w:fill="DBDBDB"/>
          </w:tcPr>
          <w:p>
            <w:pPr>
              <w:jc w:val="right"/>
              <w:spacing w:after="0"/>
              <w:rPr>
                <w:sz w:val="20"/>
                <w:szCs w:val="20"/>
                <w:color w:val="auto"/>
              </w:rPr>
            </w:pPr>
            <w:r>
              <w:rPr>
                <w:rFonts w:ascii="Arial" w:cs="Arial" w:eastAsia="Arial" w:hAnsi="Arial"/>
                <w:sz w:val="12"/>
                <w:szCs w:val="12"/>
                <w:color w:val="auto"/>
              </w:rPr>
              <w:t>0</w:t>
            </w:r>
          </w:p>
        </w:tc>
        <w:tc>
          <w:tcPr>
            <w:tcW w:w="380" w:type="dxa"/>
            <w:vAlign w:val="bottom"/>
            <w:shd w:val="clear" w:color="auto" w:fill="DBDBDB"/>
          </w:tcPr>
          <w:p>
            <w:pPr>
              <w:spacing w:after="0"/>
              <w:rPr>
                <w:sz w:val="18"/>
                <w:szCs w:val="18"/>
                <w:color w:val="auto"/>
              </w:rPr>
            </w:pPr>
          </w:p>
        </w:tc>
        <w:tc>
          <w:tcPr>
            <w:tcW w:w="680" w:type="dxa"/>
            <w:vAlign w:val="bottom"/>
            <w:shd w:val="clear" w:color="auto" w:fill="DBDBDB"/>
          </w:tcPr>
          <w:p>
            <w:pPr>
              <w:jc w:val="right"/>
              <w:spacing w:after="0"/>
              <w:rPr>
                <w:sz w:val="20"/>
                <w:szCs w:val="20"/>
                <w:color w:val="auto"/>
              </w:rPr>
            </w:pPr>
            <w:r>
              <w:rPr>
                <w:rFonts w:ascii="Arial" w:cs="Arial" w:eastAsia="Arial" w:hAnsi="Arial"/>
                <w:sz w:val="12"/>
                <w:szCs w:val="12"/>
                <w:color w:val="auto"/>
              </w:rPr>
              <w:t>0</w:t>
            </w:r>
          </w:p>
        </w:tc>
        <w:tc>
          <w:tcPr>
            <w:tcW w:w="360" w:type="dxa"/>
            <w:vAlign w:val="bottom"/>
            <w:shd w:val="clear" w:color="auto" w:fill="DBDBDB"/>
          </w:tcPr>
          <w:p>
            <w:pPr>
              <w:spacing w:after="0"/>
              <w:rPr>
                <w:sz w:val="18"/>
                <w:szCs w:val="18"/>
                <w:color w:val="auto"/>
              </w:rPr>
            </w:pPr>
          </w:p>
        </w:tc>
        <w:tc>
          <w:tcPr>
            <w:tcW w:w="660" w:type="dxa"/>
            <w:vAlign w:val="bottom"/>
            <w:shd w:val="clear" w:color="auto" w:fill="DBDBDB"/>
          </w:tcPr>
          <w:p>
            <w:pPr>
              <w:jc w:val="right"/>
              <w:spacing w:after="0"/>
              <w:rPr>
                <w:sz w:val="20"/>
                <w:szCs w:val="20"/>
                <w:color w:val="auto"/>
              </w:rPr>
            </w:pPr>
            <w:r>
              <w:rPr>
                <w:rFonts w:ascii="Arial" w:cs="Arial" w:eastAsia="Arial" w:hAnsi="Arial"/>
                <w:sz w:val="12"/>
                <w:szCs w:val="12"/>
                <w:color w:val="auto"/>
              </w:rPr>
              <w:t>0</w:t>
            </w:r>
          </w:p>
        </w:tc>
        <w:tc>
          <w:tcPr>
            <w:tcW w:w="480" w:type="dxa"/>
            <w:vAlign w:val="bottom"/>
            <w:shd w:val="clear" w:color="auto" w:fill="DBDBDB"/>
          </w:tcPr>
          <w:p>
            <w:pPr>
              <w:spacing w:after="0"/>
              <w:rPr>
                <w:sz w:val="18"/>
                <w:szCs w:val="18"/>
                <w:color w:val="auto"/>
              </w:rPr>
            </w:pPr>
          </w:p>
        </w:tc>
        <w:tc>
          <w:tcPr>
            <w:tcW w:w="1020" w:type="dxa"/>
            <w:vAlign w:val="bottom"/>
            <w:shd w:val="clear" w:color="auto" w:fill="DBDBDB"/>
          </w:tcPr>
          <w:p>
            <w:pPr>
              <w:jc w:val="right"/>
              <w:spacing w:after="0"/>
              <w:rPr>
                <w:sz w:val="20"/>
                <w:szCs w:val="20"/>
                <w:color w:val="auto"/>
              </w:rPr>
            </w:pPr>
            <w:r>
              <w:rPr>
                <w:rFonts w:ascii="Arial" w:cs="Arial" w:eastAsia="Arial" w:hAnsi="Arial"/>
                <w:sz w:val="12"/>
                <w:szCs w:val="12"/>
                <w:color w:val="auto"/>
              </w:rPr>
              <w:t>0</w:t>
            </w:r>
          </w:p>
        </w:tc>
        <w:tc>
          <w:tcPr>
            <w:tcW w:w="380" w:type="dxa"/>
            <w:vAlign w:val="bottom"/>
            <w:shd w:val="clear" w:color="auto" w:fill="DBDBDB"/>
          </w:tcPr>
          <w:p>
            <w:pPr>
              <w:spacing w:after="0"/>
              <w:rPr>
                <w:sz w:val="18"/>
                <w:szCs w:val="18"/>
                <w:color w:val="auto"/>
              </w:rPr>
            </w:pPr>
          </w:p>
        </w:tc>
        <w:tc>
          <w:tcPr>
            <w:tcW w:w="1180" w:type="dxa"/>
            <w:vAlign w:val="bottom"/>
            <w:shd w:val="clear" w:color="auto" w:fill="DBDBDB"/>
          </w:tcPr>
          <w:p>
            <w:pPr>
              <w:jc w:val="right"/>
              <w:spacing w:after="0"/>
              <w:rPr>
                <w:sz w:val="20"/>
                <w:szCs w:val="20"/>
                <w:color w:val="auto"/>
              </w:rPr>
            </w:pPr>
            <w:r>
              <w:rPr>
                <w:rFonts w:ascii="Arial" w:cs="Arial" w:eastAsia="Arial" w:hAnsi="Arial"/>
                <w:sz w:val="12"/>
                <w:szCs w:val="12"/>
                <w:color w:val="auto"/>
              </w:rPr>
              <w:t>0</w:t>
            </w:r>
          </w:p>
        </w:tc>
        <w:tc>
          <w:tcPr>
            <w:tcW w:w="380" w:type="dxa"/>
            <w:vAlign w:val="bottom"/>
            <w:shd w:val="clear" w:color="auto" w:fill="DBDBDB"/>
          </w:tcPr>
          <w:p>
            <w:pPr>
              <w:spacing w:after="0"/>
              <w:rPr>
                <w:sz w:val="18"/>
                <w:szCs w:val="18"/>
                <w:color w:val="auto"/>
              </w:rPr>
            </w:pPr>
          </w:p>
        </w:tc>
        <w:tc>
          <w:tcPr>
            <w:tcW w:w="0" w:type="dxa"/>
            <w:vAlign w:val="bottom"/>
          </w:tcPr>
          <w:p>
            <w:pPr>
              <w:spacing w:after="0"/>
              <w:rPr>
                <w:sz w:val="1"/>
                <w:szCs w:val="1"/>
                <w:color w:val="auto"/>
              </w:rPr>
            </w:pPr>
          </w:p>
        </w:tc>
      </w:tr>
      <w:tr>
        <w:trPr>
          <w:trHeight w:val="173"/>
        </w:trPr>
        <w:tc>
          <w:tcPr>
            <w:tcW w:w="3160" w:type="dxa"/>
            <w:vAlign w:val="bottom"/>
            <w:shd w:val="clear" w:color="auto" w:fill="DBDBDB"/>
          </w:tcPr>
          <w:p>
            <w:pPr>
              <w:ind w:left="220"/>
              <w:spacing w:after="0"/>
              <w:rPr>
                <w:sz w:val="20"/>
                <w:szCs w:val="20"/>
                <w:color w:val="auto"/>
              </w:rPr>
            </w:pPr>
            <w:r>
              <w:rPr>
                <w:rFonts w:ascii="Arial" w:cs="Arial" w:eastAsia="Arial" w:hAnsi="Arial"/>
                <w:sz w:val="12"/>
                <w:szCs w:val="12"/>
                <w:color w:val="auto"/>
              </w:rPr>
              <w:t>Performance Share Award Payouts</w:t>
            </w:r>
          </w:p>
        </w:tc>
        <w:tc>
          <w:tcPr>
            <w:tcW w:w="900" w:type="dxa"/>
            <w:vAlign w:val="bottom"/>
            <w:shd w:val="clear" w:color="auto" w:fill="DBDBDB"/>
          </w:tcPr>
          <w:p>
            <w:pPr>
              <w:jc w:val="right"/>
              <w:spacing w:after="0"/>
              <w:rPr>
                <w:sz w:val="20"/>
                <w:szCs w:val="20"/>
                <w:color w:val="auto"/>
              </w:rPr>
            </w:pPr>
            <w:r>
              <w:rPr>
                <w:rFonts w:ascii="Arial" w:cs="Arial" w:eastAsia="Arial" w:hAnsi="Arial"/>
                <w:sz w:val="12"/>
                <w:szCs w:val="12"/>
                <w:color w:val="auto"/>
              </w:rPr>
              <w:t>53,600</w:t>
            </w:r>
          </w:p>
        </w:tc>
        <w:tc>
          <w:tcPr>
            <w:tcW w:w="60" w:type="dxa"/>
            <w:vAlign w:val="bottom"/>
            <w:shd w:val="clear" w:color="auto" w:fill="DBDBDB"/>
          </w:tcPr>
          <w:p>
            <w:pPr>
              <w:spacing w:after="0"/>
              <w:rPr>
                <w:sz w:val="15"/>
                <w:szCs w:val="15"/>
                <w:color w:val="auto"/>
              </w:rPr>
            </w:pPr>
          </w:p>
        </w:tc>
        <w:tc>
          <w:tcPr>
            <w:tcW w:w="280" w:type="dxa"/>
            <w:vAlign w:val="bottom"/>
            <w:shd w:val="clear" w:color="auto" w:fill="DBDBDB"/>
          </w:tcPr>
          <w:p>
            <w:pPr>
              <w:jc w:val="right"/>
              <w:ind w:right="18"/>
              <w:spacing w:after="0"/>
              <w:rPr>
                <w:sz w:val="20"/>
                <w:szCs w:val="20"/>
                <w:color w:val="auto"/>
              </w:rPr>
            </w:pPr>
            <w:r>
              <w:rPr>
                <w:rFonts w:ascii="Arial" w:cs="Arial" w:eastAsia="Arial" w:hAnsi="Arial"/>
                <w:sz w:val="12"/>
                <w:szCs w:val="12"/>
                <w:color w:val="auto"/>
              </w:rPr>
              <w:t>(4)</w:t>
            </w:r>
          </w:p>
        </w:tc>
        <w:tc>
          <w:tcPr>
            <w:tcW w:w="840" w:type="dxa"/>
            <w:vAlign w:val="bottom"/>
            <w:shd w:val="clear" w:color="auto" w:fill="DBDBDB"/>
          </w:tcPr>
          <w:p>
            <w:pPr>
              <w:jc w:val="right"/>
              <w:spacing w:after="0"/>
              <w:rPr>
                <w:sz w:val="20"/>
                <w:szCs w:val="20"/>
                <w:color w:val="auto"/>
              </w:rPr>
            </w:pPr>
            <w:r>
              <w:rPr>
                <w:rFonts w:ascii="Arial" w:cs="Arial" w:eastAsia="Arial" w:hAnsi="Arial"/>
                <w:sz w:val="12"/>
                <w:szCs w:val="12"/>
                <w:color w:val="auto"/>
              </w:rPr>
              <w:t>53,600</w:t>
            </w:r>
          </w:p>
        </w:tc>
        <w:tc>
          <w:tcPr>
            <w:tcW w:w="380" w:type="dxa"/>
            <w:vAlign w:val="bottom"/>
            <w:shd w:val="clear" w:color="auto" w:fill="DBDBDB"/>
          </w:tcPr>
          <w:p>
            <w:pPr>
              <w:jc w:val="right"/>
              <w:ind w:right="58"/>
              <w:spacing w:after="0"/>
              <w:rPr>
                <w:sz w:val="20"/>
                <w:szCs w:val="20"/>
                <w:color w:val="auto"/>
              </w:rPr>
            </w:pPr>
            <w:r>
              <w:rPr>
                <w:rFonts w:ascii="Arial" w:cs="Arial" w:eastAsia="Arial" w:hAnsi="Arial"/>
                <w:sz w:val="12"/>
                <w:szCs w:val="12"/>
                <w:color w:val="auto"/>
              </w:rPr>
              <w:t>(4)</w:t>
            </w:r>
          </w:p>
        </w:tc>
        <w:tc>
          <w:tcPr>
            <w:tcW w:w="680" w:type="dxa"/>
            <w:vAlign w:val="bottom"/>
            <w:shd w:val="clear" w:color="auto" w:fill="DBDBDB"/>
          </w:tcPr>
          <w:p>
            <w:pPr>
              <w:jc w:val="right"/>
              <w:spacing w:after="0"/>
              <w:rPr>
                <w:sz w:val="20"/>
                <w:szCs w:val="20"/>
                <w:color w:val="auto"/>
              </w:rPr>
            </w:pPr>
            <w:r>
              <w:rPr>
                <w:rFonts w:ascii="Arial" w:cs="Arial" w:eastAsia="Arial" w:hAnsi="Arial"/>
                <w:sz w:val="12"/>
                <w:szCs w:val="12"/>
                <w:color w:val="auto"/>
              </w:rPr>
              <w:t>0</w:t>
            </w:r>
          </w:p>
        </w:tc>
        <w:tc>
          <w:tcPr>
            <w:tcW w:w="360" w:type="dxa"/>
            <w:vAlign w:val="bottom"/>
            <w:shd w:val="clear" w:color="auto" w:fill="DBDBDB"/>
          </w:tcPr>
          <w:p>
            <w:pPr>
              <w:spacing w:after="0"/>
              <w:rPr>
                <w:sz w:val="15"/>
                <w:szCs w:val="15"/>
                <w:color w:val="auto"/>
              </w:rPr>
            </w:pPr>
          </w:p>
        </w:tc>
        <w:tc>
          <w:tcPr>
            <w:tcW w:w="660" w:type="dxa"/>
            <w:vAlign w:val="bottom"/>
            <w:shd w:val="clear" w:color="auto" w:fill="DBDBDB"/>
          </w:tcPr>
          <w:p>
            <w:pPr>
              <w:jc w:val="right"/>
              <w:spacing w:after="0"/>
              <w:rPr>
                <w:sz w:val="20"/>
                <w:szCs w:val="20"/>
                <w:color w:val="auto"/>
              </w:rPr>
            </w:pPr>
            <w:r>
              <w:rPr>
                <w:rFonts w:ascii="Arial" w:cs="Arial" w:eastAsia="Arial" w:hAnsi="Arial"/>
                <w:sz w:val="12"/>
                <w:szCs w:val="12"/>
                <w:color w:val="auto"/>
              </w:rPr>
              <w:t>0</w:t>
            </w:r>
          </w:p>
        </w:tc>
        <w:tc>
          <w:tcPr>
            <w:tcW w:w="480" w:type="dxa"/>
            <w:vAlign w:val="bottom"/>
            <w:shd w:val="clear" w:color="auto" w:fill="DBDBDB"/>
          </w:tcPr>
          <w:p>
            <w:pPr>
              <w:spacing w:after="0"/>
              <w:rPr>
                <w:sz w:val="15"/>
                <w:szCs w:val="15"/>
                <w:color w:val="auto"/>
              </w:rPr>
            </w:pPr>
          </w:p>
        </w:tc>
        <w:tc>
          <w:tcPr>
            <w:tcW w:w="1020" w:type="dxa"/>
            <w:vAlign w:val="bottom"/>
            <w:shd w:val="clear" w:color="auto" w:fill="DBDBDB"/>
          </w:tcPr>
          <w:p>
            <w:pPr>
              <w:jc w:val="right"/>
              <w:spacing w:after="0"/>
              <w:rPr>
                <w:sz w:val="20"/>
                <w:szCs w:val="20"/>
                <w:color w:val="auto"/>
              </w:rPr>
            </w:pPr>
            <w:r>
              <w:rPr>
                <w:rFonts w:ascii="Arial" w:cs="Arial" w:eastAsia="Arial" w:hAnsi="Arial"/>
                <w:sz w:val="12"/>
                <w:szCs w:val="12"/>
                <w:color w:val="auto"/>
              </w:rPr>
              <w:t>364,816</w:t>
            </w:r>
          </w:p>
        </w:tc>
        <w:tc>
          <w:tcPr>
            <w:tcW w:w="380" w:type="dxa"/>
            <w:vAlign w:val="bottom"/>
            <w:shd w:val="clear" w:color="auto" w:fill="DBDBDB"/>
          </w:tcPr>
          <w:p>
            <w:pPr>
              <w:jc w:val="right"/>
              <w:ind w:right="58"/>
              <w:spacing w:after="0"/>
              <w:rPr>
                <w:sz w:val="20"/>
                <w:szCs w:val="20"/>
                <w:color w:val="auto"/>
              </w:rPr>
            </w:pPr>
            <w:r>
              <w:rPr>
                <w:rFonts w:ascii="Arial" w:cs="Arial" w:eastAsia="Arial" w:hAnsi="Arial"/>
                <w:sz w:val="12"/>
                <w:szCs w:val="12"/>
                <w:color w:val="auto"/>
              </w:rPr>
              <w:t>(5)</w:t>
            </w:r>
          </w:p>
        </w:tc>
        <w:tc>
          <w:tcPr>
            <w:tcW w:w="1180" w:type="dxa"/>
            <w:vAlign w:val="bottom"/>
            <w:shd w:val="clear" w:color="auto" w:fill="DBDBDB"/>
          </w:tcPr>
          <w:p>
            <w:pPr>
              <w:jc w:val="right"/>
              <w:spacing w:after="0"/>
              <w:rPr>
                <w:sz w:val="20"/>
                <w:szCs w:val="20"/>
                <w:color w:val="auto"/>
              </w:rPr>
            </w:pPr>
            <w:r>
              <w:rPr>
                <w:rFonts w:ascii="Arial" w:cs="Arial" w:eastAsia="Arial" w:hAnsi="Arial"/>
                <w:sz w:val="12"/>
                <w:szCs w:val="12"/>
                <w:color w:val="auto"/>
              </w:rPr>
              <w:t>364,816</w:t>
            </w:r>
          </w:p>
        </w:tc>
        <w:tc>
          <w:tcPr>
            <w:tcW w:w="380" w:type="dxa"/>
            <w:vAlign w:val="bottom"/>
            <w:shd w:val="clear" w:color="auto" w:fill="DBDBDB"/>
          </w:tcPr>
          <w:p>
            <w:pPr>
              <w:jc w:val="right"/>
              <w:ind w:right="38"/>
              <w:spacing w:after="0"/>
              <w:rPr>
                <w:sz w:val="20"/>
                <w:szCs w:val="20"/>
                <w:color w:val="auto"/>
              </w:rPr>
            </w:pPr>
            <w:r>
              <w:rPr>
                <w:rFonts w:ascii="Arial" w:cs="Arial" w:eastAsia="Arial" w:hAnsi="Arial"/>
                <w:sz w:val="12"/>
                <w:szCs w:val="12"/>
                <w:color w:val="auto"/>
              </w:rPr>
              <w:t>(5)</w:t>
            </w:r>
          </w:p>
        </w:tc>
        <w:tc>
          <w:tcPr>
            <w:tcW w:w="0" w:type="dxa"/>
            <w:vAlign w:val="bottom"/>
          </w:tcPr>
          <w:p>
            <w:pPr>
              <w:spacing w:after="0"/>
              <w:rPr>
                <w:sz w:val="1"/>
                <w:szCs w:val="1"/>
                <w:color w:val="auto"/>
              </w:rPr>
            </w:pPr>
          </w:p>
        </w:tc>
      </w:tr>
      <w:tr>
        <w:trPr>
          <w:trHeight w:val="200"/>
        </w:trPr>
        <w:tc>
          <w:tcPr>
            <w:tcW w:w="3160" w:type="dxa"/>
            <w:vAlign w:val="bottom"/>
            <w:shd w:val="clear" w:color="auto" w:fill="DBDBDB"/>
          </w:tcPr>
          <w:p>
            <w:pPr>
              <w:ind w:left="220"/>
              <w:spacing w:after="0"/>
              <w:rPr>
                <w:sz w:val="20"/>
                <w:szCs w:val="20"/>
                <w:color w:val="auto"/>
              </w:rPr>
            </w:pPr>
            <w:r>
              <w:rPr>
                <w:rFonts w:ascii="Arial" w:cs="Arial" w:eastAsia="Arial" w:hAnsi="Arial"/>
                <w:sz w:val="12"/>
                <w:szCs w:val="12"/>
                <w:color w:val="auto"/>
              </w:rPr>
              <w:t>Welfare Plan Benefits6</w:t>
            </w:r>
          </w:p>
        </w:tc>
        <w:tc>
          <w:tcPr>
            <w:tcW w:w="900" w:type="dxa"/>
            <w:vAlign w:val="bottom"/>
            <w:shd w:val="clear" w:color="auto" w:fill="DBDBDB"/>
          </w:tcPr>
          <w:p>
            <w:pPr>
              <w:jc w:val="right"/>
              <w:spacing w:after="0"/>
              <w:rPr>
                <w:sz w:val="20"/>
                <w:szCs w:val="20"/>
                <w:color w:val="auto"/>
              </w:rPr>
            </w:pPr>
            <w:r>
              <w:rPr>
                <w:rFonts w:ascii="Arial" w:cs="Arial" w:eastAsia="Arial" w:hAnsi="Arial"/>
                <w:sz w:val="12"/>
                <w:szCs w:val="12"/>
                <w:color w:val="auto"/>
              </w:rPr>
              <w:t>0</w:t>
            </w:r>
          </w:p>
        </w:tc>
        <w:tc>
          <w:tcPr>
            <w:tcW w:w="60" w:type="dxa"/>
            <w:vAlign w:val="bottom"/>
            <w:shd w:val="clear" w:color="auto" w:fill="DBDBDB"/>
          </w:tcPr>
          <w:p>
            <w:pPr>
              <w:spacing w:after="0"/>
              <w:rPr>
                <w:sz w:val="17"/>
                <w:szCs w:val="17"/>
                <w:color w:val="auto"/>
              </w:rPr>
            </w:pPr>
          </w:p>
        </w:tc>
        <w:tc>
          <w:tcPr>
            <w:tcW w:w="280" w:type="dxa"/>
            <w:vAlign w:val="bottom"/>
            <w:shd w:val="clear" w:color="auto" w:fill="DBDBDB"/>
          </w:tcPr>
          <w:p>
            <w:pPr>
              <w:spacing w:after="0"/>
              <w:rPr>
                <w:sz w:val="17"/>
                <w:szCs w:val="17"/>
                <w:color w:val="auto"/>
              </w:rPr>
            </w:pPr>
          </w:p>
        </w:tc>
        <w:tc>
          <w:tcPr>
            <w:tcW w:w="840" w:type="dxa"/>
            <w:vAlign w:val="bottom"/>
            <w:shd w:val="clear" w:color="auto" w:fill="DBDBDB"/>
          </w:tcPr>
          <w:p>
            <w:pPr>
              <w:jc w:val="right"/>
              <w:spacing w:after="0"/>
              <w:rPr>
                <w:sz w:val="20"/>
                <w:szCs w:val="20"/>
                <w:color w:val="auto"/>
              </w:rPr>
            </w:pPr>
            <w:r>
              <w:rPr>
                <w:rFonts w:ascii="Arial" w:cs="Arial" w:eastAsia="Arial" w:hAnsi="Arial"/>
                <w:sz w:val="12"/>
                <w:szCs w:val="12"/>
                <w:color w:val="auto"/>
              </w:rPr>
              <w:t>0</w:t>
            </w:r>
          </w:p>
        </w:tc>
        <w:tc>
          <w:tcPr>
            <w:tcW w:w="380" w:type="dxa"/>
            <w:vAlign w:val="bottom"/>
            <w:shd w:val="clear" w:color="auto" w:fill="DBDBDB"/>
          </w:tcPr>
          <w:p>
            <w:pPr>
              <w:spacing w:after="0"/>
              <w:rPr>
                <w:sz w:val="17"/>
                <w:szCs w:val="17"/>
                <w:color w:val="auto"/>
              </w:rPr>
            </w:pPr>
          </w:p>
        </w:tc>
        <w:tc>
          <w:tcPr>
            <w:tcW w:w="680" w:type="dxa"/>
            <w:vAlign w:val="bottom"/>
            <w:shd w:val="clear" w:color="auto" w:fill="DBDBDB"/>
          </w:tcPr>
          <w:p>
            <w:pPr>
              <w:jc w:val="right"/>
              <w:spacing w:after="0"/>
              <w:rPr>
                <w:sz w:val="20"/>
                <w:szCs w:val="20"/>
                <w:color w:val="auto"/>
              </w:rPr>
            </w:pPr>
            <w:r>
              <w:rPr>
                <w:rFonts w:ascii="Arial" w:cs="Arial" w:eastAsia="Arial" w:hAnsi="Arial"/>
                <w:sz w:val="12"/>
                <w:szCs w:val="12"/>
                <w:color w:val="auto"/>
              </w:rPr>
              <w:t>0</w:t>
            </w:r>
          </w:p>
        </w:tc>
        <w:tc>
          <w:tcPr>
            <w:tcW w:w="360" w:type="dxa"/>
            <w:vAlign w:val="bottom"/>
            <w:shd w:val="clear" w:color="auto" w:fill="DBDBDB"/>
          </w:tcPr>
          <w:p>
            <w:pPr>
              <w:spacing w:after="0"/>
              <w:rPr>
                <w:sz w:val="17"/>
                <w:szCs w:val="17"/>
                <w:color w:val="auto"/>
              </w:rPr>
            </w:pPr>
          </w:p>
        </w:tc>
        <w:tc>
          <w:tcPr>
            <w:tcW w:w="660" w:type="dxa"/>
            <w:vAlign w:val="bottom"/>
            <w:shd w:val="clear" w:color="auto" w:fill="DBDBDB"/>
          </w:tcPr>
          <w:p>
            <w:pPr>
              <w:jc w:val="right"/>
              <w:spacing w:after="0"/>
              <w:rPr>
                <w:sz w:val="20"/>
                <w:szCs w:val="20"/>
                <w:color w:val="auto"/>
              </w:rPr>
            </w:pPr>
            <w:r>
              <w:rPr>
                <w:rFonts w:ascii="Arial" w:cs="Arial" w:eastAsia="Arial" w:hAnsi="Arial"/>
                <w:sz w:val="12"/>
                <w:szCs w:val="12"/>
                <w:color w:val="auto"/>
              </w:rPr>
              <w:t>0</w:t>
            </w:r>
          </w:p>
        </w:tc>
        <w:tc>
          <w:tcPr>
            <w:tcW w:w="480" w:type="dxa"/>
            <w:vAlign w:val="bottom"/>
            <w:shd w:val="clear" w:color="auto" w:fill="DBDBDB"/>
          </w:tcPr>
          <w:p>
            <w:pPr>
              <w:spacing w:after="0"/>
              <w:rPr>
                <w:sz w:val="17"/>
                <w:szCs w:val="17"/>
                <w:color w:val="auto"/>
              </w:rPr>
            </w:pPr>
          </w:p>
        </w:tc>
        <w:tc>
          <w:tcPr>
            <w:tcW w:w="1020" w:type="dxa"/>
            <w:vAlign w:val="bottom"/>
            <w:shd w:val="clear" w:color="auto" w:fill="DBDBDB"/>
          </w:tcPr>
          <w:p>
            <w:pPr>
              <w:jc w:val="right"/>
              <w:spacing w:after="0"/>
              <w:rPr>
                <w:sz w:val="20"/>
                <w:szCs w:val="20"/>
                <w:color w:val="auto"/>
              </w:rPr>
            </w:pPr>
            <w:r>
              <w:rPr>
                <w:rFonts w:ascii="Arial" w:cs="Arial" w:eastAsia="Arial" w:hAnsi="Arial"/>
                <w:sz w:val="12"/>
                <w:szCs w:val="12"/>
                <w:color w:val="auto"/>
              </w:rPr>
              <w:t>0</w:t>
            </w:r>
          </w:p>
        </w:tc>
        <w:tc>
          <w:tcPr>
            <w:tcW w:w="380" w:type="dxa"/>
            <w:vAlign w:val="bottom"/>
            <w:shd w:val="clear" w:color="auto" w:fill="DBDBDB"/>
          </w:tcPr>
          <w:p>
            <w:pPr>
              <w:spacing w:after="0"/>
              <w:rPr>
                <w:sz w:val="17"/>
                <w:szCs w:val="17"/>
                <w:color w:val="auto"/>
              </w:rPr>
            </w:pPr>
          </w:p>
        </w:tc>
        <w:tc>
          <w:tcPr>
            <w:tcW w:w="1180" w:type="dxa"/>
            <w:vAlign w:val="bottom"/>
            <w:shd w:val="clear" w:color="auto" w:fill="DBDBDB"/>
          </w:tcPr>
          <w:p>
            <w:pPr>
              <w:jc w:val="right"/>
              <w:spacing w:after="0"/>
              <w:rPr>
                <w:sz w:val="20"/>
                <w:szCs w:val="20"/>
                <w:color w:val="auto"/>
              </w:rPr>
            </w:pPr>
            <w:r>
              <w:rPr>
                <w:rFonts w:ascii="Arial" w:cs="Arial" w:eastAsia="Arial" w:hAnsi="Arial"/>
                <w:sz w:val="12"/>
                <w:szCs w:val="12"/>
                <w:color w:val="auto"/>
              </w:rPr>
              <w:t>22,104</w:t>
            </w:r>
          </w:p>
        </w:tc>
        <w:tc>
          <w:tcPr>
            <w:tcW w:w="380" w:type="dxa"/>
            <w:vAlign w:val="bottom"/>
            <w:shd w:val="clear" w:color="auto" w:fill="DBDBDB"/>
          </w:tcPr>
          <w:p>
            <w:pPr>
              <w:spacing w:after="0"/>
              <w:rPr>
                <w:sz w:val="17"/>
                <w:szCs w:val="17"/>
                <w:color w:val="auto"/>
              </w:rPr>
            </w:pPr>
          </w:p>
        </w:tc>
        <w:tc>
          <w:tcPr>
            <w:tcW w:w="0" w:type="dxa"/>
            <w:vAlign w:val="bottom"/>
          </w:tcPr>
          <w:p>
            <w:pPr>
              <w:spacing w:after="0"/>
              <w:rPr>
                <w:sz w:val="1"/>
                <w:szCs w:val="1"/>
                <w:color w:val="auto"/>
              </w:rPr>
            </w:pPr>
          </w:p>
        </w:tc>
      </w:tr>
      <w:tr>
        <w:trPr>
          <w:trHeight w:val="240"/>
        </w:trPr>
        <w:tc>
          <w:tcPr>
            <w:tcW w:w="3160" w:type="dxa"/>
            <w:vAlign w:val="bottom"/>
            <w:shd w:val="clear" w:color="auto" w:fill="DBDBDB"/>
          </w:tcPr>
          <w:p>
            <w:pPr>
              <w:ind w:left="220"/>
              <w:spacing w:after="0"/>
              <w:rPr>
                <w:sz w:val="20"/>
                <w:szCs w:val="20"/>
                <w:color w:val="auto"/>
              </w:rPr>
            </w:pPr>
            <w:r>
              <w:rPr>
                <w:rFonts w:ascii="Arial" w:cs="Arial" w:eastAsia="Arial" w:hAnsi="Arial"/>
                <w:sz w:val="12"/>
                <w:szCs w:val="12"/>
                <w:color w:val="auto"/>
              </w:rPr>
              <w:t>Outplacement Services</w:t>
            </w:r>
            <w:r>
              <w:rPr>
                <w:rFonts w:ascii="Arial" w:cs="Arial" w:eastAsia="Arial" w:hAnsi="Arial"/>
                <w:sz w:val="16"/>
                <w:szCs w:val="16"/>
                <w:color w:val="auto"/>
                <w:vertAlign w:val="superscript"/>
              </w:rPr>
              <w:t>7</w:t>
            </w:r>
          </w:p>
        </w:tc>
        <w:tc>
          <w:tcPr>
            <w:tcW w:w="900" w:type="dxa"/>
            <w:vAlign w:val="bottom"/>
            <w:shd w:val="clear" w:color="auto" w:fill="DBDBDB"/>
          </w:tcPr>
          <w:p>
            <w:pPr>
              <w:jc w:val="right"/>
              <w:spacing w:after="0"/>
              <w:rPr>
                <w:sz w:val="20"/>
                <w:szCs w:val="20"/>
                <w:color w:val="auto"/>
              </w:rPr>
            </w:pPr>
            <w:r>
              <w:rPr>
                <w:rFonts w:ascii="Arial" w:cs="Arial" w:eastAsia="Arial" w:hAnsi="Arial"/>
                <w:sz w:val="12"/>
                <w:szCs w:val="12"/>
                <w:color w:val="auto"/>
              </w:rPr>
              <w:t>0</w:t>
            </w:r>
          </w:p>
        </w:tc>
        <w:tc>
          <w:tcPr>
            <w:tcW w:w="60" w:type="dxa"/>
            <w:vAlign w:val="bottom"/>
            <w:shd w:val="clear" w:color="auto" w:fill="DBDBDB"/>
          </w:tcPr>
          <w:p>
            <w:pPr>
              <w:spacing w:after="0"/>
              <w:rPr>
                <w:sz w:val="20"/>
                <w:szCs w:val="20"/>
                <w:color w:val="auto"/>
              </w:rPr>
            </w:pPr>
          </w:p>
        </w:tc>
        <w:tc>
          <w:tcPr>
            <w:tcW w:w="280" w:type="dxa"/>
            <w:vAlign w:val="bottom"/>
            <w:shd w:val="clear" w:color="auto" w:fill="DBDBDB"/>
          </w:tcPr>
          <w:p>
            <w:pPr>
              <w:spacing w:after="0"/>
              <w:rPr>
                <w:sz w:val="20"/>
                <w:szCs w:val="20"/>
                <w:color w:val="auto"/>
              </w:rPr>
            </w:pPr>
          </w:p>
        </w:tc>
        <w:tc>
          <w:tcPr>
            <w:tcW w:w="840" w:type="dxa"/>
            <w:vAlign w:val="bottom"/>
            <w:shd w:val="clear" w:color="auto" w:fill="DBDBDB"/>
          </w:tcPr>
          <w:p>
            <w:pPr>
              <w:jc w:val="right"/>
              <w:spacing w:after="0"/>
              <w:rPr>
                <w:sz w:val="20"/>
                <w:szCs w:val="20"/>
                <w:color w:val="auto"/>
              </w:rPr>
            </w:pPr>
            <w:r>
              <w:rPr>
                <w:rFonts w:ascii="Arial" w:cs="Arial" w:eastAsia="Arial" w:hAnsi="Arial"/>
                <w:sz w:val="12"/>
                <w:szCs w:val="12"/>
                <w:color w:val="auto"/>
              </w:rPr>
              <w:t>0</w:t>
            </w:r>
          </w:p>
        </w:tc>
        <w:tc>
          <w:tcPr>
            <w:tcW w:w="380" w:type="dxa"/>
            <w:vAlign w:val="bottom"/>
            <w:shd w:val="clear" w:color="auto" w:fill="DBDBDB"/>
          </w:tcPr>
          <w:p>
            <w:pPr>
              <w:spacing w:after="0"/>
              <w:rPr>
                <w:sz w:val="20"/>
                <w:szCs w:val="20"/>
                <w:color w:val="auto"/>
              </w:rPr>
            </w:pPr>
          </w:p>
        </w:tc>
        <w:tc>
          <w:tcPr>
            <w:tcW w:w="680" w:type="dxa"/>
            <w:vAlign w:val="bottom"/>
            <w:shd w:val="clear" w:color="auto" w:fill="DBDBDB"/>
          </w:tcPr>
          <w:p>
            <w:pPr>
              <w:jc w:val="right"/>
              <w:spacing w:after="0"/>
              <w:rPr>
                <w:sz w:val="20"/>
                <w:szCs w:val="20"/>
                <w:color w:val="auto"/>
              </w:rPr>
            </w:pPr>
            <w:r>
              <w:rPr>
                <w:rFonts w:ascii="Arial" w:cs="Arial" w:eastAsia="Arial" w:hAnsi="Arial"/>
                <w:sz w:val="12"/>
                <w:szCs w:val="12"/>
                <w:color w:val="auto"/>
              </w:rPr>
              <w:t>0</w:t>
            </w:r>
          </w:p>
        </w:tc>
        <w:tc>
          <w:tcPr>
            <w:tcW w:w="360" w:type="dxa"/>
            <w:vAlign w:val="bottom"/>
            <w:shd w:val="clear" w:color="auto" w:fill="DBDBDB"/>
          </w:tcPr>
          <w:p>
            <w:pPr>
              <w:spacing w:after="0"/>
              <w:rPr>
                <w:sz w:val="20"/>
                <w:szCs w:val="20"/>
                <w:color w:val="auto"/>
              </w:rPr>
            </w:pPr>
          </w:p>
        </w:tc>
        <w:tc>
          <w:tcPr>
            <w:tcW w:w="660" w:type="dxa"/>
            <w:vAlign w:val="bottom"/>
            <w:shd w:val="clear" w:color="auto" w:fill="DBDBDB"/>
          </w:tcPr>
          <w:p>
            <w:pPr>
              <w:jc w:val="right"/>
              <w:spacing w:after="0"/>
              <w:rPr>
                <w:sz w:val="20"/>
                <w:szCs w:val="20"/>
                <w:color w:val="auto"/>
              </w:rPr>
            </w:pPr>
            <w:r>
              <w:rPr>
                <w:rFonts w:ascii="Arial" w:cs="Arial" w:eastAsia="Arial" w:hAnsi="Arial"/>
                <w:sz w:val="12"/>
                <w:szCs w:val="12"/>
                <w:color w:val="auto"/>
              </w:rPr>
              <w:t>0</w:t>
            </w:r>
          </w:p>
        </w:tc>
        <w:tc>
          <w:tcPr>
            <w:tcW w:w="480" w:type="dxa"/>
            <w:vAlign w:val="bottom"/>
            <w:shd w:val="clear" w:color="auto" w:fill="DBDBDB"/>
          </w:tcPr>
          <w:p>
            <w:pPr>
              <w:spacing w:after="0"/>
              <w:rPr>
                <w:sz w:val="20"/>
                <w:szCs w:val="20"/>
                <w:color w:val="auto"/>
              </w:rPr>
            </w:pPr>
          </w:p>
        </w:tc>
        <w:tc>
          <w:tcPr>
            <w:tcW w:w="1020" w:type="dxa"/>
            <w:vAlign w:val="bottom"/>
            <w:shd w:val="clear" w:color="auto" w:fill="DBDBDB"/>
          </w:tcPr>
          <w:p>
            <w:pPr>
              <w:jc w:val="right"/>
              <w:spacing w:after="0"/>
              <w:rPr>
                <w:sz w:val="20"/>
                <w:szCs w:val="20"/>
                <w:color w:val="auto"/>
              </w:rPr>
            </w:pPr>
            <w:r>
              <w:rPr>
                <w:rFonts w:ascii="Arial" w:cs="Arial" w:eastAsia="Arial" w:hAnsi="Arial"/>
                <w:sz w:val="12"/>
                <w:szCs w:val="12"/>
                <w:color w:val="auto"/>
              </w:rPr>
              <w:t>0</w:t>
            </w:r>
          </w:p>
        </w:tc>
        <w:tc>
          <w:tcPr>
            <w:tcW w:w="380" w:type="dxa"/>
            <w:vAlign w:val="bottom"/>
            <w:shd w:val="clear" w:color="auto" w:fill="DBDBDB"/>
          </w:tcPr>
          <w:p>
            <w:pPr>
              <w:spacing w:after="0"/>
              <w:rPr>
                <w:sz w:val="20"/>
                <w:szCs w:val="20"/>
                <w:color w:val="auto"/>
              </w:rPr>
            </w:pPr>
          </w:p>
        </w:tc>
        <w:tc>
          <w:tcPr>
            <w:tcW w:w="1180" w:type="dxa"/>
            <w:vAlign w:val="bottom"/>
            <w:shd w:val="clear" w:color="auto" w:fill="DBDBDB"/>
          </w:tcPr>
          <w:p>
            <w:pPr>
              <w:jc w:val="right"/>
              <w:spacing w:after="0"/>
              <w:rPr>
                <w:sz w:val="20"/>
                <w:szCs w:val="20"/>
                <w:color w:val="auto"/>
              </w:rPr>
            </w:pPr>
            <w:r>
              <w:rPr>
                <w:rFonts w:ascii="Arial" w:cs="Arial" w:eastAsia="Arial" w:hAnsi="Arial"/>
                <w:sz w:val="12"/>
                <w:szCs w:val="12"/>
                <w:color w:val="auto"/>
              </w:rPr>
              <w:t>30,000</w:t>
            </w:r>
          </w:p>
        </w:tc>
        <w:tc>
          <w:tcPr>
            <w:tcW w:w="380" w:type="dxa"/>
            <w:vAlign w:val="bottom"/>
            <w:shd w:val="clear" w:color="auto" w:fill="DBDBDB"/>
          </w:tcPr>
          <w:p>
            <w:pPr>
              <w:spacing w:after="0"/>
              <w:rPr>
                <w:sz w:val="20"/>
                <w:szCs w:val="20"/>
                <w:color w:val="auto"/>
              </w:rPr>
            </w:pPr>
          </w:p>
        </w:tc>
        <w:tc>
          <w:tcPr>
            <w:tcW w:w="0" w:type="dxa"/>
            <w:vAlign w:val="bottom"/>
          </w:tcPr>
          <w:p>
            <w:pPr>
              <w:spacing w:after="0"/>
              <w:rPr>
                <w:sz w:val="1"/>
                <w:szCs w:val="1"/>
                <w:color w:val="auto"/>
              </w:rPr>
            </w:pPr>
          </w:p>
        </w:tc>
      </w:tr>
      <w:tr>
        <w:trPr>
          <w:trHeight w:val="205"/>
        </w:trPr>
        <w:tc>
          <w:tcPr>
            <w:tcW w:w="3160" w:type="dxa"/>
            <w:vAlign w:val="bottom"/>
            <w:tcBorders>
              <w:bottom w:val="single" w:sz="8" w:color="DBDBDB"/>
            </w:tcBorders>
            <w:shd w:val="clear" w:color="auto" w:fill="DBDBDB"/>
          </w:tcPr>
          <w:p>
            <w:pPr>
              <w:spacing w:after="0"/>
              <w:rPr>
                <w:sz w:val="17"/>
                <w:szCs w:val="17"/>
                <w:color w:val="auto"/>
              </w:rPr>
            </w:pPr>
          </w:p>
        </w:tc>
        <w:tc>
          <w:tcPr>
            <w:tcW w:w="90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2"/>
                <w:szCs w:val="12"/>
                <w:color w:val="auto"/>
              </w:rPr>
              <w:t>40,849</w:t>
            </w:r>
          </w:p>
        </w:tc>
        <w:tc>
          <w:tcPr>
            <w:tcW w:w="60" w:type="dxa"/>
            <w:vAlign w:val="bottom"/>
            <w:tcBorders>
              <w:bottom w:val="single" w:sz="8" w:color="DBDBDB"/>
            </w:tcBorders>
            <w:shd w:val="clear" w:color="auto" w:fill="DBDBDB"/>
          </w:tcPr>
          <w:p>
            <w:pPr>
              <w:spacing w:after="0"/>
              <w:rPr>
                <w:sz w:val="17"/>
                <w:szCs w:val="17"/>
                <w:color w:val="auto"/>
              </w:rPr>
            </w:pPr>
          </w:p>
        </w:tc>
        <w:tc>
          <w:tcPr>
            <w:tcW w:w="280" w:type="dxa"/>
            <w:vAlign w:val="bottom"/>
            <w:tcBorders>
              <w:bottom w:val="single" w:sz="8" w:color="DBDBDB"/>
            </w:tcBorders>
            <w:shd w:val="clear" w:color="auto" w:fill="DBDBDB"/>
          </w:tcPr>
          <w:p>
            <w:pPr>
              <w:spacing w:after="0"/>
              <w:rPr>
                <w:sz w:val="17"/>
                <w:szCs w:val="17"/>
                <w:color w:val="auto"/>
              </w:rPr>
            </w:pPr>
          </w:p>
        </w:tc>
        <w:tc>
          <w:tcPr>
            <w:tcW w:w="84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2"/>
                <w:szCs w:val="12"/>
                <w:color w:val="auto"/>
              </w:rPr>
              <w:t>0</w:t>
            </w:r>
          </w:p>
        </w:tc>
        <w:tc>
          <w:tcPr>
            <w:tcW w:w="380" w:type="dxa"/>
            <w:vAlign w:val="bottom"/>
            <w:tcBorders>
              <w:bottom w:val="single" w:sz="8" w:color="DBDBDB"/>
            </w:tcBorders>
            <w:shd w:val="clear" w:color="auto" w:fill="DBDBDB"/>
          </w:tcPr>
          <w:p>
            <w:pPr>
              <w:spacing w:after="0"/>
              <w:rPr>
                <w:sz w:val="17"/>
                <w:szCs w:val="17"/>
                <w:color w:val="auto"/>
              </w:rPr>
            </w:pPr>
          </w:p>
        </w:tc>
        <w:tc>
          <w:tcPr>
            <w:tcW w:w="68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2"/>
                <w:szCs w:val="12"/>
                <w:color w:val="auto"/>
              </w:rPr>
              <w:t>0</w:t>
            </w:r>
          </w:p>
        </w:tc>
        <w:tc>
          <w:tcPr>
            <w:tcW w:w="360" w:type="dxa"/>
            <w:vAlign w:val="bottom"/>
            <w:tcBorders>
              <w:bottom w:val="single" w:sz="8" w:color="DBDBDB"/>
            </w:tcBorders>
            <w:shd w:val="clear" w:color="auto" w:fill="DBDBDB"/>
          </w:tcPr>
          <w:p>
            <w:pPr>
              <w:spacing w:after="0"/>
              <w:rPr>
                <w:sz w:val="17"/>
                <w:szCs w:val="17"/>
                <w:color w:val="auto"/>
              </w:rPr>
            </w:pPr>
          </w:p>
        </w:tc>
        <w:tc>
          <w:tcPr>
            <w:tcW w:w="66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2"/>
                <w:szCs w:val="12"/>
                <w:color w:val="auto"/>
              </w:rPr>
              <w:t>0</w:t>
            </w:r>
          </w:p>
        </w:tc>
        <w:tc>
          <w:tcPr>
            <w:tcW w:w="480" w:type="dxa"/>
            <w:vAlign w:val="bottom"/>
            <w:tcBorders>
              <w:bottom w:val="single" w:sz="8" w:color="DBDBDB"/>
            </w:tcBorders>
            <w:shd w:val="clear" w:color="auto" w:fill="DBDBDB"/>
          </w:tcPr>
          <w:p>
            <w:pPr>
              <w:spacing w:after="0"/>
              <w:rPr>
                <w:sz w:val="17"/>
                <w:szCs w:val="17"/>
                <w:color w:val="auto"/>
              </w:rPr>
            </w:pPr>
          </w:p>
        </w:tc>
        <w:tc>
          <w:tcPr>
            <w:tcW w:w="102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2"/>
                <w:szCs w:val="12"/>
                <w:color w:val="auto"/>
              </w:rPr>
              <w:t>0</w:t>
            </w:r>
          </w:p>
        </w:tc>
        <w:tc>
          <w:tcPr>
            <w:tcW w:w="380" w:type="dxa"/>
            <w:vAlign w:val="bottom"/>
            <w:tcBorders>
              <w:bottom w:val="single" w:sz="8" w:color="DBDBDB"/>
            </w:tcBorders>
            <w:shd w:val="clear" w:color="auto" w:fill="DBDBDB"/>
          </w:tcPr>
          <w:p>
            <w:pPr>
              <w:spacing w:after="0"/>
              <w:rPr>
                <w:sz w:val="17"/>
                <w:szCs w:val="17"/>
                <w:color w:val="auto"/>
              </w:rPr>
            </w:pPr>
          </w:p>
        </w:tc>
        <w:tc>
          <w:tcPr>
            <w:tcW w:w="118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2"/>
                <w:szCs w:val="12"/>
                <w:color w:val="auto"/>
              </w:rPr>
              <w:t>0</w:t>
            </w:r>
          </w:p>
        </w:tc>
        <w:tc>
          <w:tcPr>
            <w:tcW w:w="380" w:type="dxa"/>
            <w:vAlign w:val="bottom"/>
            <w:tcBorders>
              <w:bottom w:val="single" w:sz="8" w:color="DBDBDB"/>
            </w:tcBorders>
            <w:shd w:val="clear" w:color="auto" w:fill="DBDBDB"/>
          </w:tcPr>
          <w:p>
            <w:pPr>
              <w:spacing w:after="0"/>
              <w:rPr>
                <w:sz w:val="17"/>
                <w:szCs w:val="17"/>
                <w:color w:val="auto"/>
              </w:rPr>
            </w:pPr>
          </w:p>
        </w:tc>
        <w:tc>
          <w:tcPr>
            <w:tcW w:w="0" w:type="dxa"/>
            <w:vAlign w:val="bottom"/>
          </w:tcPr>
          <w:p>
            <w:pPr>
              <w:spacing w:after="0"/>
              <w:rPr>
                <w:sz w:val="1"/>
                <w:szCs w:val="1"/>
                <w:color w:val="auto"/>
              </w:rPr>
            </w:pPr>
          </w:p>
        </w:tc>
      </w:tr>
      <w:tr>
        <w:trPr>
          <w:trHeight w:val="173"/>
        </w:trPr>
        <w:tc>
          <w:tcPr>
            <w:tcW w:w="3160" w:type="dxa"/>
            <w:vAlign w:val="bottom"/>
            <w:tcBorders>
              <w:top w:val="single" w:sz="8" w:color="DBDBDB"/>
              <w:bottom w:val="single" w:sz="8" w:color="DBDBDB"/>
            </w:tcBorders>
            <w:shd w:val="clear" w:color="auto" w:fill="DBDBDB"/>
          </w:tcPr>
          <w:p>
            <w:pPr>
              <w:ind w:left="20"/>
              <w:spacing w:after="0"/>
              <w:rPr>
                <w:sz w:val="20"/>
                <w:szCs w:val="20"/>
                <w:color w:val="auto"/>
              </w:rPr>
            </w:pPr>
            <w:r>
              <w:rPr>
                <w:rFonts w:ascii="Arial" w:cs="Arial" w:eastAsia="Arial" w:hAnsi="Arial"/>
                <w:sz w:val="12"/>
                <w:szCs w:val="12"/>
                <w:b w:val="1"/>
                <w:bCs w:val="1"/>
                <w:color w:val="auto"/>
              </w:rPr>
              <w:t>Total</w:t>
            </w:r>
          </w:p>
        </w:tc>
        <w:tc>
          <w:tcPr>
            <w:tcW w:w="900" w:type="dxa"/>
            <w:vAlign w:val="bottom"/>
            <w:tcBorders>
              <w:top w:val="single" w:sz="8" w:color="auto"/>
              <w:bottom w:val="single" w:sz="8" w:color="DBDBDB"/>
            </w:tcBorders>
            <w:shd w:val="clear" w:color="auto" w:fill="DBDBDB"/>
          </w:tcPr>
          <w:p>
            <w:pPr>
              <w:jc w:val="right"/>
              <w:spacing w:after="0"/>
              <w:rPr>
                <w:sz w:val="20"/>
                <w:szCs w:val="20"/>
                <w:color w:val="auto"/>
              </w:rPr>
            </w:pPr>
            <w:r>
              <w:rPr>
                <w:rFonts w:ascii="Arial" w:cs="Arial" w:eastAsia="Arial" w:hAnsi="Arial"/>
                <w:sz w:val="12"/>
                <w:szCs w:val="12"/>
                <w:color w:val="auto"/>
              </w:rPr>
              <w:t>94,449</w:t>
            </w:r>
          </w:p>
        </w:tc>
        <w:tc>
          <w:tcPr>
            <w:tcW w:w="60" w:type="dxa"/>
            <w:vAlign w:val="bottom"/>
            <w:tcBorders>
              <w:top w:val="single" w:sz="8" w:color="DBDBDB"/>
              <w:bottom w:val="single" w:sz="8" w:color="DBDBDB"/>
            </w:tcBorders>
            <w:shd w:val="clear" w:color="auto" w:fill="DBDBDB"/>
          </w:tcPr>
          <w:p>
            <w:pPr>
              <w:spacing w:after="0"/>
              <w:rPr>
                <w:sz w:val="15"/>
                <w:szCs w:val="15"/>
                <w:color w:val="auto"/>
              </w:rPr>
            </w:pPr>
          </w:p>
        </w:tc>
        <w:tc>
          <w:tcPr>
            <w:tcW w:w="280" w:type="dxa"/>
            <w:vAlign w:val="bottom"/>
            <w:tcBorders>
              <w:top w:val="single" w:sz="8" w:color="DBDBDB"/>
              <w:bottom w:val="single" w:sz="8" w:color="DBDBDB"/>
            </w:tcBorders>
            <w:shd w:val="clear" w:color="auto" w:fill="DBDBDB"/>
          </w:tcPr>
          <w:p>
            <w:pPr>
              <w:spacing w:after="0"/>
              <w:rPr>
                <w:sz w:val="15"/>
                <w:szCs w:val="15"/>
                <w:color w:val="auto"/>
              </w:rPr>
            </w:pPr>
          </w:p>
        </w:tc>
        <w:tc>
          <w:tcPr>
            <w:tcW w:w="840" w:type="dxa"/>
            <w:vAlign w:val="bottom"/>
            <w:tcBorders>
              <w:top w:val="single" w:sz="8" w:color="auto"/>
              <w:bottom w:val="single" w:sz="8" w:color="DBDBDB"/>
            </w:tcBorders>
            <w:shd w:val="clear" w:color="auto" w:fill="DBDBDB"/>
          </w:tcPr>
          <w:p>
            <w:pPr>
              <w:jc w:val="right"/>
              <w:spacing w:after="0"/>
              <w:rPr>
                <w:sz w:val="20"/>
                <w:szCs w:val="20"/>
                <w:color w:val="auto"/>
              </w:rPr>
            </w:pPr>
            <w:r>
              <w:rPr>
                <w:rFonts w:ascii="Arial" w:cs="Arial" w:eastAsia="Arial" w:hAnsi="Arial"/>
                <w:sz w:val="12"/>
                <w:szCs w:val="12"/>
                <w:color w:val="auto"/>
              </w:rPr>
              <w:t>53,600</w:t>
            </w:r>
          </w:p>
        </w:tc>
        <w:tc>
          <w:tcPr>
            <w:tcW w:w="380" w:type="dxa"/>
            <w:vAlign w:val="bottom"/>
            <w:tcBorders>
              <w:top w:val="single" w:sz="8" w:color="DBDBDB"/>
              <w:bottom w:val="single" w:sz="8" w:color="DBDBDB"/>
            </w:tcBorders>
            <w:shd w:val="clear" w:color="auto" w:fill="DBDBDB"/>
          </w:tcPr>
          <w:p>
            <w:pPr>
              <w:spacing w:after="0"/>
              <w:rPr>
                <w:sz w:val="15"/>
                <w:szCs w:val="15"/>
                <w:color w:val="auto"/>
              </w:rPr>
            </w:pPr>
          </w:p>
        </w:tc>
        <w:tc>
          <w:tcPr>
            <w:tcW w:w="680" w:type="dxa"/>
            <w:vAlign w:val="bottom"/>
            <w:tcBorders>
              <w:top w:val="single" w:sz="8" w:color="auto"/>
              <w:bottom w:val="single" w:sz="8" w:color="DBDBDB"/>
            </w:tcBorders>
            <w:shd w:val="clear" w:color="auto" w:fill="DBDBDB"/>
          </w:tcPr>
          <w:p>
            <w:pPr>
              <w:jc w:val="right"/>
              <w:spacing w:after="0"/>
              <w:rPr>
                <w:sz w:val="20"/>
                <w:szCs w:val="20"/>
                <w:color w:val="auto"/>
              </w:rPr>
            </w:pPr>
            <w:r>
              <w:rPr>
                <w:rFonts w:ascii="Arial" w:cs="Arial" w:eastAsia="Arial" w:hAnsi="Arial"/>
                <w:sz w:val="12"/>
                <w:szCs w:val="12"/>
                <w:color w:val="auto"/>
              </w:rPr>
              <w:t>0</w:t>
            </w:r>
          </w:p>
        </w:tc>
        <w:tc>
          <w:tcPr>
            <w:tcW w:w="360" w:type="dxa"/>
            <w:vAlign w:val="bottom"/>
            <w:tcBorders>
              <w:top w:val="single" w:sz="8" w:color="DBDBDB"/>
              <w:bottom w:val="single" w:sz="8" w:color="DBDBDB"/>
            </w:tcBorders>
            <w:shd w:val="clear" w:color="auto" w:fill="DBDBDB"/>
          </w:tcPr>
          <w:p>
            <w:pPr>
              <w:spacing w:after="0"/>
              <w:rPr>
                <w:sz w:val="15"/>
                <w:szCs w:val="15"/>
                <w:color w:val="auto"/>
              </w:rPr>
            </w:pPr>
          </w:p>
        </w:tc>
        <w:tc>
          <w:tcPr>
            <w:tcW w:w="660" w:type="dxa"/>
            <w:vAlign w:val="bottom"/>
            <w:tcBorders>
              <w:top w:val="single" w:sz="8" w:color="auto"/>
              <w:bottom w:val="single" w:sz="8" w:color="DBDBDB"/>
            </w:tcBorders>
            <w:shd w:val="clear" w:color="auto" w:fill="DBDBDB"/>
          </w:tcPr>
          <w:p>
            <w:pPr>
              <w:jc w:val="right"/>
              <w:spacing w:after="0"/>
              <w:rPr>
                <w:sz w:val="20"/>
                <w:szCs w:val="20"/>
                <w:color w:val="auto"/>
              </w:rPr>
            </w:pPr>
            <w:r>
              <w:rPr>
                <w:rFonts w:ascii="Arial" w:cs="Arial" w:eastAsia="Arial" w:hAnsi="Arial"/>
                <w:sz w:val="12"/>
                <w:szCs w:val="12"/>
                <w:color w:val="auto"/>
              </w:rPr>
              <w:t>0</w:t>
            </w:r>
          </w:p>
        </w:tc>
        <w:tc>
          <w:tcPr>
            <w:tcW w:w="480" w:type="dxa"/>
            <w:vAlign w:val="bottom"/>
            <w:tcBorders>
              <w:top w:val="single" w:sz="8" w:color="DBDBDB"/>
              <w:bottom w:val="single" w:sz="8" w:color="DBDBDB"/>
            </w:tcBorders>
            <w:shd w:val="clear" w:color="auto" w:fill="DBDBDB"/>
          </w:tcPr>
          <w:p>
            <w:pPr>
              <w:spacing w:after="0"/>
              <w:rPr>
                <w:sz w:val="15"/>
                <w:szCs w:val="15"/>
                <w:color w:val="auto"/>
              </w:rPr>
            </w:pPr>
          </w:p>
        </w:tc>
        <w:tc>
          <w:tcPr>
            <w:tcW w:w="1020" w:type="dxa"/>
            <w:vAlign w:val="bottom"/>
            <w:tcBorders>
              <w:top w:val="single" w:sz="8" w:color="auto"/>
              <w:bottom w:val="single" w:sz="8" w:color="DBDBDB"/>
            </w:tcBorders>
            <w:shd w:val="clear" w:color="auto" w:fill="DBDBDB"/>
          </w:tcPr>
          <w:p>
            <w:pPr>
              <w:jc w:val="right"/>
              <w:spacing w:after="0"/>
              <w:rPr>
                <w:sz w:val="20"/>
                <w:szCs w:val="20"/>
                <w:color w:val="auto"/>
              </w:rPr>
            </w:pPr>
            <w:r>
              <w:rPr>
                <w:rFonts w:ascii="Arial" w:cs="Arial" w:eastAsia="Arial" w:hAnsi="Arial"/>
                <w:sz w:val="12"/>
                <w:szCs w:val="12"/>
                <w:color w:val="auto"/>
              </w:rPr>
              <w:t>364,816</w:t>
            </w:r>
          </w:p>
        </w:tc>
        <w:tc>
          <w:tcPr>
            <w:tcW w:w="380" w:type="dxa"/>
            <w:vAlign w:val="bottom"/>
            <w:tcBorders>
              <w:top w:val="single" w:sz="8" w:color="DBDBDB"/>
              <w:bottom w:val="single" w:sz="8" w:color="DBDBDB"/>
            </w:tcBorders>
            <w:shd w:val="clear" w:color="auto" w:fill="DBDBDB"/>
          </w:tcPr>
          <w:p>
            <w:pPr>
              <w:spacing w:after="0"/>
              <w:rPr>
                <w:sz w:val="15"/>
                <w:szCs w:val="15"/>
                <w:color w:val="auto"/>
              </w:rPr>
            </w:pPr>
          </w:p>
        </w:tc>
        <w:tc>
          <w:tcPr>
            <w:tcW w:w="1180" w:type="dxa"/>
            <w:vAlign w:val="bottom"/>
            <w:tcBorders>
              <w:top w:val="single" w:sz="8" w:color="auto"/>
              <w:bottom w:val="single" w:sz="8" w:color="DBDBDB"/>
            </w:tcBorders>
            <w:shd w:val="clear" w:color="auto" w:fill="DBDBDB"/>
          </w:tcPr>
          <w:p>
            <w:pPr>
              <w:jc w:val="right"/>
              <w:spacing w:after="0"/>
              <w:rPr>
                <w:sz w:val="20"/>
                <w:szCs w:val="20"/>
                <w:color w:val="auto"/>
              </w:rPr>
            </w:pPr>
            <w:r>
              <w:rPr>
                <w:rFonts w:ascii="Arial" w:cs="Arial" w:eastAsia="Arial" w:hAnsi="Arial"/>
                <w:sz w:val="12"/>
                <w:szCs w:val="12"/>
                <w:color w:val="auto"/>
              </w:rPr>
              <w:t>2,241,820</w:t>
            </w:r>
          </w:p>
        </w:tc>
        <w:tc>
          <w:tcPr>
            <w:tcW w:w="380" w:type="dxa"/>
            <w:vAlign w:val="bottom"/>
            <w:tcBorders>
              <w:top w:val="single" w:sz="8" w:color="DBDBDB"/>
              <w:bottom w:val="single" w:sz="8" w:color="DBDBDB"/>
            </w:tcBorders>
            <w:shd w:val="clear" w:color="auto" w:fill="DBDBDB"/>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3160" w:type="dxa"/>
            <w:vAlign w:val="bottom"/>
          </w:tcPr>
          <w:p>
            <w:pPr>
              <w:ind w:left="20"/>
              <w:spacing w:after="0"/>
              <w:rPr>
                <w:sz w:val="20"/>
                <w:szCs w:val="20"/>
                <w:color w:val="auto"/>
              </w:rPr>
            </w:pPr>
            <w:r>
              <w:rPr>
                <w:rFonts w:ascii="Arial" w:cs="Arial" w:eastAsia="Arial" w:hAnsi="Arial"/>
                <w:sz w:val="12"/>
                <w:szCs w:val="12"/>
                <w:b w:val="1"/>
                <w:bCs w:val="1"/>
                <w:color w:val="auto"/>
              </w:rPr>
              <w:t>Joanna M. Totsky</w:t>
            </w:r>
          </w:p>
        </w:tc>
        <w:tc>
          <w:tcPr>
            <w:tcW w:w="9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4"/>
        </w:trPr>
        <w:tc>
          <w:tcPr>
            <w:tcW w:w="3160" w:type="dxa"/>
            <w:vAlign w:val="bottom"/>
          </w:tcPr>
          <w:p>
            <w:pPr>
              <w:ind w:left="20"/>
              <w:spacing w:after="0"/>
              <w:rPr>
                <w:sz w:val="20"/>
                <w:szCs w:val="20"/>
                <w:color w:val="auto"/>
              </w:rPr>
            </w:pPr>
            <w:r>
              <w:rPr>
                <w:rFonts w:ascii="Arial" w:cs="Arial" w:eastAsia="Arial" w:hAnsi="Arial"/>
                <w:sz w:val="12"/>
                <w:szCs w:val="12"/>
                <w:color w:val="auto"/>
              </w:rPr>
              <w:t>Cash Severance Payment2</w:t>
            </w:r>
          </w:p>
        </w:tc>
        <w:tc>
          <w:tcPr>
            <w:tcW w:w="900" w:type="dxa"/>
            <w:vAlign w:val="bottom"/>
          </w:tcPr>
          <w:p>
            <w:pPr>
              <w:jc w:val="right"/>
              <w:spacing w:after="0"/>
              <w:rPr>
                <w:sz w:val="20"/>
                <w:szCs w:val="20"/>
                <w:color w:val="auto"/>
              </w:rPr>
            </w:pPr>
            <w:r>
              <w:rPr>
                <w:rFonts w:ascii="Arial" w:cs="Arial" w:eastAsia="Arial" w:hAnsi="Arial"/>
                <w:sz w:val="12"/>
                <w:szCs w:val="12"/>
                <w:color w:val="auto"/>
              </w:rPr>
              <w:t>0</w:t>
            </w:r>
          </w:p>
        </w:tc>
        <w:tc>
          <w:tcPr>
            <w:tcW w:w="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2"/>
                <w:szCs w:val="12"/>
                <w:color w:val="auto"/>
              </w:rPr>
              <w:t>0</w:t>
            </w:r>
          </w:p>
        </w:tc>
        <w:tc>
          <w:tcPr>
            <w:tcW w:w="3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0</w:t>
            </w:r>
          </w:p>
        </w:tc>
        <w:tc>
          <w:tcPr>
            <w:tcW w:w="36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2"/>
                <w:szCs w:val="12"/>
                <w:color w:val="auto"/>
              </w:rPr>
              <w:t>0</w:t>
            </w:r>
          </w:p>
        </w:tc>
        <w:tc>
          <w:tcPr>
            <w:tcW w:w="48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2"/>
                <w:szCs w:val="12"/>
                <w:color w:val="auto"/>
              </w:rPr>
              <w:t>0</w:t>
            </w:r>
          </w:p>
        </w:tc>
        <w:tc>
          <w:tcPr>
            <w:tcW w:w="38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2"/>
                <w:szCs w:val="12"/>
                <w:color w:val="auto"/>
              </w:rPr>
              <w:t>1,887,600</w:t>
            </w:r>
          </w:p>
        </w:tc>
        <w:tc>
          <w:tcPr>
            <w:tcW w:w="3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2"/>
        </w:trPr>
        <w:tc>
          <w:tcPr>
            <w:tcW w:w="3160" w:type="dxa"/>
            <w:vAlign w:val="bottom"/>
          </w:tcPr>
          <w:p>
            <w:pPr>
              <w:ind w:left="220"/>
              <w:spacing w:after="0"/>
              <w:rPr>
                <w:sz w:val="20"/>
                <w:szCs w:val="20"/>
                <w:color w:val="auto"/>
              </w:rPr>
            </w:pPr>
            <w:r>
              <w:rPr>
                <w:rFonts w:ascii="Arial" w:cs="Arial" w:eastAsia="Arial" w:hAnsi="Arial"/>
                <w:sz w:val="12"/>
                <w:szCs w:val="12"/>
                <w:color w:val="auto"/>
              </w:rPr>
              <w:t>Unvested &amp; Accelerated Stock Options</w:t>
            </w:r>
            <w:r>
              <w:rPr>
                <w:rFonts w:ascii="Arial" w:cs="Arial" w:eastAsia="Arial" w:hAnsi="Arial"/>
                <w:sz w:val="16"/>
                <w:szCs w:val="16"/>
                <w:color w:val="auto"/>
                <w:vertAlign w:val="superscript"/>
              </w:rPr>
              <w:t>3</w:t>
            </w:r>
          </w:p>
        </w:tc>
        <w:tc>
          <w:tcPr>
            <w:tcW w:w="900" w:type="dxa"/>
            <w:vAlign w:val="bottom"/>
          </w:tcPr>
          <w:p>
            <w:pPr>
              <w:jc w:val="right"/>
              <w:spacing w:after="0"/>
              <w:rPr>
                <w:sz w:val="20"/>
                <w:szCs w:val="20"/>
                <w:color w:val="auto"/>
              </w:rPr>
            </w:pPr>
            <w:r>
              <w:rPr>
                <w:rFonts w:ascii="Arial" w:cs="Arial" w:eastAsia="Arial" w:hAnsi="Arial"/>
                <w:sz w:val="12"/>
                <w:szCs w:val="12"/>
                <w:color w:val="auto"/>
              </w:rPr>
              <w:t>0</w:t>
            </w:r>
          </w:p>
        </w:tc>
        <w:tc>
          <w:tcPr>
            <w:tcW w:w="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Arial" w:cs="Arial" w:eastAsia="Arial" w:hAnsi="Arial"/>
                <w:sz w:val="12"/>
                <w:szCs w:val="12"/>
                <w:color w:val="auto"/>
              </w:rPr>
              <w:t>0</w:t>
            </w:r>
          </w:p>
        </w:tc>
        <w:tc>
          <w:tcPr>
            <w:tcW w:w="380" w:type="dxa"/>
            <w:vAlign w:val="bottom"/>
          </w:tcPr>
          <w:p>
            <w:pPr>
              <w:spacing w:after="0"/>
              <w:rPr>
                <w:sz w:val="22"/>
                <w:szCs w:val="22"/>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0</w:t>
            </w:r>
          </w:p>
        </w:tc>
        <w:tc>
          <w:tcPr>
            <w:tcW w:w="360" w:type="dxa"/>
            <w:vAlign w:val="bottom"/>
          </w:tcPr>
          <w:p>
            <w:pPr>
              <w:spacing w:after="0"/>
              <w:rPr>
                <w:sz w:val="22"/>
                <w:szCs w:val="22"/>
                <w:color w:val="auto"/>
              </w:rPr>
            </w:pPr>
          </w:p>
        </w:tc>
        <w:tc>
          <w:tcPr>
            <w:tcW w:w="660" w:type="dxa"/>
            <w:vAlign w:val="bottom"/>
          </w:tcPr>
          <w:p>
            <w:pPr>
              <w:jc w:val="right"/>
              <w:spacing w:after="0"/>
              <w:rPr>
                <w:sz w:val="20"/>
                <w:szCs w:val="20"/>
                <w:color w:val="auto"/>
              </w:rPr>
            </w:pPr>
            <w:r>
              <w:rPr>
                <w:rFonts w:ascii="Arial" w:cs="Arial" w:eastAsia="Arial" w:hAnsi="Arial"/>
                <w:sz w:val="12"/>
                <w:szCs w:val="12"/>
                <w:color w:val="auto"/>
              </w:rPr>
              <w:t>0</w:t>
            </w:r>
          </w:p>
        </w:tc>
        <w:tc>
          <w:tcPr>
            <w:tcW w:w="48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12"/>
                <w:szCs w:val="12"/>
                <w:color w:val="auto"/>
              </w:rPr>
              <w:t>0</w:t>
            </w:r>
          </w:p>
        </w:tc>
        <w:tc>
          <w:tcPr>
            <w:tcW w:w="380" w:type="dxa"/>
            <w:vAlign w:val="bottom"/>
          </w:tcPr>
          <w:p>
            <w:pPr>
              <w:spacing w:after="0"/>
              <w:rPr>
                <w:sz w:val="22"/>
                <w:szCs w:val="22"/>
                <w:color w:val="auto"/>
              </w:rPr>
            </w:pPr>
          </w:p>
        </w:tc>
        <w:tc>
          <w:tcPr>
            <w:tcW w:w="1180" w:type="dxa"/>
            <w:vAlign w:val="bottom"/>
          </w:tcPr>
          <w:p>
            <w:pPr>
              <w:jc w:val="right"/>
              <w:spacing w:after="0"/>
              <w:rPr>
                <w:sz w:val="20"/>
                <w:szCs w:val="20"/>
                <w:color w:val="auto"/>
              </w:rPr>
            </w:pPr>
            <w:r>
              <w:rPr>
                <w:rFonts w:ascii="Arial" w:cs="Arial" w:eastAsia="Arial" w:hAnsi="Arial"/>
                <w:sz w:val="12"/>
                <w:szCs w:val="12"/>
                <w:color w:val="auto"/>
              </w:rPr>
              <w:t>0</w:t>
            </w:r>
          </w:p>
        </w:tc>
        <w:tc>
          <w:tcPr>
            <w:tcW w:w="3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0"/>
        </w:trPr>
        <w:tc>
          <w:tcPr>
            <w:tcW w:w="3160" w:type="dxa"/>
            <w:vAlign w:val="bottom"/>
          </w:tcPr>
          <w:p>
            <w:pPr>
              <w:ind w:left="220"/>
              <w:spacing w:after="0"/>
              <w:rPr>
                <w:sz w:val="20"/>
                <w:szCs w:val="20"/>
                <w:color w:val="auto"/>
              </w:rPr>
            </w:pPr>
            <w:r>
              <w:rPr>
                <w:rFonts w:ascii="Arial" w:cs="Arial" w:eastAsia="Arial" w:hAnsi="Arial"/>
                <w:sz w:val="12"/>
                <w:szCs w:val="12"/>
                <w:color w:val="auto"/>
              </w:rPr>
              <w:t>Unvested &amp; Accelerated Restricted Stock Units</w:t>
            </w:r>
            <w:r>
              <w:rPr>
                <w:rFonts w:ascii="Arial" w:cs="Arial" w:eastAsia="Arial" w:hAnsi="Arial"/>
                <w:sz w:val="16"/>
                <w:szCs w:val="16"/>
                <w:color w:val="auto"/>
                <w:vertAlign w:val="superscript"/>
              </w:rPr>
              <w:t>9</w:t>
            </w:r>
          </w:p>
        </w:tc>
        <w:tc>
          <w:tcPr>
            <w:tcW w:w="900" w:type="dxa"/>
            <w:vAlign w:val="bottom"/>
          </w:tcPr>
          <w:p>
            <w:pPr>
              <w:jc w:val="right"/>
              <w:spacing w:after="0"/>
              <w:rPr>
                <w:sz w:val="20"/>
                <w:szCs w:val="20"/>
                <w:color w:val="auto"/>
              </w:rPr>
            </w:pPr>
            <w:r>
              <w:rPr>
                <w:rFonts w:ascii="Arial" w:cs="Arial" w:eastAsia="Arial" w:hAnsi="Arial"/>
                <w:sz w:val="12"/>
                <w:szCs w:val="12"/>
                <w:color w:val="auto"/>
              </w:rPr>
              <w:t>0</w:t>
            </w:r>
          </w:p>
        </w:tc>
        <w:tc>
          <w:tcPr>
            <w:tcW w:w="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2"/>
                <w:szCs w:val="12"/>
                <w:color w:val="auto"/>
              </w:rPr>
              <w:t>0</w:t>
            </w:r>
          </w:p>
        </w:tc>
        <w:tc>
          <w:tcPr>
            <w:tcW w:w="38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0</w:t>
            </w:r>
          </w:p>
        </w:tc>
        <w:tc>
          <w:tcPr>
            <w:tcW w:w="36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2"/>
                <w:szCs w:val="12"/>
                <w:color w:val="auto"/>
              </w:rPr>
              <w:t>0</w:t>
            </w:r>
          </w:p>
        </w:tc>
        <w:tc>
          <w:tcPr>
            <w:tcW w:w="48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2"/>
                <w:szCs w:val="12"/>
                <w:color w:val="auto"/>
              </w:rPr>
              <w:t>759,995</w:t>
            </w:r>
          </w:p>
        </w:tc>
        <w:tc>
          <w:tcPr>
            <w:tcW w:w="38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2"/>
                <w:szCs w:val="12"/>
                <w:color w:val="auto"/>
              </w:rPr>
              <w:t>759,995</w:t>
            </w:r>
          </w:p>
        </w:tc>
        <w:tc>
          <w:tcPr>
            <w:tcW w:w="380" w:type="dxa"/>
            <w:vAlign w:val="bottom"/>
          </w:tcPr>
          <w:p>
            <w:pPr>
              <w:jc w:val="right"/>
              <w:ind w:right="38"/>
              <w:spacing w:after="0"/>
              <w:rPr>
                <w:sz w:val="20"/>
                <w:szCs w:val="20"/>
                <w:color w:val="auto"/>
              </w:rPr>
            </w:pPr>
            <w:r>
              <w:rPr>
                <w:rFonts w:ascii="Arial" w:cs="Arial" w:eastAsia="Arial" w:hAnsi="Arial"/>
                <w:sz w:val="12"/>
                <w:szCs w:val="12"/>
                <w:color w:val="auto"/>
              </w:rPr>
              <w:t>(9)</w:t>
            </w:r>
          </w:p>
        </w:tc>
        <w:tc>
          <w:tcPr>
            <w:tcW w:w="0" w:type="dxa"/>
            <w:vAlign w:val="bottom"/>
          </w:tcPr>
          <w:p>
            <w:pPr>
              <w:spacing w:after="0"/>
              <w:rPr>
                <w:sz w:val="1"/>
                <w:szCs w:val="1"/>
                <w:color w:val="auto"/>
              </w:rPr>
            </w:pPr>
          </w:p>
        </w:tc>
      </w:tr>
      <w:tr>
        <w:trPr>
          <w:trHeight w:val="165"/>
        </w:trPr>
        <w:tc>
          <w:tcPr>
            <w:tcW w:w="3160" w:type="dxa"/>
            <w:vAlign w:val="bottom"/>
          </w:tcPr>
          <w:p>
            <w:pPr>
              <w:ind w:left="220"/>
              <w:spacing w:after="0"/>
              <w:rPr>
                <w:sz w:val="20"/>
                <w:szCs w:val="20"/>
                <w:color w:val="auto"/>
              </w:rPr>
            </w:pPr>
            <w:r>
              <w:rPr>
                <w:rFonts w:ascii="Arial" w:cs="Arial" w:eastAsia="Arial" w:hAnsi="Arial"/>
                <w:sz w:val="12"/>
                <w:szCs w:val="12"/>
                <w:color w:val="auto"/>
              </w:rPr>
              <w:t>Performance Share Award Payouts</w:t>
            </w:r>
          </w:p>
        </w:tc>
        <w:tc>
          <w:tcPr>
            <w:tcW w:w="960" w:type="dxa"/>
            <w:vAlign w:val="bottom"/>
            <w:gridSpan w:val="2"/>
          </w:tcPr>
          <w:p>
            <w:pPr>
              <w:ind w:left="680"/>
              <w:spacing w:after="0"/>
              <w:rPr>
                <w:sz w:val="20"/>
                <w:szCs w:val="20"/>
                <w:color w:val="auto"/>
              </w:rPr>
            </w:pPr>
            <w:r>
              <w:rPr>
                <w:rFonts w:ascii="Arial" w:cs="Arial" w:eastAsia="Arial" w:hAnsi="Arial"/>
                <w:sz w:val="12"/>
                <w:szCs w:val="12"/>
                <w:color w:val="auto"/>
              </w:rPr>
              <w:t>N/A</w:t>
            </w:r>
          </w:p>
        </w:tc>
        <w:tc>
          <w:tcPr>
            <w:tcW w:w="280" w:type="dxa"/>
            <w:vAlign w:val="bottom"/>
          </w:tcPr>
          <w:p>
            <w:pPr>
              <w:jc w:val="right"/>
              <w:ind w:right="18"/>
              <w:spacing w:after="0"/>
              <w:rPr>
                <w:sz w:val="20"/>
                <w:szCs w:val="20"/>
                <w:color w:val="auto"/>
              </w:rPr>
            </w:pPr>
            <w:r>
              <w:rPr>
                <w:rFonts w:ascii="Arial" w:cs="Arial" w:eastAsia="Arial" w:hAnsi="Arial"/>
                <w:sz w:val="12"/>
                <w:szCs w:val="12"/>
                <w:color w:val="auto"/>
              </w:rPr>
              <w:t>(4)</w:t>
            </w:r>
          </w:p>
        </w:tc>
        <w:tc>
          <w:tcPr>
            <w:tcW w:w="840" w:type="dxa"/>
            <w:vAlign w:val="bottom"/>
          </w:tcPr>
          <w:p>
            <w:pPr>
              <w:jc w:val="right"/>
              <w:spacing w:after="0"/>
              <w:rPr>
                <w:sz w:val="20"/>
                <w:szCs w:val="20"/>
                <w:color w:val="auto"/>
              </w:rPr>
            </w:pPr>
            <w:r>
              <w:rPr>
                <w:rFonts w:ascii="Arial" w:cs="Arial" w:eastAsia="Arial" w:hAnsi="Arial"/>
                <w:sz w:val="12"/>
                <w:szCs w:val="12"/>
                <w:color w:val="auto"/>
              </w:rPr>
              <w:t>N/A</w:t>
            </w:r>
          </w:p>
        </w:tc>
        <w:tc>
          <w:tcPr>
            <w:tcW w:w="380" w:type="dxa"/>
            <w:vAlign w:val="bottom"/>
          </w:tcPr>
          <w:p>
            <w:pPr>
              <w:jc w:val="right"/>
              <w:ind w:right="58"/>
              <w:spacing w:after="0"/>
              <w:rPr>
                <w:sz w:val="20"/>
                <w:szCs w:val="20"/>
                <w:color w:val="auto"/>
              </w:rPr>
            </w:pPr>
            <w:r>
              <w:rPr>
                <w:rFonts w:ascii="Arial" w:cs="Arial" w:eastAsia="Arial" w:hAnsi="Arial"/>
                <w:sz w:val="12"/>
                <w:szCs w:val="12"/>
                <w:color w:val="auto"/>
              </w:rPr>
              <w:t>(4)</w:t>
            </w:r>
          </w:p>
        </w:tc>
        <w:tc>
          <w:tcPr>
            <w:tcW w:w="680" w:type="dxa"/>
            <w:vAlign w:val="bottom"/>
          </w:tcPr>
          <w:p>
            <w:pPr>
              <w:jc w:val="right"/>
              <w:spacing w:after="0"/>
              <w:rPr>
                <w:sz w:val="20"/>
                <w:szCs w:val="20"/>
                <w:color w:val="auto"/>
              </w:rPr>
            </w:pPr>
            <w:r>
              <w:rPr>
                <w:rFonts w:ascii="Arial" w:cs="Arial" w:eastAsia="Arial" w:hAnsi="Arial"/>
                <w:sz w:val="12"/>
                <w:szCs w:val="12"/>
                <w:color w:val="auto"/>
              </w:rPr>
              <w:t>0</w:t>
            </w:r>
          </w:p>
        </w:tc>
        <w:tc>
          <w:tcPr>
            <w:tcW w:w="36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2"/>
                <w:szCs w:val="12"/>
                <w:color w:val="auto"/>
              </w:rPr>
              <w:t>0</w:t>
            </w:r>
          </w:p>
        </w:tc>
        <w:tc>
          <w:tcPr>
            <w:tcW w:w="48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2"/>
                <w:szCs w:val="12"/>
                <w:color w:val="auto"/>
              </w:rPr>
              <w:t>N/A</w:t>
            </w:r>
          </w:p>
        </w:tc>
        <w:tc>
          <w:tcPr>
            <w:tcW w:w="380" w:type="dxa"/>
            <w:vAlign w:val="bottom"/>
          </w:tcPr>
          <w:p>
            <w:pPr>
              <w:jc w:val="right"/>
              <w:ind w:right="58"/>
              <w:spacing w:after="0"/>
              <w:rPr>
                <w:sz w:val="20"/>
                <w:szCs w:val="20"/>
                <w:color w:val="auto"/>
              </w:rPr>
            </w:pPr>
            <w:r>
              <w:rPr>
                <w:rFonts w:ascii="Arial" w:cs="Arial" w:eastAsia="Arial" w:hAnsi="Arial"/>
                <w:sz w:val="12"/>
                <w:szCs w:val="12"/>
                <w:color w:val="auto"/>
              </w:rPr>
              <w:t>(5)</w:t>
            </w:r>
          </w:p>
        </w:tc>
        <w:tc>
          <w:tcPr>
            <w:tcW w:w="1180" w:type="dxa"/>
            <w:vAlign w:val="bottom"/>
          </w:tcPr>
          <w:p>
            <w:pPr>
              <w:jc w:val="right"/>
              <w:spacing w:after="0"/>
              <w:rPr>
                <w:sz w:val="20"/>
                <w:szCs w:val="20"/>
                <w:color w:val="auto"/>
              </w:rPr>
            </w:pPr>
            <w:r>
              <w:rPr>
                <w:rFonts w:ascii="Arial" w:cs="Arial" w:eastAsia="Arial" w:hAnsi="Arial"/>
                <w:sz w:val="12"/>
                <w:szCs w:val="12"/>
                <w:color w:val="auto"/>
              </w:rPr>
              <w:t>N/A</w:t>
            </w:r>
          </w:p>
        </w:tc>
        <w:tc>
          <w:tcPr>
            <w:tcW w:w="380" w:type="dxa"/>
            <w:vAlign w:val="bottom"/>
          </w:tcPr>
          <w:p>
            <w:pPr>
              <w:jc w:val="right"/>
              <w:ind w:right="38"/>
              <w:spacing w:after="0"/>
              <w:rPr>
                <w:sz w:val="20"/>
                <w:szCs w:val="20"/>
                <w:color w:val="auto"/>
              </w:rPr>
            </w:pPr>
            <w:r>
              <w:rPr>
                <w:rFonts w:ascii="Arial" w:cs="Arial" w:eastAsia="Arial" w:hAnsi="Arial"/>
                <w:sz w:val="12"/>
                <w:szCs w:val="12"/>
                <w:color w:val="auto"/>
              </w:rPr>
              <w:t>(5)</w:t>
            </w:r>
          </w:p>
        </w:tc>
        <w:tc>
          <w:tcPr>
            <w:tcW w:w="0" w:type="dxa"/>
            <w:vAlign w:val="bottom"/>
          </w:tcPr>
          <w:p>
            <w:pPr>
              <w:spacing w:after="0"/>
              <w:rPr>
                <w:sz w:val="1"/>
                <w:szCs w:val="1"/>
                <w:color w:val="auto"/>
              </w:rPr>
            </w:pPr>
          </w:p>
        </w:tc>
      </w:tr>
      <w:tr>
        <w:trPr>
          <w:trHeight w:val="262"/>
        </w:trPr>
        <w:tc>
          <w:tcPr>
            <w:tcW w:w="3160" w:type="dxa"/>
            <w:vAlign w:val="bottom"/>
          </w:tcPr>
          <w:p>
            <w:pPr>
              <w:ind w:left="220"/>
              <w:spacing w:after="0"/>
              <w:rPr>
                <w:sz w:val="20"/>
                <w:szCs w:val="20"/>
                <w:color w:val="auto"/>
              </w:rPr>
            </w:pPr>
            <w:r>
              <w:rPr>
                <w:rFonts w:ascii="Arial" w:cs="Arial" w:eastAsia="Arial" w:hAnsi="Arial"/>
                <w:sz w:val="12"/>
                <w:szCs w:val="12"/>
                <w:color w:val="auto"/>
              </w:rPr>
              <w:t>Welfare Plan Benefits</w:t>
            </w:r>
            <w:r>
              <w:rPr>
                <w:rFonts w:ascii="Arial" w:cs="Arial" w:eastAsia="Arial" w:hAnsi="Arial"/>
                <w:sz w:val="16"/>
                <w:szCs w:val="16"/>
                <w:color w:val="auto"/>
                <w:vertAlign w:val="superscript"/>
              </w:rPr>
              <w:t>6</w:t>
            </w:r>
          </w:p>
        </w:tc>
        <w:tc>
          <w:tcPr>
            <w:tcW w:w="900" w:type="dxa"/>
            <w:vAlign w:val="bottom"/>
          </w:tcPr>
          <w:p>
            <w:pPr>
              <w:jc w:val="right"/>
              <w:spacing w:after="0"/>
              <w:rPr>
                <w:sz w:val="20"/>
                <w:szCs w:val="20"/>
                <w:color w:val="auto"/>
              </w:rPr>
            </w:pPr>
            <w:r>
              <w:rPr>
                <w:rFonts w:ascii="Arial" w:cs="Arial" w:eastAsia="Arial" w:hAnsi="Arial"/>
                <w:sz w:val="12"/>
                <w:szCs w:val="12"/>
                <w:color w:val="auto"/>
              </w:rPr>
              <w:t>0</w:t>
            </w:r>
          </w:p>
        </w:tc>
        <w:tc>
          <w:tcPr>
            <w:tcW w:w="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Arial" w:cs="Arial" w:eastAsia="Arial" w:hAnsi="Arial"/>
                <w:sz w:val="12"/>
                <w:szCs w:val="12"/>
                <w:color w:val="auto"/>
              </w:rPr>
              <w:t>0</w:t>
            </w:r>
          </w:p>
        </w:tc>
        <w:tc>
          <w:tcPr>
            <w:tcW w:w="380" w:type="dxa"/>
            <w:vAlign w:val="bottom"/>
          </w:tcPr>
          <w:p>
            <w:pPr>
              <w:spacing w:after="0"/>
              <w:rPr>
                <w:sz w:val="22"/>
                <w:szCs w:val="22"/>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0</w:t>
            </w:r>
          </w:p>
        </w:tc>
        <w:tc>
          <w:tcPr>
            <w:tcW w:w="360" w:type="dxa"/>
            <w:vAlign w:val="bottom"/>
          </w:tcPr>
          <w:p>
            <w:pPr>
              <w:spacing w:after="0"/>
              <w:rPr>
                <w:sz w:val="22"/>
                <w:szCs w:val="22"/>
                <w:color w:val="auto"/>
              </w:rPr>
            </w:pPr>
          </w:p>
        </w:tc>
        <w:tc>
          <w:tcPr>
            <w:tcW w:w="660" w:type="dxa"/>
            <w:vAlign w:val="bottom"/>
          </w:tcPr>
          <w:p>
            <w:pPr>
              <w:jc w:val="right"/>
              <w:spacing w:after="0"/>
              <w:rPr>
                <w:sz w:val="20"/>
                <w:szCs w:val="20"/>
                <w:color w:val="auto"/>
              </w:rPr>
            </w:pPr>
            <w:r>
              <w:rPr>
                <w:rFonts w:ascii="Arial" w:cs="Arial" w:eastAsia="Arial" w:hAnsi="Arial"/>
                <w:sz w:val="12"/>
                <w:szCs w:val="12"/>
                <w:color w:val="auto"/>
              </w:rPr>
              <w:t>0</w:t>
            </w:r>
          </w:p>
        </w:tc>
        <w:tc>
          <w:tcPr>
            <w:tcW w:w="48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12"/>
                <w:szCs w:val="12"/>
                <w:color w:val="auto"/>
              </w:rPr>
              <w:t>0</w:t>
            </w:r>
          </w:p>
        </w:tc>
        <w:tc>
          <w:tcPr>
            <w:tcW w:w="380" w:type="dxa"/>
            <w:vAlign w:val="bottom"/>
          </w:tcPr>
          <w:p>
            <w:pPr>
              <w:spacing w:after="0"/>
              <w:rPr>
                <w:sz w:val="22"/>
                <w:szCs w:val="22"/>
                <w:color w:val="auto"/>
              </w:rPr>
            </w:pPr>
          </w:p>
        </w:tc>
        <w:tc>
          <w:tcPr>
            <w:tcW w:w="1180" w:type="dxa"/>
            <w:vAlign w:val="bottom"/>
          </w:tcPr>
          <w:p>
            <w:pPr>
              <w:jc w:val="right"/>
              <w:spacing w:after="0"/>
              <w:rPr>
                <w:sz w:val="20"/>
                <w:szCs w:val="20"/>
                <w:color w:val="auto"/>
              </w:rPr>
            </w:pPr>
            <w:r>
              <w:rPr>
                <w:rFonts w:ascii="Arial" w:cs="Arial" w:eastAsia="Arial" w:hAnsi="Arial"/>
                <w:sz w:val="12"/>
                <w:szCs w:val="12"/>
                <w:color w:val="auto"/>
              </w:rPr>
              <w:t>43,209</w:t>
            </w:r>
          </w:p>
        </w:tc>
        <w:tc>
          <w:tcPr>
            <w:tcW w:w="3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3"/>
        </w:trPr>
        <w:tc>
          <w:tcPr>
            <w:tcW w:w="3160" w:type="dxa"/>
            <w:vAlign w:val="bottom"/>
          </w:tcPr>
          <w:p>
            <w:pPr>
              <w:ind w:left="220"/>
              <w:spacing w:after="0"/>
              <w:rPr>
                <w:sz w:val="20"/>
                <w:szCs w:val="20"/>
                <w:color w:val="auto"/>
              </w:rPr>
            </w:pPr>
            <w:r>
              <w:rPr>
                <w:rFonts w:ascii="Arial" w:cs="Arial" w:eastAsia="Arial" w:hAnsi="Arial"/>
                <w:sz w:val="12"/>
                <w:szCs w:val="12"/>
                <w:color w:val="auto"/>
              </w:rPr>
              <w:t>Outplacement Services</w:t>
            </w:r>
            <w:r>
              <w:rPr>
                <w:rFonts w:ascii="Arial" w:cs="Arial" w:eastAsia="Arial" w:hAnsi="Arial"/>
                <w:sz w:val="16"/>
                <w:szCs w:val="16"/>
                <w:color w:val="auto"/>
                <w:vertAlign w:val="superscript"/>
              </w:rPr>
              <w:t>7</w:t>
            </w:r>
          </w:p>
        </w:tc>
        <w:tc>
          <w:tcPr>
            <w:tcW w:w="900" w:type="dxa"/>
            <w:vAlign w:val="bottom"/>
          </w:tcPr>
          <w:p>
            <w:pPr>
              <w:jc w:val="right"/>
              <w:spacing w:after="0"/>
              <w:rPr>
                <w:sz w:val="20"/>
                <w:szCs w:val="20"/>
                <w:color w:val="auto"/>
              </w:rPr>
            </w:pPr>
            <w:r>
              <w:rPr>
                <w:rFonts w:ascii="Arial" w:cs="Arial" w:eastAsia="Arial" w:hAnsi="Arial"/>
                <w:sz w:val="12"/>
                <w:szCs w:val="12"/>
                <w:color w:val="auto"/>
              </w:rPr>
              <w:t>0</w:t>
            </w: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2"/>
                <w:szCs w:val="12"/>
                <w:color w:val="auto"/>
              </w:rPr>
              <w:t>0</w:t>
            </w:r>
          </w:p>
        </w:tc>
        <w:tc>
          <w:tcPr>
            <w:tcW w:w="3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0</w:t>
            </w:r>
          </w:p>
        </w:tc>
        <w:tc>
          <w:tcPr>
            <w:tcW w:w="3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2"/>
                <w:szCs w:val="12"/>
                <w:color w:val="auto"/>
              </w:rPr>
              <w:t>0</w:t>
            </w:r>
          </w:p>
        </w:tc>
        <w:tc>
          <w:tcPr>
            <w:tcW w:w="4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2"/>
                <w:szCs w:val="12"/>
                <w:color w:val="auto"/>
              </w:rPr>
              <w:t>0</w:t>
            </w:r>
          </w:p>
        </w:tc>
        <w:tc>
          <w:tcPr>
            <w:tcW w:w="3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2"/>
                <w:szCs w:val="12"/>
                <w:color w:val="auto"/>
              </w:rPr>
              <w:t>30,000</w:t>
            </w:r>
          </w:p>
        </w:tc>
        <w:tc>
          <w:tcPr>
            <w:tcW w:w="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3160" w:type="dxa"/>
            <w:vAlign w:val="bottom"/>
          </w:tcPr>
          <w:p>
            <w:pPr>
              <w:ind w:left="220"/>
              <w:spacing w:after="0"/>
              <w:rPr>
                <w:sz w:val="20"/>
                <w:szCs w:val="20"/>
                <w:color w:val="auto"/>
              </w:rPr>
            </w:pPr>
            <w:r>
              <w:rPr>
                <w:rFonts w:ascii="Arial" w:cs="Arial" w:eastAsia="Arial" w:hAnsi="Arial"/>
                <w:sz w:val="12"/>
                <w:szCs w:val="12"/>
                <w:color w:val="auto"/>
              </w:rPr>
              <w:t>Perquisites</w:t>
            </w:r>
            <w:r>
              <w:rPr>
                <w:rFonts w:ascii="Arial" w:cs="Arial" w:eastAsia="Arial" w:hAnsi="Arial"/>
                <w:sz w:val="16"/>
                <w:szCs w:val="16"/>
                <w:color w:val="auto"/>
                <w:vertAlign w:val="superscript"/>
              </w:rPr>
              <w:t>8</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39,088</w:t>
            </w:r>
          </w:p>
        </w:tc>
        <w:tc>
          <w:tcPr>
            <w:tcW w:w="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0</w:t>
            </w:r>
          </w:p>
        </w:tc>
        <w:tc>
          <w:tcPr>
            <w:tcW w:w="380" w:type="dxa"/>
            <w:vAlign w:val="bottom"/>
          </w:tcPr>
          <w:p>
            <w:pPr>
              <w:spacing w:after="0"/>
              <w:rPr>
                <w:sz w:val="16"/>
                <w:szCs w:val="16"/>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0</w:t>
            </w:r>
          </w:p>
        </w:tc>
        <w:tc>
          <w:tcPr>
            <w:tcW w:w="360" w:type="dxa"/>
            <w:vAlign w:val="bottom"/>
          </w:tcPr>
          <w:p>
            <w:pPr>
              <w:spacing w:after="0"/>
              <w:rPr>
                <w:sz w:val="16"/>
                <w:szCs w:val="16"/>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0</w:t>
            </w:r>
          </w:p>
        </w:tc>
        <w:tc>
          <w:tcPr>
            <w:tcW w:w="480" w:type="dxa"/>
            <w:vAlign w:val="bottom"/>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0</w:t>
            </w:r>
          </w:p>
        </w:tc>
        <w:tc>
          <w:tcPr>
            <w:tcW w:w="380" w:type="dxa"/>
            <w:vAlign w:val="bottom"/>
          </w:tcPr>
          <w:p>
            <w:pPr>
              <w:spacing w:after="0"/>
              <w:rPr>
                <w:sz w:val="16"/>
                <w:szCs w:val="16"/>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0</w:t>
            </w:r>
          </w:p>
        </w:tc>
        <w:tc>
          <w:tcPr>
            <w:tcW w:w="3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3"/>
        </w:trPr>
        <w:tc>
          <w:tcPr>
            <w:tcW w:w="3160" w:type="dxa"/>
            <w:vAlign w:val="bottom"/>
          </w:tcPr>
          <w:p>
            <w:pPr>
              <w:ind w:left="20"/>
              <w:spacing w:after="0"/>
              <w:rPr>
                <w:sz w:val="20"/>
                <w:szCs w:val="20"/>
                <w:color w:val="auto"/>
              </w:rPr>
            </w:pPr>
            <w:r>
              <w:rPr>
                <w:rFonts w:ascii="Arial" w:cs="Arial" w:eastAsia="Arial" w:hAnsi="Arial"/>
                <w:sz w:val="12"/>
                <w:szCs w:val="12"/>
                <w:b w:val="1"/>
                <w:bCs w:val="1"/>
                <w:color w:val="auto"/>
              </w:rPr>
              <w:t>Total</w:t>
            </w:r>
          </w:p>
        </w:tc>
        <w:tc>
          <w:tcPr>
            <w:tcW w:w="900" w:type="dxa"/>
            <w:vAlign w:val="bottom"/>
          </w:tcPr>
          <w:p>
            <w:pPr>
              <w:jc w:val="right"/>
              <w:spacing w:after="0"/>
              <w:rPr>
                <w:sz w:val="20"/>
                <w:szCs w:val="20"/>
                <w:color w:val="auto"/>
              </w:rPr>
            </w:pPr>
            <w:r>
              <w:rPr>
                <w:rFonts w:ascii="Arial" w:cs="Arial" w:eastAsia="Arial" w:hAnsi="Arial"/>
                <w:sz w:val="12"/>
                <w:szCs w:val="12"/>
                <w:b w:val="1"/>
                <w:bCs w:val="1"/>
                <w:color w:val="auto"/>
              </w:rPr>
              <w:t>39,088</w:t>
            </w:r>
          </w:p>
        </w:tc>
        <w:tc>
          <w:tcPr>
            <w:tcW w:w="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2"/>
                <w:szCs w:val="12"/>
                <w:b w:val="1"/>
                <w:bCs w:val="1"/>
                <w:color w:val="auto"/>
              </w:rPr>
              <w:t>0</w:t>
            </w:r>
          </w:p>
        </w:tc>
        <w:tc>
          <w:tcPr>
            <w:tcW w:w="38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2"/>
                <w:szCs w:val="12"/>
                <w:b w:val="1"/>
                <w:bCs w:val="1"/>
                <w:color w:val="auto"/>
              </w:rPr>
              <w:t>0</w:t>
            </w:r>
          </w:p>
        </w:tc>
        <w:tc>
          <w:tcPr>
            <w:tcW w:w="36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2"/>
                <w:szCs w:val="12"/>
                <w:b w:val="1"/>
                <w:bCs w:val="1"/>
                <w:color w:val="auto"/>
              </w:rPr>
              <w:t>0</w:t>
            </w:r>
          </w:p>
        </w:tc>
        <w:tc>
          <w:tcPr>
            <w:tcW w:w="48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2"/>
                <w:szCs w:val="12"/>
                <w:b w:val="1"/>
                <w:bCs w:val="1"/>
                <w:color w:val="auto"/>
              </w:rPr>
              <w:t>759,995</w:t>
            </w:r>
          </w:p>
        </w:tc>
        <w:tc>
          <w:tcPr>
            <w:tcW w:w="38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Arial" w:cs="Arial" w:eastAsia="Arial" w:hAnsi="Arial"/>
                <w:sz w:val="12"/>
                <w:szCs w:val="12"/>
                <w:b w:val="1"/>
                <w:bCs w:val="1"/>
                <w:color w:val="auto"/>
              </w:rPr>
              <w:t>2,720,804</w:t>
            </w:r>
          </w:p>
        </w:tc>
        <w:tc>
          <w:tcPr>
            <w:tcW w:w="38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4952365</wp:posOffset>
            </wp:positionH>
            <wp:positionV relativeFrom="paragraph">
              <wp:posOffset>-2773680</wp:posOffset>
            </wp:positionV>
            <wp:extent cx="1880870" cy="825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188087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-160020</wp:posOffset>
            </wp:positionH>
            <wp:positionV relativeFrom="paragraph">
              <wp:posOffset>79375</wp:posOffset>
            </wp:positionV>
            <wp:extent cx="7159625" cy="4254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0760"/>
          </w:cols>
          <w:pgMar w:left="560" w:top="1216" w:right="579" w:bottom="1440" w:gutter="0" w:footer="0" w:header="0"/>
        </w:sectPr>
      </w:pPr>
    </w:p>
    <w:bookmarkStart w:id="79" w:name="page80"/>
    <w:bookmarkEnd w:id="79"/>
    <w:p>
      <w:pPr>
        <w:ind w:left="320" w:hanging="313"/>
        <w:spacing w:after="0"/>
        <w:tabs>
          <w:tab w:leader="none" w:pos="320" w:val="left"/>
        </w:tabs>
        <w:numPr>
          <w:ilvl w:val="0"/>
          <w:numId w:val="86"/>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207645</wp:posOffset>
            </wp:positionH>
            <wp:positionV relativeFrom="page">
              <wp:posOffset>775335</wp:posOffset>
            </wp:positionV>
            <wp:extent cx="1991360" cy="825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1991360" cy="8255"/>
                    </a:xfrm>
                    <a:prstGeom prst="rect">
                      <a:avLst/>
                    </a:prstGeom>
                    <a:noFill/>
                  </pic:spPr>
                </pic:pic>
              </a:graphicData>
            </a:graphic>
          </wp:anchor>
        </w:drawing>
        <w:t>Mr. Olson met the retirement criteria on October 31, 2024.</w:t>
      </w:r>
    </w:p>
    <w:p>
      <w:pPr>
        <w:spacing w:after="0" w:line="33" w:lineRule="exact"/>
        <w:rPr>
          <w:rFonts w:ascii="Arial" w:cs="Arial" w:eastAsia="Arial" w:hAnsi="Arial"/>
          <w:sz w:val="18"/>
          <w:szCs w:val="18"/>
          <w:color w:val="auto"/>
        </w:rPr>
      </w:pPr>
    </w:p>
    <w:p>
      <w:pPr>
        <w:ind w:left="320" w:hanging="313"/>
        <w:spacing w:after="0" w:line="262" w:lineRule="auto"/>
        <w:tabs>
          <w:tab w:leader="none" w:pos="308" w:val="left"/>
        </w:tabs>
        <w:numPr>
          <w:ilvl w:val="0"/>
          <w:numId w:val="86"/>
        </w:numPr>
        <w:rPr>
          <w:rFonts w:ascii="Arial" w:cs="Arial" w:eastAsia="Arial" w:hAnsi="Arial"/>
          <w:sz w:val="18"/>
          <w:szCs w:val="18"/>
          <w:color w:val="auto"/>
        </w:rPr>
      </w:pPr>
      <w:r>
        <w:rPr>
          <w:rFonts w:ascii="Arial" w:cs="Arial" w:eastAsia="Arial" w:hAnsi="Arial"/>
          <w:sz w:val="18"/>
          <w:szCs w:val="18"/>
          <w:color w:val="auto"/>
        </w:rPr>
        <w:t>Amount reported represents two times (three times for Mr. Olson since he was CEO on October 31, 2024) the sum of the NEO's (a) then current annual base salary and (b) then target annual cash incentive award for fiscal 2024.</w:t>
      </w:r>
    </w:p>
    <w:p>
      <w:pPr>
        <w:spacing w:after="0" w:line="1" w:lineRule="exact"/>
        <w:rPr>
          <w:rFonts w:ascii="Arial" w:cs="Arial" w:eastAsia="Arial" w:hAnsi="Arial"/>
          <w:sz w:val="18"/>
          <w:szCs w:val="18"/>
          <w:color w:val="auto"/>
        </w:rPr>
      </w:pPr>
    </w:p>
    <w:p>
      <w:pPr>
        <w:jc w:val="both"/>
        <w:ind w:left="320" w:hanging="313"/>
        <w:spacing w:after="0" w:line="233" w:lineRule="auto"/>
        <w:tabs>
          <w:tab w:leader="none" w:pos="308" w:val="left"/>
        </w:tabs>
        <w:numPr>
          <w:ilvl w:val="0"/>
          <w:numId w:val="86"/>
        </w:numPr>
        <w:rPr>
          <w:rFonts w:ascii="Arial" w:cs="Arial" w:eastAsia="Arial" w:hAnsi="Arial"/>
          <w:sz w:val="18"/>
          <w:szCs w:val="18"/>
          <w:color w:val="auto"/>
        </w:rPr>
      </w:pPr>
      <w:r>
        <w:rPr>
          <w:rFonts w:ascii="Arial" w:cs="Arial" w:eastAsia="Arial" w:hAnsi="Arial"/>
          <w:sz w:val="18"/>
          <w:szCs w:val="18"/>
          <w:color w:val="auto"/>
        </w:rPr>
        <w:t>Amount reported represents the value of the automatic acceleration of vesting of unvested stock options. All amounts are based on the difference between: (a) the market price of our common stock underlying the unvested stock options as of October 31, 2024, and (b) the exercise price of the stock options. Because Mr. Olson met the retirement criteria on October 31, 2024, upon such event any unvested stock options held would continue to vest for four additional years, but such extended vesting is not quantified in the above table, Voluntary Resignation / Retirement column.</w:t>
      </w:r>
    </w:p>
    <w:p>
      <w:pPr>
        <w:spacing w:after="0" w:line="22" w:lineRule="exact"/>
        <w:rPr>
          <w:rFonts w:ascii="Arial" w:cs="Arial" w:eastAsia="Arial" w:hAnsi="Arial"/>
          <w:sz w:val="18"/>
          <w:szCs w:val="18"/>
          <w:color w:val="auto"/>
        </w:rPr>
      </w:pPr>
    </w:p>
    <w:p>
      <w:pPr>
        <w:jc w:val="both"/>
        <w:ind w:left="320" w:hanging="313"/>
        <w:spacing w:after="0" w:line="236" w:lineRule="auto"/>
        <w:tabs>
          <w:tab w:leader="none" w:pos="308" w:val="left"/>
        </w:tabs>
        <w:numPr>
          <w:ilvl w:val="0"/>
          <w:numId w:val="86"/>
        </w:numPr>
        <w:rPr>
          <w:rFonts w:ascii="Arial" w:cs="Arial" w:eastAsia="Arial" w:hAnsi="Arial"/>
          <w:sz w:val="18"/>
          <w:szCs w:val="18"/>
          <w:color w:val="auto"/>
        </w:rPr>
      </w:pPr>
      <w:r>
        <w:rPr>
          <w:rFonts w:ascii="Arial" w:cs="Arial" w:eastAsia="Arial" w:hAnsi="Arial"/>
          <w:sz w:val="18"/>
          <w:szCs w:val="18"/>
          <w:color w:val="auto"/>
        </w:rPr>
        <w:t>Amount reported represents the value of the future payout of two-thirds of the NEO's fiscal 2023 to fiscal 2025 performance share awards (based on two years of the three-year performance period completed as of October 31, 2024) and one-third of the NEO's fiscal 2024 to fiscal 2026 performance share awards (based on one year of the three-year performance period completed as of October 31, 2024), assuming that the Compensation &amp; Human Resources Committee approves the payout at financial plan levels of performance for fiscal 2025 and fiscal 2026 and the market price of our common stock on October 31, 2024.</w:t>
      </w:r>
    </w:p>
    <w:p>
      <w:pPr>
        <w:spacing w:after="0" w:line="9" w:lineRule="exact"/>
        <w:rPr>
          <w:rFonts w:ascii="Arial" w:cs="Arial" w:eastAsia="Arial" w:hAnsi="Arial"/>
          <w:sz w:val="18"/>
          <w:szCs w:val="18"/>
          <w:color w:val="auto"/>
        </w:rPr>
      </w:pPr>
    </w:p>
    <w:p>
      <w:pPr>
        <w:jc w:val="both"/>
        <w:ind w:left="320" w:right="20" w:hanging="313"/>
        <w:spacing w:after="0" w:line="237" w:lineRule="auto"/>
        <w:tabs>
          <w:tab w:leader="none" w:pos="308" w:val="left"/>
        </w:tabs>
        <w:numPr>
          <w:ilvl w:val="0"/>
          <w:numId w:val="86"/>
        </w:numPr>
        <w:rPr>
          <w:rFonts w:ascii="Arial" w:cs="Arial" w:eastAsia="Arial" w:hAnsi="Arial"/>
          <w:sz w:val="18"/>
          <w:szCs w:val="18"/>
          <w:color w:val="auto"/>
        </w:rPr>
      </w:pPr>
      <w:r>
        <w:rPr>
          <w:rFonts w:ascii="Arial" w:cs="Arial" w:eastAsia="Arial" w:hAnsi="Arial"/>
          <w:sz w:val="18"/>
          <w:szCs w:val="18"/>
          <w:color w:val="auto"/>
        </w:rPr>
        <w:t>Amount reported represents the value of the immediate payout of two-thirds of the NEO's fiscal 2023 to fiscal 2024 (based on two years of the performance period completed as of October 31, 2024) and one-third of the NEO's fiscal 2024 to fiscal 2026 performance share awards (based on one year of the three-year performance period completed as of October 31, 2024), assuming target levels of performance and the market price of our common stock on October 31, 2024.</w:t>
      </w:r>
    </w:p>
    <w:p>
      <w:pPr>
        <w:spacing w:after="0" w:line="23" w:lineRule="exact"/>
        <w:rPr>
          <w:rFonts w:ascii="Arial" w:cs="Arial" w:eastAsia="Arial" w:hAnsi="Arial"/>
          <w:sz w:val="18"/>
          <w:szCs w:val="18"/>
          <w:color w:val="auto"/>
        </w:rPr>
      </w:pPr>
    </w:p>
    <w:p>
      <w:pPr>
        <w:ind w:left="320" w:hanging="313"/>
        <w:spacing w:after="0" w:line="246" w:lineRule="auto"/>
        <w:tabs>
          <w:tab w:leader="none" w:pos="308" w:val="left"/>
        </w:tabs>
        <w:numPr>
          <w:ilvl w:val="0"/>
          <w:numId w:val="86"/>
        </w:numPr>
        <w:rPr>
          <w:rFonts w:ascii="Arial" w:cs="Arial" w:eastAsia="Arial" w:hAnsi="Arial"/>
          <w:sz w:val="18"/>
          <w:szCs w:val="18"/>
          <w:color w:val="auto"/>
        </w:rPr>
      </w:pPr>
      <w:r>
        <w:rPr>
          <w:rFonts w:ascii="Arial" w:cs="Arial" w:eastAsia="Arial" w:hAnsi="Arial"/>
          <w:sz w:val="18"/>
          <w:szCs w:val="18"/>
          <w:color w:val="auto"/>
        </w:rPr>
        <w:t>Amount reported represents the estimated value of the welfare plan benefits for a three-year period based on our premium levels in effect on October 31, 2024.</w:t>
      </w:r>
    </w:p>
    <w:p>
      <w:pPr>
        <w:spacing w:after="0" w:line="15" w:lineRule="exact"/>
        <w:rPr>
          <w:rFonts w:ascii="Arial" w:cs="Arial" w:eastAsia="Arial" w:hAnsi="Arial"/>
          <w:sz w:val="18"/>
          <w:szCs w:val="18"/>
          <w:color w:val="auto"/>
        </w:rPr>
      </w:pPr>
    </w:p>
    <w:p>
      <w:pPr>
        <w:ind w:left="320" w:right="20" w:hanging="313"/>
        <w:spacing w:after="0" w:line="255" w:lineRule="auto"/>
        <w:tabs>
          <w:tab w:leader="none" w:pos="308" w:val="left"/>
        </w:tabs>
        <w:numPr>
          <w:ilvl w:val="0"/>
          <w:numId w:val="86"/>
        </w:numPr>
        <w:rPr>
          <w:rFonts w:ascii="Arial" w:cs="Arial" w:eastAsia="Arial" w:hAnsi="Arial"/>
          <w:sz w:val="18"/>
          <w:szCs w:val="18"/>
          <w:color w:val="auto"/>
        </w:rPr>
      </w:pPr>
      <w:r>
        <w:rPr>
          <w:rFonts w:ascii="Arial" w:cs="Arial" w:eastAsia="Arial" w:hAnsi="Arial"/>
          <w:sz w:val="18"/>
          <w:szCs w:val="18"/>
          <w:color w:val="auto"/>
        </w:rPr>
        <w:t>Amount reported is based on the assumption that we would incur a $30,000 one-time cost for outplacement services to be provided for the two-year period.</w:t>
      </w:r>
    </w:p>
    <w:p>
      <w:pPr>
        <w:ind w:left="320" w:hanging="313"/>
        <w:spacing w:after="0"/>
        <w:tabs>
          <w:tab w:leader="none" w:pos="320" w:val="left"/>
        </w:tabs>
        <w:numPr>
          <w:ilvl w:val="0"/>
          <w:numId w:val="86"/>
        </w:numPr>
        <w:rPr>
          <w:rFonts w:ascii="Arial" w:cs="Arial" w:eastAsia="Arial" w:hAnsi="Arial"/>
          <w:sz w:val="18"/>
          <w:szCs w:val="18"/>
          <w:color w:val="auto"/>
        </w:rPr>
      </w:pPr>
      <w:r>
        <w:rPr>
          <w:rFonts w:ascii="Arial" w:cs="Arial" w:eastAsia="Arial" w:hAnsi="Arial"/>
          <w:sz w:val="18"/>
          <w:szCs w:val="18"/>
          <w:color w:val="auto"/>
        </w:rPr>
        <w:t>Amount reported represents the value of (a) one additional year of financial planning services, (b) one additional executive physical, and</w:t>
      </w:r>
    </w:p>
    <w:p>
      <w:pPr>
        <w:spacing w:after="0" w:line="9" w:lineRule="exact"/>
        <w:rPr>
          <w:rFonts w:ascii="Arial" w:cs="Arial" w:eastAsia="Arial" w:hAnsi="Arial"/>
          <w:sz w:val="18"/>
          <w:szCs w:val="18"/>
          <w:color w:val="auto"/>
        </w:rPr>
      </w:pPr>
    </w:p>
    <w:p>
      <w:pPr>
        <w:ind w:left="320"/>
        <w:spacing w:after="0"/>
        <w:rPr>
          <w:rFonts w:ascii="Arial" w:cs="Arial" w:eastAsia="Arial" w:hAnsi="Arial"/>
          <w:sz w:val="18"/>
          <w:szCs w:val="18"/>
          <w:color w:val="auto"/>
        </w:rPr>
      </w:pPr>
      <w:r>
        <w:rPr>
          <w:rFonts w:ascii="Arial" w:cs="Arial" w:eastAsia="Arial" w:hAnsi="Arial"/>
          <w:sz w:val="18"/>
          <w:szCs w:val="18"/>
          <w:color w:val="auto"/>
        </w:rPr>
        <w:t>(c) twelve additional months of automobile lease payments.</w:t>
      </w:r>
    </w:p>
    <w:p>
      <w:pPr>
        <w:spacing w:after="0" w:line="30" w:lineRule="exact"/>
        <w:rPr>
          <w:rFonts w:ascii="Arial" w:cs="Arial" w:eastAsia="Arial" w:hAnsi="Arial"/>
          <w:sz w:val="18"/>
          <w:szCs w:val="18"/>
          <w:color w:val="auto"/>
        </w:rPr>
      </w:pPr>
    </w:p>
    <w:p>
      <w:pPr>
        <w:jc w:val="both"/>
        <w:ind w:left="320" w:hanging="313"/>
        <w:spacing w:after="0" w:line="239" w:lineRule="auto"/>
        <w:tabs>
          <w:tab w:leader="none" w:pos="308" w:val="left"/>
        </w:tabs>
        <w:numPr>
          <w:ilvl w:val="0"/>
          <w:numId w:val="86"/>
        </w:numPr>
        <w:rPr>
          <w:rFonts w:ascii="Arial" w:cs="Arial" w:eastAsia="Arial" w:hAnsi="Arial"/>
          <w:sz w:val="18"/>
          <w:szCs w:val="18"/>
          <w:color w:val="auto"/>
        </w:rPr>
      </w:pPr>
      <w:r>
        <w:rPr>
          <w:rFonts w:ascii="Arial" w:cs="Arial" w:eastAsia="Arial" w:hAnsi="Arial"/>
          <w:sz w:val="18"/>
          <w:szCs w:val="18"/>
          <w:color w:val="auto"/>
        </w:rPr>
        <w:t>Amount reported represents the value of the automatic acceleration of the vesting of unvested restricted stock units and is based on the number of shares of common stock underlying the unvested restricted stock units multiplied by the market price of our common stock on October 31, 2024.</w:t>
      </w:r>
    </w:p>
    <w:p>
      <w:pPr>
        <w:spacing w:after="0" w:line="135" w:lineRule="exact"/>
        <w:rPr>
          <w:sz w:val="20"/>
          <w:szCs w:val="20"/>
          <w:color w:val="auto"/>
        </w:rPr>
      </w:pPr>
    </w:p>
    <w:p>
      <w:pPr>
        <w:spacing w:after="0"/>
        <w:rPr>
          <w:sz w:val="20"/>
          <w:szCs w:val="20"/>
          <w:color w:val="auto"/>
        </w:rPr>
      </w:pPr>
      <w:r>
        <w:rPr>
          <w:rFonts w:ascii="Arial" w:cs="Arial" w:eastAsia="Arial" w:hAnsi="Arial"/>
          <w:sz w:val="20"/>
          <w:szCs w:val="20"/>
          <w:b w:val="1"/>
          <w:bCs w:val="1"/>
          <w:color w:val="C00000"/>
        </w:rPr>
        <w:t>Pay Ratio Disclosure</w:t>
      </w:r>
    </w:p>
    <w:p>
      <w:pPr>
        <w:spacing w:after="0" w:line="110" w:lineRule="exact"/>
        <w:rPr>
          <w:sz w:val="20"/>
          <w:szCs w:val="20"/>
          <w:color w:val="auto"/>
        </w:rPr>
      </w:pPr>
    </w:p>
    <w:p>
      <w:pPr>
        <w:jc w:val="both"/>
        <w:ind w:firstLine="320"/>
        <w:spacing w:after="0" w:line="262" w:lineRule="auto"/>
        <w:rPr>
          <w:sz w:val="20"/>
          <w:szCs w:val="20"/>
          <w:color w:val="auto"/>
        </w:rPr>
      </w:pPr>
      <w:r>
        <w:rPr>
          <w:rFonts w:ascii="Arial" w:cs="Arial" w:eastAsia="Arial" w:hAnsi="Arial"/>
          <w:sz w:val="18"/>
          <w:szCs w:val="18"/>
          <w:color w:val="auto"/>
        </w:rPr>
        <w:t>In accordance with Item 402(u) of Regulation S-K, passed as part of the Dodd-Frank Act, we calculated the ratio of annual total compensation of Mr. Olson relative to the annual total compensation of our median employee.</w:t>
      </w:r>
    </w:p>
    <w:p>
      <w:pPr>
        <w:spacing w:after="0" w:line="55" w:lineRule="exact"/>
        <w:rPr>
          <w:sz w:val="20"/>
          <w:szCs w:val="20"/>
          <w:color w:val="auto"/>
        </w:rPr>
      </w:pPr>
    </w:p>
    <w:p>
      <w:pPr>
        <w:jc w:val="both"/>
        <w:ind w:firstLine="320"/>
        <w:spacing w:after="0" w:line="254" w:lineRule="auto"/>
        <w:rPr>
          <w:sz w:val="20"/>
          <w:szCs w:val="20"/>
          <w:color w:val="auto"/>
        </w:rPr>
      </w:pPr>
      <w:r>
        <w:rPr>
          <w:rFonts w:ascii="Arial" w:cs="Arial" w:eastAsia="Arial" w:hAnsi="Arial"/>
          <w:sz w:val="18"/>
          <w:szCs w:val="18"/>
          <w:color w:val="auto"/>
        </w:rPr>
        <w:t>To determine the median employee, we identified that, as of October 31, 2024, our total employee population was 11,108 which included employees from all our subsidiaries. We identified our median employee from this population (excluding Mr. Olson) by using base salary as our consistently applied compensation measure.</w:t>
      </w:r>
    </w:p>
    <w:p>
      <w:pPr>
        <w:spacing w:after="0" w:line="63" w:lineRule="exact"/>
        <w:rPr>
          <w:sz w:val="20"/>
          <w:szCs w:val="20"/>
          <w:color w:val="auto"/>
        </w:rPr>
      </w:pPr>
    </w:p>
    <w:p>
      <w:pPr>
        <w:jc w:val="both"/>
        <w:ind w:firstLine="320"/>
        <w:spacing w:after="0" w:line="247" w:lineRule="auto"/>
        <w:rPr>
          <w:sz w:val="20"/>
          <w:szCs w:val="20"/>
          <w:color w:val="auto"/>
        </w:rPr>
      </w:pPr>
      <w:r>
        <w:rPr>
          <w:rFonts w:ascii="Arial" w:cs="Arial" w:eastAsia="Arial" w:hAnsi="Arial"/>
          <w:sz w:val="18"/>
          <w:szCs w:val="18"/>
          <w:color w:val="auto"/>
        </w:rPr>
        <w:t>We calculated the annual total compensation of our median employee for fiscal 2024 using the same methodology that we used to calculate the annual total compensation of our NEOs, including Mr. Olson, for fiscal 2023, as set forth in the Summary Compensation Table. Mr. Olson's annual total compensation for fiscal 2023, as set forth in the Summary Compensation Table, was $8,278,439. Annual total compensation for our median employee for fiscal 2024 was $75,236. The ratio of annual total compensation of Mr. Olson to the annual total compensation of our median employee for fiscal 2024 is 110:1.</w:t>
      </w:r>
    </w:p>
    <w:p>
      <w:pPr>
        <w:spacing w:after="0" w:line="69" w:lineRule="exact"/>
        <w:rPr>
          <w:sz w:val="20"/>
          <w:szCs w:val="20"/>
          <w:color w:val="auto"/>
        </w:rPr>
      </w:pPr>
    </w:p>
    <w:p>
      <w:pPr>
        <w:jc w:val="both"/>
        <w:ind w:firstLine="320"/>
        <w:spacing w:after="0" w:line="243" w:lineRule="auto"/>
        <w:rPr>
          <w:sz w:val="20"/>
          <w:szCs w:val="20"/>
          <w:color w:val="auto"/>
        </w:rPr>
      </w:pPr>
      <w:r>
        <w:rPr>
          <w:rFonts w:ascii="Arial" w:cs="Arial" w:eastAsia="Arial" w:hAnsi="Arial"/>
          <w:sz w:val="18"/>
          <w:szCs w:val="18"/>
          <w:color w:val="auto"/>
        </w:rPr>
        <w:t>We believe the pay ratio presented above is a reasonable estimate calculated in a manner consistent with applicable SEC rules. Because the SEC rules for identifying the median compensated employee and calculating the pay ratio based on that employee's annual total compensation allow companies to adopt a variety of methodologies, to apply certain exclusions, and to make reasonable estimates and assumptions that reflect their compensation practices, the pay ratio reported by other companies may not be comparable to the pay ratio reported above.</w:t>
      </w:r>
    </w:p>
    <w:p>
      <w:pPr>
        <w:spacing w:after="0" w:line="133" w:lineRule="exact"/>
        <w:rPr>
          <w:sz w:val="20"/>
          <w:szCs w:val="20"/>
          <w:color w:val="auto"/>
        </w:rPr>
      </w:pPr>
    </w:p>
    <w:p>
      <w:pPr>
        <w:spacing w:after="0"/>
        <w:rPr>
          <w:sz w:val="20"/>
          <w:szCs w:val="20"/>
          <w:color w:val="auto"/>
        </w:rPr>
      </w:pPr>
      <w:r>
        <w:rPr>
          <w:rFonts w:ascii="Arial" w:cs="Arial" w:eastAsia="Arial" w:hAnsi="Arial"/>
          <w:sz w:val="20"/>
          <w:szCs w:val="20"/>
          <w:b w:val="1"/>
          <w:bCs w:val="1"/>
          <w:color w:val="C00000"/>
        </w:rPr>
        <w:t>Compensation &amp; Human Resources Committee Interlocks and Insider Participation</w:t>
      </w:r>
    </w:p>
    <w:p>
      <w:pPr>
        <w:spacing w:after="0" w:line="97" w:lineRule="exact"/>
        <w:rPr>
          <w:sz w:val="20"/>
          <w:szCs w:val="20"/>
          <w:color w:val="auto"/>
        </w:rPr>
      </w:pPr>
    </w:p>
    <w:p>
      <w:pPr>
        <w:jc w:val="both"/>
        <w:ind w:firstLine="320"/>
        <w:spacing w:after="0" w:line="247" w:lineRule="auto"/>
        <w:rPr>
          <w:sz w:val="20"/>
          <w:szCs w:val="20"/>
          <w:color w:val="auto"/>
        </w:rPr>
      </w:pPr>
      <w:r>
        <w:rPr>
          <w:rFonts w:ascii="Arial" w:cs="Arial" w:eastAsia="Arial" w:hAnsi="Arial"/>
          <w:sz w:val="18"/>
          <w:szCs w:val="18"/>
          <w:color w:val="auto"/>
        </w:rPr>
        <w:t>No member of the Compensation &amp; Human Resources Committee was an officer or employee of TTC during fiscal year 2024 or in any prior year, and no member of the Compensation &amp; Human Resources Committee had a relationship that would require disclosure under Item 404(a) of Regulation S-K. There were no compensation committee interlocks as described in Item 407(e)(4) of Regulation S-K during fiscal 2024 or in any prior year.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79375</wp:posOffset>
            </wp:positionV>
            <wp:extent cx="7159625" cy="4254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350" w:right="339" w:bottom="1440" w:gutter="0" w:footer="0" w:header="0"/>
        </w:sectPr>
      </w:pPr>
    </w:p>
    <w:bookmarkStart w:id="80" w:name="page81"/>
    <w:bookmarkEnd w:id="80"/>
    <w:p>
      <w:pPr>
        <w:jc w:val="center"/>
        <w:spacing w:after="0"/>
        <w:rPr>
          <w:sz w:val="20"/>
          <w:szCs w:val="20"/>
          <w:color w:val="auto"/>
        </w:rPr>
      </w:pPr>
      <w:r>
        <w:rPr>
          <w:rFonts w:ascii="Arial" w:cs="Arial" w:eastAsia="Arial" w:hAnsi="Arial"/>
          <w:sz w:val="21"/>
          <w:szCs w:val="21"/>
          <w:b w:val="1"/>
          <w:bCs w:val="1"/>
          <w:color w:val="FFFFFF"/>
        </w:rPr>
        <w:t>STOCK OWNERSHIP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-151765</wp:posOffset>
            </wp:positionV>
            <wp:extent cx="6998335" cy="18669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6998335" cy="186690"/>
                    </a:xfrm>
                    <a:prstGeom prst="rect">
                      <a:avLst/>
                    </a:prstGeom>
                    <a:noFill/>
                  </pic:spPr>
                </pic:pic>
              </a:graphicData>
            </a:graphic>
          </wp:anchor>
        </w:drawing>
      </w:r>
    </w:p>
    <w:p>
      <w:pPr>
        <w:spacing w:after="0" w:line="317" w:lineRule="exact"/>
        <w:rPr>
          <w:sz w:val="20"/>
          <w:szCs w:val="20"/>
          <w:color w:val="auto"/>
        </w:rPr>
      </w:pPr>
    </w:p>
    <w:p>
      <w:pPr>
        <w:spacing w:after="0"/>
        <w:rPr>
          <w:sz w:val="20"/>
          <w:szCs w:val="20"/>
          <w:color w:val="auto"/>
        </w:rPr>
      </w:pPr>
      <w:r>
        <w:rPr>
          <w:rFonts w:ascii="Arial" w:cs="Arial" w:eastAsia="Arial" w:hAnsi="Arial"/>
          <w:sz w:val="20"/>
          <w:szCs w:val="20"/>
          <w:b w:val="1"/>
          <w:bCs w:val="1"/>
          <w:color w:val="C00000"/>
        </w:rPr>
        <w:t>Significant Beneficial Owners</w:t>
      </w:r>
    </w:p>
    <w:p>
      <w:pPr>
        <w:spacing w:after="0" w:line="110" w:lineRule="exact"/>
        <w:rPr>
          <w:sz w:val="20"/>
          <w:szCs w:val="20"/>
          <w:color w:val="auto"/>
        </w:rPr>
      </w:pPr>
    </w:p>
    <w:p>
      <w:pPr>
        <w:jc w:val="both"/>
        <w:ind w:firstLine="320"/>
        <w:spacing w:after="0" w:line="247" w:lineRule="auto"/>
        <w:rPr>
          <w:sz w:val="20"/>
          <w:szCs w:val="20"/>
          <w:color w:val="auto"/>
        </w:rPr>
      </w:pPr>
      <w:r>
        <w:rPr>
          <w:rFonts w:ascii="Arial" w:cs="Arial" w:eastAsia="Arial" w:hAnsi="Arial"/>
          <w:sz w:val="18"/>
          <w:szCs w:val="18"/>
          <w:color w:val="auto"/>
        </w:rPr>
        <w:t>The following table sets forth information known to us as of January 21, 2025, as to entities that have reported to the SEC or have otherwise advised us that they are a beneficial owner, as defined by the SEC's rules and regulations, of more than five percent of our outstanding common stock.</w:t>
      </w:r>
    </w:p>
    <w:p>
      <w:pPr>
        <w:spacing w:after="0" w:line="18" w:lineRule="exact"/>
        <w:rPr>
          <w:sz w:val="20"/>
          <w:szCs w:val="20"/>
          <w:color w:val="auto"/>
        </w:rPr>
      </w:pPr>
    </w:p>
    <w:tbl>
      <w:tblPr>
        <w:tblLayout w:type="fixed"/>
        <w:tblInd w:w="200" w:type="dxa"/>
        <w:tblCellMar>
          <w:top w:w="0" w:type="dxa"/>
          <w:left w:w="0" w:type="dxa"/>
          <w:bottom w:w="0" w:type="dxa"/>
          <w:right w:w="0" w:type="dxa"/>
        </w:tblCellMar>
      </w:tblPr>
      <w:tr>
        <w:trPr>
          <w:trHeight w:val="173"/>
        </w:trPr>
        <w:tc>
          <w:tcPr>
            <w:tcW w:w="1560" w:type="dxa"/>
            <w:vAlign w:val="bottom"/>
            <w:shd w:val="clear" w:color="auto" w:fill="BF2115"/>
          </w:tcPr>
          <w:p>
            <w:pPr>
              <w:spacing w:after="0"/>
              <w:rPr>
                <w:sz w:val="15"/>
                <w:szCs w:val="15"/>
                <w:color w:val="auto"/>
              </w:rPr>
            </w:pPr>
          </w:p>
        </w:tc>
        <w:tc>
          <w:tcPr>
            <w:tcW w:w="4100" w:type="dxa"/>
            <w:vAlign w:val="bottom"/>
            <w:shd w:val="clear" w:color="auto" w:fill="BF2115"/>
          </w:tcPr>
          <w:p>
            <w:pPr>
              <w:ind w:left="480"/>
              <w:spacing w:after="0"/>
              <w:rPr>
                <w:sz w:val="20"/>
                <w:szCs w:val="20"/>
                <w:color w:val="auto"/>
              </w:rPr>
            </w:pPr>
            <w:r>
              <w:rPr>
                <w:rFonts w:ascii="Arial" w:cs="Arial" w:eastAsia="Arial" w:hAnsi="Arial"/>
                <w:sz w:val="14"/>
                <w:szCs w:val="14"/>
                <w:b w:val="1"/>
                <w:bCs w:val="1"/>
                <w:color w:val="FFFFFF"/>
              </w:rPr>
              <w:t>Name and Address</w:t>
            </w:r>
          </w:p>
        </w:tc>
        <w:tc>
          <w:tcPr>
            <w:tcW w:w="3620" w:type="dxa"/>
            <w:vAlign w:val="bottom"/>
            <w:shd w:val="clear" w:color="auto" w:fill="BF2115"/>
          </w:tcPr>
          <w:p>
            <w:pPr>
              <w:jc w:val="center"/>
              <w:ind w:left="904"/>
              <w:spacing w:after="0"/>
              <w:rPr>
                <w:sz w:val="20"/>
                <w:szCs w:val="20"/>
                <w:color w:val="auto"/>
              </w:rPr>
            </w:pPr>
            <w:r>
              <w:rPr>
                <w:rFonts w:ascii="Arial" w:cs="Arial" w:eastAsia="Arial" w:hAnsi="Arial"/>
                <w:sz w:val="14"/>
                <w:szCs w:val="14"/>
                <w:b w:val="1"/>
                <w:bCs w:val="1"/>
                <w:color w:val="FFFFFF"/>
              </w:rPr>
              <w:t>Amount and Nature</w:t>
            </w:r>
          </w:p>
        </w:tc>
        <w:tc>
          <w:tcPr>
            <w:tcW w:w="1580" w:type="dxa"/>
            <w:vAlign w:val="bottom"/>
            <w:shd w:val="clear" w:color="auto" w:fill="BF2115"/>
          </w:tcPr>
          <w:p>
            <w:pPr>
              <w:jc w:val="center"/>
              <w:ind w:left="23"/>
              <w:spacing w:after="0"/>
              <w:rPr>
                <w:sz w:val="20"/>
                <w:szCs w:val="20"/>
                <w:color w:val="auto"/>
              </w:rPr>
            </w:pPr>
            <w:r>
              <w:rPr>
                <w:rFonts w:ascii="Arial" w:cs="Arial" w:eastAsia="Arial" w:hAnsi="Arial"/>
                <w:sz w:val="14"/>
                <w:szCs w:val="14"/>
                <w:b w:val="1"/>
                <w:bCs w:val="1"/>
                <w:color w:val="FFFFFF"/>
              </w:rPr>
              <w:t>Percent</w:t>
            </w:r>
          </w:p>
        </w:tc>
      </w:tr>
      <w:tr>
        <w:trPr>
          <w:trHeight w:val="240"/>
        </w:trPr>
        <w:tc>
          <w:tcPr>
            <w:tcW w:w="1560" w:type="dxa"/>
            <w:vAlign w:val="bottom"/>
            <w:shd w:val="clear" w:color="auto" w:fill="BF2115"/>
          </w:tcPr>
          <w:p>
            <w:pPr>
              <w:spacing w:after="0"/>
              <w:rPr>
                <w:sz w:val="20"/>
                <w:szCs w:val="20"/>
                <w:color w:val="auto"/>
              </w:rPr>
            </w:pPr>
            <w:r>
              <w:rPr>
                <w:rFonts w:ascii="Arial" w:cs="Arial" w:eastAsia="Arial" w:hAnsi="Arial"/>
                <w:sz w:val="14"/>
                <w:szCs w:val="14"/>
                <w:b w:val="1"/>
                <w:bCs w:val="1"/>
                <w:color w:val="FFFFFF"/>
              </w:rPr>
              <w:t>Title of Class</w:t>
            </w:r>
          </w:p>
        </w:tc>
        <w:tc>
          <w:tcPr>
            <w:tcW w:w="4100" w:type="dxa"/>
            <w:vAlign w:val="bottom"/>
            <w:shd w:val="clear" w:color="auto" w:fill="BF2115"/>
          </w:tcPr>
          <w:p>
            <w:pPr>
              <w:ind w:left="480"/>
              <w:spacing w:after="0"/>
              <w:rPr>
                <w:sz w:val="20"/>
                <w:szCs w:val="20"/>
                <w:color w:val="auto"/>
              </w:rPr>
            </w:pPr>
            <w:r>
              <w:rPr>
                <w:rFonts w:ascii="Arial" w:cs="Arial" w:eastAsia="Arial" w:hAnsi="Arial"/>
                <w:sz w:val="14"/>
                <w:szCs w:val="14"/>
                <w:b w:val="1"/>
                <w:bCs w:val="1"/>
                <w:color w:val="FFFFFF"/>
              </w:rPr>
              <w:t>of Beneficial Owner</w:t>
            </w:r>
          </w:p>
        </w:tc>
        <w:tc>
          <w:tcPr>
            <w:tcW w:w="3620" w:type="dxa"/>
            <w:vAlign w:val="bottom"/>
            <w:shd w:val="clear" w:color="auto" w:fill="BF2115"/>
          </w:tcPr>
          <w:p>
            <w:pPr>
              <w:jc w:val="center"/>
              <w:ind w:left="884"/>
              <w:spacing w:after="0"/>
              <w:rPr>
                <w:sz w:val="20"/>
                <w:szCs w:val="20"/>
                <w:color w:val="auto"/>
              </w:rPr>
            </w:pPr>
            <w:r>
              <w:rPr>
                <w:rFonts w:ascii="Arial" w:cs="Arial" w:eastAsia="Arial" w:hAnsi="Arial"/>
                <w:sz w:val="14"/>
                <w:szCs w:val="14"/>
                <w:b w:val="1"/>
                <w:bCs w:val="1"/>
                <w:color w:val="FFFFFF"/>
              </w:rPr>
              <w:t>of Beneficial Ownership</w:t>
            </w:r>
          </w:p>
        </w:tc>
        <w:tc>
          <w:tcPr>
            <w:tcW w:w="1580" w:type="dxa"/>
            <w:vAlign w:val="bottom"/>
            <w:shd w:val="clear" w:color="auto" w:fill="BF2115"/>
          </w:tcPr>
          <w:p>
            <w:pPr>
              <w:jc w:val="center"/>
              <w:ind w:left="3"/>
              <w:spacing w:after="0" w:line="240" w:lineRule="exact"/>
              <w:rPr>
                <w:sz w:val="20"/>
                <w:szCs w:val="20"/>
                <w:color w:val="auto"/>
              </w:rPr>
            </w:pPr>
            <w:r>
              <w:rPr>
                <w:rFonts w:ascii="Arial" w:cs="Arial" w:eastAsia="Arial" w:hAnsi="Arial"/>
                <w:sz w:val="14"/>
                <w:szCs w:val="14"/>
                <w:b w:val="1"/>
                <w:bCs w:val="1"/>
                <w:color w:val="FFFFFF"/>
                <w:w w:val="96"/>
              </w:rPr>
              <w:t>of Class</w:t>
            </w:r>
            <w:r>
              <w:rPr>
                <w:rFonts w:ascii="Arial" w:cs="Arial" w:eastAsia="Arial" w:hAnsi="Arial"/>
                <w:sz w:val="27"/>
                <w:szCs w:val="27"/>
                <w:b w:val="1"/>
                <w:bCs w:val="1"/>
                <w:color w:val="FFFFFF"/>
                <w:w w:val="96"/>
                <w:vertAlign w:val="superscript"/>
              </w:rPr>
              <w:t>1</w:t>
            </w:r>
          </w:p>
        </w:tc>
      </w:tr>
      <w:tr>
        <w:trPr>
          <w:trHeight w:val="199"/>
        </w:trPr>
        <w:tc>
          <w:tcPr>
            <w:tcW w:w="1560" w:type="dxa"/>
            <w:vAlign w:val="bottom"/>
            <w:shd w:val="clear" w:color="auto" w:fill="DBDBDB"/>
          </w:tcPr>
          <w:p>
            <w:pPr>
              <w:spacing w:after="0"/>
              <w:rPr>
                <w:sz w:val="20"/>
                <w:szCs w:val="20"/>
                <w:color w:val="auto"/>
              </w:rPr>
            </w:pPr>
            <w:r>
              <w:rPr>
                <w:rFonts w:ascii="Arial" w:cs="Arial" w:eastAsia="Arial" w:hAnsi="Arial"/>
                <w:sz w:val="16"/>
                <w:szCs w:val="16"/>
                <w:color w:val="auto"/>
              </w:rPr>
              <w:t>Common Stock</w:t>
            </w:r>
          </w:p>
        </w:tc>
        <w:tc>
          <w:tcPr>
            <w:tcW w:w="4100" w:type="dxa"/>
            <w:vAlign w:val="bottom"/>
            <w:shd w:val="clear" w:color="auto" w:fill="DBDBDB"/>
          </w:tcPr>
          <w:p>
            <w:pPr>
              <w:ind w:left="480"/>
              <w:spacing w:after="0"/>
              <w:rPr>
                <w:sz w:val="20"/>
                <w:szCs w:val="20"/>
                <w:color w:val="auto"/>
              </w:rPr>
            </w:pPr>
            <w:r>
              <w:rPr>
                <w:rFonts w:ascii="Arial" w:cs="Arial" w:eastAsia="Arial" w:hAnsi="Arial"/>
                <w:sz w:val="16"/>
                <w:szCs w:val="16"/>
                <w:color w:val="auto"/>
              </w:rPr>
              <w:t>The Vanguard Group, Inc.</w:t>
            </w:r>
          </w:p>
        </w:tc>
        <w:tc>
          <w:tcPr>
            <w:tcW w:w="3620" w:type="dxa"/>
            <w:vAlign w:val="bottom"/>
            <w:shd w:val="clear" w:color="auto" w:fill="DBDBDB"/>
          </w:tcPr>
          <w:p>
            <w:pPr>
              <w:jc w:val="center"/>
              <w:ind w:left="884"/>
              <w:spacing w:after="0" w:line="200" w:lineRule="exact"/>
              <w:rPr>
                <w:sz w:val="20"/>
                <w:szCs w:val="20"/>
                <w:color w:val="auto"/>
              </w:rPr>
            </w:pPr>
            <w:r>
              <w:rPr>
                <w:rFonts w:ascii="Arial" w:cs="Arial" w:eastAsia="Arial" w:hAnsi="Arial"/>
                <w:sz w:val="16"/>
                <w:szCs w:val="16"/>
                <w:color w:val="auto"/>
                <w:w w:val="98"/>
              </w:rPr>
              <w:t>10,491,409</w:t>
            </w:r>
            <w:r>
              <w:rPr>
                <w:rFonts w:ascii="Arial" w:cs="Arial" w:eastAsia="Arial" w:hAnsi="Arial"/>
                <w:sz w:val="20"/>
                <w:szCs w:val="20"/>
                <w:color w:val="auto"/>
                <w:w w:val="98"/>
                <w:vertAlign w:val="superscript"/>
              </w:rPr>
              <w:t>2</w:t>
            </w:r>
          </w:p>
        </w:tc>
        <w:tc>
          <w:tcPr>
            <w:tcW w:w="1580" w:type="dxa"/>
            <w:vAlign w:val="bottom"/>
            <w:shd w:val="clear" w:color="auto" w:fill="DBDBDB"/>
          </w:tcPr>
          <w:p>
            <w:pPr>
              <w:jc w:val="center"/>
              <w:ind w:left="3"/>
              <w:spacing w:after="0"/>
              <w:rPr>
                <w:sz w:val="20"/>
                <w:szCs w:val="20"/>
                <w:color w:val="auto"/>
              </w:rPr>
            </w:pPr>
            <w:r>
              <w:rPr>
                <w:rFonts w:ascii="Arial" w:cs="Arial" w:eastAsia="Arial" w:hAnsi="Arial"/>
                <w:sz w:val="16"/>
                <w:szCs w:val="16"/>
                <w:color w:val="auto"/>
                <w:w w:val="99"/>
              </w:rPr>
              <w:t>10.10%</w:t>
            </w:r>
          </w:p>
        </w:tc>
      </w:tr>
      <w:tr>
        <w:trPr>
          <w:trHeight w:val="200"/>
        </w:trPr>
        <w:tc>
          <w:tcPr>
            <w:tcW w:w="1560" w:type="dxa"/>
            <w:vAlign w:val="bottom"/>
            <w:shd w:val="clear" w:color="auto" w:fill="DBDBDB"/>
          </w:tcPr>
          <w:p>
            <w:pPr>
              <w:spacing w:after="0"/>
              <w:rPr>
                <w:sz w:val="17"/>
                <w:szCs w:val="17"/>
                <w:color w:val="auto"/>
              </w:rPr>
            </w:pPr>
          </w:p>
        </w:tc>
        <w:tc>
          <w:tcPr>
            <w:tcW w:w="4100" w:type="dxa"/>
            <w:vAlign w:val="bottom"/>
            <w:shd w:val="clear" w:color="auto" w:fill="DBDBDB"/>
          </w:tcPr>
          <w:p>
            <w:pPr>
              <w:ind w:left="480"/>
              <w:spacing w:after="0"/>
              <w:rPr>
                <w:sz w:val="20"/>
                <w:szCs w:val="20"/>
                <w:color w:val="auto"/>
              </w:rPr>
            </w:pPr>
            <w:r>
              <w:rPr>
                <w:rFonts w:ascii="Arial" w:cs="Arial" w:eastAsia="Arial" w:hAnsi="Arial"/>
                <w:sz w:val="16"/>
                <w:szCs w:val="16"/>
                <w:color w:val="auto"/>
              </w:rPr>
              <w:t>100 Vanguard Blvd.</w:t>
            </w:r>
          </w:p>
        </w:tc>
        <w:tc>
          <w:tcPr>
            <w:tcW w:w="3620" w:type="dxa"/>
            <w:vAlign w:val="bottom"/>
            <w:shd w:val="clear" w:color="auto" w:fill="DBDBDB"/>
          </w:tcPr>
          <w:p>
            <w:pPr>
              <w:spacing w:after="0"/>
              <w:rPr>
                <w:sz w:val="17"/>
                <w:szCs w:val="17"/>
                <w:color w:val="auto"/>
              </w:rPr>
            </w:pPr>
          </w:p>
        </w:tc>
        <w:tc>
          <w:tcPr>
            <w:tcW w:w="1580" w:type="dxa"/>
            <w:vAlign w:val="bottom"/>
            <w:shd w:val="clear" w:color="auto" w:fill="DBDBDB"/>
          </w:tcPr>
          <w:p>
            <w:pPr>
              <w:spacing w:after="0"/>
              <w:rPr>
                <w:sz w:val="17"/>
                <w:szCs w:val="17"/>
                <w:color w:val="auto"/>
              </w:rPr>
            </w:pPr>
          </w:p>
        </w:tc>
      </w:tr>
      <w:tr>
        <w:trPr>
          <w:trHeight w:val="221"/>
        </w:trPr>
        <w:tc>
          <w:tcPr>
            <w:tcW w:w="1560" w:type="dxa"/>
            <w:vAlign w:val="bottom"/>
            <w:tcBorders>
              <w:bottom w:val="single" w:sz="8" w:color="DBDBDB"/>
            </w:tcBorders>
            <w:shd w:val="clear" w:color="auto" w:fill="DBDBDB"/>
          </w:tcPr>
          <w:p>
            <w:pPr>
              <w:spacing w:after="0"/>
              <w:rPr>
                <w:sz w:val="19"/>
                <w:szCs w:val="19"/>
                <w:color w:val="auto"/>
              </w:rPr>
            </w:pPr>
          </w:p>
        </w:tc>
        <w:tc>
          <w:tcPr>
            <w:tcW w:w="4100" w:type="dxa"/>
            <w:vAlign w:val="bottom"/>
            <w:tcBorders>
              <w:bottom w:val="single" w:sz="8" w:color="DBDBDB"/>
            </w:tcBorders>
            <w:shd w:val="clear" w:color="auto" w:fill="DBDBDB"/>
          </w:tcPr>
          <w:p>
            <w:pPr>
              <w:ind w:left="480"/>
              <w:spacing w:after="0"/>
              <w:rPr>
                <w:sz w:val="20"/>
                <w:szCs w:val="20"/>
                <w:color w:val="auto"/>
              </w:rPr>
            </w:pPr>
            <w:r>
              <w:rPr>
                <w:rFonts w:ascii="Arial" w:cs="Arial" w:eastAsia="Arial" w:hAnsi="Arial"/>
                <w:sz w:val="16"/>
                <w:szCs w:val="16"/>
                <w:color w:val="auto"/>
              </w:rPr>
              <w:t>Malvern, PA 19355</w:t>
            </w:r>
          </w:p>
        </w:tc>
        <w:tc>
          <w:tcPr>
            <w:tcW w:w="3620" w:type="dxa"/>
            <w:vAlign w:val="bottom"/>
            <w:tcBorders>
              <w:bottom w:val="single" w:sz="8" w:color="DBDBDB"/>
            </w:tcBorders>
            <w:shd w:val="clear" w:color="auto" w:fill="DBDBDB"/>
          </w:tcPr>
          <w:p>
            <w:pPr>
              <w:spacing w:after="0"/>
              <w:rPr>
                <w:sz w:val="19"/>
                <w:szCs w:val="19"/>
                <w:color w:val="auto"/>
              </w:rPr>
            </w:pPr>
          </w:p>
        </w:tc>
        <w:tc>
          <w:tcPr>
            <w:tcW w:w="1580" w:type="dxa"/>
            <w:vAlign w:val="bottom"/>
            <w:tcBorders>
              <w:bottom w:val="single" w:sz="8" w:color="DBDBDB"/>
            </w:tcBorders>
            <w:shd w:val="clear" w:color="auto" w:fill="DBDBDB"/>
          </w:tcPr>
          <w:p>
            <w:pPr>
              <w:spacing w:after="0"/>
              <w:rPr>
                <w:sz w:val="19"/>
                <w:szCs w:val="19"/>
                <w:color w:val="auto"/>
              </w:rPr>
            </w:pPr>
          </w:p>
        </w:tc>
      </w:tr>
      <w:tr>
        <w:trPr>
          <w:trHeight w:val="160"/>
        </w:trPr>
        <w:tc>
          <w:tcPr>
            <w:tcW w:w="1560" w:type="dxa"/>
            <w:vAlign w:val="bottom"/>
          </w:tcPr>
          <w:p>
            <w:pPr>
              <w:spacing w:after="0" w:line="160" w:lineRule="exact"/>
              <w:rPr>
                <w:sz w:val="20"/>
                <w:szCs w:val="20"/>
                <w:color w:val="auto"/>
              </w:rPr>
            </w:pPr>
            <w:r>
              <w:rPr>
                <w:rFonts w:ascii="Arial" w:cs="Arial" w:eastAsia="Arial" w:hAnsi="Arial"/>
                <w:sz w:val="16"/>
                <w:szCs w:val="16"/>
                <w:color w:val="auto"/>
              </w:rPr>
              <w:t>Common Stock</w:t>
            </w:r>
          </w:p>
        </w:tc>
        <w:tc>
          <w:tcPr>
            <w:tcW w:w="4100" w:type="dxa"/>
            <w:vAlign w:val="bottom"/>
          </w:tcPr>
          <w:p>
            <w:pPr>
              <w:ind w:left="480"/>
              <w:spacing w:after="0" w:line="160" w:lineRule="exact"/>
              <w:rPr>
                <w:sz w:val="20"/>
                <w:szCs w:val="20"/>
                <w:color w:val="auto"/>
              </w:rPr>
            </w:pPr>
            <w:r>
              <w:rPr>
                <w:rFonts w:ascii="Arial" w:cs="Arial" w:eastAsia="Arial" w:hAnsi="Arial"/>
                <w:sz w:val="16"/>
                <w:szCs w:val="16"/>
                <w:color w:val="auto"/>
              </w:rPr>
              <w:t>T. Rowe Price Associates, Inc.</w:t>
            </w:r>
          </w:p>
        </w:tc>
        <w:tc>
          <w:tcPr>
            <w:tcW w:w="3620" w:type="dxa"/>
            <w:vAlign w:val="bottom"/>
          </w:tcPr>
          <w:p>
            <w:pPr>
              <w:jc w:val="center"/>
              <w:ind w:left="904"/>
              <w:spacing w:after="0" w:line="160" w:lineRule="exact"/>
              <w:rPr>
                <w:sz w:val="20"/>
                <w:szCs w:val="20"/>
                <w:color w:val="auto"/>
              </w:rPr>
            </w:pPr>
            <w:r>
              <w:rPr>
                <w:rFonts w:ascii="Arial" w:cs="Arial" w:eastAsia="Arial" w:hAnsi="Arial"/>
                <w:sz w:val="14"/>
                <w:szCs w:val="14"/>
                <w:color w:val="auto"/>
              </w:rPr>
              <w:t>9,385,056</w:t>
            </w:r>
            <w:r>
              <w:rPr>
                <w:rFonts w:ascii="Arial" w:cs="Arial" w:eastAsia="Arial" w:hAnsi="Arial"/>
                <w:sz w:val="18"/>
                <w:szCs w:val="18"/>
                <w:color w:val="auto"/>
                <w:vertAlign w:val="superscript"/>
              </w:rPr>
              <w:t>3</w:t>
            </w:r>
          </w:p>
        </w:tc>
        <w:tc>
          <w:tcPr>
            <w:tcW w:w="1580" w:type="dxa"/>
            <w:vAlign w:val="bottom"/>
          </w:tcPr>
          <w:p>
            <w:pPr>
              <w:jc w:val="center"/>
              <w:ind w:left="3"/>
              <w:spacing w:after="0" w:line="160" w:lineRule="exact"/>
              <w:rPr>
                <w:sz w:val="20"/>
                <w:szCs w:val="20"/>
                <w:color w:val="auto"/>
              </w:rPr>
            </w:pPr>
            <w:r>
              <w:rPr>
                <w:rFonts w:ascii="Arial" w:cs="Arial" w:eastAsia="Arial" w:hAnsi="Arial"/>
                <w:sz w:val="16"/>
                <w:szCs w:val="16"/>
                <w:color w:val="auto"/>
              </w:rPr>
              <w:t>9.00%</w:t>
            </w:r>
          </w:p>
        </w:tc>
      </w:tr>
      <w:tr>
        <w:trPr>
          <w:trHeight w:val="160"/>
        </w:trPr>
        <w:tc>
          <w:tcPr>
            <w:tcW w:w="1560" w:type="dxa"/>
            <w:vAlign w:val="bottom"/>
          </w:tcPr>
          <w:p>
            <w:pPr>
              <w:spacing w:after="0"/>
              <w:rPr>
                <w:sz w:val="13"/>
                <w:szCs w:val="13"/>
                <w:color w:val="auto"/>
              </w:rPr>
            </w:pPr>
          </w:p>
        </w:tc>
        <w:tc>
          <w:tcPr>
            <w:tcW w:w="4100" w:type="dxa"/>
            <w:vAlign w:val="bottom"/>
          </w:tcPr>
          <w:p>
            <w:pPr>
              <w:ind w:left="480"/>
              <w:spacing w:after="0" w:line="160" w:lineRule="exact"/>
              <w:rPr>
                <w:sz w:val="20"/>
                <w:szCs w:val="20"/>
                <w:color w:val="auto"/>
              </w:rPr>
            </w:pPr>
            <w:r>
              <w:rPr>
                <w:rFonts w:ascii="Arial" w:cs="Arial" w:eastAsia="Arial" w:hAnsi="Arial"/>
                <w:sz w:val="16"/>
                <w:szCs w:val="16"/>
                <w:color w:val="auto"/>
              </w:rPr>
              <w:t>100 E. Pratt Street</w:t>
            </w:r>
          </w:p>
        </w:tc>
        <w:tc>
          <w:tcPr>
            <w:tcW w:w="3620" w:type="dxa"/>
            <w:vAlign w:val="bottom"/>
          </w:tcPr>
          <w:p>
            <w:pPr>
              <w:spacing w:after="0"/>
              <w:rPr>
                <w:sz w:val="13"/>
                <w:szCs w:val="13"/>
                <w:color w:val="auto"/>
              </w:rPr>
            </w:pPr>
          </w:p>
        </w:tc>
        <w:tc>
          <w:tcPr>
            <w:tcW w:w="1580" w:type="dxa"/>
            <w:vAlign w:val="bottom"/>
          </w:tcPr>
          <w:p>
            <w:pPr>
              <w:spacing w:after="0"/>
              <w:rPr>
                <w:sz w:val="13"/>
                <w:szCs w:val="13"/>
                <w:color w:val="auto"/>
              </w:rPr>
            </w:pPr>
          </w:p>
        </w:tc>
      </w:tr>
      <w:tr>
        <w:trPr>
          <w:trHeight w:val="212"/>
        </w:trPr>
        <w:tc>
          <w:tcPr>
            <w:tcW w:w="1560" w:type="dxa"/>
            <w:vAlign w:val="bottom"/>
          </w:tcPr>
          <w:p>
            <w:pPr>
              <w:spacing w:after="0"/>
              <w:rPr>
                <w:sz w:val="18"/>
                <w:szCs w:val="18"/>
                <w:color w:val="auto"/>
              </w:rPr>
            </w:pPr>
          </w:p>
        </w:tc>
        <w:tc>
          <w:tcPr>
            <w:tcW w:w="4100" w:type="dxa"/>
            <w:vAlign w:val="bottom"/>
          </w:tcPr>
          <w:p>
            <w:pPr>
              <w:ind w:left="480"/>
              <w:spacing w:after="0"/>
              <w:rPr>
                <w:sz w:val="20"/>
                <w:szCs w:val="20"/>
                <w:color w:val="auto"/>
              </w:rPr>
            </w:pPr>
            <w:r>
              <w:rPr>
                <w:rFonts w:ascii="Arial" w:cs="Arial" w:eastAsia="Arial" w:hAnsi="Arial"/>
                <w:sz w:val="16"/>
                <w:szCs w:val="16"/>
                <w:color w:val="auto"/>
              </w:rPr>
              <w:t>Baltimore, MD 21202</w:t>
            </w:r>
          </w:p>
        </w:tc>
        <w:tc>
          <w:tcPr>
            <w:tcW w:w="3620" w:type="dxa"/>
            <w:vAlign w:val="bottom"/>
          </w:tcPr>
          <w:p>
            <w:pPr>
              <w:spacing w:after="0"/>
              <w:rPr>
                <w:sz w:val="18"/>
                <w:szCs w:val="18"/>
                <w:color w:val="auto"/>
              </w:rPr>
            </w:pPr>
          </w:p>
        </w:tc>
        <w:tc>
          <w:tcPr>
            <w:tcW w:w="1580" w:type="dxa"/>
            <w:vAlign w:val="bottom"/>
          </w:tcPr>
          <w:p>
            <w:pPr>
              <w:spacing w:after="0"/>
              <w:rPr>
                <w:sz w:val="18"/>
                <w:szCs w:val="18"/>
                <w:color w:val="auto"/>
              </w:rPr>
            </w:pPr>
          </w:p>
        </w:tc>
      </w:tr>
      <w:tr>
        <w:trPr>
          <w:trHeight w:val="201"/>
        </w:trPr>
        <w:tc>
          <w:tcPr>
            <w:tcW w:w="1560" w:type="dxa"/>
            <w:vAlign w:val="bottom"/>
            <w:shd w:val="clear" w:color="auto" w:fill="DBDBDB"/>
          </w:tcPr>
          <w:p>
            <w:pPr>
              <w:spacing w:after="0"/>
              <w:rPr>
                <w:sz w:val="20"/>
                <w:szCs w:val="20"/>
                <w:color w:val="auto"/>
              </w:rPr>
            </w:pPr>
            <w:r>
              <w:rPr>
                <w:rFonts w:ascii="Arial" w:cs="Arial" w:eastAsia="Arial" w:hAnsi="Arial"/>
                <w:sz w:val="16"/>
                <w:szCs w:val="16"/>
                <w:color w:val="auto"/>
              </w:rPr>
              <w:t>Common Stock</w:t>
            </w:r>
          </w:p>
        </w:tc>
        <w:tc>
          <w:tcPr>
            <w:tcW w:w="4100" w:type="dxa"/>
            <w:vAlign w:val="bottom"/>
            <w:shd w:val="clear" w:color="auto" w:fill="DBDBDB"/>
          </w:tcPr>
          <w:p>
            <w:pPr>
              <w:ind w:left="480"/>
              <w:spacing w:after="0"/>
              <w:rPr>
                <w:sz w:val="20"/>
                <w:szCs w:val="20"/>
                <w:color w:val="auto"/>
              </w:rPr>
            </w:pPr>
            <w:r>
              <w:rPr>
                <w:rFonts w:ascii="Arial" w:cs="Arial" w:eastAsia="Arial" w:hAnsi="Arial"/>
                <w:sz w:val="16"/>
                <w:szCs w:val="16"/>
                <w:color w:val="auto"/>
              </w:rPr>
              <w:t>BlackRock, Inc.</w:t>
            </w:r>
          </w:p>
        </w:tc>
        <w:tc>
          <w:tcPr>
            <w:tcW w:w="3620" w:type="dxa"/>
            <w:vAlign w:val="bottom"/>
            <w:shd w:val="clear" w:color="auto" w:fill="DBDBDB"/>
          </w:tcPr>
          <w:p>
            <w:pPr>
              <w:jc w:val="center"/>
              <w:ind w:left="884"/>
              <w:spacing w:after="0" w:line="201" w:lineRule="exact"/>
              <w:rPr>
                <w:sz w:val="20"/>
                <w:szCs w:val="20"/>
                <w:color w:val="auto"/>
              </w:rPr>
            </w:pPr>
            <w:r>
              <w:rPr>
                <w:rFonts w:ascii="Arial" w:cs="Arial" w:eastAsia="Arial" w:hAnsi="Arial"/>
                <w:sz w:val="16"/>
                <w:szCs w:val="16"/>
                <w:color w:val="auto"/>
                <w:w w:val="98"/>
              </w:rPr>
              <w:t>10,392,066</w:t>
            </w:r>
            <w:r>
              <w:rPr>
                <w:rFonts w:ascii="Arial" w:cs="Arial" w:eastAsia="Arial" w:hAnsi="Arial"/>
                <w:sz w:val="20"/>
                <w:szCs w:val="20"/>
                <w:color w:val="auto"/>
                <w:w w:val="98"/>
                <w:vertAlign w:val="superscript"/>
              </w:rPr>
              <w:t>4</w:t>
            </w:r>
          </w:p>
        </w:tc>
        <w:tc>
          <w:tcPr>
            <w:tcW w:w="1580" w:type="dxa"/>
            <w:vAlign w:val="bottom"/>
            <w:shd w:val="clear" w:color="auto" w:fill="DBDBDB"/>
          </w:tcPr>
          <w:p>
            <w:pPr>
              <w:jc w:val="center"/>
              <w:ind w:left="3"/>
              <w:spacing w:after="0"/>
              <w:rPr>
                <w:sz w:val="20"/>
                <w:szCs w:val="20"/>
                <w:color w:val="auto"/>
              </w:rPr>
            </w:pPr>
            <w:r>
              <w:rPr>
                <w:rFonts w:ascii="Arial" w:cs="Arial" w:eastAsia="Arial" w:hAnsi="Arial"/>
                <w:sz w:val="16"/>
                <w:szCs w:val="16"/>
                <w:color w:val="auto"/>
              </w:rPr>
              <w:t>8.30%</w:t>
            </w:r>
          </w:p>
        </w:tc>
      </w:tr>
      <w:tr>
        <w:trPr>
          <w:trHeight w:val="200"/>
        </w:trPr>
        <w:tc>
          <w:tcPr>
            <w:tcW w:w="1560" w:type="dxa"/>
            <w:vAlign w:val="bottom"/>
            <w:shd w:val="clear" w:color="auto" w:fill="DBDBDB"/>
          </w:tcPr>
          <w:p>
            <w:pPr>
              <w:spacing w:after="0"/>
              <w:rPr>
                <w:sz w:val="17"/>
                <w:szCs w:val="17"/>
                <w:color w:val="auto"/>
              </w:rPr>
            </w:pPr>
          </w:p>
        </w:tc>
        <w:tc>
          <w:tcPr>
            <w:tcW w:w="4100" w:type="dxa"/>
            <w:vAlign w:val="bottom"/>
            <w:shd w:val="clear" w:color="auto" w:fill="DBDBDB"/>
          </w:tcPr>
          <w:p>
            <w:pPr>
              <w:ind w:left="480"/>
              <w:spacing w:after="0"/>
              <w:rPr>
                <w:sz w:val="20"/>
                <w:szCs w:val="20"/>
                <w:color w:val="auto"/>
              </w:rPr>
            </w:pPr>
            <w:r>
              <w:rPr>
                <w:rFonts w:ascii="Arial" w:cs="Arial" w:eastAsia="Arial" w:hAnsi="Arial"/>
                <w:sz w:val="16"/>
                <w:szCs w:val="16"/>
                <w:color w:val="auto"/>
              </w:rPr>
              <w:t>55 East 52nd St.</w:t>
            </w:r>
          </w:p>
        </w:tc>
        <w:tc>
          <w:tcPr>
            <w:tcW w:w="3620" w:type="dxa"/>
            <w:vAlign w:val="bottom"/>
            <w:shd w:val="clear" w:color="auto" w:fill="DBDBDB"/>
          </w:tcPr>
          <w:p>
            <w:pPr>
              <w:spacing w:after="0"/>
              <w:rPr>
                <w:sz w:val="17"/>
                <w:szCs w:val="17"/>
                <w:color w:val="auto"/>
              </w:rPr>
            </w:pPr>
          </w:p>
        </w:tc>
        <w:tc>
          <w:tcPr>
            <w:tcW w:w="1580" w:type="dxa"/>
            <w:vAlign w:val="bottom"/>
            <w:shd w:val="clear" w:color="auto" w:fill="DBDBDB"/>
          </w:tcPr>
          <w:p>
            <w:pPr>
              <w:spacing w:after="0"/>
              <w:rPr>
                <w:sz w:val="17"/>
                <w:szCs w:val="17"/>
                <w:color w:val="auto"/>
              </w:rPr>
            </w:pPr>
          </w:p>
        </w:tc>
      </w:tr>
      <w:tr>
        <w:trPr>
          <w:trHeight w:val="221"/>
        </w:trPr>
        <w:tc>
          <w:tcPr>
            <w:tcW w:w="1560" w:type="dxa"/>
            <w:vAlign w:val="bottom"/>
            <w:tcBorders>
              <w:bottom w:val="single" w:sz="8" w:color="DBDBDB"/>
            </w:tcBorders>
            <w:shd w:val="clear" w:color="auto" w:fill="DBDBDB"/>
          </w:tcPr>
          <w:p>
            <w:pPr>
              <w:spacing w:after="0"/>
              <w:rPr>
                <w:sz w:val="19"/>
                <w:szCs w:val="19"/>
                <w:color w:val="auto"/>
              </w:rPr>
            </w:pPr>
          </w:p>
        </w:tc>
        <w:tc>
          <w:tcPr>
            <w:tcW w:w="4100" w:type="dxa"/>
            <w:vAlign w:val="bottom"/>
            <w:tcBorders>
              <w:bottom w:val="single" w:sz="8" w:color="DBDBDB"/>
            </w:tcBorders>
            <w:shd w:val="clear" w:color="auto" w:fill="DBDBDB"/>
          </w:tcPr>
          <w:p>
            <w:pPr>
              <w:ind w:left="480"/>
              <w:spacing w:after="0"/>
              <w:rPr>
                <w:sz w:val="20"/>
                <w:szCs w:val="20"/>
                <w:color w:val="auto"/>
              </w:rPr>
            </w:pPr>
            <w:r>
              <w:rPr>
                <w:rFonts w:ascii="Arial" w:cs="Arial" w:eastAsia="Arial" w:hAnsi="Arial"/>
                <w:sz w:val="16"/>
                <w:szCs w:val="16"/>
                <w:color w:val="auto"/>
              </w:rPr>
              <w:t>New York, NY 10055</w:t>
            </w:r>
          </w:p>
        </w:tc>
        <w:tc>
          <w:tcPr>
            <w:tcW w:w="3620" w:type="dxa"/>
            <w:vAlign w:val="bottom"/>
            <w:tcBorders>
              <w:bottom w:val="single" w:sz="8" w:color="DBDBDB"/>
            </w:tcBorders>
            <w:shd w:val="clear" w:color="auto" w:fill="DBDBDB"/>
          </w:tcPr>
          <w:p>
            <w:pPr>
              <w:spacing w:after="0"/>
              <w:rPr>
                <w:sz w:val="19"/>
                <w:szCs w:val="19"/>
                <w:color w:val="auto"/>
              </w:rPr>
            </w:pPr>
          </w:p>
        </w:tc>
        <w:tc>
          <w:tcPr>
            <w:tcW w:w="1580" w:type="dxa"/>
            <w:vAlign w:val="bottom"/>
            <w:tcBorders>
              <w:bottom w:val="single" w:sz="8" w:color="DBDBDB"/>
            </w:tcBorders>
            <w:shd w:val="clear" w:color="auto" w:fill="DBDBDB"/>
          </w:tcPr>
          <w:p>
            <w:pPr>
              <w:spacing w:after="0"/>
              <w:rPr>
                <w:sz w:val="19"/>
                <w:szCs w:val="19"/>
                <w:color w:val="auto"/>
              </w:rPr>
            </w:pPr>
          </w:p>
        </w:tc>
      </w:tr>
      <w:tr>
        <w:trPr>
          <w:trHeight w:val="199"/>
        </w:trPr>
        <w:tc>
          <w:tcPr>
            <w:tcW w:w="1560" w:type="dxa"/>
            <w:vAlign w:val="bottom"/>
          </w:tcPr>
          <w:p>
            <w:pPr>
              <w:spacing w:after="0"/>
              <w:rPr>
                <w:sz w:val="20"/>
                <w:szCs w:val="20"/>
                <w:color w:val="auto"/>
              </w:rPr>
            </w:pPr>
            <w:r>
              <w:rPr>
                <w:rFonts w:ascii="Arial" w:cs="Arial" w:eastAsia="Arial" w:hAnsi="Arial"/>
                <w:sz w:val="16"/>
                <w:szCs w:val="16"/>
                <w:color w:val="auto"/>
              </w:rPr>
              <w:t>Common Stock</w:t>
            </w:r>
          </w:p>
        </w:tc>
        <w:tc>
          <w:tcPr>
            <w:tcW w:w="4100" w:type="dxa"/>
            <w:vAlign w:val="bottom"/>
          </w:tcPr>
          <w:p>
            <w:pPr>
              <w:ind w:left="480"/>
              <w:spacing w:after="0"/>
              <w:rPr>
                <w:sz w:val="20"/>
                <w:szCs w:val="20"/>
                <w:color w:val="auto"/>
              </w:rPr>
            </w:pPr>
            <w:r>
              <w:rPr>
                <w:rFonts w:ascii="Arial" w:cs="Arial" w:eastAsia="Arial" w:hAnsi="Arial"/>
                <w:sz w:val="16"/>
                <w:szCs w:val="16"/>
                <w:color w:val="auto"/>
              </w:rPr>
              <w:t>Select Equity Group, L.P.</w:t>
            </w:r>
          </w:p>
        </w:tc>
        <w:tc>
          <w:tcPr>
            <w:tcW w:w="3620" w:type="dxa"/>
            <w:vAlign w:val="bottom"/>
          </w:tcPr>
          <w:p>
            <w:pPr>
              <w:jc w:val="center"/>
              <w:ind w:left="904"/>
              <w:spacing w:after="0" w:line="200" w:lineRule="exact"/>
              <w:rPr>
                <w:sz w:val="20"/>
                <w:szCs w:val="20"/>
                <w:color w:val="auto"/>
              </w:rPr>
            </w:pPr>
            <w:r>
              <w:rPr>
                <w:rFonts w:ascii="Arial" w:cs="Arial" w:eastAsia="Arial" w:hAnsi="Arial"/>
                <w:sz w:val="16"/>
                <w:szCs w:val="16"/>
                <w:color w:val="auto"/>
                <w:w w:val="96"/>
              </w:rPr>
              <w:t>5,557,179</w:t>
            </w:r>
            <w:r>
              <w:rPr>
                <w:rFonts w:ascii="Arial" w:cs="Arial" w:eastAsia="Arial" w:hAnsi="Arial"/>
                <w:sz w:val="20"/>
                <w:szCs w:val="20"/>
                <w:color w:val="auto"/>
                <w:w w:val="96"/>
                <w:vertAlign w:val="superscript"/>
              </w:rPr>
              <w:t>5</w:t>
            </w:r>
          </w:p>
        </w:tc>
        <w:tc>
          <w:tcPr>
            <w:tcW w:w="1580" w:type="dxa"/>
            <w:vAlign w:val="bottom"/>
          </w:tcPr>
          <w:p>
            <w:pPr>
              <w:jc w:val="center"/>
              <w:ind w:left="3"/>
              <w:spacing w:after="0"/>
              <w:rPr>
                <w:sz w:val="20"/>
                <w:szCs w:val="20"/>
                <w:color w:val="auto"/>
              </w:rPr>
            </w:pPr>
            <w:r>
              <w:rPr>
                <w:rFonts w:ascii="Arial" w:cs="Arial" w:eastAsia="Arial" w:hAnsi="Arial"/>
                <w:sz w:val="16"/>
                <w:szCs w:val="16"/>
                <w:color w:val="auto"/>
              </w:rPr>
              <w:t>5.30%</w:t>
            </w:r>
          </w:p>
        </w:tc>
      </w:tr>
      <w:tr>
        <w:trPr>
          <w:trHeight w:val="200"/>
        </w:trPr>
        <w:tc>
          <w:tcPr>
            <w:tcW w:w="1560" w:type="dxa"/>
            <w:vAlign w:val="bottom"/>
          </w:tcPr>
          <w:p>
            <w:pPr>
              <w:spacing w:after="0"/>
              <w:rPr>
                <w:sz w:val="17"/>
                <w:szCs w:val="17"/>
                <w:color w:val="auto"/>
              </w:rPr>
            </w:pPr>
          </w:p>
        </w:tc>
        <w:tc>
          <w:tcPr>
            <w:tcW w:w="4100" w:type="dxa"/>
            <w:vAlign w:val="bottom"/>
          </w:tcPr>
          <w:p>
            <w:pPr>
              <w:ind w:left="480"/>
              <w:spacing w:after="0"/>
              <w:rPr>
                <w:sz w:val="20"/>
                <w:szCs w:val="20"/>
                <w:color w:val="auto"/>
              </w:rPr>
            </w:pPr>
            <w:r>
              <w:rPr>
                <w:rFonts w:ascii="Arial" w:cs="Arial" w:eastAsia="Arial" w:hAnsi="Arial"/>
                <w:sz w:val="16"/>
                <w:szCs w:val="16"/>
                <w:color w:val="auto"/>
              </w:rPr>
              <w:t>380 Lafayette St.</w:t>
            </w:r>
          </w:p>
        </w:tc>
        <w:tc>
          <w:tcPr>
            <w:tcW w:w="362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211"/>
        </w:trPr>
        <w:tc>
          <w:tcPr>
            <w:tcW w:w="1560" w:type="dxa"/>
            <w:vAlign w:val="bottom"/>
          </w:tcPr>
          <w:p>
            <w:pPr>
              <w:spacing w:after="0"/>
              <w:rPr>
                <w:sz w:val="18"/>
                <w:szCs w:val="18"/>
                <w:color w:val="auto"/>
              </w:rPr>
            </w:pPr>
          </w:p>
        </w:tc>
        <w:tc>
          <w:tcPr>
            <w:tcW w:w="4100" w:type="dxa"/>
            <w:vAlign w:val="bottom"/>
          </w:tcPr>
          <w:p>
            <w:pPr>
              <w:ind w:left="480"/>
              <w:spacing w:after="0"/>
              <w:rPr>
                <w:sz w:val="20"/>
                <w:szCs w:val="20"/>
                <w:color w:val="auto"/>
              </w:rPr>
            </w:pPr>
            <w:r>
              <w:rPr>
                <w:rFonts w:ascii="Arial" w:cs="Arial" w:eastAsia="Arial" w:hAnsi="Arial"/>
                <w:sz w:val="16"/>
                <w:szCs w:val="16"/>
                <w:color w:val="auto"/>
              </w:rPr>
              <w:t>New York, NY 10003</w:t>
            </w:r>
          </w:p>
        </w:tc>
        <w:tc>
          <w:tcPr>
            <w:tcW w:w="3620" w:type="dxa"/>
            <w:vAlign w:val="bottom"/>
          </w:tcPr>
          <w:p>
            <w:pPr>
              <w:spacing w:after="0"/>
              <w:rPr>
                <w:sz w:val="18"/>
                <w:szCs w:val="18"/>
                <w:color w:val="auto"/>
              </w:rPr>
            </w:pPr>
          </w:p>
        </w:tc>
        <w:tc>
          <w:tcPr>
            <w:tcW w:w="1580" w:type="dxa"/>
            <w:vAlign w:val="bottom"/>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129540</wp:posOffset>
            </wp:positionV>
            <wp:extent cx="1991360" cy="825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1991360" cy="8255"/>
                    </a:xfrm>
                    <a:prstGeom prst="rect">
                      <a:avLst/>
                    </a:prstGeom>
                    <a:noFill/>
                  </pic:spPr>
                </pic:pic>
              </a:graphicData>
            </a:graphic>
          </wp:anchor>
        </w:drawing>
      </w:r>
    </w:p>
    <w:p>
      <w:pPr>
        <w:spacing w:after="0" w:line="327" w:lineRule="exact"/>
        <w:rPr>
          <w:sz w:val="20"/>
          <w:szCs w:val="20"/>
          <w:color w:val="auto"/>
        </w:rPr>
      </w:pPr>
    </w:p>
    <w:p>
      <w:pPr>
        <w:ind w:left="320" w:hanging="313"/>
        <w:spacing w:after="0"/>
        <w:tabs>
          <w:tab w:leader="none" w:pos="320" w:val="left"/>
        </w:tabs>
        <w:numPr>
          <w:ilvl w:val="0"/>
          <w:numId w:val="87"/>
        </w:numPr>
        <w:rPr>
          <w:rFonts w:ascii="Arial" w:cs="Arial" w:eastAsia="Arial" w:hAnsi="Arial"/>
          <w:sz w:val="18"/>
          <w:szCs w:val="18"/>
          <w:color w:val="auto"/>
        </w:rPr>
      </w:pPr>
      <w:r>
        <w:rPr>
          <w:rFonts w:ascii="Arial" w:cs="Arial" w:eastAsia="Arial" w:hAnsi="Arial"/>
          <w:sz w:val="18"/>
          <w:szCs w:val="18"/>
          <w:color w:val="auto"/>
        </w:rPr>
        <w:t>Percent of class is based on 100,625,924 shares outstanding as of January 21, 2025.</w:t>
      </w:r>
    </w:p>
    <w:p>
      <w:pPr>
        <w:spacing w:after="0" w:line="46" w:lineRule="exact"/>
        <w:rPr>
          <w:rFonts w:ascii="Arial" w:cs="Arial" w:eastAsia="Arial" w:hAnsi="Arial"/>
          <w:sz w:val="18"/>
          <w:szCs w:val="18"/>
          <w:color w:val="auto"/>
        </w:rPr>
      </w:pPr>
    </w:p>
    <w:p>
      <w:pPr>
        <w:jc w:val="both"/>
        <w:ind w:left="320" w:hanging="313"/>
        <w:spacing w:after="0" w:line="247" w:lineRule="auto"/>
        <w:tabs>
          <w:tab w:leader="none" w:pos="308" w:val="left"/>
        </w:tabs>
        <w:numPr>
          <w:ilvl w:val="0"/>
          <w:numId w:val="87"/>
        </w:numPr>
        <w:rPr>
          <w:rFonts w:ascii="Arial" w:cs="Arial" w:eastAsia="Arial" w:hAnsi="Arial"/>
          <w:sz w:val="18"/>
          <w:szCs w:val="18"/>
          <w:color w:val="auto"/>
        </w:rPr>
      </w:pPr>
      <w:r>
        <w:rPr>
          <w:rFonts w:ascii="Arial" w:cs="Arial" w:eastAsia="Arial" w:hAnsi="Arial"/>
          <w:sz w:val="18"/>
          <w:szCs w:val="18"/>
          <w:color w:val="auto"/>
        </w:rPr>
        <w:t>Based solely on information contained in the most recently filed Schedule 13G/A of The Vanguard Group, Inc., an investment adviser, filed with the SEC on February 13, 2024, reflecting beneficial ownership as of December 29, 2023, with sole investment discretion with respect to 10,342,762 shares, shared investment discretion with respect to 148,647 shares, and shared voting authority with respect to 65,209 shares. The Vanguard Group, Inc. does not have sole voting authority over any of the shares.</w:t>
      </w:r>
    </w:p>
    <w:p>
      <w:pPr>
        <w:spacing w:after="0" w:line="15" w:lineRule="exact"/>
        <w:rPr>
          <w:rFonts w:ascii="Arial" w:cs="Arial" w:eastAsia="Arial" w:hAnsi="Arial"/>
          <w:sz w:val="18"/>
          <w:szCs w:val="18"/>
          <w:color w:val="auto"/>
        </w:rPr>
      </w:pPr>
    </w:p>
    <w:p>
      <w:pPr>
        <w:jc w:val="both"/>
        <w:ind w:left="320" w:hanging="313"/>
        <w:spacing w:after="0" w:line="247" w:lineRule="auto"/>
        <w:tabs>
          <w:tab w:leader="none" w:pos="308" w:val="left"/>
        </w:tabs>
        <w:numPr>
          <w:ilvl w:val="0"/>
          <w:numId w:val="87"/>
        </w:numPr>
        <w:rPr>
          <w:rFonts w:ascii="Arial" w:cs="Arial" w:eastAsia="Arial" w:hAnsi="Arial"/>
          <w:sz w:val="18"/>
          <w:szCs w:val="18"/>
          <w:color w:val="auto"/>
        </w:rPr>
      </w:pPr>
      <w:r>
        <w:rPr>
          <w:rFonts w:ascii="Arial" w:cs="Arial" w:eastAsia="Arial" w:hAnsi="Arial"/>
          <w:sz w:val="18"/>
          <w:szCs w:val="18"/>
          <w:color w:val="auto"/>
        </w:rPr>
        <w:t>Based solely on information contained in the most recently filed Schedule 13G/A of T. Rowe Price Associates, Inc., an investment adviser, filed with the SEC on November 14, 2024, reflecting beneficial ownership as of September 30, 2024, with sole investment discretion with respect to 9,385,021 shares and sole voting authority with respect to 9,162,189 shares. T. Rowe Price Associates, Inc. does not have shared voting authority or shared investment discretion over any of the shares.</w:t>
      </w:r>
    </w:p>
    <w:p>
      <w:pPr>
        <w:spacing w:after="0" w:line="28" w:lineRule="exact"/>
        <w:rPr>
          <w:rFonts w:ascii="Arial" w:cs="Arial" w:eastAsia="Arial" w:hAnsi="Arial"/>
          <w:sz w:val="18"/>
          <w:szCs w:val="18"/>
          <w:color w:val="auto"/>
        </w:rPr>
      </w:pPr>
    </w:p>
    <w:p>
      <w:pPr>
        <w:jc w:val="both"/>
        <w:ind w:left="320" w:hanging="313"/>
        <w:spacing w:after="0" w:line="247" w:lineRule="auto"/>
        <w:tabs>
          <w:tab w:leader="none" w:pos="308" w:val="left"/>
        </w:tabs>
        <w:numPr>
          <w:ilvl w:val="0"/>
          <w:numId w:val="87"/>
        </w:numPr>
        <w:rPr>
          <w:rFonts w:ascii="Arial" w:cs="Arial" w:eastAsia="Arial" w:hAnsi="Arial"/>
          <w:sz w:val="18"/>
          <w:szCs w:val="18"/>
          <w:color w:val="auto"/>
        </w:rPr>
      </w:pPr>
      <w:r>
        <w:rPr>
          <w:rFonts w:ascii="Arial" w:cs="Arial" w:eastAsia="Arial" w:hAnsi="Arial"/>
          <w:sz w:val="18"/>
          <w:szCs w:val="18"/>
          <w:color w:val="auto"/>
        </w:rPr>
        <w:t>Based solely on information contained in the most recently filed Schedule 13G/A of BlackRock, Inc., a parent holding company, filed with the SEC on January 24, 2024, reflecting beneficial ownership as of December 31, 2023, with sole investment discretion with respect to all such shares and sole voting authority with respect to 9,892,953 shares. BlackRock, Inc. does not have shared voting authority or shared investment discretion over any of the shares.</w:t>
      </w:r>
    </w:p>
    <w:p>
      <w:pPr>
        <w:spacing w:after="0" w:line="15" w:lineRule="exact"/>
        <w:rPr>
          <w:rFonts w:ascii="Arial" w:cs="Arial" w:eastAsia="Arial" w:hAnsi="Arial"/>
          <w:sz w:val="18"/>
          <w:szCs w:val="18"/>
          <w:color w:val="auto"/>
        </w:rPr>
      </w:pPr>
    </w:p>
    <w:p>
      <w:pPr>
        <w:jc w:val="both"/>
        <w:ind w:left="320" w:hanging="313"/>
        <w:spacing w:after="0" w:line="247" w:lineRule="auto"/>
        <w:tabs>
          <w:tab w:leader="none" w:pos="308" w:val="left"/>
        </w:tabs>
        <w:numPr>
          <w:ilvl w:val="0"/>
          <w:numId w:val="87"/>
        </w:numPr>
        <w:rPr>
          <w:rFonts w:ascii="Arial" w:cs="Arial" w:eastAsia="Arial" w:hAnsi="Arial"/>
          <w:sz w:val="18"/>
          <w:szCs w:val="18"/>
          <w:color w:val="auto"/>
        </w:rPr>
      </w:pPr>
      <w:r>
        <w:rPr>
          <w:rFonts w:ascii="Arial" w:cs="Arial" w:eastAsia="Arial" w:hAnsi="Arial"/>
          <w:sz w:val="18"/>
          <w:szCs w:val="18"/>
          <w:color w:val="auto"/>
        </w:rPr>
        <w:t>Based solely on information contained in the most recently filed Schedule 13G/A of Select Equity Group, L.P., an investment adviser and parent holding company, filed with the SEC on February 14, 2024, reflecting beneficial ownership as of December 31, 2023, with shared investment discretion and shared voting authority with respect to all such shares. Select Equity Group, L.P. does not have sole voting authority or sole investment discretion over any of the shares.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152" w:right="339" w:bottom="1440" w:gutter="0" w:footer="0" w:header="0"/>
        </w:sectPr>
      </w:pPr>
    </w:p>
    <w:bookmarkStart w:id="81" w:name="page82"/>
    <w:bookmarkEnd w:id="81"/>
    <w:p>
      <w:pPr>
        <w:spacing w:after="0"/>
        <w:rPr>
          <w:sz w:val="20"/>
          <w:szCs w:val="20"/>
          <w:color w:val="auto"/>
        </w:rPr>
      </w:pPr>
      <w:r>
        <w:rPr>
          <w:rFonts w:ascii="Arial" w:cs="Arial" w:eastAsia="Arial" w:hAnsi="Arial"/>
          <w:sz w:val="20"/>
          <w:szCs w:val="20"/>
          <w:b w:val="1"/>
          <w:bCs w:val="1"/>
          <w:color w:val="C00000"/>
        </w:rPr>
        <w:t>Directors and Executive Officers</w:t>
      </w:r>
    </w:p>
    <w:p>
      <w:pPr>
        <w:spacing w:after="0" w:line="110" w:lineRule="exact"/>
        <w:rPr>
          <w:sz w:val="20"/>
          <w:szCs w:val="20"/>
          <w:color w:val="auto"/>
        </w:rPr>
      </w:pPr>
    </w:p>
    <w:p>
      <w:pPr>
        <w:ind w:left="320"/>
        <w:spacing w:after="0"/>
        <w:rPr>
          <w:sz w:val="20"/>
          <w:szCs w:val="20"/>
          <w:color w:val="auto"/>
        </w:rPr>
      </w:pPr>
      <w:r>
        <w:rPr>
          <w:rFonts w:ascii="Arial" w:cs="Arial" w:eastAsia="Arial" w:hAnsi="Arial"/>
          <w:sz w:val="17"/>
          <w:szCs w:val="17"/>
          <w:color w:val="auto"/>
        </w:rPr>
        <w:t>The following table sets forth information known to us regarding the beneficial ownership of our common stock as of January 21, 2025, by:</w:t>
      </w:r>
    </w:p>
    <w:p>
      <w:pPr>
        <w:spacing w:after="0" w:line="21" w:lineRule="exact"/>
        <w:rPr>
          <w:sz w:val="20"/>
          <w:szCs w:val="20"/>
          <w:color w:val="auto"/>
        </w:rPr>
      </w:pPr>
    </w:p>
    <w:p>
      <w:pPr>
        <w:ind w:right="20" w:firstLine="7"/>
        <w:spacing w:after="0" w:line="259" w:lineRule="auto"/>
        <w:tabs>
          <w:tab w:leader="none" w:pos="233" w:val="left"/>
        </w:tabs>
        <w:numPr>
          <w:ilvl w:val="0"/>
          <w:numId w:val="88"/>
        </w:numPr>
        <w:rPr>
          <w:rFonts w:ascii="Arial" w:cs="Arial" w:eastAsia="Arial" w:hAnsi="Arial"/>
          <w:sz w:val="18"/>
          <w:szCs w:val="18"/>
          <w:color w:val="auto"/>
        </w:rPr>
      </w:pPr>
      <w:r>
        <w:rPr>
          <w:rFonts w:ascii="Arial" w:cs="Arial" w:eastAsia="Arial" w:hAnsi="Arial"/>
          <w:sz w:val="18"/>
          <w:szCs w:val="18"/>
          <w:color w:val="auto"/>
        </w:rPr>
        <w:t>each of our current non-employee directors, (ii) our current executive officers named in the Summary Compensation Table, and (iii) all current non-employee directors and executive officers as a group.</w:t>
      </w:r>
    </w:p>
    <w:p>
      <w:pPr>
        <w:spacing w:after="0" w:line="101" w:lineRule="exact"/>
        <w:rPr>
          <w:sz w:val="20"/>
          <w:szCs w:val="20"/>
          <w:color w:val="auto"/>
        </w:rPr>
      </w:pPr>
    </w:p>
    <w:tbl>
      <w:tblPr>
        <w:tblLayout w:type="fixed"/>
        <w:tblInd w:w="360" w:type="dxa"/>
        <w:tblCellMar>
          <w:top w:w="0" w:type="dxa"/>
          <w:left w:w="0" w:type="dxa"/>
          <w:bottom w:w="0" w:type="dxa"/>
          <w:right w:w="0" w:type="dxa"/>
        </w:tblCellMar>
      </w:tblPr>
      <w:tr>
        <w:trPr>
          <w:trHeight w:val="204"/>
        </w:trPr>
        <w:tc>
          <w:tcPr>
            <w:tcW w:w="1600" w:type="dxa"/>
            <w:vAlign w:val="bottom"/>
            <w:shd w:val="clear" w:color="auto" w:fill="BF2115"/>
          </w:tcPr>
          <w:p>
            <w:pPr>
              <w:spacing w:after="0"/>
              <w:rPr>
                <w:sz w:val="17"/>
                <w:szCs w:val="17"/>
                <w:color w:val="auto"/>
              </w:rPr>
            </w:pPr>
          </w:p>
        </w:tc>
        <w:tc>
          <w:tcPr>
            <w:tcW w:w="4260" w:type="dxa"/>
            <w:vAlign w:val="bottom"/>
            <w:shd w:val="clear" w:color="auto" w:fill="BF2115"/>
          </w:tcPr>
          <w:p>
            <w:pPr>
              <w:spacing w:after="0"/>
              <w:rPr>
                <w:sz w:val="17"/>
                <w:szCs w:val="17"/>
                <w:color w:val="auto"/>
              </w:rPr>
            </w:pPr>
          </w:p>
        </w:tc>
        <w:tc>
          <w:tcPr>
            <w:tcW w:w="3600" w:type="dxa"/>
            <w:vAlign w:val="bottom"/>
            <w:shd w:val="clear" w:color="auto" w:fill="BF2115"/>
          </w:tcPr>
          <w:p>
            <w:pPr>
              <w:jc w:val="center"/>
              <w:ind w:left="983"/>
              <w:spacing w:after="0"/>
              <w:rPr>
                <w:sz w:val="20"/>
                <w:szCs w:val="20"/>
                <w:color w:val="auto"/>
              </w:rPr>
            </w:pPr>
            <w:r>
              <w:rPr>
                <w:rFonts w:ascii="Arial" w:cs="Arial" w:eastAsia="Arial" w:hAnsi="Arial"/>
                <w:sz w:val="14"/>
                <w:szCs w:val="14"/>
                <w:b w:val="1"/>
                <w:bCs w:val="1"/>
                <w:color w:val="FFFFFF"/>
              </w:rPr>
              <w:t>Amount and Nature of</w:t>
            </w:r>
          </w:p>
        </w:tc>
        <w:tc>
          <w:tcPr>
            <w:tcW w:w="1080" w:type="dxa"/>
            <w:vAlign w:val="bottom"/>
            <w:vMerge w:val="restart"/>
            <w:shd w:val="clear" w:color="auto" w:fill="BF2115"/>
          </w:tcPr>
          <w:p>
            <w:pPr>
              <w:jc w:val="center"/>
              <w:spacing w:after="0"/>
              <w:rPr>
                <w:sz w:val="20"/>
                <w:szCs w:val="20"/>
                <w:color w:val="auto"/>
              </w:rPr>
            </w:pPr>
            <w:r>
              <w:rPr>
                <w:rFonts w:ascii="Arial" w:cs="Arial" w:eastAsia="Arial" w:hAnsi="Arial"/>
                <w:sz w:val="14"/>
                <w:szCs w:val="14"/>
                <w:b w:val="1"/>
                <w:bCs w:val="1"/>
                <w:color w:val="FFFFFF"/>
              </w:rPr>
              <w:t>Percent of</w:t>
            </w:r>
          </w:p>
        </w:tc>
        <w:tc>
          <w:tcPr>
            <w:tcW w:w="0" w:type="dxa"/>
            <w:vAlign w:val="bottom"/>
          </w:tcPr>
          <w:p>
            <w:pPr>
              <w:spacing w:after="0"/>
              <w:rPr>
                <w:sz w:val="1"/>
                <w:szCs w:val="1"/>
                <w:color w:val="auto"/>
              </w:rPr>
            </w:pPr>
          </w:p>
        </w:tc>
      </w:tr>
      <w:tr>
        <w:trPr>
          <w:trHeight w:val="143"/>
        </w:trPr>
        <w:tc>
          <w:tcPr>
            <w:tcW w:w="1600" w:type="dxa"/>
            <w:vAlign w:val="bottom"/>
            <w:vMerge w:val="restart"/>
            <w:shd w:val="clear" w:color="auto" w:fill="BF2115"/>
          </w:tcPr>
          <w:p>
            <w:pPr>
              <w:ind w:left="20"/>
              <w:spacing w:after="0"/>
              <w:rPr>
                <w:sz w:val="20"/>
                <w:szCs w:val="20"/>
                <w:color w:val="auto"/>
              </w:rPr>
            </w:pPr>
            <w:r>
              <w:rPr>
                <w:rFonts w:ascii="Arial" w:cs="Arial" w:eastAsia="Arial" w:hAnsi="Arial"/>
                <w:sz w:val="14"/>
                <w:szCs w:val="14"/>
                <w:b w:val="1"/>
                <w:bCs w:val="1"/>
                <w:color w:val="FFFFFF"/>
              </w:rPr>
              <w:t>Title of Class</w:t>
            </w:r>
          </w:p>
        </w:tc>
        <w:tc>
          <w:tcPr>
            <w:tcW w:w="4260" w:type="dxa"/>
            <w:vAlign w:val="bottom"/>
            <w:vMerge w:val="restart"/>
            <w:shd w:val="clear" w:color="auto" w:fill="BF2115"/>
          </w:tcPr>
          <w:p>
            <w:pPr>
              <w:ind w:left="500"/>
              <w:spacing w:after="0"/>
              <w:rPr>
                <w:sz w:val="20"/>
                <w:szCs w:val="20"/>
                <w:color w:val="auto"/>
              </w:rPr>
            </w:pPr>
            <w:r>
              <w:rPr>
                <w:rFonts w:ascii="Arial" w:cs="Arial" w:eastAsia="Arial" w:hAnsi="Arial"/>
                <w:sz w:val="14"/>
                <w:szCs w:val="14"/>
                <w:b w:val="1"/>
                <w:bCs w:val="1"/>
                <w:color w:val="FFFFFF"/>
              </w:rPr>
              <w:t>Name of Beneficial Owner</w:t>
            </w:r>
          </w:p>
        </w:tc>
        <w:tc>
          <w:tcPr>
            <w:tcW w:w="3600" w:type="dxa"/>
            <w:vAlign w:val="bottom"/>
            <w:shd w:val="clear" w:color="auto" w:fill="BF2115"/>
          </w:tcPr>
          <w:p>
            <w:pPr>
              <w:jc w:val="center"/>
              <w:ind w:left="983"/>
              <w:spacing w:after="0" w:line="143" w:lineRule="exact"/>
              <w:rPr>
                <w:sz w:val="20"/>
                <w:szCs w:val="20"/>
                <w:color w:val="auto"/>
              </w:rPr>
            </w:pPr>
            <w:r>
              <w:rPr>
                <w:rFonts w:ascii="Arial" w:cs="Arial" w:eastAsia="Arial" w:hAnsi="Arial"/>
                <w:sz w:val="14"/>
                <w:szCs w:val="14"/>
                <w:b w:val="1"/>
                <w:bCs w:val="1"/>
                <w:color w:val="FFFFFF"/>
              </w:rPr>
              <w:t>Beneficial Ownership</w:t>
            </w:r>
          </w:p>
        </w:tc>
        <w:tc>
          <w:tcPr>
            <w:tcW w:w="1080" w:type="dxa"/>
            <w:vAlign w:val="bottom"/>
            <w:vMerge w:val="continue"/>
            <w:shd w:val="clear" w:color="auto" w:fill="BF2115"/>
          </w:tcPr>
          <w:p>
            <w:pPr>
              <w:spacing w:after="0"/>
              <w:rPr>
                <w:sz w:val="12"/>
                <w:szCs w:val="12"/>
                <w:color w:val="auto"/>
              </w:rPr>
            </w:pPr>
          </w:p>
        </w:tc>
        <w:tc>
          <w:tcPr>
            <w:tcW w:w="0" w:type="dxa"/>
            <w:vAlign w:val="bottom"/>
          </w:tcPr>
          <w:p>
            <w:pPr>
              <w:spacing w:after="0"/>
              <w:rPr>
                <w:sz w:val="1"/>
                <w:szCs w:val="1"/>
                <w:color w:val="auto"/>
              </w:rPr>
            </w:pPr>
          </w:p>
        </w:tc>
      </w:tr>
      <w:tr>
        <w:trPr>
          <w:trHeight w:val="187"/>
        </w:trPr>
        <w:tc>
          <w:tcPr>
            <w:tcW w:w="1600" w:type="dxa"/>
            <w:vAlign w:val="bottom"/>
            <w:vMerge w:val="continue"/>
            <w:shd w:val="clear" w:color="auto" w:fill="BF2115"/>
          </w:tcPr>
          <w:p>
            <w:pPr>
              <w:spacing w:after="0"/>
              <w:rPr>
                <w:sz w:val="16"/>
                <w:szCs w:val="16"/>
                <w:color w:val="auto"/>
              </w:rPr>
            </w:pPr>
          </w:p>
        </w:tc>
        <w:tc>
          <w:tcPr>
            <w:tcW w:w="4260" w:type="dxa"/>
            <w:vAlign w:val="bottom"/>
            <w:vMerge w:val="continue"/>
            <w:shd w:val="clear" w:color="auto" w:fill="BF2115"/>
          </w:tcPr>
          <w:p>
            <w:pPr>
              <w:spacing w:after="0"/>
              <w:rPr>
                <w:sz w:val="16"/>
                <w:szCs w:val="16"/>
                <w:color w:val="auto"/>
              </w:rPr>
            </w:pPr>
          </w:p>
        </w:tc>
        <w:tc>
          <w:tcPr>
            <w:tcW w:w="3600" w:type="dxa"/>
            <w:vAlign w:val="bottom"/>
            <w:shd w:val="clear" w:color="auto" w:fill="BF2115"/>
          </w:tcPr>
          <w:p>
            <w:pPr>
              <w:jc w:val="center"/>
              <w:ind w:left="1003"/>
              <w:spacing w:after="0"/>
              <w:rPr>
                <w:sz w:val="20"/>
                <w:szCs w:val="20"/>
                <w:color w:val="auto"/>
              </w:rPr>
            </w:pPr>
            <w:r>
              <w:rPr>
                <w:rFonts w:ascii="Arial" w:cs="Arial" w:eastAsia="Arial" w:hAnsi="Arial"/>
                <w:sz w:val="9"/>
                <w:szCs w:val="9"/>
                <w:b w:val="1"/>
                <w:bCs w:val="1"/>
                <w:color w:val="FFFFFF"/>
              </w:rPr>
              <w:t>1 2 3 4</w:t>
            </w:r>
          </w:p>
        </w:tc>
        <w:tc>
          <w:tcPr>
            <w:tcW w:w="1080" w:type="dxa"/>
            <w:vAlign w:val="bottom"/>
            <w:shd w:val="clear" w:color="auto" w:fill="BF2115"/>
          </w:tcPr>
          <w:p>
            <w:pPr>
              <w:jc w:val="center"/>
              <w:spacing w:after="0" w:line="187" w:lineRule="exact"/>
              <w:rPr>
                <w:sz w:val="20"/>
                <w:szCs w:val="20"/>
                <w:color w:val="auto"/>
              </w:rPr>
            </w:pPr>
            <w:r>
              <w:rPr>
                <w:rFonts w:ascii="Arial" w:cs="Arial" w:eastAsia="Arial" w:hAnsi="Arial"/>
                <w:sz w:val="14"/>
                <w:szCs w:val="14"/>
                <w:b w:val="1"/>
                <w:bCs w:val="1"/>
                <w:color w:val="FFFFFF"/>
                <w:w w:val="95"/>
              </w:rPr>
              <w:t>Class</w:t>
            </w:r>
            <w:r>
              <w:rPr>
                <w:rFonts w:ascii="Arial" w:cs="Arial" w:eastAsia="Arial" w:hAnsi="Arial"/>
                <w:sz w:val="18"/>
                <w:szCs w:val="18"/>
                <w:b w:val="1"/>
                <w:bCs w:val="1"/>
                <w:color w:val="FFFFFF"/>
                <w:w w:val="95"/>
                <w:vertAlign w:val="superscript"/>
              </w:rPr>
              <w:t>5</w:t>
            </w:r>
          </w:p>
        </w:tc>
        <w:tc>
          <w:tcPr>
            <w:tcW w:w="0" w:type="dxa"/>
            <w:vAlign w:val="bottom"/>
          </w:tcPr>
          <w:p>
            <w:pPr>
              <w:spacing w:after="0"/>
              <w:rPr>
                <w:sz w:val="1"/>
                <w:szCs w:val="1"/>
                <w:color w:val="auto"/>
              </w:rPr>
            </w:pPr>
          </w:p>
        </w:tc>
      </w:tr>
      <w:tr>
        <w:trPr>
          <w:trHeight w:val="211"/>
        </w:trPr>
        <w:tc>
          <w:tcPr>
            <w:tcW w:w="1600" w:type="dxa"/>
            <w:vAlign w:val="bottom"/>
          </w:tcPr>
          <w:p>
            <w:pPr>
              <w:spacing w:after="0"/>
              <w:rPr>
                <w:sz w:val="18"/>
                <w:szCs w:val="18"/>
                <w:color w:val="auto"/>
              </w:rPr>
            </w:pPr>
          </w:p>
        </w:tc>
        <w:tc>
          <w:tcPr>
            <w:tcW w:w="4260" w:type="dxa"/>
            <w:vAlign w:val="bottom"/>
          </w:tcPr>
          <w:p>
            <w:pPr>
              <w:ind w:left="500"/>
              <w:spacing w:after="0"/>
              <w:rPr>
                <w:sz w:val="20"/>
                <w:szCs w:val="20"/>
                <w:color w:val="auto"/>
              </w:rPr>
            </w:pPr>
            <w:r>
              <w:rPr>
                <w:rFonts w:ascii="Arial" w:cs="Arial" w:eastAsia="Arial" w:hAnsi="Arial"/>
                <w:sz w:val="16"/>
                <w:szCs w:val="16"/>
                <w:color w:val="auto"/>
              </w:rPr>
              <w:t>Non-Employee Directors:</w:t>
            </w:r>
          </w:p>
        </w:tc>
        <w:tc>
          <w:tcPr>
            <w:tcW w:w="36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9"/>
        </w:trPr>
        <w:tc>
          <w:tcPr>
            <w:tcW w:w="1600" w:type="dxa"/>
            <w:vAlign w:val="bottom"/>
          </w:tcPr>
          <w:p>
            <w:pPr>
              <w:spacing w:after="0"/>
              <w:rPr>
                <w:sz w:val="2"/>
                <w:szCs w:val="2"/>
                <w:color w:val="auto"/>
              </w:rPr>
            </w:pPr>
          </w:p>
        </w:tc>
        <w:tc>
          <w:tcPr>
            <w:tcW w:w="4260" w:type="dxa"/>
            <w:vAlign w:val="bottom"/>
          </w:tcPr>
          <w:p>
            <w:pPr>
              <w:spacing w:after="0"/>
              <w:rPr>
                <w:sz w:val="2"/>
                <w:szCs w:val="2"/>
                <w:color w:val="auto"/>
              </w:rPr>
            </w:pPr>
          </w:p>
        </w:tc>
        <w:tc>
          <w:tcPr>
            <w:tcW w:w="36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160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6"/>
                <w:szCs w:val="16"/>
                <w:color w:val="auto"/>
              </w:rPr>
              <w:t>Common Stock</w:t>
            </w:r>
          </w:p>
        </w:tc>
        <w:tc>
          <w:tcPr>
            <w:tcW w:w="4260" w:type="dxa"/>
            <w:vAlign w:val="bottom"/>
            <w:tcBorders>
              <w:bottom w:val="single" w:sz="8" w:color="DBDBDB"/>
            </w:tcBorders>
            <w:shd w:val="clear" w:color="auto" w:fill="DBDBDB"/>
          </w:tcPr>
          <w:p>
            <w:pPr>
              <w:ind w:left="700"/>
              <w:spacing w:after="0"/>
              <w:rPr>
                <w:sz w:val="20"/>
                <w:szCs w:val="20"/>
                <w:color w:val="auto"/>
              </w:rPr>
            </w:pPr>
            <w:r>
              <w:rPr>
                <w:rFonts w:ascii="Arial" w:cs="Arial" w:eastAsia="Arial" w:hAnsi="Arial"/>
                <w:sz w:val="16"/>
                <w:szCs w:val="16"/>
                <w:color w:val="auto"/>
              </w:rPr>
              <w:t>Dianne C. Craig</w:t>
            </w:r>
          </w:p>
        </w:tc>
        <w:tc>
          <w:tcPr>
            <w:tcW w:w="3600" w:type="dxa"/>
            <w:vAlign w:val="bottom"/>
            <w:tcBorders>
              <w:bottom w:val="single" w:sz="8" w:color="DBDBDB"/>
            </w:tcBorders>
            <w:shd w:val="clear" w:color="auto" w:fill="DBDBDB"/>
          </w:tcPr>
          <w:p>
            <w:pPr>
              <w:jc w:val="right"/>
              <w:ind w:right="103"/>
              <w:spacing w:after="0"/>
              <w:rPr>
                <w:sz w:val="20"/>
                <w:szCs w:val="20"/>
                <w:color w:val="auto"/>
              </w:rPr>
            </w:pPr>
            <w:r>
              <w:rPr>
                <w:rFonts w:ascii="Arial" w:cs="Arial" w:eastAsia="Arial" w:hAnsi="Arial"/>
                <w:sz w:val="16"/>
                <w:szCs w:val="16"/>
                <w:color w:val="auto"/>
              </w:rPr>
              <w:t>2,530</w:t>
            </w:r>
          </w:p>
        </w:tc>
        <w:tc>
          <w:tcPr>
            <w:tcW w:w="1080" w:type="dxa"/>
            <w:vAlign w:val="bottom"/>
            <w:tcBorders>
              <w:bottom w:val="single" w:sz="8" w:color="DBDBDB"/>
            </w:tcBorders>
            <w:shd w:val="clear" w:color="auto" w:fill="DBDBDB"/>
          </w:tcPr>
          <w:p>
            <w:pPr>
              <w:jc w:val="center"/>
              <w:spacing w:after="0"/>
              <w:rPr>
                <w:sz w:val="20"/>
                <w:szCs w:val="20"/>
                <w:color w:val="auto"/>
              </w:rPr>
            </w:pPr>
            <w:r>
              <w:rPr>
                <w:rFonts w:ascii="Arial" w:cs="Arial" w:eastAsia="Arial" w:hAnsi="Arial"/>
                <w:sz w:val="16"/>
                <w:szCs w:val="16"/>
                <w:color w:val="auto"/>
                <w:w w:val="95"/>
              </w:rPr>
              <w:t>*</w:t>
            </w:r>
          </w:p>
        </w:tc>
        <w:tc>
          <w:tcPr>
            <w:tcW w:w="0" w:type="dxa"/>
            <w:vAlign w:val="bottom"/>
          </w:tcPr>
          <w:p>
            <w:pPr>
              <w:spacing w:after="0"/>
              <w:rPr>
                <w:sz w:val="1"/>
                <w:szCs w:val="1"/>
                <w:color w:val="auto"/>
              </w:rPr>
            </w:pPr>
          </w:p>
        </w:tc>
      </w:tr>
      <w:tr>
        <w:trPr>
          <w:trHeight w:val="211"/>
        </w:trPr>
        <w:tc>
          <w:tcPr>
            <w:tcW w:w="1600" w:type="dxa"/>
            <w:vAlign w:val="bottom"/>
          </w:tcPr>
          <w:p>
            <w:pPr>
              <w:ind w:left="20"/>
              <w:spacing w:after="0"/>
              <w:rPr>
                <w:sz w:val="20"/>
                <w:szCs w:val="20"/>
                <w:color w:val="auto"/>
              </w:rPr>
            </w:pPr>
            <w:r>
              <w:rPr>
                <w:rFonts w:ascii="Arial" w:cs="Arial" w:eastAsia="Arial" w:hAnsi="Arial"/>
                <w:sz w:val="16"/>
                <w:szCs w:val="16"/>
                <w:color w:val="auto"/>
              </w:rPr>
              <w:t>Common Stock</w:t>
            </w:r>
          </w:p>
        </w:tc>
        <w:tc>
          <w:tcPr>
            <w:tcW w:w="4260" w:type="dxa"/>
            <w:vAlign w:val="bottom"/>
          </w:tcPr>
          <w:p>
            <w:pPr>
              <w:ind w:left="700"/>
              <w:spacing w:after="0"/>
              <w:rPr>
                <w:sz w:val="20"/>
                <w:szCs w:val="20"/>
                <w:color w:val="auto"/>
              </w:rPr>
            </w:pPr>
            <w:r>
              <w:rPr>
                <w:rFonts w:ascii="Arial" w:cs="Arial" w:eastAsia="Arial" w:hAnsi="Arial"/>
                <w:sz w:val="16"/>
                <w:szCs w:val="16"/>
                <w:color w:val="auto"/>
              </w:rPr>
              <w:t>Gary L. Ellis</w:t>
            </w:r>
          </w:p>
        </w:tc>
        <w:tc>
          <w:tcPr>
            <w:tcW w:w="3600" w:type="dxa"/>
            <w:vAlign w:val="bottom"/>
          </w:tcPr>
          <w:p>
            <w:pPr>
              <w:jc w:val="right"/>
              <w:ind w:right="103"/>
              <w:spacing w:after="0"/>
              <w:rPr>
                <w:sz w:val="20"/>
                <w:szCs w:val="20"/>
                <w:color w:val="auto"/>
              </w:rPr>
            </w:pPr>
            <w:r>
              <w:rPr>
                <w:rFonts w:ascii="Arial" w:cs="Arial" w:eastAsia="Arial" w:hAnsi="Arial"/>
                <w:sz w:val="16"/>
                <w:szCs w:val="16"/>
                <w:color w:val="auto"/>
              </w:rPr>
              <w:t>38,136</w:t>
            </w:r>
          </w:p>
        </w:tc>
        <w:tc>
          <w:tcPr>
            <w:tcW w:w="1080" w:type="dxa"/>
            <w:vAlign w:val="bottom"/>
          </w:tcPr>
          <w:p>
            <w:pPr>
              <w:jc w:val="center"/>
              <w:spacing w:after="0"/>
              <w:rPr>
                <w:sz w:val="20"/>
                <w:szCs w:val="20"/>
                <w:color w:val="auto"/>
              </w:rPr>
            </w:pPr>
            <w:r>
              <w:rPr>
                <w:rFonts w:ascii="Arial" w:cs="Arial" w:eastAsia="Arial" w:hAnsi="Arial"/>
                <w:sz w:val="16"/>
                <w:szCs w:val="16"/>
                <w:color w:val="auto"/>
                <w:w w:val="95"/>
              </w:rPr>
              <w:t>*</w:t>
            </w:r>
          </w:p>
        </w:tc>
        <w:tc>
          <w:tcPr>
            <w:tcW w:w="0" w:type="dxa"/>
            <w:vAlign w:val="bottom"/>
          </w:tcPr>
          <w:p>
            <w:pPr>
              <w:spacing w:after="0"/>
              <w:rPr>
                <w:sz w:val="1"/>
                <w:szCs w:val="1"/>
                <w:color w:val="auto"/>
              </w:rPr>
            </w:pPr>
          </w:p>
        </w:tc>
      </w:tr>
      <w:tr>
        <w:trPr>
          <w:trHeight w:val="29"/>
        </w:trPr>
        <w:tc>
          <w:tcPr>
            <w:tcW w:w="1600" w:type="dxa"/>
            <w:vAlign w:val="bottom"/>
          </w:tcPr>
          <w:p>
            <w:pPr>
              <w:spacing w:after="0"/>
              <w:rPr>
                <w:sz w:val="2"/>
                <w:szCs w:val="2"/>
                <w:color w:val="auto"/>
              </w:rPr>
            </w:pPr>
          </w:p>
        </w:tc>
        <w:tc>
          <w:tcPr>
            <w:tcW w:w="4260" w:type="dxa"/>
            <w:vAlign w:val="bottom"/>
          </w:tcPr>
          <w:p>
            <w:pPr>
              <w:spacing w:after="0"/>
              <w:rPr>
                <w:sz w:val="2"/>
                <w:szCs w:val="2"/>
                <w:color w:val="auto"/>
              </w:rPr>
            </w:pPr>
          </w:p>
        </w:tc>
        <w:tc>
          <w:tcPr>
            <w:tcW w:w="36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160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6"/>
                <w:szCs w:val="16"/>
                <w:color w:val="auto"/>
              </w:rPr>
              <w:t>Common Stock</w:t>
            </w:r>
          </w:p>
        </w:tc>
        <w:tc>
          <w:tcPr>
            <w:tcW w:w="4260" w:type="dxa"/>
            <w:vAlign w:val="bottom"/>
            <w:tcBorders>
              <w:bottom w:val="single" w:sz="8" w:color="DBDBDB"/>
            </w:tcBorders>
            <w:shd w:val="clear" w:color="auto" w:fill="DBDBDB"/>
          </w:tcPr>
          <w:p>
            <w:pPr>
              <w:ind w:left="700"/>
              <w:spacing w:after="0"/>
              <w:rPr>
                <w:sz w:val="20"/>
                <w:szCs w:val="20"/>
                <w:color w:val="auto"/>
              </w:rPr>
            </w:pPr>
            <w:r>
              <w:rPr>
                <w:rFonts w:ascii="Arial" w:cs="Arial" w:eastAsia="Arial" w:hAnsi="Arial"/>
                <w:sz w:val="16"/>
                <w:szCs w:val="16"/>
                <w:color w:val="auto"/>
              </w:rPr>
              <w:t>Eric P. Hansotia</w:t>
            </w:r>
          </w:p>
        </w:tc>
        <w:tc>
          <w:tcPr>
            <w:tcW w:w="3600" w:type="dxa"/>
            <w:vAlign w:val="bottom"/>
            <w:tcBorders>
              <w:bottom w:val="single" w:sz="8" w:color="DBDBDB"/>
            </w:tcBorders>
            <w:shd w:val="clear" w:color="auto" w:fill="DBDBDB"/>
          </w:tcPr>
          <w:p>
            <w:pPr>
              <w:jc w:val="right"/>
              <w:ind w:right="103"/>
              <w:spacing w:after="0"/>
              <w:rPr>
                <w:sz w:val="20"/>
                <w:szCs w:val="20"/>
                <w:color w:val="auto"/>
              </w:rPr>
            </w:pPr>
            <w:r>
              <w:rPr>
                <w:rFonts w:ascii="Arial" w:cs="Arial" w:eastAsia="Arial" w:hAnsi="Arial"/>
                <w:sz w:val="16"/>
                <w:szCs w:val="16"/>
                <w:color w:val="auto"/>
              </w:rPr>
              <w:t>2,983</w:t>
            </w:r>
          </w:p>
        </w:tc>
        <w:tc>
          <w:tcPr>
            <w:tcW w:w="1080" w:type="dxa"/>
            <w:vAlign w:val="bottom"/>
            <w:tcBorders>
              <w:bottom w:val="single" w:sz="8" w:color="DBDBDB"/>
            </w:tcBorders>
            <w:shd w:val="clear" w:color="auto" w:fill="DBDBDB"/>
          </w:tcPr>
          <w:p>
            <w:pPr>
              <w:jc w:val="center"/>
              <w:spacing w:after="0"/>
              <w:rPr>
                <w:sz w:val="20"/>
                <w:szCs w:val="20"/>
                <w:color w:val="auto"/>
              </w:rPr>
            </w:pPr>
            <w:r>
              <w:rPr>
                <w:rFonts w:ascii="Arial" w:cs="Arial" w:eastAsia="Arial" w:hAnsi="Arial"/>
                <w:sz w:val="16"/>
                <w:szCs w:val="16"/>
                <w:color w:val="auto"/>
                <w:w w:val="95"/>
              </w:rPr>
              <w:t>*</w:t>
            </w:r>
          </w:p>
        </w:tc>
        <w:tc>
          <w:tcPr>
            <w:tcW w:w="0" w:type="dxa"/>
            <w:vAlign w:val="bottom"/>
          </w:tcPr>
          <w:p>
            <w:pPr>
              <w:spacing w:after="0"/>
              <w:rPr>
                <w:sz w:val="1"/>
                <w:szCs w:val="1"/>
                <w:color w:val="auto"/>
              </w:rPr>
            </w:pPr>
          </w:p>
        </w:tc>
      </w:tr>
      <w:tr>
        <w:trPr>
          <w:trHeight w:val="211"/>
        </w:trPr>
        <w:tc>
          <w:tcPr>
            <w:tcW w:w="1600" w:type="dxa"/>
            <w:vAlign w:val="bottom"/>
          </w:tcPr>
          <w:p>
            <w:pPr>
              <w:ind w:left="20"/>
              <w:spacing w:after="0"/>
              <w:rPr>
                <w:sz w:val="20"/>
                <w:szCs w:val="20"/>
                <w:color w:val="auto"/>
              </w:rPr>
            </w:pPr>
            <w:r>
              <w:rPr>
                <w:rFonts w:ascii="Arial" w:cs="Arial" w:eastAsia="Arial" w:hAnsi="Arial"/>
                <w:sz w:val="16"/>
                <w:szCs w:val="16"/>
                <w:color w:val="auto"/>
              </w:rPr>
              <w:t>Common Stock</w:t>
            </w:r>
          </w:p>
        </w:tc>
        <w:tc>
          <w:tcPr>
            <w:tcW w:w="4260" w:type="dxa"/>
            <w:vAlign w:val="bottom"/>
          </w:tcPr>
          <w:p>
            <w:pPr>
              <w:ind w:left="700"/>
              <w:spacing w:after="0"/>
              <w:rPr>
                <w:sz w:val="20"/>
                <w:szCs w:val="20"/>
                <w:color w:val="auto"/>
              </w:rPr>
            </w:pPr>
            <w:r>
              <w:rPr>
                <w:rFonts w:ascii="Arial" w:cs="Arial" w:eastAsia="Arial" w:hAnsi="Arial"/>
                <w:sz w:val="16"/>
                <w:szCs w:val="16"/>
                <w:color w:val="auto"/>
              </w:rPr>
              <w:t>Jeffrey L. Harmening</w:t>
            </w:r>
          </w:p>
        </w:tc>
        <w:tc>
          <w:tcPr>
            <w:tcW w:w="3600" w:type="dxa"/>
            <w:vAlign w:val="bottom"/>
          </w:tcPr>
          <w:p>
            <w:pPr>
              <w:jc w:val="right"/>
              <w:ind w:right="103"/>
              <w:spacing w:after="0"/>
              <w:rPr>
                <w:sz w:val="20"/>
                <w:szCs w:val="20"/>
                <w:color w:val="auto"/>
              </w:rPr>
            </w:pPr>
            <w:r>
              <w:rPr>
                <w:rFonts w:ascii="Arial" w:cs="Arial" w:eastAsia="Arial" w:hAnsi="Arial"/>
                <w:sz w:val="16"/>
                <w:szCs w:val="16"/>
                <w:color w:val="auto"/>
              </w:rPr>
              <w:t>8,113</w:t>
            </w:r>
          </w:p>
        </w:tc>
        <w:tc>
          <w:tcPr>
            <w:tcW w:w="1080" w:type="dxa"/>
            <w:vAlign w:val="bottom"/>
          </w:tcPr>
          <w:p>
            <w:pPr>
              <w:jc w:val="center"/>
              <w:spacing w:after="0"/>
              <w:rPr>
                <w:sz w:val="20"/>
                <w:szCs w:val="20"/>
                <w:color w:val="auto"/>
              </w:rPr>
            </w:pPr>
            <w:r>
              <w:rPr>
                <w:rFonts w:ascii="Arial" w:cs="Arial" w:eastAsia="Arial" w:hAnsi="Arial"/>
                <w:sz w:val="16"/>
                <w:szCs w:val="16"/>
                <w:color w:val="auto"/>
                <w:w w:val="95"/>
              </w:rPr>
              <w:t>*</w:t>
            </w:r>
          </w:p>
        </w:tc>
        <w:tc>
          <w:tcPr>
            <w:tcW w:w="0" w:type="dxa"/>
            <w:vAlign w:val="bottom"/>
          </w:tcPr>
          <w:p>
            <w:pPr>
              <w:spacing w:after="0"/>
              <w:rPr>
                <w:sz w:val="1"/>
                <w:szCs w:val="1"/>
                <w:color w:val="auto"/>
              </w:rPr>
            </w:pPr>
          </w:p>
        </w:tc>
      </w:tr>
      <w:tr>
        <w:trPr>
          <w:trHeight w:val="29"/>
        </w:trPr>
        <w:tc>
          <w:tcPr>
            <w:tcW w:w="1600" w:type="dxa"/>
            <w:vAlign w:val="bottom"/>
          </w:tcPr>
          <w:p>
            <w:pPr>
              <w:spacing w:after="0"/>
              <w:rPr>
                <w:sz w:val="2"/>
                <w:szCs w:val="2"/>
                <w:color w:val="auto"/>
              </w:rPr>
            </w:pPr>
          </w:p>
        </w:tc>
        <w:tc>
          <w:tcPr>
            <w:tcW w:w="4260" w:type="dxa"/>
            <w:vAlign w:val="bottom"/>
          </w:tcPr>
          <w:p>
            <w:pPr>
              <w:spacing w:after="0"/>
              <w:rPr>
                <w:sz w:val="2"/>
                <w:szCs w:val="2"/>
                <w:color w:val="auto"/>
              </w:rPr>
            </w:pPr>
          </w:p>
        </w:tc>
        <w:tc>
          <w:tcPr>
            <w:tcW w:w="36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160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6"/>
                <w:szCs w:val="16"/>
                <w:color w:val="auto"/>
              </w:rPr>
              <w:t>Common Stock</w:t>
            </w:r>
          </w:p>
        </w:tc>
        <w:tc>
          <w:tcPr>
            <w:tcW w:w="4260" w:type="dxa"/>
            <w:vAlign w:val="bottom"/>
            <w:tcBorders>
              <w:bottom w:val="single" w:sz="8" w:color="DBDBDB"/>
            </w:tcBorders>
            <w:shd w:val="clear" w:color="auto" w:fill="DBDBDB"/>
          </w:tcPr>
          <w:p>
            <w:pPr>
              <w:ind w:left="700"/>
              <w:spacing w:after="0"/>
              <w:rPr>
                <w:sz w:val="20"/>
                <w:szCs w:val="20"/>
                <w:color w:val="auto"/>
              </w:rPr>
            </w:pPr>
            <w:r>
              <w:rPr>
                <w:rFonts w:ascii="Arial" w:cs="Arial" w:eastAsia="Arial" w:hAnsi="Arial"/>
                <w:sz w:val="16"/>
                <w:szCs w:val="16"/>
                <w:color w:val="auto"/>
              </w:rPr>
              <w:t>D. Christian Koch</w:t>
            </w:r>
          </w:p>
        </w:tc>
        <w:tc>
          <w:tcPr>
            <w:tcW w:w="3600" w:type="dxa"/>
            <w:vAlign w:val="bottom"/>
            <w:tcBorders>
              <w:bottom w:val="single" w:sz="8" w:color="DBDBDB"/>
            </w:tcBorders>
            <w:shd w:val="clear" w:color="auto" w:fill="DBDBDB"/>
          </w:tcPr>
          <w:p>
            <w:pPr>
              <w:jc w:val="right"/>
              <w:ind w:right="103"/>
              <w:spacing w:after="0"/>
              <w:rPr>
                <w:sz w:val="20"/>
                <w:szCs w:val="20"/>
                <w:color w:val="auto"/>
              </w:rPr>
            </w:pPr>
            <w:r>
              <w:rPr>
                <w:rFonts w:ascii="Arial" w:cs="Arial" w:eastAsia="Arial" w:hAnsi="Arial"/>
                <w:sz w:val="16"/>
                <w:szCs w:val="16"/>
                <w:color w:val="auto"/>
              </w:rPr>
              <w:t>12,748</w:t>
            </w:r>
          </w:p>
        </w:tc>
        <w:tc>
          <w:tcPr>
            <w:tcW w:w="1080" w:type="dxa"/>
            <w:vAlign w:val="bottom"/>
            <w:tcBorders>
              <w:bottom w:val="single" w:sz="8" w:color="DBDBDB"/>
            </w:tcBorders>
            <w:shd w:val="clear" w:color="auto" w:fill="DBDBDB"/>
          </w:tcPr>
          <w:p>
            <w:pPr>
              <w:jc w:val="center"/>
              <w:spacing w:after="0"/>
              <w:rPr>
                <w:sz w:val="20"/>
                <w:szCs w:val="20"/>
                <w:color w:val="auto"/>
              </w:rPr>
            </w:pPr>
            <w:r>
              <w:rPr>
                <w:rFonts w:ascii="Arial" w:cs="Arial" w:eastAsia="Arial" w:hAnsi="Arial"/>
                <w:sz w:val="16"/>
                <w:szCs w:val="16"/>
                <w:color w:val="auto"/>
                <w:w w:val="95"/>
              </w:rPr>
              <w:t>*</w:t>
            </w:r>
          </w:p>
        </w:tc>
        <w:tc>
          <w:tcPr>
            <w:tcW w:w="0" w:type="dxa"/>
            <w:vAlign w:val="bottom"/>
          </w:tcPr>
          <w:p>
            <w:pPr>
              <w:spacing w:after="0"/>
              <w:rPr>
                <w:sz w:val="1"/>
                <w:szCs w:val="1"/>
                <w:color w:val="auto"/>
              </w:rPr>
            </w:pPr>
          </w:p>
        </w:tc>
      </w:tr>
      <w:tr>
        <w:trPr>
          <w:trHeight w:val="211"/>
        </w:trPr>
        <w:tc>
          <w:tcPr>
            <w:tcW w:w="1600" w:type="dxa"/>
            <w:vAlign w:val="bottom"/>
          </w:tcPr>
          <w:p>
            <w:pPr>
              <w:ind w:left="20"/>
              <w:spacing w:after="0"/>
              <w:rPr>
                <w:sz w:val="20"/>
                <w:szCs w:val="20"/>
                <w:color w:val="auto"/>
              </w:rPr>
            </w:pPr>
            <w:r>
              <w:rPr>
                <w:rFonts w:ascii="Arial" w:cs="Arial" w:eastAsia="Arial" w:hAnsi="Arial"/>
                <w:sz w:val="16"/>
                <w:szCs w:val="16"/>
                <w:color w:val="auto"/>
              </w:rPr>
              <w:t>Common Stock</w:t>
            </w:r>
          </w:p>
        </w:tc>
        <w:tc>
          <w:tcPr>
            <w:tcW w:w="4260" w:type="dxa"/>
            <w:vAlign w:val="bottom"/>
          </w:tcPr>
          <w:p>
            <w:pPr>
              <w:ind w:left="700"/>
              <w:spacing w:after="0"/>
              <w:rPr>
                <w:sz w:val="20"/>
                <w:szCs w:val="20"/>
                <w:color w:val="auto"/>
              </w:rPr>
            </w:pPr>
            <w:r>
              <w:rPr>
                <w:rFonts w:ascii="Arial" w:cs="Arial" w:eastAsia="Arial" w:hAnsi="Arial"/>
                <w:sz w:val="16"/>
                <w:szCs w:val="16"/>
                <w:color w:val="auto"/>
              </w:rPr>
              <w:t>Joyce A. Mullen</w:t>
            </w:r>
          </w:p>
        </w:tc>
        <w:tc>
          <w:tcPr>
            <w:tcW w:w="3600" w:type="dxa"/>
            <w:vAlign w:val="bottom"/>
          </w:tcPr>
          <w:p>
            <w:pPr>
              <w:jc w:val="right"/>
              <w:ind w:right="103"/>
              <w:spacing w:after="0"/>
              <w:rPr>
                <w:sz w:val="20"/>
                <w:szCs w:val="20"/>
                <w:color w:val="auto"/>
              </w:rPr>
            </w:pPr>
            <w:r>
              <w:rPr>
                <w:rFonts w:ascii="Arial" w:cs="Arial" w:eastAsia="Arial" w:hAnsi="Arial"/>
                <w:sz w:val="16"/>
                <w:szCs w:val="16"/>
                <w:color w:val="auto"/>
              </w:rPr>
              <w:t>5,580</w:t>
            </w:r>
          </w:p>
        </w:tc>
        <w:tc>
          <w:tcPr>
            <w:tcW w:w="1080" w:type="dxa"/>
            <w:vAlign w:val="bottom"/>
          </w:tcPr>
          <w:p>
            <w:pPr>
              <w:jc w:val="center"/>
              <w:spacing w:after="0"/>
              <w:rPr>
                <w:sz w:val="20"/>
                <w:szCs w:val="20"/>
                <w:color w:val="auto"/>
              </w:rPr>
            </w:pPr>
            <w:r>
              <w:rPr>
                <w:rFonts w:ascii="Arial" w:cs="Arial" w:eastAsia="Arial" w:hAnsi="Arial"/>
                <w:sz w:val="16"/>
                <w:szCs w:val="16"/>
                <w:color w:val="auto"/>
                <w:w w:val="95"/>
              </w:rPr>
              <w:t>*</w:t>
            </w:r>
          </w:p>
        </w:tc>
        <w:tc>
          <w:tcPr>
            <w:tcW w:w="0" w:type="dxa"/>
            <w:vAlign w:val="bottom"/>
          </w:tcPr>
          <w:p>
            <w:pPr>
              <w:spacing w:after="0"/>
              <w:rPr>
                <w:sz w:val="1"/>
                <w:szCs w:val="1"/>
                <w:color w:val="auto"/>
              </w:rPr>
            </w:pPr>
          </w:p>
        </w:tc>
      </w:tr>
      <w:tr>
        <w:trPr>
          <w:trHeight w:val="29"/>
        </w:trPr>
        <w:tc>
          <w:tcPr>
            <w:tcW w:w="1600" w:type="dxa"/>
            <w:vAlign w:val="bottom"/>
          </w:tcPr>
          <w:p>
            <w:pPr>
              <w:spacing w:after="0"/>
              <w:rPr>
                <w:sz w:val="2"/>
                <w:szCs w:val="2"/>
                <w:color w:val="auto"/>
              </w:rPr>
            </w:pPr>
          </w:p>
        </w:tc>
        <w:tc>
          <w:tcPr>
            <w:tcW w:w="4260" w:type="dxa"/>
            <w:vAlign w:val="bottom"/>
          </w:tcPr>
          <w:p>
            <w:pPr>
              <w:spacing w:after="0"/>
              <w:rPr>
                <w:sz w:val="2"/>
                <w:szCs w:val="2"/>
                <w:color w:val="auto"/>
              </w:rPr>
            </w:pPr>
          </w:p>
        </w:tc>
        <w:tc>
          <w:tcPr>
            <w:tcW w:w="36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160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6"/>
                <w:szCs w:val="16"/>
                <w:color w:val="auto"/>
              </w:rPr>
              <w:t>Common Stock</w:t>
            </w:r>
          </w:p>
        </w:tc>
        <w:tc>
          <w:tcPr>
            <w:tcW w:w="4260" w:type="dxa"/>
            <w:vAlign w:val="bottom"/>
            <w:tcBorders>
              <w:bottom w:val="single" w:sz="8" w:color="DBDBDB"/>
            </w:tcBorders>
            <w:shd w:val="clear" w:color="auto" w:fill="DBDBDB"/>
          </w:tcPr>
          <w:p>
            <w:pPr>
              <w:ind w:left="700"/>
              <w:spacing w:after="0"/>
              <w:rPr>
                <w:sz w:val="20"/>
                <w:szCs w:val="20"/>
                <w:color w:val="auto"/>
              </w:rPr>
            </w:pPr>
            <w:r>
              <w:rPr>
                <w:rFonts w:ascii="Arial" w:cs="Arial" w:eastAsia="Arial" w:hAnsi="Arial"/>
                <w:sz w:val="16"/>
                <w:szCs w:val="16"/>
                <w:color w:val="auto"/>
              </w:rPr>
              <w:t>James C. O'Rourke</w:t>
            </w:r>
          </w:p>
        </w:tc>
        <w:tc>
          <w:tcPr>
            <w:tcW w:w="3600" w:type="dxa"/>
            <w:vAlign w:val="bottom"/>
            <w:tcBorders>
              <w:bottom w:val="single" w:sz="8" w:color="DBDBDB"/>
            </w:tcBorders>
            <w:shd w:val="clear" w:color="auto" w:fill="DBDBDB"/>
          </w:tcPr>
          <w:p>
            <w:pPr>
              <w:jc w:val="right"/>
              <w:ind w:right="103"/>
              <w:spacing w:after="0"/>
              <w:rPr>
                <w:sz w:val="20"/>
                <w:szCs w:val="20"/>
                <w:color w:val="auto"/>
              </w:rPr>
            </w:pPr>
            <w:r>
              <w:rPr>
                <w:rFonts w:ascii="Arial" w:cs="Arial" w:eastAsia="Arial" w:hAnsi="Arial"/>
                <w:sz w:val="16"/>
                <w:szCs w:val="16"/>
                <w:color w:val="auto"/>
              </w:rPr>
              <w:t>27,051</w:t>
            </w:r>
          </w:p>
        </w:tc>
        <w:tc>
          <w:tcPr>
            <w:tcW w:w="1080" w:type="dxa"/>
            <w:vAlign w:val="bottom"/>
            <w:tcBorders>
              <w:bottom w:val="single" w:sz="8" w:color="DBDBDB"/>
            </w:tcBorders>
            <w:shd w:val="clear" w:color="auto" w:fill="DBDBDB"/>
          </w:tcPr>
          <w:p>
            <w:pPr>
              <w:jc w:val="center"/>
              <w:spacing w:after="0"/>
              <w:rPr>
                <w:sz w:val="20"/>
                <w:szCs w:val="20"/>
                <w:color w:val="auto"/>
              </w:rPr>
            </w:pPr>
            <w:r>
              <w:rPr>
                <w:rFonts w:ascii="Arial" w:cs="Arial" w:eastAsia="Arial" w:hAnsi="Arial"/>
                <w:sz w:val="16"/>
                <w:szCs w:val="16"/>
                <w:color w:val="auto"/>
                <w:w w:val="95"/>
              </w:rPr>
              <w:t>*</w:t>
            </w:r>
          </w:p>
        </w:tc>
        <w:tc>
          <w:tcPr>
            <w:tcW w:w="0" w:type="dxa"/>
            <w:vAlign w:val="bottom"/>
          </w:tcPr>
          <w:p>
            <w:pPr>
              <w:spacing w:after="0"/>
              <w:rPr>
                <w:sz w:val="1"/>
                <w:szCs w:val="1"/>
                <w:color w:val="auto"/>
              </w:rPr>
            </w:pPr>
          </w:p>
        </w:tc>
      </w:tr>
      <w:tr>
        <w:trPr>
          <w:trHeight w:val="211"/>
        </w:trPr>
        <w:tc>
          <w:tcPr>
            <w:tcW w:w="1600" w:type="dxa"/>
            <w:vAlign w:val="bottom"/>
          </w:tcPr>
          <w:p>
            <w:pPr>
              <w:ind w:left="20"/>
              <w:spacing w:after="0"/>
              <w:rPr>
                <w:sz w:val="20"/>
                <w:szCs w:val="20"/>
                <w:color w:val="auto"/>
              </w:rPr>
            </w:pPr>
            <w:r>
              <w:rPr>
                <w:rFonts w:ascii="Arial" w:cs="Arial" w:eastAsia="Arial" w:hAnsi="Arial"/>
                <w:sz w:val="16"/>
                <w:szCs w:val="16"/>
                <w:color w:val="auto"/>
              </w:rPr>
              <w:t>Common Stock</w:t>
            </w:r>
          </w:p>
        </w:tc>
        <w:tc>
          <w:tcPr>
            <w:tcW w:w="4260" w:type="dxa"/>
            <w:vAlign w:val="bottom"/>
          </w:tcPr>
          <w:p>
            <w:pPr>
              <w:ind w:left="700"/>
              <w:spacing w:after="0"/>
              <w:rPr>
                <w:sz w:val="20"/>
                <w:szCs w:val="20"/>
                <w:color w:val="auto"/>
              </w:rPr>
            </w:pPr>
            <w:r>
              <w:rPr>
                <w:rFonts w:ascii="Arial" w:cs="Arial" w:eastAsia="Arial" w:hAnsi="Arial"/>
                <w:sz w:val="16"/>
                <w:szCs w:val="16"/>
                <w:color w:val="auto"/>
              </w:rPr>
              <w:t>Jill M. Pemberton</w:t>
            </w:r>
          </w:p>
        </w:tc>
        <w:tc>
          <w:tcPr>
            <w:tcW w:w="3600" w:type="dxa"/>
            <w:vAlign w:val="bottom"/>
          </w:tcPr>
          <w:p>
            <w:pPr>
              <w:jc w:val="right"/>
              <w:ind w:right="103"/>
              <w:spacing w:after="0"/>
              <w:rPr>
                <w:sz w:val="20"/>
                <w:szCs w:val="20"/>
                <w:color w:val="auto"/>
              </w:rPr>
            </w:pPr>
            <w:r>
              <w:rPr>
                <w:rFonts w:ascii="Arial" w:cs="Arial" w:eastAsia="Arial" w:hAnsi="Arial"/>
                <w:sz w:val="16"/>
                <w:szCs w:val="16"/>
                <w:color w:val="auto"/>
              </w:rPr>
              <w:t>5,856</w:t>
            </w:r>
          </w:p>
        </w:tc>
        <w:tc>
          <w:tcPr>
            <w:tcW w:w="1080" w:type="dxa"/>
            <w:vAlign w:val="bottom"/>
          </w:tcPr>
          <w:p>
            <w:pPr>
              <w:jc w:val="center"/>
              <w:spacing w:after="0"/>
              <w:rPr>
                <w:sz w:val="20"/>
                <w:szCs w:val="20"/>
                <w:color w:val="auto"/>
              </w:rPr>
            </w:pPr>
            <w:r>
              <w:rPr>
                <w:rFonts w:ascii="Arial" w:cs="Arial" w:eastAsia="Arial" w:hAnsi="Arial"/>
                <w:sz w:val="16"/>
                <w:szCs w:val="16"/>
                <w:color w:val="auto"/>
                <w:w w:val="95"/>
              </w:rPr>
              <w:t>*</w:t>
            </w:r>
          </w:p>
        </w:tc>
        <w:tc>
          <w:tcPr>
            <w:tcW w:w="0" w:type="dxa"/>
            <w:vAlign w:val="bottom"/>
          </w:tcPr>
          <w:p>
            <w:pPr>
              <w:spacing w:after="0"/>
              <w:rPr>
                <w:sz w:val="1"/>
                <w:szCs w:val="1"/>
                <w:color w:val="auto"/>
              </w:rPr>
            </w:pPr>
          </w:p>
        </w:tc>
      </w:tr>
      <w:tr>
        <w:trPr>
          <w:trHeight w:val="29"/>
        </w:trPr>
        <w:tc>
          <w:tcPr>
            <w:tcW w:w="1600" w:type="dxa"/>
            <w:vAlign w:val="bottom"/>
          </w:tcPr>
          <w:p>
            <w:pPr>
              <w:spacing w:after="0"/>
              <w:rPr>
                <w:sz w:val="2"/>
                <w:szCs w:val="2"/>
                <w:color w:val="auto"/>
              </w:rPr>
            </w:pPr>
          </w:p>
        </w:tc>
        <w:tc>
          <w:tcPr>
            <w:tcW w:w="4260" w:type="dxa"/>
            <w:vAlign w:val="bottom"/>
          </w:tcPr>
          <w:p>
            <w:pPr>
              <w:spacing w:after="0"/>
              <w:rPr>
                <w:sz w:val="2"/>
                <w:szCs w:val="2"/>
                <w:color w:val="auto"/>
              </w:rPr>
            </w:pPr>
          </w:p>
        </w:tc>
        <w:tc>
          <w:tcPr>
            <w:tcW w:w="36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1600" w:type="dxa"/>
            <w:vAlign w:val="bottom"/>
            <w:tcBorders>
              <w:bottom w:val="single" w:sz="8" w:color="DBDBDB"/>
            </w:tcBorders>
            <w:shd w:val="clear" w:color="auto" w:fill="DBDBDB"/>
          </w:tcPr>
          <w:p>
            <w:pPr>
              <w:spacing w:after="0"/>
              <w:rPr>
                <w:sz w:val="19"/>
                <w:szCs w:val="19"/>
                <w:color w:val="auto"/>
              </w:rPr>
            </w:pPr>
          </w:p>
        </w:tc>
        <w:tc>
          <w:tcPr>
            <w:tcW w:w="4260" w:type="dxa"/>
            <w:vAlign w:val="bottom"/>
            <w:tcBorders>
              <w:bottom w:val="single" w:sz="8" w:color="DBDBDB"/>
            </w:tcBorders>
            <w:shd w:val="clear" w:color="auto" w:fill="DBDBDB"/>
          </w:tcPr>
          <w:p>
            <w:pPr>
              <w:ind w:left="500"/>
              <w:spacing w:after="0"/>
              <w:rPr>
                <w:sz w:val="20"/>
                <w:szCs w:val="20"/>
                <w:color w:val="auto"/>
              </w:rPr>
            </w:pPr>
            <w:r>
              <w:rPr>
                <w:rFonts w:ascii="Arial" w:cs="Arial" w:eastAsia="Arial" w:hAnsi="Arial"/>
                <w:sz w:val="16"/>
                <w:szCs w:val="16"/>
                <w:color w:val="auto"/>
              </w:rPr>
              <w:t>Named Executive Officers:</w:t>
            </w:r>
          </w:p>
        </w:tc>
        <w:tc>
          <w:tcPr>
            <w:tcW w:w="3600" w:type="dxa"/>
            <w:vAlign w:val="bottom"/>
            <w:tcBorders>
              <w:bottom w:val="single" w:sz="8" w:color="DBDBDB"/>
            </w:tcBorders>
            <w:shd w:val="clear" w:color="auto" w:fill="DBDBDB"/>
          </w:tcPr>
          <w:p>
            <w:pPr>
              <w:spacing w:after="0"/>
              <w:rPr>
                <w:sz w:val="19"/>
                <w:szCs w:val="19"/>
                <w:color w:val="auto"/>
              </w:rPr>
            </w:pPr>
          </w:p>
        </w:tc>
        <w:tc>
          <w:tcPr>
            <w:tcW w:w="1080" w:type="dxa"/>
            <w:vAlign w:val="bottom"/>
            <w:tcBorders>
              <w:bottom w:val="single" w:sz="8" w:color="DBDBDB"/>
            </w:tcBorders>
            <w:shd w:val="clear" w:color="auto" w:fill="DBDBDB"/>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1600" w:type="dxa"/>
            <w:vAlign w:val="bottom"/>
          </w:tcPr>
          <w:p>
            <w:pPr>
              <w:ind w:left="20"/>
              <w:spacing w:after="0"/>
              <w:rPr>
                <w:sz w:val="20"/>
                <w:szCs w:val="20"/>
                <w:color w:val="auto"/>
              </w:rPr>
            </w:pPr>
            <w:r>
              <w:rPr>
                <w:rFonts w:ascii="Arial" w:cs="Arial" w:eastAsia="Arial" w:hAnsi="Arial"/>
                <w:sz w:val="16"/>
                <w:szCs w:val="16"/>
                <w:color w:val="auto"/>
              </w:rPr>
              <w:t>Common Stock</w:t>
            </w:r>
          </w:p>
        </w:tc>
        <w:tc>
          <w:tcPr>
            <w:tcW w:w="4260" w:type="dxa"/>
            <w:vAlign w:val="bottom"/>
          </w:tcPr>
          <w:p>
            <w:pPr>
              <w:ind w:left="700"/>
              <w:spacing w:after="0"/>
              <w:rPr>
                <w:sz w:val="20"/>
                <w:szCs w:val="20"/>
                <w:color w:val="auto"/>
              </w:rPr>
            </w:pPr>
            <w:r>
              <w:rPr>
                <w:rFonts w:ascii="Arial" w:cs="Arial" w:eastAsia="Arial" w:hAnsi="Arial"/>
                <w:sz w:val="16"/>
                <w:szCs w:val="16"/>
                <w:color w:val="auto"/>
              </w:rPr>
              <w:t>Richard M. Olson</w:t>
            </w:r>
          </w:p>
        </w:tc>
        <w:tc>
          <w:tcPr>
            <w:tcW w:w="3600" w:type="dxa"/>
            <w:vAlign w:val="bottom"/>
          </w:tcPr>
          <w:p>
            <w:pPr>
              <w:jc w:val="right"/>
              <w:ind w:right="103"/>
              <w:spacing w:after="0"/>
              <w:rPr>
                <w:sz w:val="20"/>
                <w:szCs w:val="20"/>
                <w:color w:val="auto"/>
              </w:rPr>
            </w:pPr>
            <w:r>
              <w:rPr>
                <w:rFonts w:ascii="Arial" w:cs="Arial" w:eastAsia="Arial" w:hAnsi="Arial"/>
                <w:sz w:val="16"/>
                <w:szCs w:val="16"/>
                <w:color w:val="auto"/>
              </w:rPr>
              <w:t>206,496</w:t>
            </w:r>
          </w:p>
        </w:tc>
        <w:tc>
          <w:tcPr>
            <w:tcW w:w="1080" w:type="dxa"/>
            <w:vAlign w:val="bottom"/>
          </w:tcPr>
          <w:p>
            <w:pPr>
              <w:jc w:val="center"/>
              <w:spacing w:after="0"/>
              <w:rPr>
                <w:sz w:val="20"/>
                <w:szCs w:val="20"/>
                <w:color w:val="auto"/>
              </w:rPr>
            </w:pPr>
            <w:r>
              <w:rPr>
                <w:rFonts w:ascii="Arial" w:cs="Arial" w:eastAsia="Arial" w:hAnsi="Arial"/>
                <w:sz w:val="16"/>
                <w:szCs w:val="16"/>
                <w:color w:val="auto"/>
                <w:w w:val="95"/>
              </w:rPr>
              <w:t>*</w:t>
            </w:r>
          </w:p>
        </w:tc>
        <w:tc>
          <w:tcPr>
            <w:tcW w:w="0" w:type="dxa"/>
            <w:vAlign w:val="bottom"/>
          </w:tcPr>
          <w:p>
            <w:pPr>
              <w:spacing w:after="0"/>
              <w:rPr>
                <w:sz w:val="1"/>
                <w:szCs w:val="1"/>
                <w:color w:val="auto"/>
              </w:rPr>
            </w:pPr>
          </w:p>
        </w:tc>
      </w:tr>
      <w:tr>
        <w:trPr>
          <w:trHeight w:val="29"/>
        </w:trPr>
        <w:tc>
          <w:tcPr>
            <w:tcW w:w="1600" w:type="dxa"/>
            <w:vAlign w:val="bottom"/>
          </w:tcPr>
          <w:p>
            <w:pPr>
              <w:spacing w:after="0"/>
              <w:rPr>
                <w:sz w:val="2"/>
                <w:szCs w:val="2"/>
                <w:color w:val="auto"/>
              </w:rPr>
            </w:pPr>
          </w:p>
        </w:tc>
        <w:tc>
          <w:tcPr>
            <w:tcW w:w="4260" w:type="dxa"/>
            <w:vAlign w:val="bottom"/>
          </w:tcPr>
          <w:p>
            <w:pPr>
              <w:spacing w:after="0"/>
              <w:rPr>
                <w:sz w:val="2"/>
                <w:szCs w:val="2"/>
                <w:color w:val="auto"/>
              </w:rPr>
            </w:pPr>
          </w:p>
        </w:tc>
        <w:tc>
          <w:tcPr>
            <w:tcW w:w="36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160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6"/>
                <w:szCs w:val="16"/>
                <w:color w:val="auto"/>
              </w:rPr>
              <w:t>Common Stock</w:t>
            </w:r>
          </w:p>
        </w:tc>
        <w:tc>
          <w:tcPr>
            <w:tcW w:w="4260" w:type="dxa"/>
            <w:vAlign w:val="bottom"/>
            <w:tcBorders>
              <w:bottom w:val="single" w:sz="8" w:color="DBDBDB"/>
            </w:tcBorders>
            <w:shd w:val="clear" w:color="auto" w:fill="DBDBDB"/>
          </w:tcPr>
          <w:p>
            <w:pPr>
              <w:ind w:left="700"/>
              <w:spacing w:after="0"/>
              <w:rPr>
                <w:sz w:val="20"/>
                <w:szCs w:val="20"/>
                <w:color w:val="auto"/>
              </w:rPr>
            </w:pPr>
            <w:r>
              <w:rPr>
                <w:rFonts w:ascii="Arial" w:cs="Arial" w:eastAsia="Arial" w:hAnsi="Arial"/>
                <w:sz w:val="16"/>
                <w:szCs w:val="16"/>
                <w:color w:val="auto"/>
              </w:rPr>
              <w:t>Angela C. Drake</w:t>
            </w:r>
          </w:p>
        </w:tc>
        <w:tc>
          <w:tcPr>
            <w:tcW w:w="3600" w:type="dxa"/>
            <w:vAlign w:val="bottom"/>
            <w:tcBorders>
              <w:bottom w:val="single" w:sz="8" w:color="DBDBDB"/>
            </w:tcBorders>
            <w:shd w:val="clear" w:color="auto" w:fill="DBDBDB"/>
          </w:tcPr>
          <w:p>
            <w:pPr>
              <w:jc w:val="right"/>
              <w:ind w:right="103"/>
              <w:spacing w:after="0"/>
              <w:rPr>
                <w:sz w:val="20"/>
                <w:szCs w:val="20"/>
                <w:color w:val="auto"/>
              </w:rPr>
            </w:pPr>
            <w:r>
              <w:rPr>
                <w:rFonts w:ascii="Arial" w:cs="Arial" w:eastAsia="Arial" w:hAnsi="Arial"/>
                <w:sz w:val="16"/>
                <w:szCs w:val="16"/>
                <w:color w:val="auto"/>
              </w:rPr>
              <w:t>12,832</w:t>
            </w:r>
          </w:p>
        </w:tc>
        <w:tc>
          <w:tcPr>
            <w:tcW w:w="1080" w:type="dxa"/>
            <w:vAlign w:val="bottom"/>
            <w:tcBorders>
              <w:bottom w:val="single" w:sz="8" w:color="DBDBDB"/>
            </w:tcBorders>
            <w:shd w:val="clear" w:color="auto" w:fill="DBDBDB"/>
          </w:tcPr>
          <w:p>
            <w:pPr>
              <w:jc w:val="center"/>
              <w:spacing w:after="0"/>
              <w:rPr>
                <w:sz w:val="20"/>
                <w:szCs w:val="20"/>
                <w:color w:val="auto"/>
              </w:rPr>
            </w:pPr>
            <w:r>
              <w:rPr>
                <w:rFonts w:ascii="Arial" w:cs="Arial" w:eastAsia="Arial" w:hAnsi="Arial"/>
                <w:sz w:val="16"/>
                <w:szCs w:val="16"/>
                <w:color w:val="auto"/>
                <w:w w:val="95"/>
              </w:rPr>
              <w:t>*</w:t>
            </w:r>
          </w:p>
        </w:tc>
        <w:tc>
          <w:tcPr>
            <w:tcW w:w="0" w:type="dxa"/>
            <w:vAlign w:val="bottom"/>
          </w:tcPr>
          <w:p>
            <w:pPr>
              <w:spacing w:after="0"/>
              <w:rPr>
                <w:sz w:val="1"/>
                <w:szCs w:val="1"/>
                <w:color w:val="auto"/>
              </w:rPr>
            </w:pPr>
          </w:p>
        </w:tc>
      </w:tr>
      <w:tr>
        <w:trPr>
          <w:trHeight w:val="211"/>
        </w:trPr>
        <w:tc>
          <w:tcPr>
            <w:tcW w:w="1600" w:type="dxa"/>
            <w:vAlign w:val="bottom"/>
          </w:tcPr>
          <w:p>
            <w:pPr>
              <w:ind w:left="20"/>
              <w:spacing w:after="0"/>
              <w:rPr>
                <w:sz w:val="20"/>
                <w:szCs w:val="20"/>
                <w:color w:val="auto"/>
              </w:rPr>
            </w:pPr>
            <w:r>
              <w:rPr>
                <w:rFonts w:ascii="Arial" w:cs="Arial" w:eastAsia="Arial" w:hAnsi="Arial"/>
                <w:sz w:val="16"/>
                <w:szCs w:val="16"/>
                <w:color w:val="auto"/>
              </w:rPr>
              <w:t>Common Stock</w:t>
            </w:r>
          </w:p>
        </w:tc>
        <w:tc>
          <w:tcPr>
            <w:tcW w:w="4260" w:type="dxa"/>
            <w:vAlign w:val="bottom"/>
          </w:tcPr>
          <w:p>
            <w:pPr>
              <w:ind w:left="700"/>
              <w:spacing w:after="0"/>
              <w:rPr>
                <w:sz w:val="20"/>
                <w:szCs w:val="20"/>
                <w:color w:val="auto"/>
              </w:rPr>
            </w:pPr>
            <w:r>
              <w:rPr>
                <w:rFonts w:ascii="Arial" w:cs="Arial" w:eastAsia="Arial" w:hAnsi="Arial"/>
                <w:sz w:val="16"/>
                <w:szCs w:val="16"/>
                <w:color w:val="auto"/>
              </w:rPr>
              <w:t>Joanna M. Totsky</w:t>
            </w:r>
          </w:p>
        </w:tc>
        <w:tc>
          <w:tcPr>
            <w:tcW w:w="3600" w:type="dxa"/>
            <w:vAlign w:val="bottom"/>
          </w:tcPr>
          <w:p>
            <w:pPr>
              <w:jc w:val="right"/>
              <w:ind w:right="103"/>
              <w:spacing w:after="0"/>
              <w:rPr>
                <w:sz w:val="20"/>
                <w:szCs w:val="20"/>
                <w:color w:val="auto"/>
              </w:rPr>
            </w:pPr>
            <w:r>
              <w:rPr>
                <w:rFonts w:ascii="Arial" w:cs="Arial" w:eastAsia="Arial" w:hAnsi="Arial"/>
                <w:sz w:val="16"/>
                <w:szCs w:val="16"/>
                <w:color w:val="auto"/>
              </w:rPr>
              <w:t>11,858</w:t>
            </w:r>
          </w:p>
        </w:tc>
        <w:tc>
          <w:tcPr>
            <w:tcW w:w="1080" w:type="dxa"/>
            <w:vAlign w:val="bottom"/>
          </w:tcPr>
          <w:p>
            <w:pPr>
              <w:jc w:val="center"/>
              <w:spacing w:after="0"/>
              <w:rPr>
                <w:sz w:val="20"/>
                <w:szCs w:val="20"/>
                <w:color w:val="auto"/>
              </w:rPr>
            </w:pPr>
            <w:r>
              <w:rPr>
                <w:rFonts w:ascii="Arial" w:cs="Arial" w:eastAsia="Arial" w:hAnsi="Arial"/>
                <w:sz w:val="16"/>
                <w:szCs w:val="16"/>
                <w:color w:val="auto"/>
                <w:w w:val="95"/>
              </w:rPr>
              <w:t>*</w:t>
            </w:r>
          </w:p>
        </w:tc>
        <w:tc>
          <w:tcPr>
            <w:tcW w:w="0" w:type="dxa"/>
            <w:vAlign w:val="bottom"/>
          </w:tcPr>
          <w:p>
            <w:pPr>
              <w:spacing w:after="0"/>
              <w:rPr>
                <w:sz w:val="1"/>
                <w:szCs w:val="1"/>
                <w:color w:val="auto"/>
              </w:rPr>
            </w:pPr>
          </w:p>
        </w:tc>
      </w:tr>
      <w:tr>
        <w:trPr>
          <w:trHeight w:val="29"/>
        </w:trPr>
        <w:tc>
          <w:tcPr>
            <w:tcW w:w="1600" w:type="dxa"/>
            <w:vAlign w:val="bottom"/>
          </w:tcPr>
          <w:p>
            <w:pPr>
              <w:spacing w:after="0"/>
              <w:rPr>
                <w:sz w:val="2"/>
                <w:szCs w:val="2"/>
                <w:color w:val="auto"/>
              </w:rPr>
            </w:pPr>
          </w:p>
        </w:tc>
        <w:tc>
          <w:tcPr>
            <w:tcW w:w="4260" w:type="dxa"/>
            <w:vAlign w:val="bottom"/>
          </w:tcPr>
          <w:p>
            <w:pPr>
              <w:spacing w:after="0"/>
              <w:rPr>
                <w:sz w:val="2"/>
                <w:szCs w:val="2"/>
                <w:color w:val="auto"/>
              </w:rPr>
            </w:pPr>
          </w:p>
        </w:tc>
        <w:tc>
          <w:tcPr>
            <w:tcW w:w="36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160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6"/>
                <w:szCs w:val="16"/>
                <w:color w:val="auto"/>
              </w:rPr>
              <w:t>Common Stock</w:t>
            </w:r>
          </w:p>
        </w:tc>
        <w:tc>
          <w:tcPr>
            <w:tcW w:w="4260" w:type="dxa"/>
            <w:vAlign w:val="bottom"/>
            <w:tcBorders>
              <w:bottom w:val="single" w:sz="8" w:color="DBDBDB"/>
            </w:tcBorders>
            <w:shd w:val="clear" w:color="auto" w:fill="DBDBDB"/>
          </w:tcPr>
          <w:p>
            <w:pPr>
              <w:ind w:left="700"/>
              <w:spacing w:after="0"/>
              <w:rPr>
                <w:sz w:val="20"/>
                <w:szCs w:val="20"/>
                <w:color w:val="auto"/>
              </w:rPr>
            </w:pPr>
            <w:r>
              <w:rPr>
                <w:rFonts w:ascii="Arial" w:cs="Arial" w:eastAsia="Arial" w:hAnsi="Arial"/>
                <w:sz w:val="16"/>
                <w:szCs w:val="16"/>
                <w:color w:val="auto"/>
              </w:rPr>
              <w:t>Amy E. Dahl</w:t>
            </w:r>
          </w:p>
        </w:tc>
        <w:tc>
          <w:tcPr>
            <w:tcW w:w="3600" w:type="dxa"/>
            <w:vAlign w:val="bottom"/>
            <w:tcBorders>
              <w:bottom w:val="single" w:sz="8" w:color="DBDBDB"/>
            </w:tcBorders>
            <w:shd w:val="clear" w:color="auto" w:fill="DBDBDB"/>
          </w:tcPr>
          <w:p>
            <w:pPr>
              <w:jc w:val="right"/>
              <w:ind w:right="103"/>
              <w:spacing w:after="0"/>
              <w:rPr>
                <w:sz w:val="20"/>
                <w:szCs w:val="20"/>
                <w:color w:val="auto"/>
              </w:rPr>
            </w:pPr>
            <w:r>
              <w:rPr>
                <w:rFonts w:ascii="Arial" w:cs="Arial" w:eastAsia="Arial" w:hAnsi="Arial"/>
                <w:sz w:val="16"/>
                <w:szCs w:val="16"/>
                <w:color w:val="auto"/>
              </w:rPr>
              <w:t>43,365</w:t>
            </w:r>
          </w:p>
        </w:tc>
        <w:tc>
          <w:tcPr>
            <w:tcW w:w="1080" w:type="dxa"/>
            <w:vAlign w:val="bottom"/>
            <w:tcBorders>
              <w:bottom w:val="single" w:sz="8" w:color="DBDBDB"/>
            </w:tcBorders>
            <w:shd w:val="clear" w:color="auto" w:fill="DBDBDB"/>
          </w:tcPr>
          <w:p>
            <w:pPr>
              <w:jc w:val="center"/>
              <w:spacing w:after="0"/>
              <w:rPr>
                <w:sz w:val="20"/>
                <w:szCs w:val="20"/>
                <w:color w:val="auto"/>
              </w:rPr>
            </w:pPr>
            <w:r>
              <w:rPr>
                <w:rFonts w:ascii="Arial" w:cs="Arial" w:eastAsia="Arial" w:hAnsi="Arial"/>
                <w:sz w:val="16"/>
                <w:szCs w:val="16"/>
                <w:color w:val="auto"/>
                <w:w w:val="95"/>
              </w:rPr>
              <w:t>*</w:t>
            </w:r>
          </w:p>
        </w:tc>
        <w:tc>
          <w:tcPr>
            <w:tcW w:w="0" w:type="dxa"/>
            <w:vAlign w:val="bottom"/>
          </w:tcPr>
          <w:p>
            <w:pPr>
              <w:spacing w:after="0"/>
              <w:rPr>
                <w:sz w:val="1"/>
                <w:szCs w:val="1"/>
                <w:color w:val="auto"/>
              </w:rPr>
            </w:pPr>
          </w:p>
        </w:tc>
      </w:tr>
      <w:tr>
        <w:trPr>
          <w:trHeight w:val="211"/>
        </w:trPr>
        <w:tc>
          <w:tcPr>
            <w:tcW w:w="1600" w:type="dxa"/>
            <w:vAlign w:val="bottom"/>
          </w:tcPr>
          <w:p>
            <w:pPr>
              <w:ind w:left="20"/>
              <w:spacing w:after="0"/>
              <w:rPr>
                <w:sz w:val="20"/>
                <w:szCs w:val="20"/>
                <w:color w:val="auto"/>
              </w:rPr>
            </w:pPr>
            <w:r>
              <w:rPr>
                <w:rFonts w:ascii="Arial" w:cs="Arial" w:eastAsia="Arial" w:hAnsi="Arial"/>
                <w:sz w:val="16"/>
                <w:szCs w:val="16"/>
                <w:color w:val="auto"/>
              </w:rPr>
              <w:t>Common Stock</w:t>
            </w:r>
          </w:p>
        </w:tc>
        <w:tc>
          <w:tcPr>
            <w:tcW w:w="4260" w:type="dxa"/>
            <w:vAlign w:val="bottom"/>
          </w:tcPr>
          <w:p>
            <w:pPr>
              <w:ind w:left="700"/>
              <w:spacing w:after="0"/>
              <w:rPr>
                <w:sz w:val="20"/>
                <w:szCs w:val="20"/>
                <w:color w:val="auto"/>
              </w:rPr>
            </w:pPr>
            <w:r>
              <w:rPr>
                <w:rFonts w:ascii="Arial" w:cs="Arial" w:eastAsia="Arial" w:hAnsi="Arial"/>
                <w:sz w:val="16"/>
                <w:szCs w:val="16"/>
                <w:color w:val="auto"/>
              </w:rPr>
              <w:t>Kevin N. Carpenter</w:t>
            </w:r>
          </w:p>
        </w:tc>
        <w:tc>
          <w:tcPr>
            <w:tcW w:w="3600" w:type="dxa"/>
            <w:vAlign w:val="bottom"/>
          </w:tcPr>
          <w:p>
            <w:pPr>
              <w:jc w:val="right"/>
              <w:ind w:right="103"/>
              <w:spacing w:after="0"/>
              <w:rPr>
                <w:sz w:val="20"/>
                <w:szCs w:val="20"/>
                <w:color w:val="auto"/>
              </w:rPr>
            </w:pPr>
            <w:r>
              <w:rPr>
                <w:rFonts w:ascii="Arial" w:cs="Arial" w:eastAsia="Arial" w:hAnsi="Arial"/>
                <w:sz w:val="16"/>
                <w:szCs w:val="16"/>
                <w:color w:val="auto"/>
              </w:rPr>
              <w:t>14,999</w:t>
            </w:r>
          </w:p>
        </w:tc>
        <w:tc>
          <w:tcPr>
            <w:tcW w:w="1080" w:type="dxa"/>
            <w:vAlign w:val="bottom"/>
          </w:tcPr>
          <w:p>
            <w:pPr>
              <w:jc w:val="center"/>
              <w:spacing w:after="0"/>
              <w:rPr>
                <w:sz w:val="20"/>
                <w:szCs w:val="20"/>
                <w:color w:val="auto"/>
              </w:rPr>
            </w:pPr>
            <w:r>
              <w:rPr>
                <w:rFonts w:ascii="Arial" w:cs="Arial" w:eastAsia="Arial" w:hAnsi="Arial"/>
                <w:sz w:val="16"/>
                <w:szCs w:val="16"/>
                <w:color w:val="auto"/>
                <w:w w:val="95"/>
              </w:rPr>
              <w:t>*</w:t>
            </w:r>
          </w:p>
        </w:tc>
        <w:tc>
          <w:tcPr>
            <w:tcW w:w="0" w:type="dxa"/>
            <w:vAlign w:val="bottom"/>
          </w:tcPr>
          <w:p>
            <w:pPr>
              <w:spacing w:after="0"/>
              <w:rPr>
                <w:sz w:val="1"/>
                <w:szCs w:val="1"/>
                <w:color w:val="auto"/>
              </w:rPr>
            </w:pPr>
          </w:p>
        </w:tc>
      </w:tr>
      <w:tr>
        <w:trPr>
          <w:trHeight w:val="29"/>
        </w:trPr>
        <w:tc>
          <w:tcPr>
            <w:tcW w:w="5860" w:type="dxa"/>
            <w:vAlign w:val="bottom"/>
            <w:gridSpan w:val="2"/>
          </w:tcPr>
          <w:p>
            <w:pPr>
              <w:spacing w:after="0"/>
              <w:rPr>
                <w:sz w:val="2"/>
                <w:szCs w:val="2"/>
                <w:color w:val="auto"/>
              </w:rPr>
            </w:pPr>
          </w:p>
        </w:tc>
        <w:tc>
          <w:tcPr>
            <w:tcW w:w="36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1"/>
        </w:trPr>
        <w:tc>
          <w:tcPr>
            <w:tcW w:w="5860" w:type="dxa"/>
            <w:vAlign w:val="bottom"/>
            <w:gridSpan w:val="2"/>
            <w:shd w:val="clear" w:color="auto" w:fill="DBDBDB"/>
          </w:tcPr>
          <w:p>
            <w:pPr>
              <w:ind w:left="20"/>
              <w:spacing w:after="0"/>
              <w:rPr>
                <w:sz w:val="20"/>
                <w:szCs w:val="20"/>
                <w:color w:val="auto"/>
              </w:rPr>
            </w:pPr>
            <w:r>
              <w:rPr>
                <w:rFonts w:ascii="Arial" w:cs="Arial" w:eastAsia="Arial" w:hAnsi="Arial"/>
                <w:sz w:val="16"/>
                <w:szCs w:val="16"/>
                <w:color w:val="auto"/>
              </w:rPr>
              <w:t>All Current Directors and Executive Officers as a Group (13)</w:t>
            </w:r>
          </w:p>
        </w:tc>
        <w:tc>
          <w:tcPr>
            <w:tcW w:w="3600" w:type="dxa"/>
            <w:vAlign w:val="bottom"/>
            <w:shd w:val="clear" w:color="auto" w:fill="DBDBDB"/>
          </w:tcPr>
          <w:p>
            <w:pPr>
              <w:jc w:val="right"/>
              <w:ind w:right="103"/>
              <w:spacing w:after="0"/>
              <w:rPr>
                <w:sz w:val="20"/>
                <w:szCs w:val="20"/>
                <w:color w:val="auto"/>
              </w:rPr>
            </w:pPr>
            <w:r>
              <w:rPr>
                <w:rFonts w:ascii="Arial" w:cs="Arial" w:eastAsia="Arial" w:hAnsi="Arial"/>
                <w:sz w:val="16"/>
                <w:szCs w:val="16"/>
                <w:color w:val="auto"/>
              </w:rPr>
              <w:t>392,547</w:t>
            </w:r>
          </w:p>
        </w:tc>
        <w:tc>
          <w:tcPr>
            <w:tcW w:w="1080" w:type="dxa"/>
            <w:vAlign w:val="bottom"/>
            <w:shd w:val="clear" w:color="auto" w:fill="DBDBDB"/>
          </w:tcPr>
          <w:p>
            <w:pPr>
              <w:jc w:val="center"/>
              <w:spacing w:after="0"/>
              <w:rPr>
                <w:sz w:val="20"/>
                <w:szCs w:val="20"/>
                <w:color w:val="auto"/>
              </w:rPr>
            </w:pPr>
            <w:r>
              <w:rPr>
                <w:rFonts w:ascii="Arial" w:cs="Arial" w:eastAsia="Arial" w:hAnsi="Arial"/>
                <w:sz w:val="16"/>
                <w:szCs w:val="16"/>
                <w:color w:val="auto"/>
              </w:rPr>
              <w:t>0.39%</w:t>
            </w:r>
          </w:p>
        </w:tc>
        <w:tc>
          <w:tcPr>
            <w:tcW w:w="0" w:type="dxa"/>
            <w:vAlign w:val="bottom"/>
          </w:tcPr>
          <w:p>
            <w:pPr>
              <w:spacing w:after="0"/>
              <w:rPr>
                <w:sz w:val="1"/>
                <w:szCs w:val="1"/>
                <w:color w:val="auto"/>
              </w:rPr>
            </w:pPr>
          </w:p>
        </w:tc>
      </w:tr>
      <w:tr>
        <w:trPr>
          <w:trHeight w:val="29"/>
        </w:trPr>
        <w:tc>
          <w:tcPr>
            <w:tcW w:w="1600" w:type="dxa"/>
            <w:vAlign w:val="bottom"/>
            <w:shd w:val="clear" w:color="auto" w:fill="DBDBDB"/>
          </w:tcPr>
          <w:p>
            <w:pPr>
              <w:spacing w:after="0"/>
              <w:rPr>
                <w:sz w:val="2"/>
                <w:szCs w:val="2"/>
                <w:color w:val="auto"/>
              </w:rPr>
            </w:pPr>
          </w:p>
        </w:tc>
        <w:tc>
          <w:tcPr>
            <w:tcW w:w="4260" w:type="dxa"/>
            <w:vAlign w:val="bottom"/>
            <w:shd w:val="clear" w:color="auto" w:fill="DBDBDB"/>
          </w:tcPr>
          <w:p>
            <w:pPr>
              <w:spacing w:after="0"/>
              <w:rPr>
                <w:sz w:val="2"/>
                <w:szCs w:val="2"/>
                <w:color w:val="auto"/>
              </w:rPr>
            </w:pPr>
          </w:p>
        </w:tc>
        <w:tc>
          <w:tcPr>
            <w:tcW w:w="3600" w:type="dxa"/>
            <w:vAlign w:val="bottom"/>
            <w:shd w:val="clear" w:color="auto" w:fill="DBDBDB"/>
          </w:tcPr>
          <w:p>
            <w:pPr>
              <w:spacing w:after="0"/>
              <w:rPr>
                <w:sz w:val="2"/>
                <w:szCs w:val="2"/>
                <w:color w:val="auto"/>
              </w:rPr>
            </w:pPr>
          </w:p>
        </w:tc>
        <w:tc>
          <w:tcPr>
            <w:tcW w:w="1080" w:type="dxa"/>
            <w:vAlign w:val="bottom"/>
            <w:shd w:val="clear" w:color="auto" w:fill="DBDBDB"/>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118745</wp:posOffset>
            </wp:positionV>
            <wp:extent cx="1991360" cy="825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1991360" cy="8255"/>
                    </a:xfrm>
                    <a:prstGeom prst="rect">
                      <a:avLst/>
                    </a:prstGeom>
                    <a:noFill/>
                  </pic:spPr>
                </pic:pic>
              </a:graphicData>
            </a:graphic>
          </wp:anchor>
        </w:drawing>
      </w: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color w:val="auto"/>
        </w:rPr>
        <w:t>* Less than one percent of the outstanding shares of our common stock.</w:t>
      </w:r>
    </w:p>
    <w:p>
      <w:pPr>
        <w:spacing w:after="0" w:line="113" w:lineRule="exact"/>
        <w:rPr>
          <w:sz w:val="20"/>
          <w:szCs w:val="20"/>
          <w:color w:val="auto"/>
        </w:rPr>
      </w:pPr>
    </w:p>
    <w:p>
      <w:pPr>
        <w:jc w:val="both"/>
        <w:ind w:left="320" w:hanging="313"/>
        <w:spacing w:after="0" w:line="247" w:lineRule="auto"/>
        <w:tabs>
          <w:tab w:leader="none" w:pos="308" w:val="left"/>
        </w:tabs>
        <w:numPr>
          <w:ilvl w:val="0"/>
          <w:numId w:val="89"/>
        </w:numPr>
        <w:rPr>
          <w:rFonts w:ascii="Arial" w:cs="Arial" w:eastAsia="Arial" w:hAnsi="Arial"/>
          <w:sz w:val="18"/>
          <w:szCs w:val="18"/>
          <w:color w:val="auto"/>
        </w:rPr>
      </w:pPr>
      <w:r>
        <w:rPr>
          <w:rFonts w:ascii="Arial" w:cs="Arial" w:eastAsia="Arial" w:hAnsi="Arial"/>
          <w:sz w:val="18"/>
          <w:szCs w:val="18"/>
          <w:color w:val="auto"/>
        </w:rPr>
        <w:t>Shares are deemed to be beneficially owned by a person if such person, directly or indirectly, has or shares: (a) the power to vote or direct the voting of such shares, or (b) the power to dispose or direct the disposition of such shares. Except as otherwise indicated in the footnotes to this table, the persons in this table have sole voting and investment power with respect to all shares of our common stock shown as beneficially owned by them, subject to community property laws, where applicable.</w:t>
      </w:r>
    </w:p>
    <w:p>
      <w:pPr>
        <w:spacing w:after="0" w:line="15" w:lineRule="exact"/>
        <w:rPr>
          <w:rFonts w:ascii="Arial" w:cs="Arial" w:eastAsia="Arial" w:hAnsi="Arial"/>
          <w:sz w:val="18"/>
          <w:szCs w:val="18"/>
          <w:color w:val="auto"/>
        </w:rPr>
      </w:pPr>
    </w:p>
    <w:p>
      <w:pPr>
        <w:jc w:val="both"/>
        <w:ind w:left="320" w:hanging="313"/>
        <w:spacing w:after="0" w:line="244" w:lineRule="auto"/>
        <w:tabs>
          <w:tab w:leader="none" w:pos="308" w:val="left"/>
        </w:tabs>
        <w:numPr>
          <w:ilvl w:val="0"/>
          <w:numId w:val="89"/>
        </w:numPr>
        <w:rPr>
          <w:rFonts w:ascii="Arial" w:cs="Arial" w:eastAsia="Arial" w:hAnsi="Arial"/>
          <w:sz w:val="18"/>
          <w:szCs w:val="18"/>
          <w:color w:val="auto"/>
        </w:rPr>
      </w:pPr>
      <w:r>
        <w:rPr>
          <w:rFonts w:ascii="Arial" w:cs="Arial" w:eastAsia="Arial" w:hAnsi="Arial"/>
          <w:sz w:val="18"/>
          <w:szCs w:val="18"/>
          <w:color w:val="auto"/>
        </w:rPr>
        <w:t>Beneficial ownership also includes: (a) shares that a person has the right to acquire within 60 days of January 21, 2025, and, as such, includes shares that may be acquired upon exercise of stock options and vesting of restricted stock units within 60 days of January 21, 2025; (b) shares allocated to executive officers under the Retirement Plan; and (c) common stock units and performance share units, collectively referred to as units, credited under the Deferred Plan for Directors and Deferred Plan for Officers. The following table reflects the beneficial ownership by type of security held by our non-employee directors, NEOs, and all current directors and executive officers as a group: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343" w:right="339" w:bottom="1440" w:gutter="0" w:footer="0" w:header="0"/>
        </w:sectPr>
      </w:pPr>
    </w:p>
    <w:bookmarkStart w:id="82" w:name="page83"/>
    <w:bookmarkEnd w:id="82"/>
    <w:tbl>
      <w:tblPr>
        <w:tblLayout w:type="fixed"/>
        <w:tblInd w:w="400" w:type="dxa"/>
        <w:tblCellMar>
          <w:top w:w="0" w:type="dxa"/>
          <w:left w:w="0" w:type="dxa"/>
          <w:bottom w:w="0" w:type="dxa"/>
          <w:right w:w="0" w:type="dxa"/>
        </w:tblCellMar>
      </w:tblPr>
      <w:tr>
        <w:trPr>
          <w:trHeight w:val="204"/>
        </w:trPr>
        <w:tc>
          <w:tcPr>
            <w:tcW w:w="3760" w:type="dxa"/>
            <w:vAlign w:val="bottom"/>
            <w:shd w:val="clear" w:color="auto" w:fill="BF2115"/>
          </w:tcPr>
          <w:p>
            <w:pPr>
              <w:spacing w:after="0"/>
              <w:rPr>
                <w:sz w:val="17"/>
                <w:szCs w:val="17"/>
                <w:color w:val="auto"/>
              </w:rPr>
            </w:pPr>
          </w:p>
        </w:tc>
        <w:tc>
          <w:tcPr>
            <w:tcW w:w="1220" w:type="dxa"/>
            <w:vAlign w:val="bottom"/>
            <w:shd w:val="clear" w:color="auto" w:fill="BF2115"/>
          </w:tcPr>
          <w:p>
            <w:pPr>
              <w:spacing w:after="0"/>
              <w:rPr>
                <w:sz w:val="17"/>
                <w:szCs w:val="17"/>
                <w:color w:val="auto"/>
              </w:rPr>
            </w:pPr>
          </w:p>
        </w:tc>
        <w:tc>
          <w:tcPr>
            <w:tcW w:w="1120" w:type="dxa"/>
            <w:vAlign w:val="bottom"/>
            <w:shd w:val="clear" w:color="auto" w:fill="BF2115"/>
          </w:tcPr>
          <w:p>
            <w:pPr>
              <w:spacing w:after="0"/>
              <w:rPr>
                <w:sz w:val="17"/>
                <w:szCs w:val="17"/>
                <w:color w:val="auto"/>
              </w:rPr>
            </w:pPr>
          </w:p>
        </w:tc>
        <w:tc>
          <w:tcPr>
            <w:tcW w:w="1160" w:type="dxa"/>
            <w:vAlign w:val="bottom"/>
            <w:shd w:val="clear" w:color="auto" w:fill="BF2115"/>
          </w:tcPr>
          <w:p>
            <w:pPr>
              <w:spacing w:after="0"/>
              <w:rPr>
                <w:sz w:val="17"/>
                <w:szCs w:val="17"/>
                <w:color w:val="auto"/>
              </w:rPr>
            </w:pPr>
          </w:p>
        </w:tc>
        <w:tc>
          <w:tcPr>
            <w:tcW w:w="1480" w:type="dxa"/>
            <w:vAlign w:val="bottom"/>
            <w:shd w:val="clear" w:color="auto" w:fill="BF2115"/>
          </w:tcPr>
          <w:p>
            <w:pPr>
              <w:jc w:val="center"/>
              <w:ind w:right="82"/>
              <w:spacing w:after="0"/>
              <w:rPr>
                <w:sz w:val="20"/>
                <w:szCs w:val="20"/>
                <w:color w:val="auto"/>
              </w:rPr>
            </w:pPr>
            <w:r>
              <w:rPr>
                <w:rFonts w:ascii="Arial" w:cs="Arial" w:eastAsia="Arial" w:hAnsi="Arial"/>
                <w:sz w:val="14"/>
                <w:szCs w:val="14"/>
                <w:b w:val="1"/>
                <w:bCs w:val="1"/>
                <w:color w:val="FFFFFF"/>
              </w:rPr>
              <w:t>Units under the</w:t>
            </w:r>
          </w:p>
        </w:tc>
        <w:tc>
          <w:tcPr>
            <w:tcW w:w="1360" w:type="dxa"/>
            <w:vAlign w:val="bottom"/>
            <w:shd w:val="clear" w:color="auto" w:fill="BF2115"/>
          </w:tcPr>
          <w:p>
            <w:pPr>
              <w:jc w:val="center"/>
              <w:spacing w:after="0"/>
              <w:rPr>
                <w:sz w:val="20"/>
                <w:szCs w:val="20"/>
                <w:color w:val="auto"/>
              </w:rPr>
            </w:pPr>
            <w:r>
              <w:rPr>
                <w:rFonts w:ascii="Arial" w:cs="Arial" w:eastAsia="Arial" w:hAnsi="Arial"/>
                <w:sz w:val="14"/>
                <w:szCs w:val="14"/>
                <w:b w:val="1"/>
                <w:bCs w:val="1"/>
                <w:color w:val="FFFFFF"/>
              </w:rPr>
              <w:t>Units under the</w:t>
            </w:r>
          </w:p>
        </w:tc>
        <w:tc>
          <w:tcPr>
            <w:tcW w:w="0" w:type="dxa"/>
            <w:vAlign w:val="bottom"/>
          </w:tcPr>
          <w:p>
            <w:pPr>
              <w:spacing w:after="0"/>
              <w:rPr>
                <w:sz w:val="1"/>
                <w:szCs w:val="1"/>
                <w:color w:val="auto"/>
              </w:rPr>
            </w:pPr>
          </w:p>
        </w:tc>
      </w:tr>
      <w:tr>
        <w:trPr>
          <w:trHeight w:val="173"/>
        </w:trPr>
        <w:tc>
          <w:tcPr>
            <w:tcW w:w="3760" w:type="dxa"/>
            <w:vAlign w:val="bottom"/>
            <w:shd w:val="clear" w:color="auto" w:fill="BF2115"/>
          </w:tcPr>
          <w:p>
            <w:pPr>
              <w:spacing w:after="0"/>
              <w:rPr>
                <w:sz w:val="15"/>
                <w:szCs w:val="15"/>
                <w:color w:val="auto"/>
              </w:rPr>
            </w:pPr>
          </w:p>
        </w:tc>
        <w:tc>
          <w:tcPr>
            <w:tcW w:w="1220" w:type="dxa"/>
            <w:vAlign w:val="bottom"/>
            <w:shd w:val="clear" w:color="auto" w:fill="BF2115"/>
          </w:tcPr>
          <w:p>
            <w:pPr>
              <w:jc w:val="right"/>
              <w:ind w:right="361"/>
              <w:spacing w:after="0"/>
              <w:rPr>
                <w:sz w:val="20"/>
                <w:szCs w:val="20"/>
                <w:color w:val="auto"/>
              </w:rPr>
            </w:pPr>
            <w:r>
              <w:rPr>
                <w:rFonts w:ascii="Arial" w:cs="Arial" w:eastAsia="Arial" w:hAnsi="Arial"/>
                <w:sz w:val="14"/>
                <w:szCs w:val="14"/>
                <w:b w:val="1"/>
                <w:bCs w:val="1"/>
                <w:color w:val="FFFFFF"/>
              </w:rPr>
              <w:t>Stock</w:t>
            </w:r>
          </w:p>
        </w:tc>
        <w:tc>
          <w:tcPr>
            <w:tcW w:w="1120" w:type="dxa"/>
            <w:vAlign w:val="bottom"/>
            <w:vMerge w:val="restart"/>
            <w:shd w:val="clear" w:color="auto" w:fill="BF2115"/>
          </w:tcPr>
          <w:p>
            <w:pPr>
              <w:jc w:val="right"/>
              <w:ind w:right="221"/>
              <w:spacing w:after="0"/>
              <w:rPr>
                <w:sz w:val="20"/>
                <w:szCs w:val="20"/>
                <w:color w:val="auto"/>
              </w:rPr>
            </w:pPr>
            <w:r>
              <w:rPr>
                <w:rFonts w:ascii="Arial" w:cs="Arial" w:eastAsia="Arial" w:hAnsi="Arial"/>
                <w:sz w:val="14"/>
                <w:szCs w:val="14"/>
                <w:b w:val="1"/>
                <w:bCs w:val="1"/>
                <w:color w:val="FFFFFF"/>
              </w:rPr>
              <w:t>Retricted</w:t>
            </w:r>
          </w:p>
        </w:tc>
        <w:tc>
          <w:tcPr>
            <w:tcW w:w="1160" w:type="dxa"/>
            <w:vAlign w:val="bottom"/>
            <w:vMerge w:val="restart"/>
            <w:shd w:val="clear" w:color="auto" w:fill="BF2115"/>
          </w:tcPr>
          <w:p>
            <w:pPr>
              <w:jc w:val="right"/>
              <w:ind w:right="201"/>
              <w:spacing w:after="0"/>
              <w:rPr>
                <w:sz w:val="20"/>
                <w:szCs w:val="20"/>
                <w:color w:val="auto"/>
              </w:rPr>
            </w:pPr>
            <w:r>
              <w:rPr>
                <w:rFonts w:ascii="Arial" w:cs="Arial" w:eastAsia="Arial" w:hAnsi="Arial"/>
                <w:sz w:val="14"/>
                <w:szCs w:val="14"/>
                <w:b w:val="1"/>
                <w:bCs w:val="1"/>
                <w:color w:val="FFFFFF"/>
              </w:rPr>
              <w:t>Retirement</w:t>
            </w:r>
          </w:p>
        </w:tc>
        <w:tc>
          <w:tcPr>
            <w:tcW w:w="1480" w:type="dxa"/>
            <w:vAlign w:val="bottom"/>
            <w:shd w:val="clear" w:color="auto" w:fill="BF2115"/>
          </w:tcPr>
          <w:p>
            <w:pPr>
              <w:jc w:val="center"/>
              <w:ind w:right="82"/>
              <w:spacing w:after="0"/>
              <w:rPr>
                <w:sz w:val="20"/>
                <w:szCs w:val="20"/>
                <w:color w:val="auto"/>
              </w:rPr>
            </w:pPr>
            <w:r>
              <w:rPr>
                <w:rFonts w:ascii="Arial" w:cs="Arial" w:eastAsia="Arial" w:hAnsi="Arial"/>
                <w:sz w:val="14"/>
                <w:szCs w:val="14"/>
                <w:b w:val="1"/>
                <w:bCs w:val="1"/>
                <w:color w:val="FFFFFF"/>
              </w:rPr>
              <w:t>Deferred Plan</w:t>
            </w:r>
          </w:p>
        </w:tc>
        <w:tc>
          <w:tcPr>
            <w:tcW w:w="1360" w:type="dxa"/>
            <w:vAlign w:val="bottom"/>
            <w:shd w:val="clear" w:color="auto" w:fill="BF2115"/>
          </w:tcPr>
          <w:p>
            <w:pPr>
              <w:jc w:val="center"/>
              <w:spacing w:after="0"/>
              <w:rPr>
                <w:sz w:val="20"/>
                <w:szCs w:val="20"/>
                <w:color w:val="auto"/>
              </w:rPr>
            </w:pPr>
            <w:r>
              <w:rPr>
                <w:rFonts w:ascii="Arial" w:cs="Arial" w:eastAsia="Arial" w:hAnsi="Arial"/>
                <w:sz w:val="14"/>
                <w:szCs w:val="14"/>
                <w:b w:val="1"/>
                <w:bCs w:val="1"/>
                <w:color w:val="FFFFFF"/>
              </w:rPr>
              <w:t>Deferred Plan</w:t>
            </w:r>
          </w:p>
        </w:tc>
        <w:tc>
          <w:tcPr>
            <w:tcW w:w="0" w:type="dxa"/>
            <w:vAlign w:val="bottom"/>
          </w:tcPr>
          <w:p>
            <w:pPr>
              <w:spacing w:after="0"/>
              <w:rPr>
                <w:sz w:val="1"/>
                <w:szCs w:val="1"/>
                <w:color w:val="auto"/>
              </w:rPr>
            </w:pPr>
          </w:p>
        </w:tc>
      </w:tr>
      <w:tr>
        <w:trPr>
          <w:trHeight w:val="27"/>
        </w:trPr>
        <w:tc>
          <w:tcPr>
            <w:tcW w:w="3760" w:type="dxa"/>
            <w:vAlign w:val="bottom"/>
            <w:vMerge w:val="restart"/>
            <w:shd w:val="clear" w:color="auto" w:fill="BF2115"/>
          </w:tcPr>
          <w:p>
            <w:pPr>
              <w:ind w:left="20"/>
              <w:spacing w:after="0"/>
              <w:rPr>
                <w:sz w:val="20"/>
                <w:szCs w:val="20"/>
                <w:color w:val="auto"/>
              </w:rPr>
            </w:pPr>
            <w:r>
              <w:rPr>
                <w:rFonts w:ascii="Arial" w:cs="Arial" w:eastAsia="Arial" w:hAnsi="Arial"/>
                <w:sz w:val="14"/>
                <w:szCs w:val="14"/>
                <w:b w:val="1"/>
                <w:bCs w:val="1"/>
                <w:color w:val="FFFFFF"/>
              </w:rPr>
              <w:t>Name</w:t>
            </w:r>
          </w:p>
        </w:tc>
        <w:tc>
          <w:tcPr>
            <w:tcW w:w="1220" w:type="dxa"/>
            <w:vAlign w:val="bottom"/>
            <w:vMerge w:val="restart"/>
            <w:shd w:val="clear" w:color="auto" w:fill="BF2115"/>
          </w:tcPr>
          <w:p>
            <w:pPr>
              <w:jc w:val="right"/>
              <w:ind w:right="281"/>
              <w:spacing w:after="0"/>
              <w:rPr>
                <w:sz w:val="20"/>
                <w:szCs w:val="20"/>
                <w:color w:val="auto"/>
              </w:rPr>
            </w:pPr>
            <w:r>
              <w:rPr>
                <w:rFonts w:ascii="Arial" w:cs="Arial" w:eastAsia="Arial" w:hAnsi="Arial"/>
                <w:sz w:val="14"/>
                <w:szCs w:val="14"/>
                <w:b w:val="1"/>
                <w:bCs w:val="1"/>
                <w:color w:val="FFFFFF"/>
              </w:rPr>
              <w:t>Options</w:t>
            </w:r>
          </w:p>
        </w:tc>
        <w:tc>
          <w:tcPr>
            <w:tcW w:w="1120" w:type="dxa"/>
            <w:vAlign w:val="bottom"/>
            <w:vMerge w:val="continue"/>
            <w:shd w:val="clear" w:color="auto" w:fill="BF2115"/>
          </w:tcPr>
          <w:p>
            <w:pPr>
              <w:spacing w:after="0"/>
              <w:rPr>
                <w:sz w:val="2"/>
                <w:szCs w:val="2"/>
                <w:color w:val="auto"/>
              </w:rPr>
            </w:pPr>
          </w:p>
        </w:tc>
        <w:tc>
          <w:tcPr>
            <w:tcW w:w="1160" w:type="dxa"/>
            <w:vAlign w:val="bottom"/>
            <w:vMerge w:val="continue"/>
            <w:shd w:val="clear" w:color="auto" w:fill="BF2115"/>
          </w:tcPr>
          <w:p>
            <w:pPr>
              <w:spacing w:after="0"/>
              <w:rPr>
                <w:sz w:val="2"/>
                <w:szCs w:val="2"/>
                <w:color w:val="auto"/>
              </w:rPr>
            </w:pPr>
          </w:p>
        </w:tc>
        <w:tc>
          <w:tcPr>
            <w:tcW w:w="1480" w:type="dxa"/>
            <w:vAlign w:val="bottom"/>
            <w:vMerge w:val="restart"/>
            <w:shd w:val="clear" w:color="auto" w:fill="BF2115"/>
          </w:tcPr>
          <w:p>
            <w:pPr>
              <w:jc w:val="center"/>
              <w:ind w:right="82"/>
              <w:spacing w:after="0"/>
              <w:rPr>
                <w:sz w:val="20"/>
                <w:szCs w:val="20"/>
                <w:color w:val="auto"/>
              </w:rPr>
            </w:pPr>
            <w:r>
              <w:rPr>
                <w:rFonts w:ascii="Arial" w:cs="Arial" w:eastAsia="Arial" w:hAnsi="Arial"/>
                <w:sz w:val="14"/>
                <w:szCs w:val="14"/>
                <w:b w:val="1"/>
                <w:bCs w:val="1"/>
                <w:color w:val="FFFFFF"/>
                <w:w w:val="99"/>
              </w:rPr>
              <w:t>for Directors</w:t>
            </w:r>
          </w:p>
        </w:tc>
        <w:tc>
          <w:tcPr>
            <w:tcW w:w="1360" w:type="dxa"/>
            <w:vAlign w:val="bottom"/>
            <w:vMerge w:val="restart"/>
            <w:shd w:val="clear" w:color="auto" w:fill="BF2115"/>
          </w:tcPr>
          <w:p>
            <w:pPr>
              <w:jc w:val="center"/>
              <w:spacing w:after="0"/>
              <w:rPr>
                <w:sz w:val="20"/>
                <w:szCs w:val="20"/>
                <w:color w:val="auto"/>
              </w:rPr>
            </w:pPr>
            <w:r>
              <w:rPr>
                <w:rFonts w:ascii="Arial" w:cs="Arial" w:eastAsia="Arial" w:hAnsi="Arial"/>
                <w:sz w:val="14"/>
                <w:szCs w:val="14"/>
                <w:b w:val="1"/>
                <w:bCs w:val="1"/>
                <w:color w:val="FFFFFF"/>
              </w:rPr>
              <w:t>for Officers</w:t>
            </w:r>
          </w:p>
        </w:tc>
        <w:tc>
          <w:tcPr>
            <w:tcW w:w="0" w:type="dxa"/>
            <w:vAlign w:val="bottom"/>
          </w:tcPr>
          <w:p>
            <w:pPr>
              <w:spacing w:after="0" w:line="20" w:lineRule="exact"/>
              <w:rPr>
                <w:sz w:val="1"/>
                <w:szCs w:val="1"/>
                <w:color w:val="auto"/>
              </w:rPr>
            </w:pPr>
          </w:p>
        </w:tc>
      </w:tr>
      <w:tr>
        <w:trPr>
          <w:trHeight w:val="183"/>
        </w:trPr>
        <w:tc>
          <w:tcPr>
            <w:tcW w:w="3760" w:type="dxa"/>
            <w:vAlign w:val="bottom"/>
            <w:vMerge w:val="continue"/>
            <w:shd w:val="clear" w:color="auto" w:fill="BF2115"/>
          </w:tcPr>
          <w:p>
            <w:pPr>
              <w:spacing w:after="0"/>
              <w:rPr>
                <w:sz w:val="15"/>
                <w:szCs w:val="15"/>
                <w:color w:val="auto"/>
              </w:rPr>
            </w:pPr>
          </w:p>
        </w:tc>
        <w:tc>
          <w:tcPr>
            <w:tcW w:w="1220" w:type="dxa"/>
            <w:vAlign w:val="bottom"/>
            <w:vMerge w:val="continue"/>
            <w:shd w:val="clear" w:color="auto" w:fill="BF2115"/>
          </w:tcPr>
          <w:p>
            <w:pPr>
              <w:spacing w:after="0"/>
              <w:rPr>
                <w:sz w:val="15"/>
                <w:szCs w:val="15"/>
                <w:color w:val="auto"/>
              </w:rPr>
            </w:pPr>
          </w:p>
        </w:tc>
        <w:tc>
          <w:tcPr>
            <w:tcW w:w="1120" w:type="dxa"/>
            <w:vAlign w:val="bottom"/>
            <w:shd w:val="clear" w:color="auto" w:fill="BF2115"/>
          </w:tcPr>
          <w:p>
            <w:pPr>
              <w:jc w:val="right"/>
              <w:ind w:right="141"/>
              <w:spacing w:after="0"/>
              <w:rPr>
                <w:sz w:val="20"/>
                <w:szCs w:val="20"/>
                <w:color w:val="auto"/>
              </w:rPr>
            </w:pPr>
            <w:r>
              <w:rPr>
                <w:rFonts w:ascii="Arial" w:cs="Arial" w:eastAsia="Arial" w:hAnsi="Arial"/>
                <w:sz w:val="14"/>
                <w:szCs w:val="14"/>
                <w:b w:val="1"/>
                <w:bCs w:val="1"/>
                <w:color w:val="FFFFFF"/>
              </w:rPr>
              <w:t>Stock Units</w:t>
            </w:r>
          </w:p>
        </w:tc>
        <w:tc>
          <w:tcPr>
            <w:tcW w:w="1160" w:type="dxa"/>
            <w:vAlign w:val="bottom"/>
            <w:shd w:val="clear" w:color="auto" w:fill="BF2115"/>
          </w:tcPr>
          <w:p>
            <w:pPr>
              <w:jc w:val="right"/>
              <w:ind w:right="421"/>
              <w:spacing w:after="0"/>
              <w:rPr>
                <w:sz w:val="20"/>
                <w:szCs w:val="20"/>
                <w:color w:val="auto"/>
              </w:rPr>
            </w:pPr>
            <w:r>
              <w:rPr>
                <w:rFonts w:ascii="Arial" w:cs="Arial" w:eastAsia="Arial" w:hAnsi="Arial"/>
                <w:sz w:val="14"/>
                <w:szCs w:val="14"/>
                <w:b w:val="1"/>
                <w:bCs w:val="1"/>
                <w:color w:val="FFFFFF"/>
              </w:rPr>
              <w:t>Plan</w:t>
            </w:r>
          </w:p>
        </w:tc>
        <w:tc>
          <w:tcPr>
            <w:tcW w:w="1480" w:type="dxa"/>
            <w:vAlign w:val="bottom"/>
            <w:vMerge w:val="continue"/>
            <w:shd w:val="clear" w:color="auto" w:fill="BF2115"/>
          </w:tcPr>
          <w:p>
            <w:pPr>
              <w:spacing w:after="0"/>
              <w:rPr>
                <w:sz w:val="15"/>
                <w:szCs w:val="15"/>
                <w:color w:val="auto"/>
              </w:rPr>
            </w:pPr>
          </w:p>
        </w:tc>
        <w:tc>
          <w:tcPr>
            <w:tcW w:w="1360" w:type="dxa"/>
            <w:vAlign w:val="bottom"/>
            <w:vMerge w:val="continue"/>
            <w:shd w:val="clear" w:color="auto" w:fill="BF2115"/>
          </w:tcPr>
          <w:p>
            <w:pPr>
              <w:spacing w:after="0"/>
              <w:rPr>
                <w:sz w:val="15"/>
                <w:szCs w:val="15"/>
                <w:color w:val="auto"/>
              </w:rPr>
            </w:pPr>
          </w:p>
        </w:tc>
        <w:tc>
          <w:tcPr>
            <w:tcW w:w="0" w:type="dxa"/>
            <w:vAlign w:val="bottom"/>
          </w:tcPr>
          <w:p>
            <w:pPr>
              <w:spacing w:after="0"/>
              <w:rPr>
                <w:sz w:val="1"/>
                <w:szCs w:val="1"/>
                <w:color w:val="auto"/>
              </w:rPr>
            </w:pPr>
          </w:p>
        </w:tc>
      </w:tr>
      <w:tr>
        <w:trPr>
          <w:trHeight w:val="211"/>
        </w:trPr>
        <w:tc>
          <w:tcPr>
            <w:tcW w:w="3760" w:type="dxa"/>
            <w:vAlign w:val="bottom"/>
          </w:tcPr>
          <w:p>
            <w:pPr>
              <w:ind w:left="20"/>
              <w:spacing w:after="0"/>
              <w:rPr>
                <w:sz w:val="20"/>
                <w:szCs w:val="20"/>
                <w:color w:val="auto"/>
              </w:rPr>
            </w:pPr>
            <w:r>
              <w:rPr>
                <w:rFonts w:ascii="Arial" w:cs="Arial" w:eastAsia="Arial" w:hAnsi="Arial"/>
                <w:sz w:val="16"/>
                <w:szCs w:val="16"/>
                <w:color w:val="auto"/>
              </w:rPr>
              <w:t>Non-Employee Directors:</w:t>
            </w:r>
          </w:p>
        </w:tc>
        <w:tc>
          <w:tcPr>
            <w:tcW w:w="1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9"/>
        </w:trPr>
        <w:tc>
          <w:tcPr>
            <w:tcW w:w="37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3760" w:type="dxa"/>
            <w:vAlign w:val="bottom"/>
            <w:tcBorders>
              <w:bottom w:val="single" w:sz="8" w:color="DBDBDB"/>
            </w:tcBorders>
            <w:shd w:val="clear" w:color="auto" w:fill="DBDBDB"/>
          </w:tcPr>
          <w:p>
            <w:pPr>
              <w:ind w:left="200"/>
              <w:spacing w:after="0"/>
              <w:rPr>
                <w:sz w:val="20"/>
                <w:szCs w:val="20"/>
                <w:color w:val="auto"/>
              </w:rPr>
            </w:pPr>
            <w:r>
              <w:rPr>
                <w:rFonts w:ascii="Arial" w:cs="Arial" w:eastAsia="Arial" w:hAnsi="Arial"/>
                <w:sz w:val="16"/>
                <w:szCs w:val="16"/>
                <w:color w:val="auto"/>
              </w:rPr>
              <w:t>Dianne C. Craig</w:t>
            </w:r>
          </w:p>
        </w:tc>
        <w:tc>
          <w:tcPr>
            <w:tcW w:w="1220" w:type="dxa"/>
            <w:vAlign w:val="bottom"/>
            <w:tcBorders>
              <w:bottom w:val="single" w:sz="8" w:color="DBDBDB"/>
            </w:tcBorders>
            <w:shd w:val="clear" w:color="auto" w:fill="DBDBDB"/>
          </w:tcPr>
          <w:p>
            <w:pPr>
              <w:jc w:val="right"/>
              <w:ind w:right="21"/>
              <w:spacing w:after="0"/>
              <w:rPr>
                <w:sz w:val="20"/>
                <w:szCs w:val="20"/>
                <w:color w:val="auto"/>
              </w:rPr>
            </w:pPr>
            <w:r>
              <w:rPr>
                <w:rFonts w:ascii="Arial" w:cs="Arial" w:eastAsia="Arial" w:hAnsi="Arial"/>
                <w:sz w:val="16"/>
                <w:szCs w:val="16"/>
                <w:color w:val="auto"/>
              </w:rPr>
              <w:t>2,167</w:t>
            </w:r>
          </w:p>
        </w:tc>
        <w:tc>
          <w:tcPr>
            <w:tcW w:w="1120" w:type="dxa"/>
            <w:vAlign w:val="bottom"/>
            <w:tcBorders>
              <w:bottom w:val="single" w:sz="8" w:color="DBDBDB"/>
            </w:tcBorders>
            <w:shd w:val="clear" w:color="auto" w:fill="DBDBDB"/>
          </w:tcPr>
          <w:p>
            <w:pPr>
              <w:jc w:val="right"/>
              <w:ind w:right="61"/>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DBDBDB"/>
            </w:tcBorders>
            <w:shd w:val="clear" w:color="auto" w:fill="DBDBDB"/>
          </w:tcPr>
          <w:p>
            <w:pPr>
              <w:jc w:val="right"/>
              <w:ind w:right="81"/>
              <w:spacing w:after="0"/>
              <w:rPr>
                <w:sz w:val="20"/>
                <w:szCs w:val="20"/>
                <w:color w:val="auto"/>
              </w:rPr>
            </w:pPr>
            <w:r>
              <w:rPr>
                <w:rFonts w:ascii="Arial" w:cs="Arial" w:eastAsia="Arial" w:hAnsi="Arial"/>
                <w:sz w:val="16"/>
                <w:szCs w:val="16"/>
                <w:color w:val="auto"/>
              </w:rPr>
              <w:t>—</w:t>
            </w:r>
          </w:p>
        </w:tc>
        <w:tc>
          <w:tcPr>
            <w:tcW w:w="1480" w:type="dxa"/>
            <w:vAlign w:val="bottom"/>
            <w:tcBorders>
              <w:bottom w:val="single" w:sz="8" w:color="DBDBDB"/>
            </w:tcBorders>
            <w:shd w:val="clear" w:color="auto" w:fill="DBDBDB"/>
          </w:tcPr>
          <w:p>
            <w:pPr>
              <w:jc w:val="right"/>
              <w:ind w:right="62"/>
              <w:spacing w:after="0"/>
              <w:rPr>
                <w:sz w:val="20"/>
                <w:szCs w:val="20"/>
                <w:color w:val="auto"/>
              </w:rPr>
            </w:pPr>
            <w:r>
              <w:rPr>
                <w:rFonts w:ascii="Arial" w:cs="Arial" w:eastAsia="Arial" w:hAnsi="Arial"/>
                <w:sz w:val="16"/>
                <w:szCs w:val="16"/>
                <w:color w:val="auto"/>
              </w:rPr>
              <w:t>0</w:t>
            </w:r>
          </w:p>
        </w:tc>
        <w:tc>
          <w:tcPr>
            <w:tcW w:w="136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1"/>
        </w:trPr>
        <w:tc>
          <w:tcPr>
            <w:tcW w:w="3760" w:type="dxa"/>
            <w:vAlign w:val="bottom"/>
          </w:tcPr>
          <w:p>
            <w:pPr>
              <w:ind w:left="200"/>
              <w:spacing w:after="0"/>
              <w:rPr>
                <w:sz w:val="20"/>
                <w:szCs w:val="20"/>
                <w:color w:val="auto"/>
              </w:rPr>
            </w:pPr>
            <w:r>
              <w:rPr>
                <w:rFonts w:ascii="Arial" w:cs="Arial" w:eastAsia="Arial" w:hAnsi="Arial"/>
                <w:sz w:val="16"/>
                <w:szCs w:val="16"/>
                <w:color w:val="auto"/>
              </w:rPr>
              <w:t>Gary L. Ellis</w:t>
            </w:r>
          </w:p>
        </w:tc>
        <w:tc>
          <w:tcPr>
            <w:tcW w:w="1220" w:type="dxa"/>
            <w:vAlign w:val="bottom"/>
          </w:tcPr>
          <w:p>
            <w:pPr>
              <w:jc w:val="right"/>
              <w:ind w:right="21"/>
              <w:spacing w:after="0"/>
              <w:rPr>
                <w:sz w:val="20"/>
                <w:szCs w:val="20"/>
                <w:color w:val="auto"/>
              </w:rPr>
            </w:pPr>
            <w:r>
              <w:rPr>
                <w:rFonts w:ascii="Arial" w:cs="Arial" w:eastAsia="Arial" w:hAnsi="Arial"/>
                <w:sz w:val="16"/>
                <w:szCs w:val="16"/>
                <w:color w:val="auto"/>
              </w:rPr>
              <w:t>33,441</w:t>
            </w:r>
          </w:p>
        </w:tc>
        <w:tc>
          <w:tcPr>
            <w:tcW w:w="1120" w:type="dxa"/>
            <w:vAlign w:val="bottom"/>
          </w:tcPr>
          <w:p>
            <w:pPr>
              <w:jc w:val="right"/>
              <w:ind w:right="61"/>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81"/>
              <w:spacing w:after="0"/>
              <w:rPr>
                <w:sz w:val="20"/>
                <w:szCs w:val="20"/>
                <w:color w:val="auto"/>
              </w:rPr>
            </w:pPr>
            <w:r>
              <w:rPr>
                <w:rFonts w:ascii="Arial" w:cs="Arial" w:eastAsia="Arial" w:hAnsi="Arial"/>
                <w:sz w:val="16"/>
                <w:szCs w:val="16"/>
                <w:color w:val="auto"/>
              </w:rPr>
              <w:t>—</w:t>
            </w:r>
          </w:p>
        </w:tc>
        <w:tc>
          <w:tcPr>
            <w:tcW w:w="1480" w:type="dxa"/>
            <w:vAlign w:val="bottom"/>
          </w:tcPr>
          <w:p>
            <w:pPr>
              <w:jc w:val="right"/>
              <w:ind w:right="62"/>
              <w:spacing w:after="0"/>
              <w:rPr>
                <w:sz w:val="20"/>
                <w:szCs w:val="20"/>
                <w:color w:val="auto"/>
              </w:rPr>
            </w:pPr>
            <w:r>
              <w:rPr>
                <w:rFonts w:ascii="Arial" w:cs="Arial" w:eastAsia="Arial" w:hAnsi="Arial"/>
                <w:sz w:val="16"/>
                <w:szCs w:val="16"/>
                <w:color w:val="auto"/>
              </w:rPr>
              <w:t>4,094</w:t>
            </w:r>
          </w:p>
        </w:tc>
        <w:tc>
          <w:tcPr>
            <w:tcW w:w="136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9"/>
        </w:trPr>
        <w:tc>
          <w:tcPr>
            <w:tcW w:w="37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3760" w:type="dxa"/>
            <w:vAlign w:val="bottom"/>
            <w:tcBorders>
              <w:bottom w:val="single" w:sz="8" w:color="DBDBDB"/>
            </w:tcBorders>
            <w:shd w:val="clear" w:color="auto" w:fill="DBDBDB"/>
          </w:tcPr>
          <w:p>
            <w:pPr>
              <w:ind w:left="200"/>
              <w:spacing w:after="0"/>
              <w:rPr>
                <w:sz w:val="20"/>
                <w:szCs w:val="20"/>
                <w:color w:val="auto"/>
              </w:rPr>
            </w:pPr>
            <w:r>
              <w:rPr>
                <w:rFonts w:ascii="Arial" w:cs="Arial" w:eastAsia="Arial" w:hAnsi="Arial"/>
                <w:sz w:val="16"/>
                <w:szCs w:val="16"/>
                <w:color w:val="auto"/>
              </w:rPr>
              <w:t>Eric P. Hansotia</w:t>
            </w:r>
          </w:p>
        </w:tc>
        <w:tc>
          <w:tcPr>
            <w:tcW w:w="1220" w:type="dxa"/>
            <w:vAlign w:val="bottom"/>
            <w:tcBorders>
              <w:bottom w:val="single" w:sz="8" w:color="DBDBDB"/>
            </w:tcBorders>
            <w:shd w:val="clear" w:color="auto" w:fill="DBDBDB"/>
          </w:tcPr>
          <w:p>
            <w:pPr>
              <w:jc w:val="right"/>
              <w:ind w:right="21"/>
              <w:spacing w:after="0"/>
              <w:rPr>
                <w:sz w:val="20"/>
                <w:szCs w:val="20"/>
                <w:color w:val="auto"/>
              </w:rPr>
            </w:pPr>
            <w:r>
              <w:rPr>
                <w:rFonts w:ascii="Arial" w:cs="Arial" w:eastAsia="Arial" w:hAnsi="Arial"/>
                <w:sz w:val="16"/>
                <w:szCs w:val="16"/>
                <w:color w:val="auto"/>
              </w:rPr>
              <w:t>5,967</w:t>
            </w:r>
          </w:p>
        </w:tc>
        <w:tc>
          <w:tcPr>
            <w:tcW w:w="1120" w:type="dxa"/>
            <w:vAlign w:val="bottom"/>
            <w:tcBorders>
              <w:bottom w:val="single" w:sz="8" w:color="DBDBDB"/>
            </w:tcBorders>
            <w:shd w:val="clear" w:color="auto" w:fill="DBDBDB"/>
          </w:tcPr>
          <w:p>
            <w:pPr>
              <w:jc w:val="right"/>
              <w:ind w:right="61"/>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DBDBDB"/>
            </w:tcBorders>
            <w:shd w:val="clear" w:color="auto" w:fill="DBDBDB"/>
          </w:tcPr>
          <w:p>
            <w:pPr>
              <w:jc w:val="right"/>
              <w:ind w:right="81"/>
              <w:spacing w:after="0"/>
              <w:rPr>
                <w:sz w:val="20"/>
                <w:szCs w:val="20"/>
                <w:color w:val="auto"/>
              </w:rPr>
            </w:pPr>
            <w:r>
              <w:rPr>
                <w:rFonts w:ascii="Arial" w:cs="Arial" w:eastAsia="Arial" w:hAnsi="Arial"/>
                <w:sz w:val="16"/>
                <w:szCs w:val="16"/>
                <w:color w:val="auto"/>
              </w:rPr>
              <w:t>—</w:t>
            </w:r>
          </w:p>
        </w:tc>
        <w:tc>
          <w:tcPr>
            <w:tcW w:w="1480" w:type="dxa"/>
            <w:vAlign w:val="bottom"/>
            <w:tcBorders>
              <w:bottom w:val="single" w:sz="8" w:color="DBDBDB"/>
            </w:tcBorders>
            <w:shd w:val="clear" w:color="auto" w:fill="DBDBDB"/>
          </w:tcPr>
          <w:p>
            <w:pPr>
              <w:jc w:val="right"/>
              <w:ind w:right="62"/>
              <w:spacing w:after="0"/>
              <w:rPr>
                <w:sz w:val="20"/>
                <w:szCs w:val="20"/>
                <w:color w:val="auto"/>
              </w:rPr>
            </w:pPr>
            <w:r>
              <w:rPr>
                <w:rFonts w:ascii="Arial" w:cs="Arial" w:eastAsia="Arial" w:hAnsi="Arial"/>
                <w:sz w:val="16"/>
                <w:szCs w:val="16"/>
                <w:color w:val="auto"/>
              </w:rPr>
              <w:t>0</w:t>
            </w:r>
          </w:p>
        </w:tc>
        <w:tc>
          <w:tcPr>
            <w:tcW w:w="136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1"/>
        </w:trPr>
        <w:tc>
          <w:tcPr>
            <w:tcW w:w="3760" w:type="dxa"/>
            <w:vAlign w:val="bottom"/>
          </w:tcPr>
          <w:p>
            <w:pPr>
              <w:ind w:left="200"/>
              <w:spacing w:after="0"/>
              <w:rPr>
                <w:sz w:val="20"/>
                <w:szCs w:val="20"/>
                <w:color w:val="auto"/>
              </w:rPr>
            </w:pPr>
            <w:r>
              <w:rPr>
                <w:rFonts w:ascii="Arial" w:cs="Arial" w:eastAsia="Arial" w:hAnsi="Arial"/>
                <w:sz w:val="16"/>
                <w:szCs w:val="16"/>
                <w:color w:val="auto"/>
              </w:rPr>
              <w:t>Jeffrey L. Harmening</w:t>
            </w:r>
          </w:p>
        </w:tc>
        <w:tc>
          <w:tcPr>
            <w:tcW w:w="1220" w:type="dxa"/>
            <w:vAlign w:val="bottom"/>
          </w:tcPr>
          <w:p>
            <w:pPr>
              <w:jc w:val="right"/>
              <w:ind w:right="21"/>
              <w:spacing w:after="0"/>
              <w:rPr>
                <w:sz w:val="20"/>
                <w:szCs w:val="20"/>
                <w:color w:val="auto"/>
              </w:rPr>
            </w:pPr>
            <w:r>
              <w:rPr>
                <w:rFonts w:ascii="Arial" w:cs="Arial" w:eastAsia="Arial" w:hAnsi="Arial"/>
                <w:sz w:val="16"/>
                <w:szCs w:val="16"/>
                <w:color w:val="auto"/>
              </w:rPr>
              <w:t>15,124</w:t>
            </w:r>
          </w:p>
        </w:tc>
        <w:tc>
          <w:tcPr>
            <w:tcW w:w="1120" w:type="dxa"/>
            <w:vAlign w:val="bottom"/>
          </w:tcPr>
          <w:p>
            <w:pPr>
              <w:jc w:val="right"/>
              <w:ind w:right="61"/>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81"/>
              <w:spacing w:after="0"/>
              <w:rPr>
                <w:sz w:val="20"/>
                <w:szCs w:val="20"/>
                <w:color w:val="auto"/>
              </w:rPr>
            </w:pPr>
            <w:r>
              <w:rPr>
                <w:rFonts w:ascii="Arial" w:cs="Arial" w:eastAsia="Arial" w:hAnsi="Arial"/>
                <w:sz w:val="16"/>
                <w:szCs w:val="16"/>
                <w:color w:val="auto"/>
              </w:rPr>
              <w:t>—</w:t>
            </w:r>
          </w:p>
        </w:tc>
        <w:tc>
          <w:tcPr>
            <w:tcW w:w="1480" w:type="dxa"/>
            <w:vAlign w:val="bottom"/>
          </w:tcPr>
          <w:p>
            <w:pPr>
              <w:jc w:val="right"/>
              <w:ind w:right="62"/>
              <w:spacing w:after="0"/>
              <w:rPr>
                <w:sz w:val="20"/>
                <w:szCs w:val="20"/>
                <w:color w:val="auto"/>
              </w:rPr>
            </w:pPr>
            <w:r>
              <w:rPr>
                <w:rFonts w:ascii="Arial" w:cs="Arial" w:eastAsia="Arial" w:hAnsi="Arial"/>
                <w:sz w:val="16"/>
                <w:szCs w:val="16"/>
                <w:color w:val="auto"/>
              </w:rPr>
              <w:t>0</w:t>
            </w:r>
          </w:p>
        </w:tc>
        <w:tc>
          <w:tcPr>
            <w:tcW w:w="136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9"/>
        </w:trPr>
        <w:tc>
          <w:tcPr>
            <w:tcW w:w="37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3760" w:type="dxa"/>
            <w:vAlign w:val="bottom"/>
            <w:tcBorders>
              <w:bottom w:val="single" w:sz="8" w:color="DBDBDB"/>
            </w:tcBorders>
            <w:shd w:val="clear" w:color="auto" w:fill="DBDBDB"/>
          </w:tcPr>
          <w:p>
            <w:pPr>
              <w:ind w:left="200"/>
              <w:spacing w:after="0"/>
              <w:rPr>
                <w:sz w:val="20"/>
                <w:szCs w:val="20"/>
                <w:color w:val="auto"/>
              </w:rPr>
            </w:pPr>
            <w:r>
              <w:rPr>
                <w:rFonts w:ascii="Arial" w:cs="Arial" w:eastAsia="Arial" w:hAnsi="Arial"/>
                <w:sz w:val="16"/>
                <w:szCs w:val="16"/>
                <w:color w:val="auto"/>
              </w:rPr>
              <w:t>D. Christian Koch</w:t>
            </w:r>
          </w:p>
        </w:tc>
        <w:tc>
          <w:tcPr>
            <w:tcW w:w="1220" w:type="dxa"/>
            <w:vAlign w:val="bottom"/>
            <w:tcBorders>
              <w:bottom w:val="single" w:sz="8" w:color="DBDBDB"/>
            </w:tcBorders>
            <w:shd w:val="clear" w:color="auto" w:fill="DBDBDB"/>
          </w:tcPr>
          <w:p>
            <w:pPr>
              <w:jc w:val="right"/>
              <w:ind w:right="21"/>
              <w:spacing w:after="0"/>
              <w:rPr>
                <w:sz w:val="20"/>
                <w:szCs w:val="20"/>
                <w:color w:val="auto"/>
              </w:rPr>
            </w:pPr>
            <w:r>
              <w:rPr>
                <w:rFonts w:ascii="Arial" w:cs="Arial" w:eastAsia="Arial" w:hAnsi="Arial"/>
                <w:sz w:val="16"/>
                <w:szCs w:val="16"/>
                <w:color w:val="auto"/>
              </w:rPr>
              <w:t>28,403</w:t>
            </w:r>
          </w:p>
        </w:tc>
        <w:tc>
          <w:tcPr>
            <w:tcW w:w="1120" w:type="dxa"/>
            <w:vAlign w:val="bottom"/>
            <w:tcBorders>
              <w:bottom w:val="single" w:sz="8" w:color="DBDBDB"/>
            </w:tcBorders>
            <w:shd w:val="clear" w:color="auto" w:fill="DBDBDB"/>
          </w:tcPr>
          <w:p>
            <w:pPr>
              <w:jc w:val="right"/>
              <w:ind w:right="61"/>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DBDBDB"/>
            </w:tcBorders>
            <w:shd w:val="clear" w:color="auto" w:fill="DBDBDB"/>
          </w:tcPr>
          <w:p>
            <w:pPr>
              <w:jc w:val="right"/>
              <w:ind w:right="81"/>
              <w:spacing w:after="0"/>
              <w:rPr>
                <w:sz w:val="20"/>
                <w:szCs w:val="20"/>
                <w:color w:val="auto"/>
              </w:rPr>
            </w:pPr>
            <w:r>
              <w:rPr>
                <w:rFonts w:ascii="Arial" w:cs="Arial" w:eastAsia="Arial" w:hAnsi="Arial"/>
                <w:sz w:val="16"/>
                <w:szCs w:val="16"/>
                <w:color w:val="auto"/>
              </w:rPr>
              <w:t>—</w:t>
            </w:r>
          </w:p>
        </w:tc>
        <w:tc>
          <w:tcPr>
            <w:tcW w:w="1480" w:type="dxa"/>
            <w:vAlign w:val="bottom"/>
            <w:tcBorders>
              <w:bottom w:val="single" w:sz="8" w:color="DBDBDB"/>
            </w:tcBorders>
            <w:shd w:val="clear" w:color="auto" w:fill="DBDBDB"/>
          </w:tcPr>
          <w:p>
            <w:pPr>
              <w:jc w:val="right"/>
              <w:ind w:right="62"/>
              <w:spacing w:after="0"/>
              <w:rPr>
                <w:sz w:val="20"/>
                <w:szCs w:val="20"/>
                <w:color w:val="auto"/>
              </w:rPr>
            </w:pPr>
            <w:r>
              <w:rPr>
                <w:rFonts w:ascii="Arial" w:cs="Arial" w:eastAsia="Arial" w:hAnsi="Arial"/>
                <w:sz w:val="16"/>
                <w:szCs w:val="16"/>
                <w:color w:val="auto"/>
              </w:rPr>
              <w:t>0</w:t>
            </w:r>
          </w:p>
        </w:tc>
        <w:tc>
          <w:tcPr>
            <w:tcW w:w="136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1"/>
        </w:trPr>
        <w:tc>
          <w:tcPr>
            <w:tcW w:w="3760" w:type="dxa"/>
            <w:vAlign w:val="bottom"/>
          </w:tcPr>
          <w:p>
            <w:pPr>
              <w:ind w:left="200"/>
              <w:spacing w:after="0"/>
              <w:rPr>
                <w:sz w:val="20"/>
                <w:szCs w:val="20"/>
                <w:color w:val="auto"/>
              </w:rPr>
            </w:pPr>
            <w:r>
              <w:rPr>
                <w:rFonts w:ascii="Arial" w:cs="Arial" w:eastAsia="Arial" w:hAnsi="Arial"/>
                <w:sz w:val="16"/>
                <w:szCs w:val="16"/>
                <w:color w:val="auto"/>
              </w:rPr>
              <w:t>Joyce A. Mullen</w:t>
            </w:r>
          </w:p>
        </w:tc>
        <w:tc>
          <w:tcPr>
            <w:tcW w:w="1220" w:type="dxa"/>
            <w:vAlign w:val="bottom"/>
          </w:tcPr>
          <w:p>
            <w:pPr>
              <w:jc w:val="right"/>
              <w:ind w:right="21"/>
              <w:spacing w:after="0"/>
              <w:rPr>
                <w:sz w:val="20"/>
                <w:szCs w:val="20"/>
                <w:color w:val="auto"/>
              </w:rPr>
            </w:pPr>
            <w:r>
              <w:rPr>
                <w:rFonts w:ascii="Arial" w:cs="Arial" w:eastAsia="Arial" w:hAnsi="Arial"/>
                <w:sz w:val="16"/>
                <w:szCs w:val="16"/>
                <w:color w:val="auto"/>
              </w:rPr>
              <w:t>15,124</w:t>
            </w:r>
          </w:p>
        </w:tc>
        <w:tc>
          <w:tcPr>
            <w:tcW w:w="1120" w:type="dxa"/>
            <w:vAlign w:val="bottom"/>
          </w:tcPr>
          <w:p>
            <w:pPr>
              <w:jc w:val="right"/>
              <w:ind w:right="61"/>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81"/>
              <w:spacing w:after="0"/>
              <w:rPr>
                <w:sz w:val="20"/>
                <w:szCs w:val="20"/>
                <w:color w:val="auto"/>
              </w:rPr>
            </w:pPr>
            <w:r>
              <w:rPr>
                <w:rFonts w:ascii="Arial" w:cs="Arial" w:eastAsia="Arial" w:hAnsi="Arial"/>
                <w:sz w:val="16"/>
                <w:szCs w:val="16"/>
                <w:color w:val="auto"/>
              </w:rPr>
              <w:t>—</w:t>
            </w:r>
          </w:p>
        </w:tc>
        <w:tc>
          <w:tcPr>
            <w:tcW w:w="1480" w:type="dxa"/>
            <w:vAlign w:val="bottom"/>
          </w:tcPr>
          <w:p>
            <w:pPr>
              <w:jc w:val="right"/>
              <w:ind w:right="62"/>
              <w:spacing w:after="0"/>
              <w:rPr>
                <w:sz w:val="20"/>
                <w:szCs w:val="20"/>
                <w:color w:val="auto"/>
              </w:rPr>
            </w:pPr>
            <w:r>
              <w:rPr>
                <w:rFonts w:ascii="Arial" w:cs="Arial" w:eastAsia="Arial" w:hAnsi="Arial"/>
                <w:sz w:val="16"/>
                <w:szCs w:val="16"/>
                <w:color w:val="auto"/>
              </w:rPr>
              <w:t>5,607</w:t>
            </w:r>
          </w:p>
        </w:tc>
        <w:tc>
          <w:tcPr>
            <w:tcW w:w="136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9"/>
        </w:trPr>
        <w:tc>
          <w:tcPr>
            <w:tcW w:w="37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3760" w:type="dxa"/>
            <w:vAlign w:val="bottom"/>
            <w:tcBorders>
              <w:bottom w:val="single" w:sz="8" w:color="DBDBDB"/>
            </w:tcBorders>
            <w:shd w:val="clear" w:color="auto" w:fill="DBDBDB"/>
          </w:tcPr>
          <w:p>
            <w:pPr>
              <w:ind w:left="200"/>
              <w:spacing w:after="0"/>
              <w:rPr>
                <w:sz w:val="20"/>
                <w:szCs w:val="20"/>
                <w:color w:val="auto"/>
              </w:rPr>
            </w:pPr>
            <w:r>
              <w:rPr>
                <w:rFonts w:ascii="Arial" w:cs="Arial" w:eastAsia="Arial" w:hAnsi="Arial"/>
                <w:sz w:val="16"/>
                <w:szCs w:val="16"/>
                <w:color w:val="auto"/>
              </w:rPr>
              <w:t>James C. O'Rourke</w:t>
            </w:r>
          </w:p>
        </w:tc>
        <w:tc>
          <w:tcPr>
            <w:tcW w:w="1220" w:type="dxa"/>
            <w:vAlign w:val="bottom"/>
            <w:tcBorders>
              <w:bottom w:val="single" w:sz="8" w:color="DBDBDB"/>
            </w:tcBorders>
            <w:shd w:val="clear" w:color="auto" w:fill="DBDBDB"/>
          </w:tcPr>
          <w:p>
            <w:pPr>
              <w:jc w:val="right"/>
              <w:ind w:right="21"/>
              <w:spacing w:after="0"/>
              <w:rPr>
                <w:sz w:val="20"/>
                <w:szCs w:val="20"/>
                <w:color w:val="auto"/>
              </w:rPr>
            </w:pPr>
            <w:r>
              <w:rPr>
                <w:rFonts w:ascii="Arial" w:cs="Arial" w:eastAsia="Arial" w:hAnsi="Arial"/>
                <w:sz w:val="16"/>
                <w:szCs w:val="16"/>
                <w:color w:val="auto"/>
              </w:rPr>
              <w:t>33,441</w:t>
            </w:r>
          </w:p>
        </w:tc>
        <w:tc>
          <w:tcPr>
            <w:tcW w:w="1120" w:type="dxa"/>
            <w:vAlign w:val="bottom"/>
            <w:tcBorders>
              <w:bottom w:val="single" w:sz="8" w:color="DBDBDB"/>
            </w:tcBorders>
            <w:shd w:val="clear" w:color="auto" w:fill="DBDBDB"/>
          </w:tcPr>
          <w:p>
            <w:pPr>
              <w:jc w:val="right"/>
              <w:ind w:right="61"/>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DBDBDB"/>
            </w:tcBorders>
            <w:shd w:val="clear" w:color="auto" w:fill="DBDBDB"/>
          </w:tcPr>
          <w:p>
            <w:pPr>
              <w:jc w:val="right"/>
              <w:ind w:right="81"/>
              <w:spacing w:after="0"/>
              <w:rPr>
                <w:sz w:val="20"/>
                <w:szCs w:val="20"/>
                <w:color w:val="auto"/>
              </w:rPr>
            </w:pPr>
            <w:r>
              <w:rPr>
                <w:rFonts w:ascii="Arial" w:cs="Arial" w:eastAsia="Arial" w:hAnsi="Arial"/>
                <w:sz w:val="16"/>
                <w:szCs w:val="16"/>
                <w:color w:val="auto"/>
              </w:rPr>
              <w:t>—</w:t>
            </w:r>
          </w:p>
        </w:tc>
        <w:tc>
          <w:tcPr>
            <w:tcW w:w="1480" w:type="dxa"/>
            <w:vAlign w:val="bottom"/>
            <w:tcBorders>
              <w:bottom w:val="single" w:sz="8" w:color="DBDBDB"/>
            </w:tcBorders>
            <w:shd w:val="clear" w:color="auto" w:fill="DBDBDB"/>
          </w:tcPr>
          <w:p>
            <w:pPr>
              <w:jc w:val="right"/>
              <w:ind w:right="62"/>
              <w:spacing w:after="0"/>
              <w:rPr>
                <w:sz w:val="20"/>
                <w:szCs w:val="20"/>
                <w:color w:val="auto"/>
              </w:rPr>
            </w:pPr>
            <w:r>
              <w:rPr>
                <w:rFonts w:ascii="Arial" w:cs="Arial" w:eastAsia="Arial" w:hAnsi="Arial"/>
                <w:sz w:val="16"/>
                <w:szCs w:val="16"/>
                <w:color w:val="auto"/>
              </w:rPr>
              <w:t>0</w:t>
            </w:r>
          </w:p>
        </w:tc>
        <w:tc>
          <w:tcPr>
            <w:tcW w:w="136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1"/>
        </w:trPr>
        <w:tc>
          <w:tcPr>
            <w:tcW w:w="3760" w:type="dxa"/>
            <w:vAlign w:val="bottom"/>
          </w:tcPr>
          <w:p>
            <w:pPr>
              <w:ind w:left="200"/>
              <w:spacing w:after="0"/>
              <w:rPr>
                <w:sz w:val="20"/>
                <w:szCs w:val="20"/>
                <w:color w:val="auto"/>
              </w:rPr>
            </w:pPr>
            <w:r>
              <w:rPr>
                <w:rFonts w:ascii="Arial" w:cs="Arial" w:eastAsia="Arial" w:hAnsi="Arial"/>
                <w:sz w:val="16"/>
                <w:szCs w:val="16"/>
                <w:color w:val="auto"/>
              </w:rPr>
              <w:t>Jill M. Pemberton</w:t>
            </w:r>
          </w:p>
        </w:tc>
        <w:tc>
          <w:tcPr>
            <w:tcW w:w="1220" w:type="dxa"/>
            <w:vAlign w:val="bottom"/>
          </w:tcPr>
          <w:p>
            <w:pPr>
              <w:jc w:val="right"/>
              <w:ind w:right="21"/>
              <w:spacing w:after="0"/>
              <w:rPr>
                <w:sz w:val="20"/>
                <w:szCs w:val="20"/>
                <w:color w:val="auto"/>
              </w:rPr>
            </w:pPr>
            <w:r>
              <w:rPr>
                <w:rFonts w:ascii="Arial" w:cs="Arial" w:eastAsia="Arial" w:hAnsi="Arial"/>
                <w:sz w:val="16"/>
                <w:szCs w:val="16"/>
                <w:color w:val="auto"/>
              </w:rPr>
              <w:t>5,967</w:t>
            </w:r>
          </w:p>
        </w:tc>
        <w:tc>
          <w:tcPr>
            <w:tcW w:w="1120" w:type="dxa"/>
            <w:vAlign w:val="bottom"/>
          </w:tcPr>
          <w:p>
            <w:pPr>
              <w:jc w:val="right"/>
              <w:ind w:right="61"/>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81"/>
              <w:spacing w:after="0"/>
              <w:rPr>
                <w:sz w:val="20"/>
                <w:szCs w:val="20"/>
                <w:color w:val="auto"/>
              </w:rPr>
            </w:pPr>
            <w:r>
              <w:rPr>
                <w:rFonts w:ascii="Arial" w:cs="Arial" w:eastAsia="Arial" w:hAnsi="Arial"/>
                <w:sz w:val="16"/>
                <w:szCs w:val="16"/>
                <w:color w:val="auto"/>
              </w:rPr>
              <w:t>—</w:t>
            </w:r>
          </w:p>
        </w:tc>
        <w:tc>
          <w:tcPr>
            <w:tcW w:w="1480" w:type="dxa"/>
            <w:vAlign w:val="bottom"/>
          </w:tcPr>
          <w:p>
            <w:pPr>
              <w:jc w:val="right"/>
              <w:ind w:right="62"/>
              <w:spacing w:after="0"/>
              <w:rPr>
                <w:sz w:val="20"/>
                <w:szCs w:val="20"/>
                <w:color w:val="auto"/>
              </w:rPr>
            </w:pPr>
            <w:r>
              <w:rPr>
                <w:rFonts w:ascii="Arial" w:cs="Arial" w:eastAsia="Arial" w:hAnsi="Arial"/>
                <w:sz w:val="16"/>
                <w:szCs w:val="16"/>
                <w:color w:val="auto"/>
              </w:rPr>
              <w:t>972</w:t>
            </w:r>
          </w:p>
        </w:tc>
        <w:tc>
          <w:tcPr>
            <w:tcW w:w="136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9"/>
        </w:trPr>
        <w:tc>
          <w:tcPr>
            <w:tcW w:w="37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376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6"/>
                <w:szCs w:val="16"/>
                <w:color w:val="auto"/>
              </w:rPr>
              <w:t>Named Executive Officers:</w:t>
            </w:r>
          </w:p>
        </w:tc>
        <w:tc>
          <w:tcPr>
            <w:tcW w:w="1220" w:type="dxa"/>
            <w:vAlign w:val="bottom"/>
            <w:tcBorders>
              <w:bottom w:val="single" w:sz="8" w:color="DBDBDB"/>
            </w:tcBorders>
            <w:shd w:val="clear" w:color="auto" w:fill="DBDBDB"/>
          </w:tcPr>
          <w:p>
            <w:pPr>
              <w:spacing w:after="0"/>
              <w:rPr>
                <w:sz w:val="19"/>
                <w:szCs w:val="19"/>
                <w:color w:val="auto"/>
              </w:rPr>
            </w:pPr>
          </w:p>
        </w:tc>
        <w:tc>
          <w:tcPr>
            <w:tcW w:w="1120" w:type="dxa"/>
            <w:vAlign w:val="bottom"/>
            <w:tcBorders>
              <w:bottom w:val="single" w:sz="8" w:color="DBDBDB"/>
            </w:tcBorders>
            <w:shd w:val="clear" w:color="auto" w:fill="DBDBDB"/>
          </w:tcPr>
          <w:p>
            <w:pPr>
              <w:spacing w:after="0"/>
              <w:rPr>
                <w:sz w:val="19"/>
                <w:szCs w:val="19"/>
                <w:color w:val="auto"/>
              </w:rPr>
            </w:pPr>
          </w:p>
        </w:tc>
        <w:tc>
          <w:tcPr>
            <w:tcW w:w="1160" w:type="dxa"/>
            <w:vAlign w:val="bottom"/>
            <w:tcBorders>
              <w:bottom w:val="single" w:sz="8" w:color="DBDBDB"/>
            </w:tcBorders>
            <w:shd w:val="clear" w:color="auto" w:fill="DBDBDB"/>
          </w:tcPr>
          <w:p>
            <w:pPr>
              <w:spacing w:after="0"/>
              <w:rPr>
                <w:sz w:val="19"/>
                <w:szCs w:val="19"/>
                <w:color w:val="auto"/>
              </w:rPr>
            </w:pPr>
          </w:p>
        </w:tc>
        <w:tc>
          <w:tcPr>
            <w:tcW w:w="1480" w:type="dxa"/>
            <w:vAlign w:val="bottom"/>
            <w:tcBorders>
              <w:bottom w:val="single" w:sz="8" w:color="DBDBDB"/>
            </w:tcBorders>
            <w:shd w:val="clear" w:color="auto" w:fill="DBDBDB"/>
          </w:tcPr>
          <w:p>
            <w:pPr>
              <w:spacing w:after="0"/>
              <w:rPr>
                <w:sz w:val="19"/>
                <w:szCs w:val="19"/>
                <w:color w:val="auto"/>
              </w:rPr>
            </w:pPr>
          </w:p>
        </w:tc>
        <w:tc>
          <w:tcPr>
            <w:tcW w:w="1360" w:type="dxa"/>
            <w:vAlign w:val="bottom"/>
            <w:tcBorders>
              <w:bottom w:val="single" w:sz="8" w:color="DBDBDB"/>
            </w:tcBorders>
            <w:shd w:val="clear" w:color="auto" w:fill="DBDBDB"/>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3760" w:type="dxa"/>
            <w:vAlign w:val="bottom"/>
          </w:tcPr>
          <w:p>
            <w:pPr>
              <w:ind w:left="200"/>
              <w:spacing w:after="0"/>
              <w:rPr>
                <w:sz w:val="20"/>
                <w:szCs w:val="20"/>
                <w:color w:val="auto"/>
              </w:rPr>
            </w:pPr>
            <w:r>
              <w:rPr>
                <w:rFonts w:ascii="Arial" w:cs="Arial" w:eastAsia="Arial" w:hAnsi="Arial"/>
                <w:sz w:val="16"/>
                <w:szCs w:val="16"/>
                <w:color w:val="auto"/>
              </w:rPr>
              <w:t>Richard M. Olson</w:t>
            </w:r>
          </w:p>
        </w:tc>
        <w:tc>
          <w:tcPr>
            <w:tcW w:w="1220" w:type="dxa"/>
            <w:vAlign w:val="bottom"/>
          </w:tcPr>
          <w:p>
            <w:pPr>
              <w:jc w:val="right"/>
              <w:ind w:right="21"/>
              <w:spacing w:after="0"/>
              <w:rPr>
                <w:sz w:val="20"/>
                <w:szCs w:val="20"/>
                <w:color w:val="auto"/>
              </w:rPr>
            </w:pPr>
            <w:r>
              <w:rPr>
                <w:rFonts w:ascii="Arial" w:cs="Arial" w:eastAsia="Arial" w:hAnsi="Arial"/>
                <w:sz w:val="16"/>
                <w:szCs w:val="16"/>
                <w:color w:val="auto"/>
              </w:rPr>
              <w:t>1,098,955</w:t>
            </w:r>
          </w:p>
        </w:tc>
        <w:tc>
          <w:tcPr>
            <w:tcW w:w="1120" w:type="dxa"/>
            <w:vAlign w:val="bottom"/>
          </w:tcPr>
          <w:p>
            <w:pPr>
              <w:jc w:val="right"/>
              <w:ind w:right="61"/>
              <w:spacing w:after="0"/>
              <w:rPr>
                <w:sz w:val="20"/>
                <w:szCs w:val="20"/>
                <w:color w:val="auto"/>
              </w:rPr>
            </w:pPr>
            <w:r>
              <w:rPr>
                <w:rFonts w:ascii="Arial" w:cs="Arial" w:eastAsia="Arial" w:hAnsi="Arial"/>
                <w:sz w:val="16"/>
                <w:szCs w:val="16"/>
                <w:color w:val="auto"/>
              </w:rPr>
              <w:t>0</w:t>
            </w:r>
          </w:p>
        </w:tc>
        <w:tc>
          <w:tcPr>
            <w:tcW w:w="1160" w:type="dxa"/>
            <w:vAlign w:val="bottom"/>
          </w:tcPr>
          <w:p>
            <w:pPr>
              <w:jc w:val="right"/>
              <w:ind w:right="81"/>
              <w:spacing w:after="0"/>
              <w:rPr>
                <w:sz w:val="20"/>
                <w:szCs w:val="20"/>
                <w:color w:val="auto"/>
              </w:rPr>
            </w:pPr>
            <w:r>
              <w:rPr>
                <w:rFonts w:ascii="Arial" w:cs="Arial" w:eastAsia="Arial" w:hAnsi="Arial"/>
                <w:sz w:val="16"/>
                <w:szCs w:val="16"/>
                <w:color w:val="auto"/>
              </w:rPr>
              <w:t>17,455</w:t>
            </w:r>
          </w:p>
        </w:tc>
        <w:tc>
          <w:tcPr>
            <w:tcW w:w="1480" w:type="dxa"/>
            <w:vAlign w:val="bottom"/>
          </w:tcPr>
          <w:p>
            <w:pPr>
              <w:jc w:val="right"/>
              <w:ind w:right="62"/>
              <w:spacing w:after="0"/>
              <w:rPr>
                <w:sz w:val="20"/>
                <w:szCs w:val="20"/>
                <w:color w:val="auto"/>
              </w:rPr>
            </w:pPr>
            <w:r>
              <w:rPr>
                <w:rFonts w:ascii="Arial" w:cs="Arial" w:eastAsia="Arial" w:hAnsi="Arial"/>
                <w:sz w:val="16"/>
                <w:szCs w:val="16"/>
                <w:color w:val="auto"/>
              </w:rPr>
              <w:t>—</w:t>
            </w:r>
          </w:p>
        </w:tc>
        <w:tc>
          <w:tcPr>
            <w:tcW w:w="1360" w:type="dxa"/>
            <w:vAlign w:val="bottom"/>
          </w:tcPr>
          <w:p>
            <w:pPr>
              <w:jc w:val="right"/>
              <w:spacing w:after="0"/>
              <w:rPr>
                <w:sz w:val="20"/>
                <w:szCs w:val="20"/>
                <w:color w:val="auto"/>
              </w:rPr>
            </w:pPr>
            <w:r>
              <w:rPr>
                <w:rFonts w:ascii="Arial" w:cs="Arial" w:eastAsia="Arial" w:hAnsi="Arial"/>
                <w:sz w:val="16"/>
                <w:szCs w:val="16"/>
                <w:color w:val="auto"/>
              </w:rPr>
              <w:t>167,518</w:t>
            </w:r>
          </w:p>
        </w:tc>
        <w:tc>
          <w:tcPr>
            <w:tcW w:w="0" w:type="dxa"/>
            <w:vAlign w:val="bottom"/>
          </w:tcPr>
          <w:p>
            <w:pPr>
              <w:spacing w:after="0"/>
              <w:rPr>
                <w:sz w:val="1"/>
                <w:szCs w:val="1"/>
                <w:color w:val="auto"/>
              </w:rPr>
            </w:pPr>
          </w:p>
        </w:tc>
      </w:tr>
      <w:tr>
        <w:trPr>
          <w:trHeight w:val="29"/>
        </w:trPr>
        <w:tc>
          <w:tcPr>
            <w:tcW w:w="37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3760" w:type="dxa"/>
            <w:vAlign w:val="bottom"/>
            <w:tcBorders>
              <w:bottom w:val="single" w:sz="8" w:color="DBDBDB"/>
            </w:tcBorders>
            <w:shd w:val="clear" w:color="auto" w:fill="DBDBDB"/>
          </w:tcPr>
          <w:p>
            <w:pPr>
              <w:ind w:left="200"/>
              <w:spacing w:after="0"/>
              <w:rPr>
                <w:sz w:val="20"/>
                <w:szCs w:val="20"/>
                <w:color w:val="auto"/>
              </w:rPr>
            </w:pPr>
            <w:r>
              <w:rPr>
                <w:rFonts w:ascii="Arial" w:cs="Arial" w:eastAsia="Arial" w:hAnsi="Arial"/>
                <w:sz w:val="16"/>
                <w:szCs w:val="16"/>
                <w:color w:val="auto"/>
              </w:rPr>
              <w:t>Angela C. Drake</w:t>
            </w:r>
          </w:p>
        </w:tc>
        <w:tc>
          <w:tcPr>
            <w:tcW w:w="1220" w:type="dxa"/>
            <w:vAlign w:val="bottom"/>
            <w:tcBorders>
              <w:bottom w:val="single" w:sz="8" w:color="DBDBDB"/>
            </w:tcBorders>
            <w:shd w:val="clear" w:color="auto" w:fill="DBDBDB"/>
          </w:tcPr>
          <w:p>
            <w:pPr>
              <w:jc w:val="right"/>
              <w:ind w:right="21"/>
              <w:spacing w:after="0"/>
              <w:rPr>
                <w:sz w:val="20"/>
                <w:szCs w:val="20"/>
                <w:color w:val="auto"/>
              </w:rPr>
            </w:pPr>
            <w:r>
              <w:rPr>
                <w:rFonts w:ascii="Arial" w:cs="Arial" w:eastAsia="Arial" w:hAnsi="Arial"/>
                <w:sz w:val="16"/>
                <w:szCs w:val="16"/>
                <w:color w:val="auto"/>
              </w:rPr>
              <w:t>67,624</w:t>
            </w:r>
          </w:p>
        </w:tc>
        <w:tc>
          <w:tcPr>
            <w:tcW w:w="1120" w:type="dxa"/>
            <w:vAlign w:val="bottom"/>
            <w:tcBorders>
              <w:bottom w:val="single" w:sz="8" w:color="DBDBDB"/>
            </w:tcBorders>
            <w:shd w:val="clear" w:color="auto" w:fill="DBDBDB"/>
          </w:tcPr>
          <w:p>
            <w:pPr>
              <w:jc w:val="right"/>
              <w:ind w:right="61"/>
              <w:spacing w:after="0"/>
              <w:rPr>
                <w:sz w:val="20"/>
                <w:szCs w:val="20"/>
                <w:color w:val="auto"/>
              </w:rPr>
            </w:pPr>
            <w:r>
              <w:rPr>
                <w:rFonts w:ascii="Arial" w:cs="Arial" w:eastAsia="Arial" w:hAnsi="Arial"/>
                <w:sz w:val="16"/>
                <w:szCs w:val="16"/>
                <w:color w:val="auto"/>
              </w:rPr>
              <w:t>5,352</w:t>
            </w:r>
          </w:p>
        </w:tc>
        <w:tc>
          <w:tcPr>
            <w:tcW w:w="1160" w:type="dxa"/>
            <w:vAlign w:val="bottom"/>
            <w:tcBorders>
              <w:bottom w:val="single" w:sz="8" w:color="DBDBDB"/>
            </w:tcBorders>
            <w:shd w:val="clear" w:color="auto" w:fill="DBDBDB"/>
          </w:tcPr>
          <w:p>
            <w:pPr>
              <w:jc w:val="right"/>
              <w:ind w:right="81"/>
              <w:spacing w:after="0"/>
              <w:rPr>
                <w:sz w:val="20"/>
                <w:szCs w:val="20"/>
                <w:color w:val="auto"/>
              </w:rPr>
            </w:pPr>
            <w:r>
              <w:rPr>
                <w:rFonts w:ascii="Arial" w:cs="Arial" w:eastAsia="Arial" w:hAnsi="Arial"/>
                <w:sz w:val="16"/>
                <w:szCs w:val="16"/>
                <w:color w:val="auto"/>
              </w:rPr>
              <w:t>275</w:t>
            </w:r>
          </w:p>
        </w:tc>
        <w:tc>
          <w:tcPr>
            <w:tcW w:w="1480" w:type="dxa"/>
            <w:vAlign w:val="bottom"/>
            <w:tcBorders>
              <w:bottom w:val="single" w:sz="8" w:color="DBDBDB"/>
            </w:tcBorders>
            <w:shd w:val="clear" w:color="auto" w:fill="DBDBDB"/>
          </w:tcPr>
          <w:p>
            <w:pPr>
              <w:jc w:val="right"/>
              <w:ind w:right="62"/>
              <w:spacing w:after="0"/>
              <w:rPr>
                <w:sz w:val="20"/>
                <w:szCs w:val="20"/>
                <w:color w:val="auto"/>
              </w:rPr>
            </w:pPr>
            <w:r>
              <w:rPr>
                <w:rFonts w:ascii="Arial" w:cs="Arial" w:eastAsia="Arial" w:hAnsi="Arial"/>
                <w:sz w:val="16"/>
                <w:szCs w:val="16"/>
                <w:color w:val="auto"/>
              </w:rPr>
              <w:t>—</w:t>
            </w:r>
          </w:p>
        </w:tc>
        <w:tc>
          <w:tcPr>
            <w:tcW w:w="136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6"/>
                <w:szCs w:val="16"/>
                <w:color w:val="auto"/>
              </w:rPr>
              <w:t>743</w:t>
            </w:r>
          </w:p>
        </w:tc>
        <w:tc>
          <w:tcPr>
            <w:tcW w:w="0" w:type="dxa"/>
            <w:vAlign w:val="bottom"/>
          </w:tcPr>
          <w:p>
            <w:pPr>
              <w:spacing w:after="0"/>
              <w:rPr>
                <w:sz w:val="1"/>
                <w:szCs w:val="1"/>
                <w:color w:val="auto"/>
              </w:rPr>
            </w:pPr>
          </w:p>
        </w:tc>
      </w:tr>
      <w:tr>
        <w:trPr>
          <w:trHeight w:val="211"/>
        </w:trPr>
        <w:tc>
          <w:tcPr>
            <w:tcW w:w="3760" w:type="dxa"/>
            <w:vAlign w:val="bottom"/>
          </w:tcPr>
          <w:p>
            <w:pPr>
              <w:ind w:left="200"/>
              <w:spacing w:after="0"/>
              <w:rPr>
                <w:sz w:val="20"/>
                <w:szCs w:val="20"/>
                <w:color w:val="auto"/>
              </w:rPr>
            </w:pPr>
            <w:r>
              <w:rPr>
                <w:rFonts w:ascii="Arial" w:cs="Arial" w:eastAsia="Arial" w:hAnsi="Arial"/>
                <w:sz w:val="16"/>
                <w:szCs w:val="16"/>
                <w:color w:val="auto"/>
              </w:rPr>
              <w:t>Joanna M. Totsky</w:t>
            </w:r>
          </w:p>
        </w:tc>
        <w:tc>
          <w:tcPr>
            <w:tcW w:w="1220" w:type="dxa"/>
            <w:vAlign w:val="bottom"/>
          </w:tcPr>
          <w:p>
            <w:pPr>
              <w:jc w:val="right"/>
              <w:ind w:right="21"/>
              <w:spacing w:after="0"/>
              <w:rPr>
                <w:sz w:val="20"/>
                <w:szCs w:val="20"/>
                <w:color w:val="auto"/>
              </w:rPr>
            </w:pPr>
            <w:r>
              <w:rPr>
                <w:rFonts w:ascii="Arial" w:cs="Arial" w:eastAsia="Arial" w:hAnsi="Arial"/>
                <w:sz w:val="16"/>
                <w:szCs w:val="16"/>
                <w:color w:val="auto"/>
              </w:rPr>
              <w:t>14,000</w:t>
            </w:r>
          </w:p>
        </w:tc>
        <w:tc>
          <w:tcPr>
            <w:tcW w:w="1120" w:type="dxa"/>
            <w:vAlign w:val="bottom"/>
          </w:tcPr>
          <w:p>
            <w:pPr>
              <w:jc w:val="right"/>
              <w:ind w:right="61"/>
              <w:spacing w:after="0"/>
              <w:rPr>
                <w:sz w:val="20"/>
                <w:szCs w:val="20"/>
                <w:color w:val="auto"/>
              </w:rPr>
            </w:pPr>
            <w:r>
              <w:rPr>
                <w:rFonts w:ascii="Arial" w:cs="Arial" w:eastAsia="Arial" w:hAnsi="Arial"/>
                <w:sz w:val="16"/>
                <w:szCs w:val="16"/>
                <w:color w:val="auto"/>
              </w:rPr>
              <w:t>9488</w:t>
            </w:r>
          </w:p>
        </w:tc>
        <w:tc>
          <w:tcPr>
            <w:tcW w:w="1160" w:type="dxa"/>
            <w:vAlign w:val="bottom"/>
          </w:tcPr>
          <w:p>
            <w:pPr>
              <w:jc w:val="right"/>
              <w:ind w:right="81"/>
              <w:spacing w:after="0"/>
              <w:rPr>
                <w:sz w:val="20"/>
                <w:szCs w:val="20"/>
                <w:color w:val="auto"/>
              </w:rPr>
            </w:pPr>
            <w:r>
              <w:rPr>
                <w:rFonts w:ascii="Arial" w:cs="Arial" w:eastAsia="Arial" w:hAnsi="Arial"/>
                <w:sz w:val="16"/>
                <w:szCs w:val="16"/>
                <w:color w:val="auto"/>
              </w:rPr>
              <w:t>1</w:t>
            </w:r>
          </w:p>
        </w:tc>
        <w:tc>
          <w:tcPr>
            <w:tcW w:w="1480" w:type="dxa"/>
            <w:vAlign w:val="bottom"/>
          </w:tcPr>
          <w:p>
            <w:pPr>
              <w:jc w:val="right"/>
              <w:ind w:right="62"/>
              <w:spacing w:after="0"/>
              <w:rPr>
                <w:sz w:val="20"/>
                <w:szCs w:val="20"/>
                <w:color w:val="auto"/>
              </w:rPr>
            </w:pPr>
            <w:r>
              <w:rPr>
                <w:rFonts w:ascii="Arial" w:cs="Arial" w:eastAsia="Arial" w:hAnsi="Arial"/>
                <w:sz w:val="16"/>
                <w:szCs w:val="16"/>
                <w:color w:val="auto"/>
              </w:rPr>
              <w:t>—</w:t>
            </w:r>
          </w:p>
        </w:tc>
        <w:tc>
          <w:tcPr>
            <w:tcW w:w="1360" w:type="dxa"/>
            <w:vAlign w:val="bottom"/>
          </w:tcPr>
          <w:p>
            <w:pPr>
              <w:jc w:val="right"/>
              <w:spacing w:after="0"/>
              <w:rPr>
                <w:sz w:val="20"/>
                <w:szCs w:val="20"/>
                <w:color w:val="auto"/>
              </w:rPr>
            </w:pPr>
            <w:r>
              <w:rPr>
                <w:rFonts w:ascii="Arial" w:cs="Arial" w:eastAsia="Arial" w:hAnsi="Arial"/>
                <w:sz w:val="16"/>
                <w:szCs w:val="16"/>
                <w:color w:val="auto"/>
              </w:rPr>
              <w:t>0</w:t>
            </w:r>
          </w:p>
        </w:tc>
        <w:tc>
          <w:tcPr>
            <w:tcW w:w="0" w:type="dxa"/>
            <w:vAlign w:val="bottom"/>
          </w:tcPr>
          <w:p>
            <w:pPr>
              <w:spacing w:after="0"/>
              <w:rPr>
                <w:sz w:val="1"/>
                <w:szCs w:val="1"/>
                <w:color w:val="auto"/>
              </w:rPr>
            </w:pPr>
          </w:p>
        </w:tc>
      </w:tr>
      <w:tr>
        <w:trPr>
          <w:trHeight w:val="29"/>
        </w:trPr>
        <w:tc>
          <w:tcPr>
            <w:tcW w:w="37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3760" w:type="dxa"/>
            <w:vAlign w:val="bottom"/>
            <w:tcBorders>
              <w:bottom w:val="single" w:sz="8" w:color="DBDBDB"/>
            </w:tcBorders>
            <w:shd w:val="clear" w:color="auto" w:fill="DBDBDB"/>
          </w:tcPr>
          <w:p>
            <w:pPr>
              <w:ind w:left="200"/>
              <w:spacing w:after="0"/>
              <w:rPr>
                <w:sz w:val="20"/>
                <w:szCs w:val="20"/>
                <w:color w:val="auto"/>
              </w:rPr>
            </w:pPr>
            <w:r>
              <w:rPr>
                <w:rFonts w:ascii="Arial" w:cs="Arial" w:eastAsia="Arial" w:hAnsi="Arial"/>
                <w:sz w:val="16"/>
                <w:szCs w:val="16"/>
                <w:color w:val="auto"/>
              </w:rPr>
              <w:t>Amy E. Dahl</w:t>
            </w:r>
          </w:p>
        </w:tc>
        <w:tc>
          <w:tcPr>
            <w:tcW w:w="1220" w:type="dxa"/>
            <w:vAlign w:val="bottom"/>
            <w:tcBorders>
              <w:bottom w:val="single" w:sz="8" w:color="DBDBDB"/>
            </w:tcBorders>
            <w:shd w:val="clear" w:color="auto" w:fill="DBDBDB"/>
          </w:tcPr>
          <w:p>
            <w:pPr>
              <w:jc w:val="right"/>
              <w:ind w:right="21"/>
              <w:spacing w:after="0"/>
              <w:rPr>
                <w:sz w:val="20"/>
                <w:szCs w:val="20"/>
                <w:color w:val="auto"/>
              </w:rPr>
            </w:pPr>
            <w:r>
              <w:rPr>
                <w:rFonts w:ascii="Arial" w:cs="Arial" w:eastAsia="Arial" w:hAnsi="Arial"/>
                <w:sz w:val="16"/>
                <w:szCs w:val="16"/>
                <w:color w:val="auto"/>
              </w:rPr>
              <w:t>151,900</w:t>
            </w:r>
          </w:p>
        </w:tc>
        <w:tc>
          <w:tcPr>
            <w:tcW w:w="1120" w:type="dxa"/>
            <w:vAlign w:val="bottom"/>
            <w:tcBorders>
              <w:bottom w:val="single" w:sz="8" w:color="DBDBDB"/>
            </w:tcBorders>
            <w:shd w:val="clear" w:color="auto" w:fill="DBDBDB"/>
          </w:tcPr>
          <w:p>
            <w:pPr>
              <w:jc w:val="right"/>
              <w:ind w:right="61"/>
              <w:spacing w:after="0"/>
              <w:rPr>
                <w:sz w:val="20"/>
                <w:szCs w:val="20"/>
                <w:color w:val="auto"/>
              </w:rPr>
            </w:pPr>
            <w:r>
              <w:rPr>
                <w:rFonts w:ascii="Arial" w:cs="Arial" w:eastAsia="Arial" w:hAnsi="Arial"/>
                <w:sz w:val="16"/>
                <w:szCs w:val="16"/>
                <w:color w:val="auto"/>
              </w:rPr>
              <w:t>0</w:t>
            </w:r>
          </w:p>
        </w:tc>
        <w:tc>
          <w:tcPr>
            <w:tcW w:w="1160" w:type="dxa"/>
            <w:vAlign w:val="bottom"/>
            <w:tcBorders>
              <w:bottom w:val="single" w:sz="8" w:color="DBDBDB"/>
            </w:tcBorders>
            <w:shd w:val="clear" w:color="auto" w:fill="DBDBDB"/>
          </w:tcPr>
          <w:p>
            <w:pPr>
              <w:jc w:val="right"/>
              <w:ind w:right="81"/>
              <w:spacing w:after="0"/>
              <w:rPr>
                <w:sz w:val="20"/>
                <w:szCs w:val="20"/>
                <w:color w:val="auto"/>
              </w:rPr>
            </w:pPr>
            <w:r>
              <w:rPr>
                <w:rFonts w:ascii="Arial" w:cs="Arial" w:eastAsia="Arial" w:hAnsi="Arial"/>
                <w:sz w:val="16"/>
                <w:szCs w:val="16"/>
                <w:color w:val="auto"/>
              </w:rPr>
              <w:t>4,077</w:t>
            </w:r>
          </w:p>
        </w:tc>
        <w:tc>
          <w:tcPr>
            <w:tcW w:w="1480" w:type="dxa"/>
            <w:vAlign w:val="bottom"/>
            <w:tcBorders>
              <w:bottom w:val="single" w:sz="8" w:color="DBDBDB"/>
            </w:tcBorders>
            <w:shd w:val="clear" w:color="auto" w:fill="DBDBDB"/>
          </w:tcPr>
          <w:p>
            <w:pPr>
              <w:jc w:val="right"/>
              <w:ind w:right="62"/>
              <w:spacing w:after="0"/>
              <w:rPr>
                <w:sz w:val="20"/>
                <w:szCs w:val="20"/>
                <w:color w:val="auto"/>
              </w:rPr>
            </w:pPr>
            <w:r>
              <w:rPr>
                <w:rFonts w:ascii="Arial" w:cs="Arial" w:eastAsia="Arial" w:hAnsi="Arial"/>
                <w:sz w:val="16"/>
                <w:szCs w:val="16"/>
                <w:color w:val="auto"/>
              </w:rPr>
              <w:t>—</w:t>
            </w:r>
          </w:p>
        </w:tc>
        <w:tc>
          <w:tcPr>
            <w:tcW w:w="136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6"/>
                <w:szCs w:val="16"/>
                <w:color w:val="auto"/>
              </w:rPr>
              <w:t>18,580</w:t>
            </w:r>
          </w:p>
        </w:tc>
        <w:tc>
          <w:tcPr>
            <w:tcW w:w="0" w:type="dxa"/>
            <w:vAlign w:val="bottom"/>
          </w:tcPr>
          <w:p>
            <w:pPr>
              <w:spacing w:after="0"/>
              <w:rPr>
                <w:sz w:val="1"/>
                <w:szCs w:val="1"/>
                <w:color w:val="auto"/>
              </w:rPr>
            </w:pPr>
          </w:p>
        </w:tc>
      </w:tr>
      <w:tr>
        <w:trPr>
          <w:trHeight w:val="211"/>
        </w:trPr>
        <w:tc>
          <w:tcPr>
            <w:tcW w:w="3760" w:type="dxa"/>
            <w:vAlign w:val="bottom"/>
          </w:tcPr>
          <w:p>
            <w:pPr>
              <w:ind w:left="200"/>
              <w:spacing w:after="0"/>
              <w:rPr>
                <w:sz w:val="20"/>
                <w:szCs w:val="20"/>
                <w:color w:val="auto"/>
              </w:rPr>
            </w:pPr>
            <w:r>
              <w:rPr>
                <w:rFonts w:ascii="Arial" w:cs="Arial" w:eastAsia="Arial" w:hAnsi="Arial"/>
                <w:sz w:val="16"/>
                <w:szCs w:val="16"/>
                <w:color w:val="auto"/>
              </w:rPr>
              <w:t>Kevin N. Carpenter</w:t>
            </w:r>
          </w:p>
        </w:tc>
        <w:tc>
          <w:tcPr>
            <w:tcW w:w="1220" w:type="dxa"/>
            <w:vAlign w:val="bottom"/>
          </w:tcPr>
          <w:p>
            <w:pPr>
              <w:jc w:val="right"/>
              <w:ind w:right="21"/>
              <w:spacing w:after="0"/>
              <w:rPr>
                <w:sz w:val="20"/>
                <w:szCs w:val="20"/>
                <w:color w:val="auto"/>
              </w:rPr>
            </w:pPr>
            <w:r>
              <w:rPr>
                <w:rFonts w:ascii="Arial" w:cs="Arial" w:eastAsia="Arial" w:hAnsi="Arial"/>
                <w:sz w:val="16"/>
                <w:szCs w:val="16"/>
                <w:color w:val="auto"/>
              </w:rPr>
              <w:t>41,389</w:t>
            </w:r>
          </w:p>
        </w:tc>
        <w:tc>
          <w:tcPr>
            <w:tcW w:w="1120" w:type="dxa"/>
            <w:vAlign w:val="bottom"/>
          </w:tcPr>
          <w:p>
            <w:pPr>
              <w:jc w:val="right"/>
              <w:ind w:right="61"/>
              <w:spacing w:after="0"/>
              <w:rPr>
                <w:sz w:val="20"/>
                <w:szCs w:val="20"/>
                <w:color w:val="auto"/>
              </w:rPr>
            </w:pPr>
            <w:r>
              <w:rPr>
                <w:rFonts w:ascii="Arial" w:cs="Arial" w:eastAsia="Arial" w:hAnsi="Arial"/>
                <w:sz w:val="16"/>
                <w:szCs w:val="16"/>
                <w:color w:val="auto"/>
              </w:rPr>
              <w:t>7,055</w:t>
            </w:r>
          </w:p>
        </w:tc>
        <w:tc>
          <w:tcPr>
            <w:tcW w:w="1160" w:type="dxa"/>
            <w:vAlign w:val="bottom"/>
          </w:tcPr>
          <w:p>
            <w:pPr>
              <w:jc w:val="right"/>
              <w:ind w:right="81"/>
              <w:spacing w:after="0"/>
              <w:rPr>
                <w:sz w:val="20"/>
                <w:szCs w:val="20"/>
                <w:color w:val="auto"/>
              </w:rPr>
            </w:pPr>
            <w:r>
              <w:rPr>
                <w:rFonts w:ascii="Arial" w:cs="Arial" w:eastAsia="Arial" w:hAnsi="Arial"/>
                <w:sz w:val="16"/>
                <w:szCs w:val="16"/>
                <w:color w:val="auto"/>
              </w:rPr>
              <w:t>1</w:t>
            </w:r>
          </w:p>
        </w:tc>
        <w:tc>
          <w:tcPr>
            <w:tcW w:w="1480" w:type="dxa"/>
            <w:vAlign w:val="bottom"/>
          </w:tcPr>
          <w:p>
            <w:pPr>
              <w:jc w:val="right"/>
              <w:ind w:right="62"/>
              <w:spacing w:after="0"/>
              <w:rPr>
                <w:sz w:val="20"/>
                <w:szCs w:val="20"/>
                <w:color w:val="auto"/>
              </w:rPr>
            </w:pPr>
            <w:r>
              <w:rPr>
                <w:rFonts w:ascii="Arial" w:cs="Arial" w:eastAsia="Arial" w:hAnsi="Arial"/>
                <w:sz w:val="16"/>
                <w:szCs w:val="16"/>
                <w:color w:val="auto"/>
              </w:rPr>
              <w:t>—</w:t>
            </w:r>
          </w:p>
        </w:tc>
        <w:tc>
          <w:tcPr>
            <w:tcW w:w="1360" w:type="dxa"/>
            <w:vAlign w:val="bottom"/>
          </w:tcPr>
          <w:p>
            <w:pPr>
              <w:jc w:val="right"/>
              <w:spacing w:after="0"/>
              <w:rPr>
                <w:sz w:val="20"/>
                <w:szCs w:val="20"/>
                <w:color w:val="auto"/>
              </w:rPr>
            </w:pPr>
            <w:r>
              <w:rPr>
                <w:rFonts w:ascii="Arial" w:cs="Arial" w:eastAsia="Arial" w:hAnsi="Arial"/>
                <w:sz w:val="16"/>
                <w:szCs w:val="16"/>
                <w:color w:val="auto"/>
              </w:rPr>
              <w:t>0</w:t>
            </w:r>
          </w:p>
        </w:tc>
        <w:tc>
          <w:tcPr>
            <w:tcW w:w="0" w:type="dxa"/>
            <w:vAlign w:val="bottom"/>
          </w:tcPr>
          <w:p>
            <w:pPr>
              <w:spacing w:after="0"/>
              <w:rPr>
                <w:sz w:val="1"/>
                <w:szCs w:val="1"/>
                <w:color w:val="auto"/>
              </w:rPr>
            </w:pPr>
          </w:p>
        </w:tc>
      </w:tr>
      <w:tr>
        <w:trPr>
          <w:trHeight w:val="29"/>
        </w:trPr>
        <w:tc>
          <w:tcPr>
            <w:tcW w:w="37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6"/>
        </w:trPr>
        <w:tc>
          <w:tcPr>
            <w:tcW w:w="3760" w:type="dxa"/>
            <w:vAlign w:val="bottom"/>
            <w:shd w:val="clear" w:color="auto" w:fill="DBDBDB"/>
          </w:tcPr>
          <w:p>
            <w:pPr>
              <w:ind w:left="20"/>
              <w:spacing w:after="0"/>
              <w:rPr>
                <w:sz w:val="20"/>
                <w:szCs w:val="20"/>
                <w:color w:val="auto"/>
              </w:rPr>
            </w:pPr>
            <w:r>
              <w:rPr>
                <w:rFonts w:ascii="Arial" w:cs="Arial" w:eastAsia="Arial" w:hAnsi="Arial"/>
                <w:sz w:val="16"/>
                <w:szCs w:val="16"/>
                <w:color w:val="auto"/>
              </w:rPr>
              <w:t>All Current Directors and Executive Officers as a</w:t>
            </w:r>
          </w:p>
        </w:tc>
        <w:tc>
          <w:tcPr>
            <w:tcW w:w="1220" w:type="dxa"/>
            <w:vAlign w:val="bottom"/>
            <w:vMerge w:val="restart"/>
            <w:shd w:val="clear" w:color="auto" w:fill="DBDBDB"/>
          </w:tcPr>
          <w:p>
            <w:pPr>
              <w:jc w:val="right"/>
              <w:ind w:right="21"/>
              <w:spacing w:after="0"/>
              <w:rPr>
                <w:sz w:val="20"/>
                <w:szCs w:val="20"/>
                <w:color w:val="auto"/>
              </w:rPr>
            </w:pPr>
            <w:r>
              <w:rPr>
                <w:rFonts w:ascii="Arial" w:cs="Arial" w:eastAsia="Arial" w:hAnsi="Arial"/>
                <w:sz w:val="16"/>
                <w:szCs w:val="16"/>
                <w:color w:val="auto"/>
              </w:rPr>
              <w:t>1,513,502</w:t>
            </w:r>
          </w:p>
        </w:tc>
        <w:tc>
          <w:tcPr>
            <w:tcW w:w="1120" w:type="dxa"/>
            <w:vAlign w:val="bottom"/>
            <w:vMerge w:val="restart"/>
            <w:shd w:val="clear" w:color="auto" w:fill="DBDBDB"/>
          </w:tcPr>
          <w:p>
            <w:pPr>
              <w:jc w:val="right"/>
              <w:ind w:right="61"/>
              <w:spacing w:after="0"/>
              <w:rPr>
                <w:sz w:val="20"/>
                <w:szCs w:val="20"/>
                <w:color w:val="auto"/>
              </w:rPr>
            </w:pPr>
            <w:r>
              <w:rPr>
                <w:rFonts w:ascii="Arial" w:cs="Arial" w:eastAsia="Arial" w:hAnsi="Arial"/>
                <w:sz w:val="16"/>
                <w:szCs w:val="16"/>
                <w:color w:val="auto"/>
              </w:rPr>
              <w:t>21,895</w:t>
            </w:r>
          </w:p>
        </w:tc>
        <w:tc>
          <w:tcPr>
            <w:tcW w:w="1160" w:type="dxa"/>
            <w:vAlign w:val="bottom"/>
            <w:vMerge w:val="restart"/>
            <w:shd w:val="clear" w:color="auto" w:fill="DBDBDB"/>
          </w:tcPr>
          <w:p>
            <w:pPr>
              <w:jc w:val="right"/>
              <w:ind w:right="81"/>
              <w:spacing w:after="0"/>
              <w:rPr>
                <w:sz w:val="20"/>
                <w:szCs w:val="20"/>
                <w:color w:val="auto"/>
              </w:rPr>
            </w:pPr>
            <w:r>
              <w:rPr>
                <w:rFonts w:ascii="Arial" w:cs="Arial" w:eastAsia="Arial" w:hAnsi="Arial"/>
                <w:sz w:val="16"/>
                <w:szCs w:val="16"/>
                <w:color w:val="auto"/>
              </w:rPr>
              <w:t>21,809</w:t>
            </w:r>
          </w:p>
        </w:tc>
        <w:tc>
          <w:tcPr>
            <w:tcW w:w="1480" w:type="dxa"/>
            <w:vAlign w:val="bottom"/>
            <w:vMerge w:val="restart"/>
            <w:shd w:val="clear" w:color="auto" w:fill="DBDBDB"/>
          </w:tcPr>
          <w:p>
            <w:pPr>
              <w:jc w:val="right"/>
              <w:ind w:right="62"/>
              <w:spacing w:after="0"/>
              <w:rPr>
                <w:sz w:val="20"/>
                <w:szCs w:val="20"/>
                <w:color w:val="auto"/>
              </w:rPr>
            </w:pPr>
            <w:r>
              <w:rPr>
                <w:rFonts w:ascii="Arial" w:cs="Arial" w:eastAsia="Arial" w:hAnsi="Arial"/>
                <w:sz w:val="16"/>
                <w:szCs w:val="16"/>
                <w:color w:val="auto"/>
              </w:rPr>
              <w:t>10,673</w:t>
            </w:r>
          </w:p>
        </w:tc>
        <w:tc>
          <w:tcPr>
            <w:tcW w:w="1360" w:type="dxa"/>
            <w:vAlign w:val="bottom"/>
            <w:vMerge w:val="restart"/>
            <w:shd w:val="clear" w:color="auto" w:fill="DBDBDB"/>
          </w:tcPr>
          <w:p>
            <w:pPr>
              <w:jc w:val="right"/>
              <w:spacing w:after="0"/>
              <w:rPr>
                <w:sz w:val="20"/>
                <w:szCs w:val="20"/>
                <w:color w:val="auto"/>
              </w:rPr>
            </w:pPr>
            <w:r>
              <w:rPr>
                <w:rFonts w:ascii="Arial" w:cs="Arial" w:eastAsia="Arial" w:hAnsi="Arial"/>
                <w:sz w:val="16"/>
                <w:szCs w:val="16"/>
                <w:color w:val="auto"/>
              </w:rPr>
              <w:t>186,840</w:t>
            </w:r>
          </w:p>
        </w:tc>
        <w:tc>
          <w:tcPr>
            <w:tcW w:w="0" w:type="dxa"/>
            <w:vAlign w:val="bottom"/>
          </w:tcPr>
          <w:p>
            <w:pPr>
              <w:spacing w:after="0"/>
              <w:rPr>
                <w:sz w:val="1"/>
                <w:szCs w:val="1"/>
                <w:color w:val="auto"/>
              </w:rPr>
            </w:pPr>
          </w:p>
        </w:tc>
      </w:tr>
      <w:tr>
        <w:trPr>
          <w:trHeight w:val="228"/>
        </w:trPr>
        <w:tc>
          <w:tcPr>
            <w:tcW w:w="3760" w:type="dxa"/>
            <w:vAlign w:val="bottom"/>
            <w:shd w:val="clear" w:color="auto" w:fill="DBDBDB"/>
          </w:tcPr>
          <w:p>
            <w:pPr>
              <w:ind w:left="20"/>
              <w:spacing w:after="0"/>
              <w:rPr>
                <w:sz w:val="20"/>
                <w:szCs w:val="20"/>
                <w:color w:val="auto"/>
              </w:rPr>
            </w:pPr>
            <w:r>
              <w:rPr>
                <w:rFonts w:ascii="Arial" w:cs="Arial" w:eastAsia="Arial" w:hAnsi="Arial"/>
                <w:sz w:val="16"/>
                <w:szCs w:val="16"/>
                <w:color w:val="auto"/>
              </w:rPr>
              <w:t>Group (13)</w:t>
            </w:r>
          </w:p>
        </w:tc>
        <w:tc>
          <w:tcPr>
            <w:tcW w:w="1220" w:type="dxa"/>
            <w:vAlign w:val="bottom"/>
            <w:vMerge w:val="continue"/>
            <w:shd w:val="clear" w:color="auto" w:fill="DBDBDB"/>
          </w:tcPr>
          <w:p>
            <w:pPr>
              <w:spacing w:after="0"/>
              <w:rPr>
                <w:sz w:val="19"/>
                <w:szCs w:val="19"/>
                <w:color w:val="auto"/>
              </w:rPr>
            </w:pPr>
          </w:p>
        </w:tc>
        <w:tc>
          <w:tcPr>
            <w:tcW w:w="1120" w:type="dxa"/>
            <w:vAlign w:val="bottom"/>
            <w:vMerge w:val="continue"/>
            <w:shd w:val="clear" w:color="auto" w:fill="DBDBDB"/>
          </w:tcPr>
          <w:p>
            <w:pPr>
              <w:spacing w:after="0"/>
              <w:rPr>
                <w:sz w:val="19"/>
                <w:szCs w:val="19"/>
                <w:color w:val="auto"/>
              </w:rPr>
            </w:pPr>
          </w:p>
        </w:tc>
        <w:tc>
          <w:tcPr>
            <w:tcW w:w="1160" w:type="dxa"/>
            <w:vAlign w:val="bottom"/>
            <w:vMerge w:val="continue"/>
            <w:shd w:val="clear" w:color="auto" w:fill="DBDBDB"/>
          </w:tcPr>
          <w:p>
            <w:pPr>
              <w:spacing w:after="0"/>
              <w:rPr>
                <w:sz w:val="19"/>
                <w:szCs w:val="19"/>
                <w:color w:val="auto"/>
              </w:rPr>
            </w:pPr>
          </w:p>
        </w:tc>
        <w:tc>
          <w:tcPr>
            <w:tcW w:w="1480" w:type="dxa"/>
            <w:vAlign w:val="bottom"/>
            <w:vMerge w:val="continue"/>
            <w:shd w:val="clear" w:color="auto" w:fill="DBDBDB"/>
          </w:tcPr>
          <w:p>
            <w:pPr>
              <w:spacing w:after="0"/>
              <w:rPr>
                <w:sz w:val="19"/>
                <w:szCs w:val="19"/>
                <w:color w:val="auto"/>
              </w:rPr>
            </w:pPr>
          </w:p>
        </w:tc>
        <w:tc>
          <w:tcPr>
            <w:tcW w:w="1360" w:type="dxa"/>
            <w:vAlign w:val="bottom"/>
            <w:vMerge w:val="continue"/>
            <w:shd w:val="clear" w:color="auto" w:fill="DBDBDB"/>
          </w:tcPr>
          <w:p>
            <w:pPr>
              <w:spacing w:after="0"/>
              <w:rPr>
                <w:sz w:val="19"/>
                <w:szCs w:val="19"/>
                <w:color w:val="auto"/>
              </w:rPr>
            </w:pPr>
          </w:p>
        </w:tc>
        <w:tc>
          <w:tcPr>
            <w:tcW w:w="0" w:type="dxa"/>
            <w:vAlign w:val="bottom"/>
          </w:tcPr>
          <w:p>
            <w:pPr>
              <w:spacing w:after="0"/>
              <w:rPr>
                <w:sz w:val="1"/>
                <w:szCs w:val="1"/>
                <w:color w:val="auto"/>
              </w:rPr>
            </w:pPr>
          </w:p>
        </w:tc>
      </w:tr>
    </w:tbl>
    <w:p>
      <w:pPr>
        <w:spacing w:after="0" w:line="117" w:lineRule="exact"/>
        <w:rPr>
          <w:sz w:val="20"/>
          <w:szCs w:val="20"/>
          <w:color w:val="auto"/>
        </w:rPr>
      </w:pPr>
    </w:p>
    <w:p>
      <w:pPr>
        <w:ind w:left="320" w:hanging="313"/>
        <w:spacing w:after="0" w:line="246" w:lineRule="auto"/>
        <w:tabs>
          <w:tab w:leader="none" w:pos="308" w:val="left"/>
        </w:tabs>
        <w:numPr>
          <w:ilvl w:val="0"/>
          <w:numId w:val="90"/>
        </w:numPr>
        <w:rPr>
          <w:rFonts w:ascii="Arial" w:cs="Arial" w:eastAsia="Arial" w:hAnsi="Arial"/>
          <w:sz w:val="18"/>
          <w:szCs w:val="18"/>
          <w:color w:val="auto"/>
        </w:rPr>
      </w:pPr>
      <w:r>
        <w:rPr>
          <w:rFonts w:ascii="Arial" w:cs="Arial" w:eastAsia="Arial" w:hAnsi="Arial"/>
          <w:sz w:val="18"/>
          <w:szCs w:val="18"/>
          <w:color w:val="auto"/>
        </w:rPr>
        <w:t>Includes shares held in trust for estate planning purposes as follows: 12,748 shares for Mr. Koch, 1,882 shares for Mr. Hansotia, and 4,889 shares for Ms. Pemberton.</w:t>
      </w:r>
    </w:p>
    <w:p>
      <w:pPr>
        <w:spacing w:after="0" w:line="15" w:lineRule="exact"/>
        <w:rPr>
          <w:rFonts w:ascii="Arial" w:cs="Arial" w:eastAsia="Arial" w:hAnsi="Arial"/>
          <w:sz w:val="18"/>
          <w:szCs w:val="18"/>
          <w:color w:val="auto"/>
        </w:rPr>
      </w:pPr>
    </w:p>
    <w:p>
      <w:pPr>
        <w:ind w:left="320" w:hanging="313"/>
        <w:spacing w:after="0"/>
        <w:tabs>
          <w:tab w:leader="none" w:pos="320" w:val="left"/>
        </w:tabs>
        <w:numPr>
          <w:ilvl w:val="0"/>
          <w:numId w:val="90"/>
        </w:numPr>
        <w:rPr>
          <w:rFonts w:ascii="Arial" w:cs="Arial" w:eastAsia="Arial" w:hAnsi="Arial"/>
          <w:sz w:val="18"/>
          <w:szCs w:val="18"/>
          <w:color w:val="auto"/>
        </w:rPr>
      </w:pPr>
      <w:r>
        <w:rPr>
          <w:rFonts w:ascii="Arial" w:cs="Arial" w:eastAsia="Arial" w:hAnsi="Arial"/>
          <w:sz w:val="18"/>
          <w:szCs w:val="18"/>
          <w:color w:val="auto"/>
        </w:rPr>
        <w:t>Ms. Pemberton has shared voting and investment power with her spouse over the 4,889 shares in trust.</w:t>
      </w:r>
    </w:p>
    <w:p>
      <w:pPr>
        <w:spacing w:after="0" w:line="46" w:lineRule="exact"/>
        <w:rPr>
          <w:rFonts w:ascii="Arial" w:cs="Arial" w:eastAsia="Arial" w:hAnsi="Arial"/>
          <w:sz w:val="18"/>
          <w:szCs w:val="18"/>
          <w:color w:val="auto"/>
        </w:rPr>
      </w:pPr>
    </w:p>
    <w:p>
      <w:pPr>
        <w:jc w:val="both"/>
        <w:ind w:left="320" w:hanging="313"/>
        <w:spacing w:after="0" w:line="233" w:lineRule="auto"/>
        <w:tabs>
          <w:tab w:leader="none" w:pos="308" w:val="left"/>
        </w:tabs>
        <w:numPr>
          <w:ilvl w:val="0"/>
          <w:numId w:val="90"/>
        </w:numPr>
        <w:rPr>
          <w:rFonts w:ascii="Arial" w:cs="Arial" w:eastAsia="Arial" w:hAnsi="Arial"/>
          <w:sz w:val="18"/>
          <w:szCs w:val="18"/>
          <w:color w:val="auto"/>
        </w:rPr>
      </w:pPr>
      <w:r>
        <w:rPr>
          <w:rFonts w:ascii="Arial" w:cs="Arial" w:eastAsia="Arial" w:hAnsi="Arial"/>
          <w:sz w:val="18"/>
          <w:szCs w:val="18"/>
          <w:color w:val="auto"/>
        </w:rPr>
        <w:t>Percentages are based on our shares outstanding as of our record date and are calculated pursuant to Rule 13d-3 under the Exchange Act. Percentage calculations assume, for each person and the group, that all shares that may be acquired by such person or by the group pursuant to stock options or other rights currently exercisable or that become exercisable or issuable within 60 days following January 21, 2025, are outstanding for the purpose of computing the percentage of common stock owned by such person or by the group. However, those unissued shares of our common stock described above are not deemed to be outstanding for the purpose of calculating the percentage of common stock owned by any other person.</w:t>
      </w:r>
    </w:p>
    <w:p>
      <w:pPr>
        <w:spacing w:after="0" w:line="375" w:lineRule="exact"/>
        <w:rPr>
          <w:sz w:val="20"/>
          <w:szCs w:val="20"/>
          <w:color w:val="auto"/>
        </w:rPr>
      </w:pPr>
    </w:p>
    <w:p>
      <w:pPr>
        <w:spacing w:after="0"/>
        <w:rPr>
          <w:sz w:val="20"/>
          <w:szCs w:val="20"/>
          <w:color w:val="auto"/>
        </w:rPr>
      </w:pPr>
      <w:r>
        <w:rPr>
          <w:rFonts w:ascii="Arial" w:cs="Arial" w:eastAsia="Arial" w:hAnsi="Arial"/>
          <w:sz w:val="20"/>
          <w:szCs w:val="20"/>
          <w:b w:val="1"/>
          <w:bCs w:val="1"/>
          <w:color w:val="C00000"/>
        </w:rPr>
        <w:t>Stock Ownership Guidelines</w:t>
      </w:r>
    </w:p>
    <w:p>
      <w:pPr>
        <w:spacing w:after="0" w:line="84" w:lineRule="exact"/>
        <w:rPr>
          <w:sz w:val="20"/>
          <w:szCs w:val="20"/>
          <w:color w:val="auto"/>
        </w:rPr>
      </w:pPr>
    </w:p>
    <w:p>
      <w:pPr>
        <w:ind w:firstLine="320"/>
        <w:spacing w:after="0" w:line="233" w:lineRule="auto"/>
        <w:rPr>
          <w:sz w:val="20"/>
          <w:szCs w:val="20"/>
          <w:color w:val="auto"/>
        </w:rPr>
      </w:pPr>
      <w:r>
        <w:rPr>
          <w:rFonts w:ascii="Arial" w:cs="Arial" w:eastAsia="Arial" w:hAnsi="Arial"/>
          <w:sz w:val="18"/>
          <w:szCs w:val="18"/>
          <w:color w:val="auto"/>
        </w:rPr>
        <w:t>We maintain stock ownership guidelines to align the interests of our non-employee directors and executive officers with those of our shareholders. In January 2024, our stock ownership guidelines were amended to require that non-employee directors and executive officers</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hold the number of shares as shown in the table below until the guideline multiple is met.</w:t>
      </w:r>
    </w:p>
    <w:p>
      <w:pPr>
        <w:spacing w:after="0" w:line="141" w:lineRule="exact"/>
        <w:rPr>
          <w:sz w:val="20"/>
          <w:szCs w:val="20"/>
          <w:color w:val="auto"/>
        </w:rPr>
      </w:pPr>
    </w:p>
    <w:tbl>
      <w:tblPr>
        <w:tblLayout w:type="fixed"/>
        <w:tblInd w:w="680" w:type="dxa"/>
        <w:tblCellMar>
          <w:top w:w="0" w:type="dxa"/>
          <w:left w:w="0" w:type="dxa"/>
          <w:bottom w:w="0" w:type="dxa"/>
          <w:right w:w="0" w:type="dxa"/>
        </w:tblCellMar>
      </w:tblPr>
      <w:tr>
        <w:trPr>
          <w:trHeight w:val="239"/>
        </w:trPr>
        <w:tc>
          <w:tcPr>
            <w:tcW w:w="3140" w:type="dxa"/>
            <w:vAlign w:val="bottom"/>
            <w:shd w:val="clear" w:color="auto" w:fill="BF2115"/>
          </w:tcPr>
          <w:p>
            <w:pPr>
              <w:spacing w:after="0"/>
              <w:rPr>
                <w:sz w:val="20"/>
                <w:szCs w:val="20"/>
                <w:color w:val="auto"/>
              </w:rPr>
            </w:pPr>
          </w:p>
        </w:tc>
        <w:tc>
          <w:tcPr>
            <w:tcW w:w="3760" w:type="dxa"/>
            <w:vAlign w:val="bottom"/>
            <w:shd w:val="clear" w:color="auto" w:fill="BF2115"/>
          </w:tcPr>
          <w:p>
            <w:pPr>
              <w:ind w:left="280"/>
              <w:spacing w:after="0"/>
              <w:rPr>
                <w:sz w:val="20"/>
                <w:szCs w:val="20"/>
                <w:color w:val="auto"/>
              </w:rPr>
            </w:pPr>
            <w:r>
              <w:rPr>
                <w:rFonts w:ascii="Arial" w:cs="Arial" w:eastAsia="Arial" w:hAnsi="Arial"/>
                <w:sz w:val="16"/>
                <w:szCs w:val="16"/>
                <w:b w:val="1"/>
                <w:bCs w:val="1"/>
                <w:color w:val="FFFFFF"/>
              </w:rPr>
              <w:t>Stock Ownership Guidelines by Position</w:t>
            </w:r>
          </w:p>
        </w:tc>
        <w:tc>
          <w:tcPr>
            <w:tcW w:w="3000" w:type="dxa"/>
            <w:vAlign w:val="bottom"/>
            <w:shd w:val="clear" w:color="auto" w:fill="BF2115"/>
          </w:tcPr>
          <w:p>
            <w:pPr>
              <w:spacing w:after="0"/>
              <w:rPr>
                <w:sz w:val="20"/>
                <w:szCs w:val="20"/>
                <w:color w:val="auto"/>
              </w:rPr>
            </w:pPr>
          </w:p>
        </w:tc>
      </w:tr>
      <w:tr>
        <w:trPr>
          <w:trHeight w:val="221"/>
        </w:trPr>
        <w:tc>
          <w:tcPr>
            <w:tcW w:w="3140" w:type="dxa"/>
            <w:vAlign w:val="bottom"/>
            <w:tcBorders>
              <w:bottom w:val="single" w:sz="8" w:color="BF2115"/>
            </w:tcBorders>
            <w:shd w:val="clear" w:color="auto" w:fill="BF2115"/>
          </w:tcPr>
          <w:p>
            <w:pPr>
              <w:jc w:val="center"/>
              <w:ind w:left="600"/>
              <w:spacing w:after="0"/>
              <w:rPr>
                <w:sz w:val="20"/>
                <w:szCs w:val="20"/>
                <w:color w:val="auto"/>
              </w:rPr>
            </w:pPr>
            <w:r>
              <w:rPr>
                <w:rFonts w:ascii="Arial" w:cs="Arial" w:eastAsia="Arial" w:hAnsi="Arial"/>
                <w:sz w:val="16"/>
                <w:szCs w:val="16"/>
                <w:b w:val="1"/>
                <w:bCs w:val="1"/>
                <w:color w:val="FFFFFF"/>
                <w:w w:val="99"/>
              </w:rPr>
              <w:t>Non-Employee Directors</w:t>
            </w:r>
          </w:p>
        </w:tc>
        <w:tc>
          <w:tcPr>
            <w:tcW w:w="3760" w:type="dxa"/>
            <w:vAlign w:val="bottom"/>
            <w:tcBorders>
              <w:bottom w:val="single" w:sz="8" w:color="BF2115"/>
            </w:tcBorders>
            <w:shd w:val="clear" w:color="auto" w:fill="BF2115"/>
          </w:tcPr>
          <w:p>
            <w:pPr>
              <w:jc w:val="center"/>
              <w:ind w:left="300"/>
              <w:spacing w:after="0"/>
              <w:rPr>
                <w:sz w:val="20"/>
                <w:szCs w:val="20"/>
                <w:color w:val="auto"/>
              </w:rPr>
            </w:pPr>
            <w:r>
              <w:rPr>
                <w:rFonts w:ascii="Arial" w:cs="Arial" w:eastAsia="Arial" w:hAnsi="Arial"/>
                <w:sz w:val="16"/>
                <w:szCs w:val="16"/>
                <w:b w:val="1"/>
                <w:bCs w:val="1"/>
                <w:color w:val="FFFFFF"/>
              </w:rPr>
              <w:t>Chairman and CEO</w:t>
            </w:r>
          </w:p>
        </w:tc>
        <w:tc>
          <w:tcPr>
            <w:tcW w:w="3000" w:type="dxa"/>
            <w:vAlign w:val="bottom"/>
            <w:tcBorders>
              <w:bottom w:val="single" w:sz="8" w:color="BF2115"/>
            </w:tcBorders>
            <w:shd w:val="clear" w:color="auto" w:fill="BF2115"/>
          </w:tcPr>
          <w:p>
            <w:pPr>
              <w:jc w:val="center"/>
              <w:ind w:right="220"/>
              <w:spacing w:after="0"/>
              <w:rPr>
                <w:sz w:val="20"/>
                <w:szCs w:val="20"/>
                <w:color w:val="auto"/>
              </w:rPr>
            </w:pPr>
            <w:r>
              <w:rPr>
                <w:rFonts w:ascii="Arial" w:cs="Arial" w:eastAsia="Arial" w:hAnsi="Arial"/>
                <w:sz w:val="16"/>
                <w:szCs w:val="16"/>
                <w:b w:val="1"/>
                <w:bCs w:val="1"/>
                <w:color w:val="FFFFFF"/>
                <w:w w:val="99"/>
              </w:rPr>
              <w:t>Other Executive Officers</w:t>
            </w:r>
          </w:p>
        </w:tc>
      </w:tr>
      <w:tr>
        <w:trPr>
          <w:trHeight w:val="211"/>
        </w:trPr>
        <w:tc>
          <w:tcPr>
            <w:tcW w:w="3140" w:type="dxa"/>
            <w:vAlign w:val="bottom"/>
          </w:tcPr>
          <w:p>
            <w:pPr>
              <w:jc w:val="center"/>
              <w:ind w:left="600"/>
              <w:spacing w:after="0"/>
              <w:rPr>
                <w:sz w:val="20"/>
                <w:szCs w:val="20"/>
                <w:color w:val="auto"/>
              </w:rPr>
            </w:pPr>
            <w:r>
              <w:rPr>
                <w:rFonts w:ascii="Arial" w:cs="Arial" w:eastAsia="Arial" w:hAnsi="Arial"/>
                <w:sz w:val="16"/>
                <w:szCs w:val="16"/>
                <w:color w:val="auto"/>
              </w:rPr>
              <w:t>5x annual board retainer</w:t>
            </w:r>
          </w:p>
        </w:tc>
        <w:tc>
          <w:tcPr>
            <w:tcW w:w="3760" w:type="dxa"/>
            <w:vAlign w:val="bottom"/>
          </w:tcPr>
          <w:p>
            <w:pPr>
              <w:jc w:val="center"/>
              <w:ind w:left="320"/>
              <w:spacing w:after="0"/>
              <w:rPr>
                <w:sz w:val="20"/>
                <w:szCs w:val="20"/>
                <w:color w:val="auto"/>
              </w:rPr>
            </w:pPr>
            <w:r>
              <w:rPr>
                <w:rFonts w:ascii="Arial" w:cs="Arial" w:eastAsia="Arial" w:hAnsi="Arial"/>
                <w:sz w:val="16"/>
                <w:szCs w:val="16"/>
                <w:color w:val="auto"/>
              </w:rPr>
              <w:t>6x annual base salary</w:t>
            </w:r>
          </w:p>
        </w:tc>
        <w:tc>
          <w:tcPr>
            <w:tcW w:w="3000" w:type="dxa"/>
            <w:vAlign w:val="bottom"/>
          </w:tcPr>
          <w:p>
            <w:pPr>
              <w:jc w:val="center"/>
              <w:ind w:right="240"/>
              <w:spacing w:after="0"/>
              <w:rPr>
                <w:sz w:val="20"/>
                <w:szCs w:val="20"/>
                <w:color w:val="auto"/>
              </w:rPr>
            </w:pPr>
            <w:r>
              <w:rPr>
                <w:rFonts w:ascii="Arial" w:cs="Arial" w:eastAsia="Arial" w:hAnsi="Arial"/>
                <w:sz w:val="16"/>
                <w:szCs w:val="16"/>
                <w:color w:val="auto"/>
              </w:rPr>
              <w:t>3x annual base salary</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2580005</wp:posOffset>
            </wp:positionH>
            <wp:positionV relativeFrom="paragraph">
              <wp:posOffset>-328295</wp:posOffset>
            </wp:positionV>
            <wp:extent cx="1983105" cy="825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1983105" cy="8255"/>
                    </a:xfrm>
                    <a:prstGeom prst="rect">
                      <a:avLst/>
                    </a:prstGeom>
                    <a:noFill/>
                  </pic:spPr>
                </pic:pic>
              </a:graphicData>
            </a:graphic>
          </wp:anchor>
        </w:drawing>
      </w:r>
    </w:p>
    <w:p>
      <w:pPr>
        <w:spacing w:after="0" w:line="226" w:lineRule="exact"/>
        <w:rPr>
          <w:sz w:val="20"/>
          <w:szCs w:val="20"/>
          <w:color w:val="auto"/>
        </w:rPr>
      </w:pPr>
    </w:p>
    <w:p>
      <w:pPr>
        <w:spacing w:after="0"/>
        <w:rPr>
          <w:sz w:val="20"/>
          <w:szCs w:val="20"/>
          <w:color w:val="auto"/>
        </w:rPr>
      </w:pPr>
      <w:r>
        <w:rPr>
          <w:rFonts w:ascii="Arial" w:cs="Arial" w:eastAsia="Arial" w:hAnsi="Arial"/>
          <w:sz w:val="20"/>
          <w:szCs w:val="20"/>
          <w:b w:val="1"/>
          <w:bCs w:val="1"/>
          <w:color w:val="C00000"/>
        </w:rPr>
        <w:t>Anti-Hedging and Anti-Pledging Policies</w:t>
      </w:r>
    </w:p>
    <w:p>
      <w:pPr>
        <w:spacing w:after="0" w:line="84" w:lineRule="exact"/>
        <w:rPr>
          <w:sz w:val="20"/>
          <w:szCs w:val="20"/>
          <w:color w:val="auto"/>
        </w:rPr>
      </w:pPr>
    </w:p>
    <w:p>
      <w:pPr>
        <w:ind w:firstLine="320"/>
        <w:spacing w:after="0" w:line="255" w:lineRule="auto"/>
        <w:rPr>
          <w:sz w:val="20"/>
          <w:szCs w:val="20"/>
          <w:color w:val="auto"/>
        </w:rPr>
      </w:pPr>
      <w:r>
        <w:rPr>
          <w:rFonts w:ascii="Arial" w:cs="Arial" w:eastAsia="Arial" w:hAnsi="Arial"/>
          <w:sz w:val="17"/>
          <w:szCs w:val="17"/>
          <w:color w:val="auto"/>
        </w:rPr>
        <w:t>Our Insider Trading Policy addresses hedging, pledging and other transactions which might give the appearance of impropriety. Under the Insider Trading Policy, we consider it inappropriate for any person subject to the policy, including all directors, officers and employees of our</w:t>
      </w:r>
    </w:p>
    <w:p>
      <w:pPr>
        <w:spacing w:after="0" w:line="1" w:lineRule="exact"/>
        <w:rPr>
          <w:sz w:val="20"/>
          <w:szCs w:val="20"/>
          <w:color w:val="auto"/>
        </w:rPr>
      </w:pPr>
    </w:p>
    <w:p>
      <w:pPr>
        <w:spacing w:after="0" w:line="224" w:lineRule="auto"/>
        <w:rPr>
          <w:sz w:val="20"/>
          <w:szCs w:val="20"/>
          <w:color w:val="auto"/>
        </w:rPr>
      </w:pPr>
      <w:r>
        <w:rPr>
          <w:rFonts w:ascii="Arial" w:cs="Arial" w:eastAsia="Arial" w:hAnsi="Arial"/>
          <w:sz w:val="18"/>
          <w:szCs w:val="18"/>
          <w:color w:val="auto"/>
        </w:rPr>
        <w:t>Company, to engage in speculative transactions in our Company's securities or other transactions which might give the appearance of impropriety. In addition, we discourage any person subject to the Insider Trading Policy from engaging in frequent trading in our Company's</w:t>
      </w:r>
    </w:p>
    <w:p>
      <w:pPr>
        <w:spacing w:after="0" w:line="1" w:lineRule="exact"/>
        <w:rPr>
          <w:sz w:val="20"/>
          <w:szCs w:val="20"/>
          <w:color w:val="auto"/>
        </w:rPr>
      </w:pPr>
    </w:p>
    <w:p>
      <w:pPr>
        <w:spacing w:after="0" w:line="243" w:lineRule="auto"/>
        <w:rPr>
          <w:sz w:val="20"/>
          <w:szCs w:val="20"/>
          <w:color w:val="auto"/>
        </w:rPr>
      </w:pPr>
      <w:r>
        <w:rPr>
          <w:rFonts w:ascii="Arial" w:cs="Arial" w:eastAsia="Arial" w:hAnsi="Arial"/>
          <w:sz w:val="18"/>
          <w:szCs w:val="18"/>
          <w:color w:val="auto"/>
        </w:rPr>
        <w:t>securities because such trading also may give the appearance that such trades were timed to take advantage of material non-public information. Accordingly, our Insider Trading Policy either prohibits or limits the following types of transactions:</w:t>
      </w:r>
    </w:p>
    <w:p>
      <w:pPr>
        <w:spacing w:after="0" w:line="5" w:lineRule="exact"/>
        <w:rPr>
          <w:sz w:val="20"/>
          <w:szCs w:val="20"/>
          <w:color w:val="auto"/>
        </w:rPr>
      </w:pPr>
    </w:p>
    <w:p>
      <w:pPr>
        <w:ind w:left="640" w:hanging="313"/>
        <w:spacing w:after="0" w:line="262" w:lineRule="auto"/>
        <w:tabs>
          <w:tab w:leader="none" w:pos="635" w:val="left"/>
        </w:tabs>
        <w:numPr>
          <w:ilvl w:val="0"/>
          <w:numId w:val="91"/>
        </w:numPr>
        <w:rPr>
          <w:rFonts w:ascii="Arial" w:cs="Arial" w:eastAsia="Arial" w:hAnsi="Arial"/>
          <w:sz w:val="18"/>
          <w:szCs w:val="18"/>
          <w:color w:val="auto"/>
        </w:rPr>
      </w:pPr>
      <w:r>
        <w:rPr>
          <w:rFonts w:ascii="Arial" w:cs="Arial" w:eastAsia="Arial" w:hAnsi="Arial"/>
          <w:sz w:val="18"/>
          <w:szCs w:val="18"/>
          <w:i w:val="1"/>
          <w:iCs w:val="1"/>
          <w:color w:val="auto"/>
        </w:rPr>
        <w:t>Short sales</w:t>
      </w:r>
      <w:r>
        <w:rPr>
          <w:rFonts w:ascii="Arial" w:cs="Arial" w:eastAsia="Arial" w:hAnsi="Arial"/>
          <w:sz w:val="18"/>
          <w:szCs w:val="18"/>
          <w:color w:val="auto"/>
        </w:rPr>
        <w:t>. All directors, officers and employees of our Company are prohibited from engaging in short sales of our Company's</w:t>
      </w:r>
      <w:r>
        <w:rPr>
          <w:rFonts w:ascii="Arial" w:cs="Arial" w:eastAsia="Arial" w:hAnsi="Arial"/>
          <w:sz w:val="18"/>
          <w:szCs w:val="18"/>
          <w:i w:val="1"/>
          <w:iCs w:val="1"/>
          <w:color w:val="auto"/>
        </w:rPr>
        <w:t xml:space="preserve"> </w:t>
      </w:r>
      <w:r>
        <w:rPr>
          <w:rFonts w:ascii="Arial" w:cs="Arial" w:eastAsia="Arial" w:hAnsi="Arial"/>
          <w:sz w:val="18"/>
          <w:szCs w:val="18"/>
          <w:color w:val="auto"/>
        </w:rPr>
        <w:t>securities since such sales are intended to reward a person for downward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79375</wp:posOffset>
            </wp:positionV>
            <wp:extent cx="7159625" cy="4254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153" w:right="339" w:bottom="1440" w:gutter="0" w:footer="0" w:header="0"/>
        </w:sectPr>
      </w:pPr>
    </w:p>
    <w:bookmarkStart w:id="83" w:name="page84"/>
    <w:bookmarkEnd w:id="83"/>
    <w:p>
      <w:pPr>
        <w:ind w:left="640"/>
        <w:spacing w:after="0"/>
        <w:rPr>
          <w:sz w:val="20"/>
          <w:szCs w:val="20"/>
          <w:color w:val="auto"/>
        </w:rPr>
      </w:pPr>
      <w:r>
        <w:rPr>
          <w:rFonts w:ascii="Arial" w:cs="Arial" w:eastAsia="Arial" w:hAnsi="Arial"/>
          <w:sz w:val="18"/>
          <w:szCs w:val="18"/>
          <w:color w:val="auto"/>
        </w:rPr>
        <w:t>changes in price, and as such, may appear to have resulted from the possession of material non-public information.</w:t>
      </w:r>
    </w:p>
    <w:p>
      <w:pPr>
        <w:spacing w:after="0" w:line="47" w:lineRule="exact"/>
        <w:rPr>
          <w:sz w:val="20"/>
          <w:szCs w:val="20"/>
          <w:color w:val="auto"/>
        </w:rPr>
      </w:pPr>
    </w:p>
    <w:p>
      <w:pPr>
        <w:jc w:val="both"/>
        <w:ind w:left="640" w:hanging="313"/>
        <w:spacing w:after="0" w:line="237" w:lineRule="auto"/>
        <w:tabs>
          <w:tab w:leader="none" w:pos="635" w:val="left"/>
        </w:tabs>
        <w:numPr>
          <w:ilvl w:val="0"/>
          <w:numId w:val="92"/>
        </w:numPr>
        <w:rPr>
          <w:rFonts w:ascii="Arial" w:cs="Arial" w:eastAsia="Arial" w:hAnsi="Arial"/>
          <w:sz w:val="18"/>
          <w:szCs w:val="18"/>
          <w:color w:val="auto"/>
        </w:rPr>
      </w:pPr>
      <w:r>
        <w:rPr>
          <w:rFonts w:ascii="Arial" w:cs="Arial" w:eastAsia="Arial" w:hAnsi="Arial"/>
          <w:sz w:val="18"/>
          <w:szCs w:val="18"/>
          <w:i w:val="1"/>
          <w:iCs w:val="1"/>
          <w:color w:val="auto"/>
        </w:rPr>
        <w:t>Publicly-traded options</w:t>
      </w:r>
      <w:r>
        <w:rPr>
          <w:rFonts w:ascii="Arial" w:cs="Arial" w:eastAsia="Arial" w:hAnsi="Arial"/>
          <w:sz w:val="18"/>
          <w:szCs w:val="18"/>
          <w:color w:val="auto"/>
        </w:rPr>
        <w:t>. All directors, officers and employees of our Company are prohibited from engaging in transactions in put</w:t>
      </w:r>
      <w:r>
        <w:rPr>
          <w:rFonts w:ascii="Arial" w:cs="Arial" w:eastAsia="Arial" w:hAnsi="Arial"/>
          <w:sz w:val="18"/>
          <w:szCs w:val="18"/>
          <w:i w:val="1"/>
          <w:iCs w:val="1"/>
          <w:color w:val="auto"/>
        </w:rPr>
        <w:t xml:space="preserve"> </w:t>
      </w:r>
      <w:r>
        <w:rPr>
          <w:rFonts w:ascii="Arial" w:cs="Arial" w:eastAsia="Arial" w:hAnsi="Arial"/>
          <w:sz w:val="18"/>
          <w:szCs w:val="18"/>
          <w:color w:val="auto"/>
        </w:rPr>
        <w:t>options, call options, or other derivative securities involving our Company's stock, whether on an exchange or otherwise, since given the relatively short terms of publicly-traded options, such transactions may create the appearance that they have resulted from possession of material non-public information.</w:t>
      </w:r>
    </w:p>
    <w:p>
      <w:pPr>
        <w:spacing w:after="0" w:line="9" w:lineRule="exact"/>
        <w:rPr>
          <w:rFonts w:ascii="Arial" w:cs="Arial" w:eastAsia="Arial" w:hAnsi="Arial"/>
          <w:sz w:val="18"/>
          <w:szCs w:val="18"/>
          <w:color w:val="auto"/>
        </w:rPr>
      </w:pPr>
    </w:p>
    <w:p>
      <w:pPr>
        <w:jc w:val="both"/>
        <w:ind w:left="640" w:hanging="313"/>
        <w:spacing w:after="0" w:line="237" w:lineRule="auto"/>
        <w:tabs>
          <w:tab w:leader="none" w:pos="635" w:val="left"/>
        </w:tabs>
        <w:numPr>
          <w:ilvl w:val="0"/>
          <w:numId w:val="92"/>
        </w:numPr>
        <w:rPr>
          <w:rFonts w:ascii="Arial" w:cs="Arial" w:eastAsia="Arial" w:hAnsi="Arial"/>
          <w:sz w:val="18"/>
          <w:szCs w:val="18"/>
          <w:color w:val="auto"/>
        </w:rPr>
      </w:pPr>
      <w:r>
        <w:rPr>
          <w:rFonts w:ascii="Arial" w:cs="Arial" w:eastAsia="Arial" w:hAnsi="Arial"/>
          <w:sz w:val="18"/>
          <w:szCs w:val="18"/>
          <w:i w:val="1"/>
          <w:iCs w:val="1"/>
          <w:color w:val="auto"/>
        </w:rPr>
        <w:t>Hedging transactions</w:t>
      </w:r>
      <w:r>
        <w:rPr>
          <w:rFonts w:ascii="Arial" w:cs="Arial" w:eastAsia="Arial" w:hAnsi="Arial"/>
          <w:sz w:val="18"/>
          <w:szCs w:val="18"/>
          <w:color w:val="auto"/>
        </w:rPr>
        <w:t>. All directors, officers and employees of our Company are prohibited from engaging in hedging transactions</w:t>
      </w:r>
      <w:r>
        <w:rPr>
          <w:rFonts w:ascii="Arial" w:cs="Arial" w:eastAsia="Arial" w:hAnsi="Arial"/>
          <w:sz w:val="18"/>
          <w:szCs w:val="18"/>
          <w:i w:val="1"/>
          <w:iCs w:val="1"/>
          <w:color w:val="auto"/>
        </w:rPr>
        <w:t xml:space="preserve"> </w:t>
      </w:r>
      <w:r>
        <w:rPr>
          <w:rFonts w:ascii="Arial" w:cs="Arial" w:eastAsia="Arial" w:hAnsi="Arial"/>
          <w:sz w:val="18"/>
          <w:szCs w:val="18"/>
          <w:color w:val="auto"/>
        </w:rPr>
        <w:t>involving our Company's securities, such as collars, equity swaps, prepaid variable forwards, and exchange funds, since such transactions are designed to hedge or offset any decrease in the market value of securities and when that occurs, the owner may no longer have the same objectives as other of our Company's security holders.</w:t>
      </w:r>
    </w:p>
    <w:p>
      <w:pPr>
        <w:spacing w:after="0" w:line="23" w:lineRule="exact"/>
        <w:rPr>
          <w:rFonts w:ascii="Arial" w:cs="Arial" w:eastAsia="Arial" w:hAnsi="Arial"/>
          <w:sz w:val="18"/>
          <w:szCs w:val="18"/>
          <w:color w:val="auto"/>
        </w:rPr>
      </w:pPr>
    </w:p>
    <w:p>
      <w:pPr>
        <w:ind w:left="640" w:right="120" w:hanging="313"/>
        <w:spacing w:after="0" w:line="233" w:lineRule="auto"/>
        <w:tabs>
          <w:tab w:leader="none" w:pos="635" w:val="left"/>
        </w:tabs>
        <w:numPr>
          <w:ilvl w:val="0"/>
          <w:numId w:val="92"/>
        </w:numPr>
        <w:rPr>
          <w:rFonts w:ascii="Arial" w:cs="Arial" w:eastAsia="Arial" w:hAnsi="Arial"/>
          <w:sz w:val="18"/>
          <w:szCs w:val="18"/>
          <w:color w:val="auto"/>
        </w:rPr>
      </w:pPr>
      <w:r>
        <w:rPr>
          <w:rFonts w:ascii="Arial" w:cs="Arial" w:eastAsia="Arial" w:hAnsi="Arial"/>
          <w:sz w:val="18"/>
          <w:szCs w:val="18"/>
          <w:i w:val="1"/>
          <w:iCs w:val="1"/>
          <w:color w:val="auto"/>
        </w:rPr>
        <w:t>Standing and limit orders</w:t>
      </w:r>
      <w:r>
        <w:rPr>
          <w:rFonts w:ascii="Arial" w:cs="Arial" w:eastAsia="Arial" w:hAnsi="Arial"/>
          <w:sz w:val="18"/>
          <w:szCs w:val="18"/>
          <w:color w:val="auto"/>
        </w:rPr>
        <w:t>. All directors, officers and employees of our Company are restricted in their use of standing and limit orders</w:t>
      </w:r>
      <w:r>
        <w:rPr>
          <w:rFonts w:ascii="Arial" w:cs="Arial" w:eastAsia="Arial" w:hAnsi="Arial"/>
          <w:sz w:val="18"/>
          <w:szCs w:val="18"/>
          <w:i w:val="1"/>
          <w:iCs w:val="1"/>
          <w:color w:val="auto"/>
        </w:rPr>
        <w:t xml:space="preserve"> </w:t>
      </w:r>
      <w:r>
        <w:rPr>
          <w:rFonts w:ascii="Arial" w:cs="Arial" w:eastAsia="Arial" w:hAnsi="Arial"/>
          <w:sz w:val="18"/>
          <w:szCs w:val="18"/>
          <w:color w:val="auto"/>
        </w:rPr>
        <w:t>for our Company's securities, which are orders placed with a broker to sell or purchase stock at a specified price. Because there is no control over the timing of purchases or sales that result from standing instructions to a broker, a transaction could be executed when such shareholders are aware of material non-public information. Accordingly, the Insider Trading Policy provides that if a director, officer or employee of our Company uses a standing order or limit order for our Company's securities, the order should be limited in duration and should otherwise comply with the trading requirements outlined in the Insider Trading Policy.</w:t>
      </w:r>
    </w:p>
    <w:p>
      <w:pPr>
        <w:spacing w:after="0" w:line="21" w:lineRule="exact"/>
        <w:rPr>
          <w:rFonts w:ascii="Arial" w:cs="Arial" w:eastAsia="Arial" w:hAnsi="Arial"/>
          <w:sz w:val="18"/>
          <w:szCs w:val="18"/>
          <w:color w:val="auto"/>
        </w:rPr>
      </w:pPr>
    </w:p>
    <w:p>
      <w:pPr>
        <w:ind w:left="640" w:hanging="313"/>
        <w:spacing w:after="0" w:line="262" w:lineRule="auto"/>
        <w:tabs>
          <w:tab w:leader="none" w:pos="635" w:val="left"/>
        </w:tabs>
        <w:numPr>
          <w:ilvl w:val="0"/>
          <w:numId w:val="92"/>
        </w:numPr>
        <w:rPr>
          <w:rFonts w:ascii="Arial" w:cs="Arial" w:eastAsia="Arial" w:hAnsi="Arial"/>
          <w:sz w:val="18"/>
          <w:szCs w:val="18"/>
          <w:color w:val="auto"/>
        </w:rPr>
      </w:pPr>
      <w:r>
        <w:rPr>
          <w:rFonts w:ascii="Arial" w:cs="Arial" w:eastAsia="Arial" w:hAnsi="Arial"/>
          <w:sz w:val="18"/>
          <w:szCs w:val="18"/>
          <w:i w:val="1"/>
          <w:iCs w:val="1"/>
          <w:color w:val="auto"/>
        </w:rPr>
        <w:t>Pledging</w:t>
      </w:r>
      <w:r>
        <w:rPr>
          <w:rFonts w:ascii="Arial" w:cs="Arial" w:eastAsia="Arial" w:hAnsi="Arial"/>
          <w:sz w:val="18"/>
          <w:szCs w:val="18"/>
          <w:color w:val="auto"/>
        </w:rPr>
        <w:t>. All directors and officers of our Company are prohibited from purchasing our Company's securities on margin, borrowing</w:t>
      </w:r>
      <w:r>
        <w:rPr>
          <w:rFonts w:ascii="Arial" w:cs="Arial" w:eastAsia="Arial" w:hAnsi="Arial"/>
          <w:sz w:val="18"/>
          <w:szCs w:val="18"/>
          <w:i w:val="1"/>
          <w:iCs w:val="1"/>
          <w:color w:val="auto"/>
        </w:rPr>
        <w:t xml:space="preserve"> </w:t>
      </w:r>
      <w:r>
        <w:rPr>
          <w:rFonts w:ascii="Arial" w:cs="Arial" w:eastAsia="Arial" w:hAnsi="Arial"/>
          <w:sz w:val="18"/>
          <w:szCs w:val="18"/>
          <w:color w:val="auto"/>
        </w:rPr>
        <w:t>against any account in which our Company's securities are held, or pledging our Company's securities as collateral for a loan.</w:t>
      </w:r>
    </w:p>
    <w:p>
      <w:pPr>
        <w:spacing w:after="0" w:line="102" w:lineRule="exact"/>
        <w:rPr>
          <w:sz w:val="20"/>
          <w:szCs w:val="20"/>
          <w:color w:val="auto"/>
        </w:rPr>
      </w:pPr>
    </w:p>
    <w:p>
      <w:pPr>
        <w:spacing w:after="0"/>
        <w:rPr>
          <w:sz w:val="20"/>
          <w:szCs w:val="20"/>
          <w:color w:val="auto"/>
        </w:rPr>
      </w:pPr>
      <w:r>
        <w:rPr>
          <w:rFonts w:ascii="Arial" w:cs="Arial" w:eastAsia="Arial" w:hAnsi="Arial"/>
          <w:sz w:val="20"/>
          <w:szCs w:val="20"/>
          <w:b w:val="1"/>
          <w:bCs w:val="1"/>
          <w:color w:val="C00000"/>
        </w:rPr>
        <w:t>Delinquent Section 16(a) Reports</w:t>
      </w:r>
    </w:p>
    <w:p>
      <w:pPr>
        <w:spacing w:after="0" w:line="84" w:lineRule="exact"/>
        <w:rPr>
          <w:sz w:val="20"/>
          <w:szCs w:val="20"/>
          <w:color w:val="auto"/>
        </w:rPr>
      </w:pPr>
    </w:p>
    <w:p>
      <w:pPr>
        <w:ind w:firstLine="320"/>
        <w:spacing w:after="0" w:line="241" w:lineRule="auto"/>
        <w:rPr>
          <w:sz w:val="20"/>
          <w:szCs w:val="20"/>
          <w:color w:val="auto"/>
        </w:rPr>
      </w:pPr>
      <w:r>
        <w:rPr>
          <w:rFonts w:ascii="Arial" w:cs="Arial" w:eastAsia="Arial" w:hAnsi="Arial"/>
          <w:sz w:val="18"/>
          <w:szCs w:val="18"/>
          <w:color w:val="auto"/>
        </w:rPr>
        <w:t>Section 16(a) of the Exchange Act requires our directors and executive officers and persons who beneficially own more than ten percent of our common stock to file with the SEC reports showing ownership of and changes in ownership of our common stock and other equity</w:t>
      </w:r>
    </w:p>
    <w:p>
      <w:pPr>
        <w:spacing w:after="0" w:line="1" w:lineRule="exact"/>
        <w:rPr>
          <w:sz w:val="20"/>
          <w:szCs w:val="20"/>
          <w:color w:val="auto"/>
        </w:rPr>
      </w:pPr>
    </w:p>
    <w:p>
      <w:pPr>
        <w:spacing w:after="0" w:line="224" w:lineRule="auto"/>
        <w:rPr>
          <w:sz w:val="20"/>
          <w:szCs w:val="20"/>
          <w:color w:val="auto"/>
        </w:rPr>
      </w:pPr>
      <w:r>
        <w:rPr>
          <w:rFonts w:ascii="Arial" w:cs="Arial" w:eastAsia="Arial" w:hAnsi="Arial"/>
          <w:sz w:val="18"/>
          <w:szCs w:val="18"/>
          <w:color w:val="auto"/>
        </w:rPr>
        <w:t>securities. Based on a review of reports filed by these reporting persons on the SEC's electronic filing, or EDGAR, system and written representations by our directors and executive officers, we believe that all of our directors, executive officers and greater than 10% owners</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complied with all filing requirements applicable to them during fiscal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79375</wp:posOffset>
            </wp:positionV>
            <wp:extent cx="7159625" cy="4254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097" w:right="339" w:bottom="1440" w:gutter="0" w:footer="0" w:header="0"/>
        </w:sectPr>
      </w:pPr>
    </w:p>
    <w:bookmarkStart w:id="84" w:name="page85"/>
    <w:bookmarkEnd w:id="84"/>
    <w:p>
      <w:pPr>
        <w:jc w:val="center"/>
        <w:ind w:right="-19"/>
        <w:spacing w:after="0"/>
        <w:rPr>
          <w:sz w:val="20"/>
          <w:szCs w:val="20"/>
          <w:color w:val="auto"/>
        </w:rPr>
      </w:pPr>
      <w:r>
        <w:rPr>
          <w:rFonts w:ascii="Arial" w:cs="Arial" w:eastAsia="Arial" w:hAnsi="Arial"/>
          <w:sz w:val="21"/>
          <w:szCs w:val="21"/>
          <w:b w:val="1"/>
          <w:bCs w:val="1"/>
          <w:color w:val="FFFFFF"/>
        </w:rPr>
        <w:t>EQUITY COMPENSATION PLAN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-151765</wp:posOffset>
            </wp:positionV>
            <wp:extent cx="6998335" cy="18669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6998335" cy="186690"/>
                    </a:xfrm>
                    <a:prstGeom prst="rect">
                      <a:avLst/>
                    </a:prstGeom>
                    <a:noFill/>
                  </pic:spPr>
                </pic:pic>
              </a:graphicData>
            </a:graphic>
          </wp:anchor>
        </w:drawing>
      </w:r>
    </w:p>
    <w:p>
      <w:pPr>
        <w:spacing w:after="0" w:line="310" w:lineRule="exact"/>
        <w:rPr>
          <w:sz w:val="20"/>
          <w:szCs w:val="20"/>
          <w:color w:val="auto"/>
        </w:rPr>
      </w:pPr>
    </w:p>
    <w:p>
      <w:pPr>
        <w:ind w:firstLine="320"/>
        <w:spacing w:after="0" w:line="246" w:lineRule="auto"/>
        <w:rPr>
          <w:sz w:val="20"/>
          <w:szCs w:val="20"/>
          <w:color w:val="auto"/>
        </w:rPr>
      </w:pPr>
      <w:r>
        <w:rPr>
          <w:rFonts w:ascii="Arial" w:cs="Arial" w:eastAsia="Arial" w:hAnsi="Arial"/>
          <w:sz w:val="18"/>
          <w:szCs w:val="18"/>
          <w:color w:val="auto"/>
        </w:rPr>
        <w:t>The following table provides information about shares of our common stock that may be issued under our equity compensation plans as of October 31, 2024, the last day of fiscal 2024.</w:t>
      </w:r>
    </w:p>
    <w:p>
      <w:pPr>
        <w:spacing w:after="0" w:line="126" w:lineRule="exact"/>
        <w:rPr>
          <w:sz w:val="20"/>
          <w:szCs w:val="20"/>
          <w:color w:val="auto"/>
        </w:rPr>
      </w:pPr>
    </w:p>
    <w:tbl>
      <w:tblPr>
        <w:tblLayout w:type="fixed"/>
        <w:tblInd w:w="160" w:type="dxa"/>
        <w:tblCellMar>
          <w:top w:w="0" w:type="dxa"/>
          <w:left w:w="0" w:type="dxa"/>
          <w:bottom w:w="0" w:type="dxa"/>
          <w:right w:w="0" w:type="dxa"/>
        </w:tblCellMar>
      </w:tblPr>
      <w:tr>
        <w:trPr>
          <w:trHeight w:val="204"/>
        </w:trPr>
        <w:tc>
          <w:tcPr>
            <w:tcW w:w="2640" w:type="dxa"/>
            <w:vAlign w:val="bottom"/>
            <w:shd w:val="clear" w:color="auto" w:fill="BF2115"/>
          </w:tcPr>
          <w:p>
            <w:pPr>
              <w:spacing w:after="0"/>
              <w:rPr>
                <w:sz w:val="17"/>
                <w:szCs w:val="17"/>
                <w:color w:val="auto"/>
              </w:rPr>
            </w:pPr>
          </w:p>
        </w:tc>
        <w:tc>
          <w:tcPr>
            <w:tcW w:w="3580" w:type="dxa"/>
            <w:vAlign w:val="bottom"/>
            <w:shd w:val="clear" w:color="auto" w:fill="BF2115"/>
          </w:tcPr>
          <w:p>
            <w:pPr>
              <w:spacing w:after="0"/>
              <w:rPr>
                <w:sz w:val="17"/>
                <w:szCs w:val="17"/>
                <w:color w:val="auto"/>
              </w:rPr>
            </w:pPr>
          </w:p>
        </w:tc>
        <w:tc>
          <w:tcPr>
            <w:tcW w:w="2080" w:type="dxa"/>
            <w:vAlign w:val="bottom"/>
            <w:shd w:val="clear" w:color="auto" w:fill="BF2115"/>
          </w:tcPr>
          <w:p>
            <w:pPr>
              <w:spacing w:after="0"/>
              <w:rPr>
                <w:sz w:val="17"/>
                <w:szCs w:val="17"/>
                <w:color w:val="auto"/>
              </w:rPr>
            </w:pPr>
          </w:p>
        </w:tc>
        <w:tc>
          <w:tcPr>
            <w:tcW w:w="2640" w:type="dxa"/>
            <w:vAlign w:val="bottom"/>
            <w:shd w:val="clear" w:color="auto" w:fill="BF2115"/>
          </w:tcPr>
          <w:p>
            <w:pPr>
              <w:jc w:val="center"/>
              <w:spacing w:after="0"/>
              <w:rPr>
                <w:sz w:val="20"/>
                <w:szCs w:val="20"/>
                <w:color w:val="auto"/>
              </w:rPr>
            </w:pPr>
            <w:r>
              <w:rPr>
                <w:rFonts w:ascii="Arial" w:cs="Arial" w:eastAsia="Arial" w:hAnsi="Arial"/>
                <w:sz w:val="14"/>
                <w:szCs w:val="14"/>
                <w:b w:val="1"/>
                <w:bCs w:val="1"/>
                <w:color w:val="FFFFFF"/>
              </w:rPr>
              <w:t>Number of Securities</w:t>
            </w:r>
          </w:p>
        </w:tc>
      </w:tr>
      <w:tr>
        <w:trPr>
          <w:trHeight w:val="173"/>
        </w:trPr>
        <w:tc>
          <w:tcPr>
            <w:tcW w:w="2640" w:type="dxa"/>
            <w:vAlign w:val="bottom"/>
            <w:shd w:val="clear" w:color="auto" w:fill="BF2115"/>
          </w:tcPr>
          <w:p>
            <w:pPr>
              <w:spacing w:after="0"/>
              <w:rPr>
                <w:sz w:val="15"/>
                <w:szCs w:val="15"/>
                <w:color w:val="auto"/>
              </w:rPr>
            </w:pPr>
          </w:p>
        </w:tc>
        <w:tc>
          <w:tcPr>
            <w:tcW w:w="3580" w:type="dxa"/>
            <w:vAlign w:val="bottom"/>
            <w:shd w:val="clear" w:color="auto" w:fill="BF2115"/>
          </w:tcPr>
          <w:p>
            <w:pPr>
              <w:jc w:val="center"/>
              <w:ind w:left="1289"/>
              <w:spacing w:after="0"/>
              <w:rPr>
                <w:sz w:val="20"/>
                <w:szCs w:val="20"/>
                <w:color w:val="auto"/>
              </w:rPr>
            </w:pPr>
            <w:r>
              <w:rPr>
                <w:rFonts w:ascii="Arial" w:cs="Arial" w:eastAsia="Arial" w:hAnsi="Arial"/>
                <w:sz w:val="14"/>
                <w:szCs w:val="14"/>
                <w:b w:val="1"/>
                <w:bCs w:val="1"/>
                <w:color w:val="FFFFFF"/>
              </w:rPr>
              <w:t>Number of Securities to</w:t>
            </w:r>
          </w:p>
        </w:tc>
        <w:tc>
          <w:tcPr>
            <w:tcW w:w="2080" w:type="dxa"/>
            <w:vAlign w:val="bottom"/>
            <w:shd w:val="clear" w:color="auto" w:fill="BF2115"/>
          </w:tcPr>
          <w:p>
            <w:pPr>
              <w:spacing w:after="0"/>
              <w:rPr>
                <w:sz w:val="15"/>
                <w:szCs w:val="15"/>
                <w:color w:val="auto"/>
              </w:rPr>
            </w:pPr>
          </w:p>
        </w:tc>
        <w:tc>
          <w:tcPr>
            <w:tcW w:w="2640" w:type="dxa"/>
            <w:vAlign w:val="bottom"/>
            <w:shd w:val="clear" w:color="auto" w:fill="BF2115"/>
          </w:tcPr>
          <w:p>
            <w:pPr>
              <w:jc w:val="center"/>
              <w:spacing w:after="0"/>
              <w:rPr>
                <w:sz w:val="20"/>
                <w:szCs w:val="20"/>
                <w:color w:val="auto"/>
              </w:rPr>
            </w:pPr>
            <w:r>
              <w:rPr>
                <w:rFonts w:ascii="Arial" w:cs="Arial" w:eastAsia="Arial" w:hAnsi="Arial"/>
                <w:sz w:val="14"/>
                <w:szCs w:val="14"/>
                <w:b w:val="1"/>
                <w:bCs w:val="1"/>
                <w:color w:val="FFFFFF"/>
              </w:rPr>
              <w:t>Remaining Available for</w:t>
            </w:r>
          </w:p>
        </w:tc>
      </w:tr>
      <w:tr>
        <w:trPr>
          <w:trHeight w:val="187"/>
        </w:trPr>
        <w:tc>
          <w:tcPr>
            <w:tcW w:w="2640" w:type="dxa"/>
            <w:vAlign w:val="bottom"/>
            <w:shd w:val="clear" w:color="auto" w:fill="BF2115"/>
          </w:tcPr>
          <w:p>
            <w:pPr>
              <w:spacing w:after="0"/>
              <w:rPr>
                <w:sz w:val="16"/>
                <w:szCs w:val="16"/>
                <w:color w:val="auto"/>
              </w:rPr>
            </w:pPr>
          </w:p>
        </w:tc>
        <w:tc>
          <w:tcPr>
            <w:tcW w:w="3580" w:type="dxa"/>
            <w:vAlign w:val="bottom"/>
            <w:shd w:val="clear" w:color="auto" w:fill="BF2115"/>
          </w:tcPr>
          <w:p>
            <w:pPr>
              <w:jc w:val="center"/>
              <w:ind w:left="1289"/>
              <w:spacing w:after="0"/>
              <w:rPr>
                <w:sz w:val="20"/>
                <w:szCs w:val="20"/>
                <w:color w:val="auto"/>
              </w:rPr>
            </w:pPr>
            <w:r>
              <w:rPr>
                <w:rFonts w:ascii="Arial" w:cs="Arial" w:eastAsia="Arial" w:hAnsi="Arial"/>
                <w:sz w:val="14"/>
                <w:szCs w:val="14"/>
                <w:b w:val="1"/>
                <w:bCs w:val="1"/>
                <w:color w:val="FFFFFF"/>
              </w:rPr>
              <w:t>be Issued Upon</w:t>
            </w:r>
          </w:p>
        </w:tc>
        <w:tc>
          <w:tcPr>
            <w:tcW w:w="2080" w:type="dxa"/>
            <w:vAlign w:val="bottom"/>
            <w:shd w:val="clear" w:color="auto" w:fill="BF2115"/>
          </w:tcPr>
          <w:p>
            <w:pPr>
              <w:jc w:val="center"/>
              <w:spacing w:after="0"/>
              <w:rPr>
                <w:sz w:val="20"/>
                <w:szCs w:val="20"/>
                <w:color w:val="auto"/>
              </w:rPr>
            </w:pPr>
            <w:r>
              <w:rPr>
                <w:rFonts w:ascii="Arial" w:cs="Arial" w:eastAsia="Arial" w:hAnsi="Arial"/>
                <w:sz w:val="14"/>
                <w:szCs w:val="14"/>
                <w:b w:val="1"/>
                <w:bCs w:val="1"/>
                <w:color w:val="FFFFFF"/>
              </w:rPr>
              <w:t>Weighted Average</w:t>
            </w:r>
          </w:p>
        </w:tc>
        <w:tc>
          <w:tcPr>
            <w:tcW w:w="2640" w:type="dxa"/>
            <w:vAlign w:val="bottom"/>
            <w:shd w:val="clear" w:color="auto" w:fill="BF2115"/>
          </w:tcPr>
          <w:p>
            <w:pPr>
              <w:jc w:val="center"/>
              <w:spacing w:after="0"/>
              <w:rPr>
                <w:sz w:val="20"/>
                <w:szCs w:val="20"/>
                <w:color w:val="auto"/>
              </w:rPr>
            </w:pPr>
            <w:r>
              <w:rPr>
                <w:rFonts w:ascii="Arial" w:cs="Arial" w:eastAsia="Arial" w:hAnsi="Arial"/>
                <w:sz w:val="14"/>
                <w:szCs w:val="14"/>
                <w:b w:val="1"/>
                <w:bCs w:val="1"/>
                <w:color w:val="FFFFFF"/>
              </w:rPr>
              <w:t>Future Issuance Under</w:t>
            </w:r>
          </w:p>
        </w:tc>
      </w:tr>
      <w:tr>
        <w:trPr>
          <w:trHeight w:val="173"/>
        </w:trPr>
        <w:tc>
          <w:tcPr>
            <w:tcW w:w="2640" w:type="dxa"/>
            <w:vAlign w:val="bottom"/>
            <w:shd w:val="clear" w:color="auto" w:fill="BF2115"/>
          </w:tcPr>
          <w:p>
            <w:pPr>
              <w:spacing w:after="0"/>
              <w:rPr>
                <w:sz w:val="15"/>
                <w:szCs w:val="15"/>
                <w:color w:val="auto"/>
              </w:rPr>
            </w:pPr>
          </w:p>
        </w:tc>
        <w:tc>
          <w:tcPr>
            <w:tcW w:w="3580" w:type="dxa"/>
            <w:vAlign w:val="bottom"/>
            <w:shd w:val="clear" w:color="auto" w:fill="BF2115"/>
          </w:tcPr>
          <w:p>
            <w:pPr>
              <w:jc w:val="center"/>
              <w:ind w:left="1289"/>
              <w:spacing w:after="0"/>
              <w:rPr>
                <w:sz w:val="20"/>
                <w:szCs w:val="20"/>
                <w:color w:val="auto"/>
              </w:rPr>
            </w:pPr>
            <w:r>
              <w:rPr>
                <w:rFonts w:ascii="Arial" w:cs="Arial" w:eastAsia="Arial" w:hAnsi="Arial"/>
                <w:sz w:val="14"/>
                <w:szCs w:val="14"/>
                <w:b w:val="1"/>
                <w:bCs w:val="1"/>
                <w:color w:val="FFFFFF"/>
                <w:w w:val="98"/>
              </w:rPr>
              <w:t>Exercise of</w:t>
            </w:r>
          </w:p>
        </w:tc>
        <w:tc>
          <w:tcPr>
            <w:tcW w:w="2080" w:type="dxa"/>
            <w:vAlign w:val="bottom"/>
            <w:shd w:val="clear" w:color="auto" w:fill="BF2115"/>
          </w:tcPr>
          <w:p>
            <w:pPr>
              <w:jc w:val="center"/>
              <w:spacing w:after="0"/>
              <w:rPr>
                <w:sz w:val="20"/>
                <w:szCs w:val="20"/>
                <w:color w:val="auto"/>
              </w:rPr>
            </w:pPr>
            <w:r>
              <w:rPr>
                <w:rFonts w:ascii="Arial" w:cs="Arial" w:eastAsia="Arial" w:hAnsi="Arial"/>
                <w:sz w:val="14"/>
                <w:szCs w:val="14"/>
                <w:b w:val="1"/>
                <w:bCs w:val="1"/>
                <w:color w:val="FFFFFF"/>
              </w:rPr>
              <w:t>Exercise Price of</w:t>
            </w:r>
          </w:p>
        </w:tc>
        <w:tc>
          <w:tcPr>
            <w:tcW w:w="2640" w:type="dxa"/>
            <w:vAlign w:val="bottom"/>
            <w:shd w:val="clear" w:color="auto" w:fill="BF2115"/>
          </w:tcPr>
          <w:p>
            <w:pPr>
              <w:jc w:val="center"/>
              <w:spacing w:after="0"/>
              <w:rPr>
                <w:sz w:val="20"/>
                <w:szCs w:val="20"/>
                <w:color w:val="auto"/>
              </w:rPr>
            </w:pPr>
            <w:r>
              <w:rPr>
                <w:rFonts w:ascii="Arial" w:cs="Arial" w:eastAsia="Arial" w:hAnsi="Arial"/>
                <w:sz w:val="14"/>
                <w:szCs w:val="14"/>
                <w:b w:val="1"/>
                <w:bCs w:val="1"/>
                <w:color w:val="FFFFFF"/>
              </w:rPr>
              <w:t>Equity Compensation Plans</w:t>
            </w:r>
          </w:p>
        </w:tc>
      </w:tr>
      <w:tr>
        <w:trPr>
          <w:trHeight w:val="173"/>
        </w:trPr>
        <w:tc>
          <w:tcPr>
            <w:tcW w:w="2640" w:type="dxa"/>
            <w:vAlign w:val="bottom"/>
            <w:shd w:val="clear" w:color="auto" w:fill="BF2115"/>
          </w:tcPr>
          <w:p>
            <w:pPr>
              <w:spacing w:after="0"/>
              <w:rPr>
                <w:sz w:val="15"/>
                <w:szCs w:val="15"/>
                <w:color w:val="auto"/>
              </w:rPr>
            </w:pPr>
          </w:p>
        </w:tc>
        <w:tc>
          <w:tcPr>
            <w:tcW w:w="3580" w:type="dxa"/>
            <w:vAlign w:val="bottom"/>
            <w:shd w:val="clear" w:color="auto" w:fill="BF2115"/>
          </w:tcPr>
          <w:p>
            <w:pPr>
              <w:jc w:val="center"/>
              <w:ind w:left="1289"/>
              <w:spacing w:after="0"/>
              <w:rPr>
                <w:sz w:val="20"/>
                <w:szCs w:val="20"/>
                <w:color w:val="auto"/>
              </w:rPr>
            </w:pPr>
            <w:r>
              <w:rPr>
                <w:rFonts w:ascii="Arial" w:cs="Arial" w:eastAsia="Arial" w:hAnsi="Arial"/>
                <w:sz w:val="14"/>
                <w:szCs w:val="14"/>
                <w:b w:val="1"/>
                <w:bCs w:val="1"/>
                <w:color w:val="FFFFFF"/>
              </w:rPr>
              <w:t>Outstanding Options,</w:t>
            </w:r>
          </w:p>
        </w:tc>
        <w:tc>
          <w:tcPr>
            <w:tcW w:w="2080" w:type="dxa"/>
            <w:vAlign w:val="bottom"/>
            <w:shd w:val="clear" w:color="auto" w:fill="BF2115"/>
          </w:tcPr>
          <w:p>
            <w:pPr>
              <w:jc w:val="center"/>
              <w:spacing w:after="0"/>
              <w:rPr>
                <w:sz w:val="20"/>
                <w:szCs w:val="20"/>
                <w:color w:val="auto"/>
              </w:rPr>
            </w:pPr>
            <w:r>
              <w:rPr>
                <w:rFonts w:ascii="Arial" w:cs="Arial" w:eastAsia="Arial" w:hAnsi="Arial"/>
                <w:sz w:val="14"/>
                <w:szCs w:val="14"/>
                <w:b w:val="1"/>
                <w:bCs w:val="1"/>
                <w:color w:val="FFFFFF"/>
              </w:rPr>
              <w:t>Outstanding Options,</w:t>
            </w:r>
          </w:p>
        </w:tc>
        <w:tc>
          <w:tcPr>
            <w:tcW w:w="2640" w:type="dxa"/>
            <w:vAlign w:val="bottom"/>
            <w:shd w:val="clear" w:color="auto" w:fill="BF2115"/>
          </w:tcPr>
          <w:p>
            <w:pPr>
              <w:jc w:val="center"/>
              <w:spacing w:after="0"/>
              <w:rPr>
                <w:sz w:val="20"/>
                <w:szCs w:val="20"/>
                <w:color w:val="auto"/>
              </w:rPr>
            </w:pPr>
            <w:r>
              <w:rPr>
                <w:rFonts w:ascii="Arial" w:cs="Arial" w:eastAsia="Arial" w:hAnsi="Arial"/>
                <w:sz w:val="14"/>
                <w:szCs w:val="14"/>
                <w:b w:val="1"/>
                <w:bCs w:val="1"/>
                <w:color w:val="FFFFFF"/>
              </w:rPr>
              <w:t>(excluding securities reflected</w:t>
            </w:r>
          </w:p>
        </w:tc>
      </w:tr>
      <w:tr>
        <w:trPr>
          <w:trHeight w:val="173"/>
        </w:trPr>
        <w:tc>
          <w:tcPr>
            <w:tcW w:w="2640" w:type="dxa"/>
            <w:vAlign w:val="bottom"/>
            <w:shd w:val="clear" w:color="auto" w:fill="BF2115"/>
          </w:tcPr>
          <w:p>
            <w:pPr>
              <w:spacing w:after="0"/>
              <w:rPr>
                <w:sz w:val="15"/>
                <w:szCs w:val="15"/>
                <w:color w:val="auto"/>
              </w:rPr>
            </w:pPr>
          </w:p>
        </w:tc>
        <w:tc>
          <w:tcPr>
            <w:tcW w:w="3580" w:type="dxa"/>
            <w:vAlign w:val="bottom"/>
            <w:shd w:val="clear" w:color="auto" w:fill="BF2115"/>
          </w:tcPr>
          <w:p>
            <w:pPr>
              <w:jc w:val="center"/>
              <w:ind w:left="1289"/>
              <w:spacing w:after="0"/>
              <w:rPr>
                <w:sz w:val="20"/>
                <w:szCs w:val="20"/>
                <w:color w:val="auto"/>
              </w:rPr>
            </w:pPr>
            <w:r>
              <w:rPr>
                <w:rFonts w:ascii="Arial" w:cs="Arial" w:eastAsia="Arial" w:hAnsi="Arial"/>
                <w:sz w:val="14"/>
                <w:szCs w:val="14"/>
                <w:b w:val="1"/>
                <w:bCs w:val="1"/>
                <w:color w:val="FFFFFF"/>
              </w:rPr>
              <w:t>Warrants and Rights</w:t>
            </w:r>
          </w:p>
        </w:tc>
        <w:tc>
          <w:tcPr>
            <w:tcW w:w="2080" w:type="dxa"/>
            <w:vAlign w:val="bottom"/>
            <w:shd w:val="clear" w:color="auto" w:fill="BF2115"/>
          </w:tcPr>
          <w:p>
            <w:pPr>
              <w:jc w:val="center"/>
              <w:spacing w:after="0"/>
              <w:rPr>
                <w:sz w:val="20"/>
                <w:szCs w:val="20"/>
                <w:color w:val="auto"/>
              </w:rPr>
            </w:pPr>
            <w:r>
              <w:rPr>
                <w:rFonts w:ascii="Arial" w:cs="Arial" w:eastAsia="Arial" w:hAnsi="Arial"/>
                <w:sz w:val="14"/>
                <w:szCs w:val="14"/>
                <w:b w:val="1"/>
                <w:bCs w:val="1"/>
                <w:color w:val="FFFFFF"/>
              </w:rPr>
              <w:t>Warrants and Rights</w:t>
            </w:r>
          </w:p>
        </w:tc>
        <w:tc>
          <w:tcPr>
            <w:tcW w:w="2640" w:type="dxa"/>
            <w:vAlign w:val="bottom"/>
            <w:shd w:val="clear" w:color="auto" w:fill="BF2115"/>
          </w:tcPr>
          <w:p>
            <w:pPr>
              <w:jc w:val="center"/>
              <w:spacing w:after="0"/>
              <w:rPr>
                <w:sz w:val="20"/>
                <w:szCs w:val="20"/>
                <w:color w:val="auto"/>
              </w:rPr>
            </w:pPr>
            <w:r>
              <w:rPr>
                <w:rFonts w:ascii="Arial" w:cs="Arial" w:eastAsia="Arial" w:hAnsi="Arial"/>
                <w:sz w:val="14"/>
                <w:szCs w:val="14"/>
                <w:b w:val="1"/>
                <w:bCs w:val="1"/>
                <w:color w:val="FFFFFF"/>
              </w:rPr>
              <w:t>in column (a))</w:t>
            </w:r>
          </w:p>
        </w:tc>
      </w:tr>
      <w:tr>
        <w:trPr>
          <w:trHeight w:val="209"/>
        </w:trPr>
        <w:tc>
          <w:tcPr>
            <w:tcW w:w="2640" w:type="dxa"/>
            <w:vAlign w:val="bottom"/>
            <w:shd w:val="clear" w:color="auto" w:fill="BF2115"/>
          </w:tcPr>
          <w:p>
            <w:pPr>
              <w:spacing w:after="0"/>
              <w:rPr>
                <w:sz w:val="20"/>
                <w:szCs w:val="20"/>
                <w:color w:val="auto"/>
              </w:rPr>
            </w:pPr>
            <w:r>
              <w:rPr>
                <w:rFonts w:ascii="Arial" w:cs="Arial" w:eastAsia="Arial" w:hAnsi="Arial"/>
                <w:sz w:val="14"/>
                <w:szCs w:val="14"/>
                <w:b w:val="1"/>
                <w:bCs w:val="1"/>
                <w:color w:val="FFFFFF"/>
              </w:rPr>
              <w:t>Plan Category</w:t>
            </w:r>
          </w:p>
        </w:tc>
        <w:tc>
          <w:tcPr>
            <w:tcW w:w="3580" w:type="dxa"/>
            <w:vAlign w:val="bottom"/>
            <w:shd w:val="clear" w:color="auto" w:fill="BF2115"/>
          </w:tcPr>
          <w:p>
            <w:pPr>
              <w:jc w:val="center"/>
              <w:ind w:left="1289"/>
              <w:spacing w:after="0"/>
              <w:rPr>
                <w:sz w:val="20"/>
                <w:szCs w:val="20"/>
                <w:color w:val="auto"/>
              </w:rPr>
            </w:pPr>
            <w:r>
              <w:rPr>
                <w:rFonts w:ascii="Arial" w:cs="Arial" w:eastAsia="Arial" w:hAnsi="Arial"/>
                <w:sz w:val="14"/>
                <w:szCs w:val="14"/>
                <w:b w:val="1"/>
                <w:bCs w:val="1"/>
                <w:color w:val="FFFFFF"/>
              </w:rPr>
              <w:t>(a)</w:t>
            </w:r>
          </w:p>
        </w:tc>
        <w:tc>
          <w:tcPr>
            <w:tcW w:w="2080" w:type="dxa"/>
            <w:vAlign w:val="bottom"/>
            <w:shd w:val="clear" w:color="auto" w:fill="BF2115"/>
          </w:tcPr>
          <w:p>
            <w:pPr>
              <w:jc w:val="center"/>
              <w:spacing w:after="0"/>
              <w:rPr>
                <w:sz w:val="20"/>
                <w:szCs w:val="20"/>
                <w:color w:val="auto"/>
              </w:rPr>
            </w:pPr>
            <w:r>
              <w:rPr>
                <w:rFonts w:ascii="Arial" w:cs="Arial" w:eastAsia="Arial" w:hAnsi="Arial"/>
                <w:sz w:val="14"/>
                <w:szCs w:val="14"/>
                <w:b w:val="1"/>
                <w:bCs w:val="1"/>
                <w:color w:val="FFFFFF"/>
              </w:rPr>
              <w:t>(b)</w:t>
            </w:r>
          </w:p>
        </w:tc>
        <w:tc>
          <w:tcPr>
            <w:tcW w:w="2640" w:type="dxa"/>
            <w:vAlign w:val="bottom"/>
            <w:shd w:val="clear" w:color="auto" w:fill="BF2115"/>
          </w:tcPr>
          <w:p>
            <w:pPr>
              <w:jc w:val="center"/>
              <w:spacing w:after="0"/>
              <w:rPr>
                <w:sz w:val="20"/>
                <w:szCs w:val="20"/>
                <w:color w:val="auto"/>
              </w:rPr>
            </w:pPr>
            <w:r>
              <w:rPr>
                <w:rFonts w:ascii="Arial" w:cs="Arial" w:eastAsia="Arial" w:hAnsi="Arial"/>
                <w:sz w:val="14"/>
                <w:szCs w:val="14"/>
                <w:b w:val="1"/>
                <w:bCs w:val="1"/>
                <w:color w:val="FFFFFF"/>
                <w:w w:val="93"/>
              </w:rPr>
              <w:t>(c)</w:t>
            </w:r>
          </w:p>
        </w:tc>
      </w:tr>
    </w:tbl>
    <w:p>
      <w:pPr>
        <w:spacing w:after="0" w:line="13" w:lineRule="exact"/>
        <w:rPr>
          <w:sz w:val="20"/>
          <w:szCs w:val="20"/>
          <w:color w:val="auto"/>
        </w:rPr>
      </w:pPr>
    </w:p>
    <w:p>
      <w:pPr>
        <w:sectPr>
          <w:pgSz w:w="11900" w:h="16838" w:orient="portrait"/>
          <w:cols w:equalWidth="0" w:num="1">
            <w:col w:w="11240"/>
          </w:cols>
          <w:pgMar w:left="320" w:top="1152" w:right="339" w:bottom="1440" w:gutter="0" w:footer="0" w:header="0"/>
        </w:sectPr>
      </w:pPr>
    </w:p>
    <w:p>
      <w:pPr>
        <w:ind w:left="200" w:right="1160" w:hanging="43"/>
        <w:spacing w:after="0" w:line="295" w:lineRule="auto"/>
        <w:rPr>
          <w:sz w:val="20"/>
          <w:szCs w:val="20"/>
          <w:color w:val="auto"/>
        </w:rPr>
      </w:pPr>
      <w:r>
        <w:rPr>
          <w:rFonts w:ascii="Arial" w:cs="Arial" w:eastAsia="Arial" w:hAnsi="Arial"/>
          <w:sz w:val="16"/>
          <w:szCs w:val="16"/>
          <w:color w:val="auto"/>
        </w:rPr>
        <w:t>Equity compensation plans approved by security holders</w:t>
      </w:r>
    </w:p>
    <w:p>
      <w:pPr>
        <w:spacing w:after="0" w:line="1" w:lineRule="exact"/>
        <w:rPr>
          <w:sz w:val="20"/>
          <w:szCs w:val="20"/>
          <w:color w:val="auto"/>
        </w:rPr>
      </w:pPr>
    </w:p>
    <w:p>
      <w:pPr>
        <w:ind w:left="160"/>
        <w:spacing w:after="0"/>
        <w:rPr>
          <w:sz w:val="20"/>
          <w:szCs w:val="20"/>
          <w:color w:val="auto"/>
        </w:rPr>
      </w:pPr>
      <w:r>
        <w:rPr>
          <w:rFonts w:ascii="Arial" w:cs="Arial" w:eastAsia="Arial" w:hAnsi="Arial"/>
          <w:sz w:val="16"/>
          <w:szCs w:val="16"/>
          <w:color w:val="auto"/>
        </w:rPr>
        <w:t>Equity compensation plans not</w:t>
      </w:r>
    </w:p>
    <w:p>
      <w:pPr>
        <w:spacing w:after="0" w:line="27" w:lineRule="exact"/>
        <w:rPr>
          <w:sz w:val="20"/>
          <w:szCs w:val="20"/>
          <w:color w:val="auto"/>
        </w:rPr>
      </w:pPr>
    </w:p>
    <w:p>
      <w:pPr>
        <w:ind w:left="200"/>
        <w:spacing w:after="0"/>
        <w:rPr>
          <w:sz w:val="20"/>
          <w:szCs w:val="20"/>
          <w:color w:val="auto"/>
        </w:rPr>
      </w:pPr>
      <w:r>
        <w:rPr>
          <w:rFonts w:ascii="Arial" w:cs="Arial" w:eastAsia="Arial" w:hAnsi="Arial"/>
          <w:sz w:val="16"/>
          <w:szCs w:val="16"/>
          <w:color w:val="auto"/>
        </w:rPr>
        <w:t>approved by security holders</w:t>
      </w:r>
    </w:p>
    <w:p>
      <w:pPr>
        <w:spacing w:after="0" w:line="45" w:lineRule="exact"/>
        <w:rPr>
          <w:sz w:val="20"/>
          <w:szCs w:val="20"/>
          <w:color w:val="auto"/>
        </w:rPr>
      </w:pPr>
    </w:p>
    <w:p>
      <w:pPr>
        <w:ind w:left="160"/>
        <w:spacing w:after="0"/>
        <w:rPr>
          <w:sz w:val="20"/>
          <w:szCs w:val="20"/>
          <w:color w:val="auto"/>
        </w:rPr>
      </w:pPr>
      <w:r>
        <w:rPr>
          <w:rFonts w:ascii="Arial" w:cs="Arial" w:eastAsia="Arial" w:hAnsi="Arial"/>
          <w:sz w:val="16"/>
          <w:szCs w:val="16"/>
          <w:color w:val="auto"/>
        </w:rPr>
        <w:t>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171450</wp:posOffset>
            </wp:positionV>
            <wp:extent cx="1991360" cy="825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199136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2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372"/>
        </w:trPr>
        <w:tc>
          <w:tcPr>
            <w:tcW w:w="1540" w:type="dxa"/>
            <w:vAlign w:val="bottom"/>
          </w:tcPr>
          <w:p>
            <w:pPr>
              <w:jc w:val="center"/>
              <w:ind w:right="680"/>
              <w:spacing w:after="0"/>
              <w:rPr>
                <w:sz w:val="20"/>
                <w:szCs w:val="20"/>
                <w:color w:val="auto"/>
              </w:rPr>
            </w:pPr>
            <w:r>
              <w:rPr>
                <w:rFonts w:ascii="Arial" w:cs="Arial" w:eastAsia="Arial" w:hAnsi="Arial"/>
                <w:sz w:val="16"/>
                <w:szCs w:val="16"/>
                <w:color w:val="auto"/>
                <w:w w:val="96"/>
              </w:rPr>
              <w:t>3,931,550</w:t>
            </w:r>
            <w:r>
              <w:rPr>
                <w:rFonts w:ascii="Arial" w:cs="Arial" w:eastAsia="Arial" w:hAnsi="Arial"/>
                <w:sz w:val="27"/>
                <w:szCs w:val="27"/>
                <w:color w:val="auto"/>
                <w:w w:val="96"/>
                <w:vertAlign w:val="superscript"/>
              </w:rPr>
              <w:t>1</w:t>
            </w:r>
          </w:p>
        </w:tc>
        <w:tc>
          <w:tcPr>
            <w:tcW w:w="2120" w:type="dxa"/>
            <w:vAlign w:val="bottom"/>
          </w:tcPr>
          <w:p>
            <w:pPr>
              <w:jc w:val="center"/>
              <w:ind w:right="40"/>
              <w:spacing w:after="0"/>
              <w:rPr>
                <w:sz w:val="20"/>
                <w:szCs w:val="20"/>
                <w:color w:val="auto"/>
              </w:rPr>
            </w:pPr>
            <w:r>
              <w:rPr>
                <w:rFonts w:ascii="Arial" w:cs="Arial" w:eastAsia="Arial" w:hAnsi="Arial"/>
                <w:sz w:val="16"/>
                <w:szCs w:val="16"/>
                <w:color w:val="auto"/>
                <w:w w:val="98"/>
              </w:rPr>
              <w:t>$83.69</w:t>
            </w:r>
          </w:p>
        </w:tc>
        <w:tc>
          <w:tcPr>
            <w:tcW w:w="1660" w:type="dxa"/>
            <w:vAlign w:val="bottom"/>
          </w:tcPr>
          <w:p>
            <w:pPr>
              <w:jc w:val="center"/>
              <w:ind w:left="780"/>
              <w:spacing w:after="0"/>
              <w:rPr>
                <w:sz w:val="20"/>
                <w:szCs w:val="20"/>
                <w:color w:val="auto"/>
              </w:rPr>
            </w:pPr>
            <w:r>
              <w:rPr>
                <w:rFonts w:ascii="Arial" w:cs="Arial" w:eastAsia="Arial" w:hAnsi="Arial"/>
                <w:sz w:val="16"/>
                <w:szCs w:val="16"/>
                <w:color w:val="auto"/>
                <w:w w:val="98"/>
              </w:rPr>
              <w:t>2,399,205</w:t>
            </w:r>
            <w:r>
              <w:rPr>
                <w:rFonts w:ascii="Arial" w:cs="Arial" w:eastAsia="Arial" w:hAnsi="Arial"/>
                <w:sz w:val="27"/>
                <w:szCs w:val="27"/>
                <w:color w:val="auto"/>
                <w:w w:val="98"/>
                <w:vertAlign w:val="superscript"/>
              </w:rPr>
              <w:t>3</w:t>
            </w:r>
          </w:p>
        </w:tc>
      </w:tr>
      <w:tr>
        <w:trPr>
          <w:trHeight w:val="349"/>
        </w:trPr>
        <w:tc>
          <w:tcPr>
            <w:tcW w:w="1540" w:type="dxa"/>
            <w:vAlign w:val="bottom"/>
          </w:tcPr>
          <w:p>
            <w:pPr>
              <w:jc w:val="center"/>
              <w:ind w:right="680"/>
              <w:spacing w:after="0"/>
              <w:rPr>
                <w:sz w:val="20"/>
                <w:szCs w:val="20"/>
                <w:color w:val="auto"/>
              </w:rPr>
            </w:pPr>
            <w:r>
              <w:rPr>
                <w:rFonts w:ascii="Arial" w:cs="Arial" w:eastAsia="Arial" w:hAnsi="Arial"/>
                <w:sz w:val="16"/>
                <w:szCs w:val="16"/>
                <w:color w:val="auto"/>
                <w:w w:val="97"/>
              </w:rPr>
              <w:t>N/A</w:t>
            </w:r>
          </w:p>
        </w:tc>
        <w:tc>
          <w:tcPr>
            <w:tcW w:w="2120" w:type="dxa"/>
            <w:vAlign w:val="bottom"/>
          </w:tcPr>
          <w:p>
            <w:pPr>
              <w:jc w:val="center"/>
              <w:ind w:right="40"/>
              <w:spacing w:after="0"/>
              <w:rPr>
                <w:sz w:val="20"/>
                <w:szCs w:val="20"/>
                <w:color w:val="auto"/>
              </w:rPr>
            </w:pPr>
            <w:r>
              <w:rPr>
                <w:rFonts w:ascii="Arial" w:cs="Arial" w:eastAsia="Arial" w:hAnsi="Arial"/>
                <w:sz w:val="16"/>
                <w:szCs w:val="16"/>
                <w:color w:val="auto"/>
              </w:rPr>
              <w:t>N/A</w:t>
            </w:r>
          </w:p>
        </w:tc>
        <w:tc>
          <w:tcPr>
            <w:tcW w:w="1660" w:type="dxa"/>
            <w:vAlign w:val="bottom"/>
          </w:tcPr>
          <w:p>
            <w:pPr>
              <w:jc w:val="center"/>
              <w:ind w:left="780"/>
              <w:spacing w:after="0"/>
              <w:rPr>
                <w:sz w:val="20"/>
                <w:szCs w:val="20"/>
                <w:color w:val="auto"/>
              </w:rPr>
            </w:pPr>
            <w:r>
              <w:rPr>
                <w:rFonts w:ascii="Arial" w:cs="Arial" w:eastAsia="Arial" w:hAnsi="Arial"/>
                <w:sz w:val="16"/>
                <w:szCs w:val="16"/>
                <w:color w:val="auto"/>
              </w:rPr>
              <w:t>N/A</w:t>
            </w:r>
          </w:p>
        </w:tc>
      </w:tr>
      <w:tr>
        <w:trPr>
          <w:trHeight w:val="385"/>
        </w:trPr>
        <w:tc>
          <w:tcPr>
            <w:tcW w:w="1540" w:type="dxa"/>
            <w:vAlign w:val="bottom"/>
          </w:tcPr>
          <w:p>
            <w:pPr>
              <w:jc w:val="center"/>
              <w:ind w:right="680"/>
              <w:spacing w:after="0"/>
              <w:rPr>
                <w:sz w:val="20"/>
                <w:szCs w:val="20"/>
                <w:color w:val="auto"/>
              </w:rPr>
            </w:pPr>
            <w:r>
              <w:rPr>
                <w:rFonts w:ascii="Arial" w:cs="Arial" w:eastAsia="Arial" w:hAnsi="Arial"/>
                <w:sz w:val="16"/>
                <w:szCs w:val="16"/>
                <w:color w:val="auto"/>
                <w:w w:val="96"/>
              </w:rPr>
              <w:t>3,931,550</w:t>
            </w:r>
            <w:r>
              <w:rPr>
                <w:rFonts w:ascii="Arial" w:cs="Arial" w:eastAsia="Arial" w:hAnsi="Arial"/>
                <w:sz w:val="27"/>
                <w:szCs w:val="27"/>
                <w:color w:val="auto"/>
                <w:w w:val="96"/>
                <w:vertAlign w:val="superscript"/>
              </w:rPr>
              <w:t>1</w:t>
            </w:r>
          </w:p>
        </w:tc>
        <w:tc>
          <w:tcPr>
            <w:tcW w:w="2120" w:type="dxa"/>
            <w:vAlign w:val="bottom"/>
          </w:tcPr>
          <w:p>
            <w:pPr>
              <w:jc w:val="center"/>
              <w:ind w:right="40"/>
              <w:spacing w:after="0"/>
              <w:rPr>
                <w:sz w:val="20"/>
                <w:szCs w:val="20"/>
                <w:color w:val="auto"/>
              </w:rPr>
            </w:pPr>
            <w:r>
              <w:rPr>
                <w:rFonts w:ascii="Arial" w:cs="Arial" w:eastAsia="Arial" w:hAnsi="Arial"/>
                <w:sz w:val="16"/>
                <w:szCs w:val="16"/>
                <w:color w:val="auto"/>
                <w:w w:val="98"/>
              </w:rPr>
              <w:t>$83.69</w:t>
            </w:r>
          </w:p>
        </w:tc>
        <w:tc>
          <w:tcPr>
            <w:tcW w:w="1660" w:type="dxa"/>
            <w:vAlign w:val="bottom"/>
          </w:tcPr>
          <w:p>
            <w:pPr>
              <w:jc w:val="center"/>
              <w:ind w:left="780"/>
              <w:spacing w:after="0"/>
              <w:rPr>
                <w:sz w:val="20"/>
                <w:szCs w:val="20"/>
                <w:color w:val="auto"/>
              </w:rPr>
            </w:pPr>
            <w:r>
              <w:rPr>
                <w:rFonts w:ascii="Arial" w:cs="Arial" w:eastAsia="Arial" w:hAnsi="Arial"/>
                <w:sz w:val="16"/>
                <w:szCs w:val="16"/>
                <w:color w:val="auto"/>
                <w:w w:val="98"/>
              </w:rPr>
              <w:t>2,399,205</w:t>
            </w:r>
            <w:r>
              <w:rPr>
                <w:rFonts w:ascii="Arial" w:cs="Arial" w:eastAsia="Arial" w:hAnsi="Arial"/>
                <w:sz w:val="27"/>
                <w:szCs w:val="27"/>
                <w:color w:val="auto"/>
                <w:w w:val="98"/>
                <w:vertAlign w:val="superscript"/>
              </w:rPr>
              <w:t>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-3000375</wp:posOffset>
            </wp:positionH>
            <wp:positionV relativeFrom="paragraph">
              <wp:posOffset>-511175</wp:posOffset>
            </wp:positionV>
            <wp:extent cx="6955790" cy="28829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6955790" cy="2882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4160" w:space="720"/>
            <w:col w:w="6360"/>
          </w:cols>
          <w:pgMar w:left="320" w:top="1152" w:right="339" w:bottom="1440" w:gutter="0" w:footer="0" w:header="0"/>
          <w:type w:val="continuous"/>
        </w:sectPr>
      </w:pPr>
    </w:p>
    <w:p>
      <w:pPr>
        <w:spacing w:after="0" w:line="18" w:lineRule="exact"/>
        <w:rPr>
          <w:sz w:val="20"/>
          <w:szCs w:val="20"/>
          <w:color w:val="auto"/>
        </w:rPr>
      </w:pPr>
    </w:p>
    <w:p>
      <w:pPr>
        <w:jc w:val="both"/>
        <w:ind w:left="320" w:hanging="313"/>
        <w:spacing w:after="0" w:line="233" w:lineRule="auto"/>
        <w:tabs>
          <w:tab w:leader="none" w:pos="308" w:val="left"/>
        </w:tabs>
        <w:numPr>
          <w:ilvl w:val="0"/>
          <w:numId w:val="93"/>
        </w:numPr>
        <w:rPr>
          <w:rFonts w:ascii="Arial" w:cs="Arial" w:eastAsia="Arial" w:hAnsi="Arial"/>
          <w:sz w:val="18"/>
          <w:szCs w:val="18"/>
          <w:color w:val="auto"/>
        </w:rPr>
      </w:pPr>
      <w:r>
        <w:rPr>
          <w:rFonts w:ascii="Arial" w:cs="Arial" w:eastAsia="Arial" w:hAnsi="Arial"/>
          <w:sz w:val="18"/>
          <w:szCs w:val="18"/>
          <w:color w:val="auto"/>
        </w:rPr>
        <w:t>Amount includes: 2,295,709 outstanding stock options under the 2010 Plan; 824,657 outstanding stock options under the 2022 Plan; 13,955 outstanding restricted stock unit awards under the 2010 Plan, including share dividend equivalents that have been issued on such outstanding restricted stock units; 177,213 outstanding restricted stock unit awards under the 2022 Plan, including share dividend equivalents that have been issued on such outstanding restricted stock units; 107,944 outstanding performance share awards under the 2010 Plan, assuming a maximum level of achievement; and 305,400 outstanding performance share awards under the 2022 Plan, assuming a maximum level of achievement. The actual number of shares that will be issued under the performance share awards is determined by the level of achievement of performance goals.</w:t>
      </w:r>
    </w:p>
    <w:p>
      <w:pPr>
        <w:spacing w:after="0" w:line="21" w:lineRule="exact"/>
        <w:rPr>
          <w:rFonts w:ascii="Arial" w:cs="Arial" w:eastAsia="Arial" w:hAnsi="Arial"/>
          <w:sz w:val="18"/>
          <w:szCs w:val="18"/>
          <w:color w:val="auto"/>
        </w:rPr>
      </w:pPr>
    </w:p>
    <w:p>
      <w:pPr>
        <w:ind w:left="320" w:hanging="313"/>
        <w:spacing w:after="0" w:line="255" w:lineRule="auto"/>
        <w:tabs>
          <w:tab w:leader="none" w:pos="308" w:val="left"/>
        </w:tabs>
        <w:numPr>
          <w:ilvl w:val="0"/>
          <w:numId w:val="93"/>
        </w:numPr>
        <w:rPr>
          <w:rFonts w:ascii="Arial" w:cs="Arial" w:eastAsia="Arial" w:hAnsi="Arial"/>
          <w:sz w:val="18"/>
          <w:szCs w:val="18"/>
          <w:color w:val="auto"/>
        </w:rPr>
      </w:pPr>
      <w:r>
        <w:rPr>
          <w:rFonts w:ascii="Arial" w:cs="Arial" w:eastAsia="Arial" w:hAnsi="Arial"/>
          <w:sz w:val="18"/>
          <w:szCs w:val="18"/>
          <w:color w:val="auto"/>
        </w:rPr>
        <w:t>Performance share awards and restricted stock units do not have exercise prices and, therefore, have been excluded from the weighted-average exercise price calculation in column (b).</w:t>
      </w:r>
    </w:p>
    <w:p>
      <w:pPr>
        <w:ind w:left="320" w:hanging="313"/>
        <w:spacing w:after="0" w:line="262" w:lineRule="auto"/>
        <w:tabs>
          <w:tab w:leader="none" w:pos="308" w:val="left"/>
        </w:tabs>
        <w:numPr>
          <w:ilvl w:val="0"/>
          <w:numId w:val="93"/>
        </w:numPr>
        <w:rPr>
          <w:rFonts w:ascii="Arial" w:cs="Arial" w:eastAsia="Arial" w:hAnsi="Arial"/>
          <w:sz w:val="18"/>
          <w:szCs w:val="18"/>
          <w:color w:val="auto"/>
        </w:rPr>
      </w:pPr>
      <w:r>
        <w:rPr>
          <w:rFonts w:ascii="Arial" w:cs="Arial" w:eastAsia="Arial" w:hAnsi="Arial"/>
          <w:sz w:val="18"/>
          <w:szCs w:val="18"/>
          <w:color w:val="auto"/>
        </w:rPr>
        <w:t>Amount represents shares available for future issuance upon awards that may be granted under the 2022 Plan, including 51,765 shares underlying forfeited or terminated awards (without payment of consideration) under the 2010 Plan during Fiscal 2024.</w:t>
      </w:r>
    </w:p>
    <w:p>
      <w:pPr>
        <w:spacing w:after="0" w:line="244"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FFFFFF"/>
        </w:rPr>
        <w:t>OTHER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-151765</wp:posOffset>
            </wp:positionV>
            <wp:extent cx="6998335" cy="18669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6998335" cy="186690"/>
                    </a:xfrm>
                    <a:prstGeom prst="rect">
                      <a:avLst/>
                    </a:prstGeom>
                    <a:noFill/>
                  </pic:spPr>
                </pic:pic>
              </a:graphicData>
            </a:graphic>
          </wp:anchor>
        </w:drawing>
      </w:r>
    </w:p>
    <w:p>
      <w:pPr>
        <w:spacing w:after="0" w:line="304" w:lineRule="exact"/>
        <w:rPr>
          <w:sz w:val="20"/>
          <w:szCs w:val="20"/>
          <w:color w:val="auto"/>
        </w:rPr>
      </w:pPr>
    </w:p>
    <w:p>
      <w:pPr>
        <w:spacing w:after="0"/>
        <w:rPr>
          <w:sz w:val="20"/>
          <w:szCs w:val="20"/>
          <w:color w:val="auto"/>
        </w:rPr>
      </w:pPr>
      <w:r>
        <w:rPr>
          <w:rFonts w:ascii="Arial" w:cs="Arial" w:eastAsia="Arial" w:hAnsi="Arial"/>
          <w:sz w:val="20"/>
          <w:szCs w:val="20"/>
          <w:b w:val="1"/>
          <w:bCs w:val="1"/>
          <w:color w:val="C00000"/>
        </w:rPr>
        <w:t>Shareholder Proposals and Director Nominations for the 2026 Annual Meeting</w:t>
      </w:r>
    </w:p>
    <w:p>
      <w:pPr>
        <w:spacing w:after="0" w:line="84" w:lineRule="exact"/>
        <w:rPr>
          <w:sz w:val="20"/>
          <w:szCs w:val="20"/>
          <w:color w:val="auto"/>
        </w:rPr>
      </w:pPr>
    </w:p>
    <w:p>
      <w:pPr>
        <w:ind w:firstLine="320"/>
        <w:spacing w:after="0" w:line="255" w:lineRule="auto"/>
        <w:rPr>
          <w:sz w:val="20"/>
          <w:szCs w:val="20"/>
          <w:color w:val="auto"/>
        </w:rPr>
      </w:pPr>
      <w:r>
        <w:rPr>
          <w:rFonts w:ascii="Arial" w:cs="Arial" w:eastAsia="Arial" w:hAnsi="Arial"/>
          <w:sz w:val="17"/>
          <w:szCs w:val="17"/>
          <w:color w:val="auto"/>
        </w:rPr>
        <w:t>The 2026 Annual Meeting of Shareholders is expected to be held on March 17, 2026. In order for a shareholder proposal to be included in our proxy statement for the 2026 Annual Meeting: (i) our Secretary must receive such proposal no later than the close of business on October</w:t>
      </w:r>
    </w:p>
    <w:p>
      <w:pPr>
        <w:spacing w:after="0" w:line="1" w:lineRule="exact"/>
        <w:rPr>
          <w:sz w:val="20"/>
          <w:szCs w:val="20"/>
          <w:color w:val="auto"/>
        </w:rPr>
      </w:pPr>
    </w:p>
    <w:p>
      <w:pPr>
        <w:spacing w:after="0" w:line="224" w:lineRule="auto"/>
        <w:rPr>
          <w:sz w:val="20"/>
          <w:szCs w:val="20"/>
          <w:color w:val="auto"/>
        </w:rPr>
      </w:pPr>
      <w:r>
        <w:rPr>
          <w:rFonts w:ascii="Arial" w:cs="Arial" w:eastAsia="Arial" w:hAnsi="Arial"/>
          <w:sz w:val="18"/>
          <w:szCs w:val="18"/>
          <w:color w:val="auto"/>
        </w:rPr>
        <w:t>7, 2025, unless the date of the 2026 Annual Meeting is delayed by more than 30 calendar days; and (ii) such proposal must satisfy all of the requirements of, and not otherwise be permitted to be excluded under, Rule 14a-8 promulgated by the SEC and our Amended and Restated</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Bylaws.</w:t>
      </w:r>
    </w:p>
    <w:p>
      <w:pPr>
        <w:spacing w:after="0" w:line="84" w:lineRule="exact"/>
        <w:rPr>
          <w:sz w:val="20"/>
          <w:szCs w:val="20"/>
          <w:color w:val="auto"/>
        </w:rPr>
      </w:pPr>
    </w:p>
    <w:p>
      <w:pPr>
        <w:ind w:firstLine="320"/>
        <w:spacing w:after="0" w:line="247" w:lineRule="auto"/>
        <w:rPr>
          <w:sz w:val="20"/>
          <w:szCs w:val="20"/>
          <w:color w:val="auto"/>
        </w:rPr>
      </w:pPr>
      <w:r>
        <w:rPr>
          <w:rFonts w:ascii="Arial" w:cs="Arial" w:eastAsia="Arial" w:hAnsi="Arial"/>
          <w:sz w:val="17"/>
          <w:szCs w:val="17"/>
          <w:color w:val="auto"/>
        </w:rPr>
        <w:t>Under our current Amended and Restated Bylaws, in order for a shareholder to nominate one or more persons for election to the Board at the 2026 Annual Meeting of Shareholders or propose any other business to be brought before the 2026 Annual Meeting, complete and timely</w:t>
      </w:r>
    </w:p>
    <w:p>
      <w:pPr>
        <w:spacing w:after="0" w:line="232" w:lineRule="auto"/>
        <w:rPr>
          <w:sz w:val="20"/>
          <w:szCs w:val="20"/>
          <w:color w:val="auto"/>
        </w:rPr>
      </w:pPr>
      <w:r>
        <w:rPr>
          <w:rFonts w:ascii="Arial" w:cs="Arial" w:eastAsia="Arial" w:hAnsi="Arial"/>
          <w:sz w:val="18"/>
          <w:szCs w:val="18"/>
          <w:color w:val="auto"/>
        </w:rPr>
        <w:t>notice must be given in writing and in proper form to our Secretary not later than December 18, 2025, nor earlier than November 18, 2025.</w:t>
      </w:r>
    </w:p>
    <w:p>
      <w:pPr>
        <w:spacing w:after="0" w:line="1" w:lineRule="exact"/>
        <w:rPr>
          <w:sz w:val="20"/>
          <w:szCs w:val="20"/>
          <w:color w:val="auto"/>
        </w:rPr>
      </w:pPr>
    </w:p>
    <w:p>
      <w:pPr>
        <w:spacing w:after="0" w:line="237" w:lineRule="auto"/>
        <w:rPr>
          <w:sz w:val="20"/>
          <w:szCs w:val="20"/>
          <w:color w:val="auto"/>
        </w:rPr>
      </w:pPr>
      <w:r>
        <w:rPr>
          <w:rFonts w:ascii="Arial" w:cs="Arial" w:eastAsia="Arial" w:hAnsi="Arial"/>
          <w:sz w:val="17"/>
          <w:szCs w:val="17"/>
          <w:color w:val="auto"/>
        </w:rPr>
        <w:t>However, if the date of the 2026 Annual Meeting is advanced by more than 30 days or delayed by more than 60 days from the first anniversary date of the 2025 Annual Meeting of Shareholders, such notice must be delivered not earlier than the 120th day prior to the date of the</w:t>
      </w:r>
    </w:p>
    <w:p>
      <w:pPr>
        <w:spacing w:after="0" w:line="233" w:lineRule="auto"/>
        <w:rPr>
          <w:sz w:val="20"/>
          <w:szCs w:val="20"/>
          <w:color w:val="auto"/>
        </w:rPr>
      </w:pPr>
      <w:r>
        <w:rPr>
          <w:rFonts w:ascii="Arial" w:cs="Arial" w:eastAsia="Arial" w:hAnsi="Arial"/>
          <w:sz w:val="18"/>
          <w:szCs w:val="18"/>
          <w:color w:val="auto"/>
        </w:rPr>
        <w:t>rescheduled 2026 Annual Meeting and not later than the close of business on the later of the 90th day prior to the date of the rescheduled</w:t>
      </w:r>
    </w:p>
    <w:p>
      <w:pPr>
        <w:spacing w:after="0" w:line="224" w:lineRule="auto"/>
        <w:rPr>
          <w:sz w:val="20"/>
          <w:szCs w:val="20"/>
          <w:color w:val="auto"/>
        </w:rPr>
      </w:pPr>
      <w:r>
        <w:rPr>
          <w:rFonts w:ascii="Arial" w:cs="Arial" w:eastAsia="Arial" w:hAnsi="Arial"/>
          <w:sz w:val="18"/>
          <w:szCs w:val="18"/>
          <w:color w:val="auto"/>
        </w:rPr>
        <w:t>2026 Annual Meeting or the 10th day following the day on which we first make a public announcement of the date of the rescheduled 2026 Annual Meeting. Any notice must contain the specific information required by our Amended and Restated Bylaws, including, among other</w:t>
      </w:r>
    </w:p>
    <w:p>
      <w:pPr>
        <w:spacing w:after="0" w:line="1" w:lineRule="exact"/>
        <w:rPr>
          <w:sz w:val="20"/>
          <w:szCs w:val="20"/>
          <w:color w:val="auto"/>
        </w:rPr>
      </w:pPr>
    </w:p>
    <w:p>
      <w:pPr>
        <w:spacing w:after="0" w:line="237" w:lineRule="auto"/>
        <w:rPr>
          <w:sz w:val="20"/>
          <w:szCs w:val="20"/>
          <w:color w:val="auto"/>
        </w:rPr>
      </w:pPr>
      <w:r>
        <w:rPr>
          <w:rFonts w:ascii="Arial" w:cs="Arial" w:eastAsia="Arial" w:hAnsi="Arial"/>
          <w:sz w:val="17"/>
          <w:szCs w:val="17"/>
          <w:color w:val="auto"/>
        </w:rPr>
        <w:t>things, information about: any proposed nominee and his or her relationships with the shareholder submitting the nomination; any agreements, arrangements or understandings the shareholder may have with any proposed nominee or other parties relating to the nomination or other</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proposal; and the interests that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79375</wp:posOffset>
            </wp:positionV>
            <wp:extent cx="7159625" cy="4254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152" w:right="339" w:bottom="1440" w:gutter="0" w:footer="0" w:header="0"/>
          <w:type w:val="continuous"/>
        </w:sectPr>
      </w:pPr>
    </w:p>
    <w:bookmarkStart w:id="85" w:name="page86"/>
    <w:bookmarkEnd w:id="85"/>
    <w:p>
      <w:pPr>
        <w:spacing w:after="0"/>
        <w:rPr>
          <w:sz w:val="20"/>
          <w:szCs w:val="20"/>
          <w:color w:val="auto"/>
        </w:rPr>
      </w:pPr>
      <w:r>
        <w:rPr>
          <w:rFonts w:ascii="Arial" w:cs="Arial" w:eastAsia="Arial" w:hAnsi="Arial"/>
          <w:sz w:val="17"/>
          <w:szCs w:val="17"/>
          <w:color w:val="auto"/>
        </w:rPr>
        <w:t>shareholder has related to our Company and its shares, including as a result of, among other things, derivative securities, voting arrangements</w:t>
      </w:r>
    </w:p>
    <w:p>
      <w:pPr>
        <w:spacing w:after="0" w:line="21" w:lineRule="exact"/>
        <w:rPr>
          <w:sz w:val="20"/>
          <w:szCs w:val="20"/>
          <w:color w:val="auto"/>
        </w:rPr>
      </w:pPr>
    </w:p>
    <w:p>
      <w:pPr>
        <w:spacing w:after="0" w:line="237" w:lineRule="auto"/>
        <w:rPr>
          <w:sz w:val="20"/>
          <w:szCs w:val="20"/>
          <w:color w:val="auto"/>
        </w:rPr>
      </w:pPr>
      <w:r>
        <w:rPr>
          <w:rFonts w:ascii="Arial" w:cs="Arial" w:eastAsia="Arial" w:hAnsi="Arial"/>
          <w:sz w:val="17"/>
          <w:szCs w:val="17"/>
          <w:color w:val="auto"/>
        </w:rPr>
        <w:t>or short positions. Such information must be updated as of the record date for the 2026 Annual Meeting and as of the date that is 10 business days prior to the date of the 2026 Annual Meeting. This summary information regarding our Amended and Restated Bylaws is qualified in its</w:t>
      </w:r>
    </w:p>
    <w:p>
      <w:pPr>
        <w:spacing w:after="0" w:line="233" w:lineRule="auto"/>
        <w:tabs>
          <w:tab w:leader="none" w:pos="740" w:val="left"/>
          <w:tab w:leader="none" w:pos="1100" w:val="left"/>
          <w:tab w:leader="none" w:pos="2020" w:val="left"/>
          <w:tab w:leader="none" w:pos="2340" w:val="left"/>
          <w:tab w:leader="none" w:pos="2760" w:val="left"/>
          <w:tab w:leader="none" w:pos="3160" w:val="left"/>
          <w:tab w:leader="none" w:pos="3620" w:val="left"/>
          <w:tab w:leader="none" w:pos="3940" w:val="left"/>
          <w:tab w:leader="none" w:pos="4360" w:val="left"/>
          <w:tab w:leader="none" w:pos="5300" w:val="left"/>
          <w:tab w:leader="none" w:pos="5760" w:val="left"/>
          <w:tab w:leader="none" w:pos="6640" w:val="left"/>
          <w:tab w:leader="none" w:pos="7420" w:val="left"/>
          <w:tab w:leader="none" w:pos="8060" w:val="left"/>
          <w:tab w:leader="none" w:pos="8520" w:val="left"/>
          <w:tab w:leader="none" w:pos="8880" w:val="left"/>
          <w:tab w:leader="none" w:pos="9500" w:val="left"/>
          <w:tab w:leader="none" w:pos="9860" w:val="left"/>
          <w:tab w:leader="none" w:pos="10300" w:val="left"/>
          <w:tab w:leader="none" w:pos="11060" w:val="left"/>
        </w:tabs>
        <w:rPr>
          <w:sz w:val="20"/>
          <w:szCs w:val="20"/>
          <w:color w:val="auto"/>
        </w:rPr>
      </w:pPr>
      <w:r>
        <w:rPr>
          <w:rFonts w:ascii="Arial" w:cs="Arial" w:eastAsia="Arial" w:hAnsi="Arial"/>
          <w:sz w:val="18"/>
          <w:szCs w:val="18"/>
          <w:color w:val="auto"/>
        </w:rPr>
        <w:t>entirety</w:t>
        <w:tab/>
        <w:t>by</w:t>
        <w:tab/>
        <w:t>reference</w:t>
        <w:tab/>
        <w:t>to</w:t>
        <w:tab/>
        <w:t>the</w:t>
        <w:tab/>
        <w:t>full</w:t>
        <w:tab/>
        <w:t>text</w:t>
        <w:tab/>
        <w:t>of</w:t>
        <w:tab/>
        <w:t>the</w:t>
        <w:tab/>
        <w:t>Amended</w:t>
        <w:tab/>
        <w:t>and</w:t>
        <w:tab/>
        <w:t>Restated</w:t>
        <w:tab/>
        <w:t>Bylaws,</w:t>
        <w:tab/>
        <w:t>which</w:t>
        <w:tab/>
        <w:t>can</w:t>
        <w:tab/>
        <w:t>be</w:t>
        <w:tab/>
        <w:t>found</w:t>
        <w:tab/>
        <w:t>on</w:t>
        <w:tab/>
        <w:t>our</w:t>
        <w:tab/>
        <w:t>website</w:t>
        <w:tab/>
        <w:t>at</w:t>
      </w:r>
    </w:p>
    <w:p>
      <w:pPr>
        <w:spacing w:after="0" w:line="224" w:lineRule="auto"/>
        <w:rPr>
          <w:sz w:val="20"/>
          <w:szCs w:val="20"/>
          <w:color w:val="auto"/>
        </w:rPr>
      </w:pPr>
      <w:r>
        <w:rPr>
          <w:rFonts w:ascii="Arial" w:cs="Arial" w:eastAsia="Arial" w:hAnsi="Arial"/>
          <w:sz w:val="18"/>
          <w:szCs w:val="18"/>
          <w:color w:val="auto"/>
        </w:rPr>
        <w:t>www.thetorocompany.com/corporategovernance. If a nomination or proposal is not timely and properly made in accordance with the procedures set forth in our Amended and Restated Bylaws, or does not contain the specific information required by our Amended and</w:t>
      </w:r>
    </w:p>
    <w:p>
      <w:pPr>
        <w:spacing w:after="0" w:line="232" w:lineRule="auto"/>
        <w:rPr>
          <w:sz w:val="20"/>
          <w:szCs w:val="20"/>
          <w:color w:val="auto"/>
        </w:rPr>
      </w:pPr>
      <w:r>
        <w:rPr>
          <w:rFonts w:ascii="Arial" w:cs="Arial" w:eastAsia="Arial" w:hAnsi="Arial"/>
          <w:sz w:val="18"/>
          <w:szCs w:val="18"/>
          <w:color w:val="auto"/>
        </w:rPr>
        <w:t>Restated Bylaws, such nomination or proposal will be defective and will not be brought before the 2026 Annual Meeting. If a nomination or</w:t>
      </w:r>
    </w:p>
    <w:p>
      <w:pPr>
        <w:spacing w:after="0" w:line="1" w:lineRule="exact"/>
        <w:rPr>
          <w:sz w:val="20"/>
          <w:szCs w:val="20"/>
          <w:color w:val="auto"/>
        </w:rPr>
      </w:pPr>
    </w:p>
    <w:p>
      <w:pPr>
        <w:spacing w:after="0" w:line="224" w:lineRule="auto"/>
        <w:rPr>
          <w:sz w:val="20"/>
          <w:szCs w:val="20"/>
          <w:color w:val="auto"/>
        </w:rPr>
      </w:pPr>
      <w:r>
        <w:rPr>
          <w:rFonts w:ascii="Arial" w:cs="Arial" w:eastAsia="Arial" w:hAnsi="Arial"/>
          <w:sz w:val="18"/>
          <w:szCs w:val="18"/>
          <w:color w:val="auto"/>
        </w:rPr>
        <w:t>proposal is nonetheless brought before the 2026 Annual Meeting and the Chairman does not exercise the power and duty to declare the nomination or proposal defective, the persons named in the proxy may use their discretionary voting with respect to such nomination or</w:t>
      </w:r>
    </w:p>
    <w:p>
      <w:pPr>
        <w:spacing w:after="0" w:line="232" w:lineRule="auto"/>
        <w:rPr>
          <w:sz w:val="20"/>
          <w:szCs w:val="20"/>
          <w:color w:val="auto"/>
        </w:rPr>
      </w:pPr>
      <w:r>
        <w:rPr>
          <w:rFonts w:ascii="Arial" w:cs="Arial" w:eastAsia="Arial" w:hAnsi="Arial"/>
          <w:sz w:val="18"/>
          <w:szCs w:val="18"/>
          <w:color w:val="auto"/>
        </w:rPr>
        <w:t>proposal. In addition, to comply with the universal proxy rules, shareholders who intend to solicit proxies in support of director nominees other</w:t>
      </w:r>
    </w:p>
    <w:p>
      <w:pPr>
        <w:spacing w:after="0" w:line="1" w:lineRule="exact"/>
        <w:rPr>
          <w:sz w:val="20"/>
          <w:szCs w:val="20"/>
          <w:color w:val="auto"/>
        </w:rPr>
      </w:pPr>
    </w:p>
    <w:p>
      <w:pPr>
        <w:spacing w:after="0" w:line="224" w:lineRule="auto"/>
        <w:rPr>
          <w:sz w:val="20"/>
          <w:szCs w:val="20"/>
          <w:color w:val="auto"/>
        </w:rPr>
      </w:pPr>
      <w:r>
        <w:rPr>
          <w:rFonts w:ascii="Arial" w:cs="Arial" w:eastAsia="Arial" w:hAnsi="Arial"/>
          <w:sz w:val="18"/>
          <w:szCs w:val="18"/>
          <w:color w:val="auto"/>
        </w:rPr>
        <w:t>than the nominees of our Board of Directors must also comply with the additional requirements of Rule 14a-19 under the Exchange Act, including providing a statement that such shareholder intends to solicit the holders of shares representing at least 67% of the voting power of</w:t>
      </w:r>
    </w:p>
    <w:p>
      <w:pPr>
        <w:spacing w:after="0" w:line="1" w:lineRule="exact"/>
        <w:rPr>
          <w:sz w:val="20"/>
          <w:szCs w:val="20"/>
          <w:color w:val="auto"/>
        </w:rPr>
      </w:pPr>
    </w:p>
    <w:p>
      <w:pPr>
        <w:ind w:right="20"/>
        <w:spacing w:after="0" w:line="243" w:lineRule="auto"/>
        <w:rPr>
          <w:sz w:val="20"/>
          <w:szCs w:val="20"/>
          <w:color w:val="auto"/>
        </w:rPr>
      </w:pPr>
      <w:r>
        <w:rPr>
          <w:rFonts w:ascii="Arial" w:cs="Arial" w:eastAsia="Arial" w:hAnsi="Arial"/>
          <w:sz w:val="18"/>
          <w:szCs w:val="18"/>
          <w:color w:val="auto"/>
        </w:rPr>
        <w:t>TTC shares entitled to vote on the election of directors in support of director nominees other than TTC's nominees, as required by Rule 14a-19(b).</w:t>
      </w:r>
    </w:p>
    <w:p>
      <w:pPr>
        <w:spacing w:after="0" w:line="105" w:lineRule="exact"/>
        <w:rPr>
          <w:sz w:val="20"/>
          <w:szCs w:val="20"/>
          <w:color w:val="auto"/>
        </w:rPr>
      </w:pPr>
    </w:p>
    <w:p>
      <w:pPr>
        <w:spacing w:after="0"/>
        <w:rPr>
          <w:sz w:val="20"/>
          <w:szCs w:val="20"/>
          <w:color w:val="auto"/>
        </w:rPr>
      </w:pPr>
      <w:r>
        <w:rPr>
          <w:rFonts w:ascii="Arial" w:cs="Arial" w:eastAsia="Arial" w:hAnsi="Arial"/>
          <w:sz w:val="20"/>
          <w:szCs w:val="20"/>
          <w:b w:val="1"/>
          <w:bCs w:val="1"/>
          <w:color w:val="C00000"/>
        </w:rPr>
        <w:t>Householding of Annual Meeting Materials</w:t>
      </w:r>
    </w:p>
    <w:p>
      <w:pPr>
        <w:spacing w:after="0" w:line="84" w:lineRule="exact"/>
        <w:rPr>
          <w:sz w:val="20"/>
          <w:szCs w:val="20"/>
          <w:color w:val="auto"/>
        </w:rPr>
      </w:pPr>
    </w:p>
    <w:p>
      <w:pPr>
        <w:ind w:left="320"/>
        <w:spacing w:after="0"/>
        <w:rPr>
          <w:sz w:val="20"/>
          <w:szCs w:val="20"/>
          <w:color w:val="auto"/>
        </w:rPr>
      </w:pPr>
      <w:r>
        <w:rPr>
          <w:rFonts w:ascii="Arial" w:cs="Arial" w:eastAsia="Arial" w:hAnsi="Arial"/>
          <w:sz w:val="18"/>
          <w:szCs w:val="18"/>
          <w:color w:val="auto"/>
        </w:rPr>
        <w:t>Some banks, brokers and other nominee record holders may be participating in the practice of "householding" proxy statements and</w:t>
      </w:r>
    </w:p>
    <w:p>
      <w:pPr>
        <w:spacing w:after="0" w:line="9" w:lineRule="exact"/>
        <w:rPr>
          <w:sz w:val="20"/>
          <w:szCs w:val="20"/>
          <w:color w:val="auto"/>
        </w:rPr>
      </w:pPr>
    </w:p>
    <w:p>
      <w:pPr>
        <w:spacing w:after="0" w:line="237" w:lineRule="auto"/>
        <w:rPr>
          <w:sz w:val="20"/>
          <w:szCs w:val="20"/>
          <w:color w:val="auto"/>
        </w:rPr>
      </w:pPr>
      <w:r>
        <w:rPr>
          <w:rFonts w:ascii="Arial" w:cs="Arial" w:eastAsia="Arial" w:hAnsi="Arial"/>
          <w:sz w:val="17"/>
          <w:szCs w:val="17"/>
          <w:color w:val="auto"/>
        </w:rPr>
        <w:t>annual reports. This means that only one set of these documents may have been sent to multiple shareholders at a shared address. Additional copies of this proxy statement and our Annual Report on Form 10-K are available upon request to our General Counsel at 8111 Lyndale</w:t>
      </w:r>
    </w:p>
    <w:p>
      <w:pPr>
        <w:spacing w:after="0" w:line="233" w:lineRule="auto"/>
        <w:rPr>
          <w:sz w:val="20"/>
          <w:szCs w:val="20"/>
          <w:color w:val="auto"/>
        </w:rPr>
      </w:pPr>
      <w:r>
        <w:rPr>
          <w:rFonts w:ascii="Arial" w:cs="Arial" w:eastAsia="Arial" w:hAnsi="Arial"/>
          <w:sz w:val="18"/>
          <w:szCs w:val="18"/>
          <w:color w:val="auto"/>
        </w:rPr>
        <w:t>Avenue South, Bloomington, Minnesota, 55420-1196, by telephone at (952) 888-8801, or by e-mail to invest@thetorocompany.com. These</w:t>
      </w:r>
    </w:p>
    <w:p>
      <w:pPr>
        <w:spacing w:after="0" w:line="237" w:lineRule="auto"/>
        <w:rPr>
          <w:sz w:val="20"/>
          <w:szCs w:val="20"/>
          <w:color w:val="auto"/>
        </w:rPr>
      </w:pPr>
      <w:r>
        <w:rPr>
          <w:rFonts w:ascii="Arial" w:cs="Arial" w:eastAsia="Arial" w:hAnsi="Arial"/>
          <w:sz w:val="17"/>
          <w:szCs w:val="17"/>
          <w:color w:val="auto"/>
        </w:rPr>
        <w:t>documents also may be downloaded and printed from our website at www.thetorocompany.com/proxy. Any shareholder who wants to receive separate copies of our proxy statement and annual report in the future, or any shareholder who is receiving multiple copies and would like to</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receive only one copy per household, should contact his, her or its bank, broker or other nominee record holder.</w:t>
      </w:r>
    </w:p>
    <w:p>
      <w:pPr>
        <w:spacing w:after="0" w:line="117" w:lineRule="exact"/>
        <w:rPr>
          <w:sz w:val="20"/>
          <w:szCs w:val="20"/>
          <w:color w:val="auto"/>
        </w:rPr>
      </w:pPr>
    </w:p>
    <w:p>
      <w:pPr>
        <w:spacing w:after="0"/>
        <w:rPr>
          <w:sz w:val="20"/>
          <w:szCs w:val="20"/>
          <w:color w:val="auto"/>
        </w:rPr>
      </w:pPr>
      <w:r>
        <w:rPr>
          <w:rFonts w:ascii="Arial" w:cs="Arial" w:eastAsia="Arial" w:hAnsi="Arial"/>
          <w:sz w:val="20"/>
          <w:szCs w:val="20"/>
          <w:b w:val="1"/>
          <w:bCs w:val="1"/>
          <w:color w:val="C00000"/>
        </w:rPr>
        <w:t>Annual Report</w:t>
      </w:r>
    </w:p>
    <w:p>
      <w:pPr>
        <w:spacing w:after="0" w:line="82" w:lineRule="exact"/>
        <w:rPr>
          <w:sz w:val="20"/>
          <w:szCs w:val="20"/>
          <w:color w:val="auto"/>
        </w:rPr>
      </w:pPr>
    </w:p>
    <w:p>
      <w:pPr>
        <w:jc w:val="both"/>
        <w:ind w:firstLine="320"/>
        <w:spacing w:after="0" w:line="242" w:lineRule="auto"/>
        <w:rPr>
          <w:sz w:val="20"/>
          <w:szCs w:val="20"/>
          <w:color w:val="auto"/>
        </w:rPr>
      </w:pPr>
      <w:r>
        <w:rPr>
          <w:rFonts w:ascii="Arial" w:cs="Arial" w:eastAsia="Arial" w:hAnsi="Arial"/>
          <w:sz w:val="18"/>
          <w:szCs w:val="18"/>
          <w:b w:val="1"/>
          <w:bCs w:val="1"/>
          <w:color w:val="auto"/>
        </w:rPr>
        <w:t>TTC's Annual Report on Form 10-K for the fiscal year ended October 31, 2024, as filed with the SEC, will be sent to any shareholder, without charge, upon written request to our General Counsel at 8111 Lyndale Avenue South, Bloomington, Minnesota,</w:t>
      </w:r>
    </w:p>
    <w:p>
      <w:pPr>
        <w:spacing w:after="0" w:line="1" w:lineRule="exact"/>
        <w:rPr>
          <w:sz w:val="20"/>
          <w:szCs w:val="20"/>
          <w:color w:val="auto"/>
        </w:rPr>
      </w:pPr>
    </w:p>
    <w:p>
      <w:pPr>
        <w:spacing w:after="0" w:line="237" w:lineRule="auto"/>
        <w:rPr>
          <w:sz w:val="20"/>
          <w:szCs w:val="20"/>
          <w:color w:val="auto"/>
        </w:rPr>
      </w:pPr>
      <w:r>
        <w:rPr>
          <w:rFonts w:ascii="Arial" w:cs="Arial" w:eastAsia="Arial" w:hAnsi="Arial"/>
          <w:sz w:val="17"/>
          <w:szCs w:val="17"/>
          <w:b w:val="1"/>
          <w:bCs w:val="1"/>
          <w:color w:val="auto"/>
        </w:rPr>
        <w:t>55420-1196. You also may obtain our Annual Report on Form 10-K on the Internet at the SEC's website, www.sec.gov, or on our website at www.thetorocompany.com/proxy. Our Fiscal Year 2024 Annual Report, which contains information about our business but</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 not part of our disclosure deemed to be filed with the SEC, also is available on our website at www.thetorocompany.com/proxy.</w:t>
      </w:r>
    </w:p>
    <w:p>
      <w:pPr>
        <w:spacing w:after="0" w:line="117" w:lineRule="exact"/>
        <w:rPr>
          <w:sz w:val="20"/>
          <w:szCs w:val="20"/>
          <w:color w:val="auto"/>
        </w:rPr>
      </w:pPr>
    </w:p>
    <w:p>
      <w:pPr>
        <w:spacing w:after="0"/>
        <w:rPr>
          <w:sz w:val="20"/>
          <w:szCs w:val="20"/>
          <w:color w:val="auto"/>
        </w:rPr>
      </w:pPr>
      <w:r>
        <w:rPr>
          <w:rFonts w:ascii="Arial" w:cs="Arial" w:eastAsia="Arial" w:hAnsi="Arial"/>
          <w:sz w:val="20"/>
          <w:szCs w:val="20"/>
          <w:b w:val="1"/>
          <w:bCs w:val="1"/>
          <w:color w:val="C00000"/>
        </w:rPr>
        <w:t>Cost and Method of Solicitation</w:t>
      </w:r>
    </w:p>
    <w:p>
      <w:pPr>
        <w:spacing w:after="0" w:line="84" w:lineRule="exact"/>
        <w:rPr>
          <w:sz w:val="20"/>
          <w:szCs w:val="20"/>
          <w:color w:val="auto"/>
        </w:rPr>
      </w:pPr>
    </w:p>
    <w:p>
      <w:pPr>
        <w:ind w:firstLine="320"/>
        <w:spacing w:after="0" w:line="255" w:lineRule="auto"/>
        <w:rPr>
          <w:sz w:val="20"/>
          <w:szCs w:val="20"/>
          <w:color w:val="auto"/>
        </w:rPr>
      </w:pPr>
      <w:r>
        <w:rPr>
          <w:rFonts w:ascii="Arial" w:cs="Arial" w:eastAsia="Arial" w:hAnsi="Arial"/>
          <w:sz w:val="17"/>
          <w:szCs w:val="17"/>
          <w:color w:val="auto"/>
        </w:rPr>
        <w:t>We will pay the cost of soliciting proxies and may make arrangements with brokerage houses, custodians, nominees and other fiduciaries to send proxy materials to beneficial owners of our common stock. We will reimburse these third-parties for reasonable out-of-pocket</w:t>
      </w:r>
    </w:p>
    <w:p>
      <w:pPr>
        <w:spacing w:after="0" w:line="1" w:lineRule="exact"/>
        <w:rPr>
          <w:sz w:val="20"/>
          <w:szCs w:val="20"/>
          <w:color w:val="auto"/>
        </w:rPr>
      </w:pPr>
    </w:p>
    <w:p>
      <w:pPr>
        <w:spacing w:after="0" w:line="224" w:lineRule="auto"/>
        <w:rPr>
          <w:sz w:val="20"/>
          <w:szCs w:val="20"/>
          <w:color w:val="auto"/>
        </w:rPr>
      </w:pPr>
      <w:r>
        <w:rPr>
          <w:rFonts w:ascii="Arial" w:cs="Arial" w:eastAsia="Arial" w:hAnsi="Arial"/>
          <w:sz w:val="18"/>
          <w:szCs w:val="18"/>
          <w:color w:val="auto"/>
        </w:rPr>
        <w:t>expenses. In addition to solicitation by mail, our non-employee directors, executive officers and other employees may solicit proxies by telephone, electronic transmission and personally. Our non-employee directors, executive officers and other employees will not receive</w:t>
      </w:r>
    </w:p>
    <w:p>
      <w:pPr>
        <w:spacing w:after="0" w:line="187" w:lineRule="auto"/>
        <w:rPr>
          <w:sz w:val="20"/>
          <w:szCs w:val="20"/>
          <w:color w:val="auto"/>
        </w:rPr>
      </w:pPr>
      <w:r>
        <w:rPr>
          <w:rFonts w:ascii="Arial" w:cs="Arial" w:eastAsia="Arial" w:hAnsi="Arial"/>
          <w:sz w:val="18"/>
          <w:szCs w:val="18"/>
          <w:color w:val="auto"/>
        </w:rPr>
        <w:t>compensation for such services other than regular non-employee director or employee compensation. We have retained Morrow Sodali LLC,</w:t>
      </w:r>
    </w:p>
    <w:p>
      <w:pPr>
        <w:spacing w:after="0" w:line="205" w:lineRule="auto"/>
        <w:rPr>
          <w:sz w:val="20"/>
          <w:szCs w:val="20"/>
          <w:color w:val="auto"/>
        </w:rPr>
      </w:pPr>
      <w:r>
        <w:rPr>
          <w:rFonts w:ascii="Arial" w:cs="Arial" w:eastAsia="Arial" w:hAnsi="Arial"/>
          <w:sz w:val="18"/>
          <w:szCs w:val="18"/>
          <w:color w:val="auto"/>
        </w:rPr>
        <w:t>333 Ludlow Street, 5</w:t>
      </w:r>
      <w:r>
        <w:rPr>
          <w:rFonts w:ascii="Arial" w:cs="Arial" w:eastAsia="Arial" w:hAnsi="Arial"/>
          <w:sz w:val="27"/>
          <w:szCs w:val="27"/>
          <w:color w:val="auto"/>
          <w:vertAlign w:val="superscript"/>
        </w:rPr>
        <w:t>th</w:t>
      </w:r>
      <w:r>
        <w:rPr>
          <w:rFonts w:ascii="Arial" w:cs="Arial" w:eastAsia="Arial" w:hAnsi="Arial"/>
          <w:sz w:val="18"/>
          <w:szCs w:val="18"/>
          <w:color w:val="auto"/>
        </w:rPr>
        <w:t xml:space="preserve"> Floor, South Tower, Stamford, Connecticut, 06902, for an estimated fee of $ 10,000, plus out of pocket expenses, to assist in distributing proxy materials and soliciting proxies in connection with our 2025 Annual Meeting of Shareholders.</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color w:val="auto"/>
        </w:rPr>
        <w:t>Dated: February 4, 2025</w:t>
      </w:r>
    </w:p>
    <w:p>
      <w:pPr>
        <w:spacing w:after="0" w:line="60" w:lineRule="exact"/>
        <w:rPr>
          <w:sz w:val="20"/>
          <w:szCs w:val="20"/>
          <w:color w:val="auto"/>
        </w:rPr>
      </w:pPr>
    </w:p>
    <w:p>
      <w:pPr>
        <w:ind w:left="7400"/>
        <w:spacing w:after="0"/>
        <w:rPr>
          <w:sz w:val="20"/>
          <w:szCs w:val="20"/>
          <w:color w:val="auto"/>
        </w:rPr>
      </w:pPr>
      <w:r>
        <w:rPr>
          <w:rFonts w:ascii="Arial" w:cs="Arial" w:eastAsia="Arial" w:hAnsi="Arial"/>
          <w:sz w:val="18"/>
          <w:szCs w:val="18"/>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4478020</wp:posOffset>
            </wp:positionH>
            <wp:positionV relativeFrom="paragraph">
              <wp:posOffset>23495</wp:posOffset>
            </wp:positionV>
            <wp:extent cx="1381125" cy="44069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1381125" cy="4406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ind w:left="5020"/>
        <w:spacing w:after="0"/>
        <w:rPr>
          <w:sz w:val="20"/>
          <w:szCs w:val="20"/>
          <w:color w:val="auto"/>
        </w:rPr>
      </w:pPr>
      <w:r>
        <w:rPr>
          <w:rFonts w:ascii="Arial" w:cs="Arial" w:eastAsia="Arial" w:hAnsi="Arial"/>
          <w:sz w:val="18"/>
          <w:szCs w:val="18"/>
          <w:b w:val="1"/>
          <w:bCs w:val="1"/>
          <w:color w:val="BF2115"/>
        </w:rPr>
        <w:t>Joanna M. Totsky</w:t>
      </w:r>
    </w:p>
    <w:p>
      <w:pPr>
        <w:jc w:val="center"/>
        <w:ind w:left="5020"/>
        <w:spacing w:after="0" w:line="216" w:lineRule="auto"/>
        <w:rPr>
          <w:sz w:val="20"/>
          <w:szCs w:val="20"/>
          <w:color w:val="auto"/>
        </w:rPr>
      </w:pPr>
      <w:r>
        <w:rPr>
          <w:rFonts w:ascii="Arial" w:cs="Arial" w:eastAsia="Arial" w:hAnsi="Arial"/>
          <w:sz w:val="18"/>
          <w:szCs w:val="18"/>
          <w:color w:val="auto"/>
        </w:rPr>
        <w:t>Vice President, General Counsel</w:t>
      </w:r>
    </w:p>
    <w:p>
      <w:pPr>
        <w:spacing w:after="0" w:line="1" w:lineRule="exact"/>
        <w:rPr>
          <w:sz w:val="20"/>
          <w:szCs w:val="20"/>
          <w:color w:val="auto"/>
        </w:rPr>
      </w:pPr>
    </w:p>
    <w:p>
      <w:pPr>
        <w:jc w:val="center"/>
        <w:ind w:left="5020"/>
        <w:spacing w:after="0"/>
        <w:rPr>
          <w:sz w:val="20"/>
          <w:szCs w:val="20"/>
          <w:color w:val="auto"/>
        </w:rPr>
      </w:pPr>
      <w:r>
        <w:rPr>
          <w:rFonts w:ascii="Arial" w:cs="Arial" w:eastAsia="Arial" w:hAnsi="Arial"/>
          <w:sz w:val="18"/>
          <w:szCs w:val="18"/>
          <w:color w:val="auto"/>
        </w:rPr>
        <w:t>and Corporate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932180</wp:posOffset>
            </wp:positionV>
            <wp:extent cx="7159625" cy="4254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177" w:right="339" w:bottom="1440" w:gutter="0" w:footer="0" w:header="0"/>
        </w:sectPr>
      </w:pPr>
    </w:p>
    <w:bookmarkStart w:id="86" w:name="page87"/>
    <w:bookmarkEnd w:id="8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3325495</wp:posOffset>
            </wp:positionH>
            <wp:positionV relativeFrom="page">
              <wp:posOffset>783590</wp:posOffset>
            </wp:positionV>
            <wp:extent cx="1863725" cy="43180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clrChange>
                        <a:clrFrom>
                          <a:srgbClr val="FFFFFF"/>
                        </a:clrFrom>
                        <a:clrTo>
                          <a:srgbClr val="FFFFFF">
                            <a:alpha val="0"/>
                          </a:srgbClr>
                        </a:clrTo>
                      </a:clrChange>
                      <a:extLst>
                        <a:ext uri="{28A0092B-C50C-407E-A947-70E740481C1C}"/>
                      </a:extLst>
                    </a:blip>
                    <a:srcRect/>
                    <a:stretch>
                      <a:fillRect/>
                    </a:stretch>
                  </pic:blipFill>
                  <pic:spPr bwMode="auto">
                    <a:xfrm>
                      <a:off x="0" y="0"/>
                      <a:ext cx="1863725" cy="431800"/>
                    </a:xfrm>
                    <a:prstGeom prst="rect">
                      <a:avLst/>
                    </a:prstGeom>
                    <a:noFill/>
                  </pic:spPr>
                </pic:pic>
              </a:graphicData>
            </a:graphic>
          </wp:anchor>
        </w:drawing>
        <w:drawing>
          <wp:anchor simplePos="0" relativeHeight="251657728" behindDoc="1" locked="0" layoutInCell="0" allowOverlap="1">
            <wp:simplePos x="0" y="0"/>
            <wp:positionH relativeFrom="page">
              <wp:posOffset>215900</wp:posOffset>
            </wp:positionH>
            <wp:positionV relativeFrom="page">
              <wp:posOffset>1283335</wp:posOffset>
            </wp:positionV>
            <wp:extent cx="1703070" cy="44069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clrChange>
                        <a:clrFrom>
                          <a:srgbClr val="FFFFFF"/>
                        </a:clrFrom>
                        <a:clrTo>
                          <a:srgbClr val="FFFFFF">
                            <a:alpha val="0"/>
                          </a:srgbClr>
                        </a:clrTo>
                      </a:clrChange>
                      <a:extLst>
                        <a:ext uri="{28A0092B-C50C-407E-A947-70E740481C1C}"/>
                      </a:extLst>
                    </a:blip>
                    <a:srcRect/>
                    <a:stretch>
                      <a:fillRect/>
                    </a:stretch>
                  </pic:blipFill>
                  <pic:spPr bwMode="auto">
                    <a:xfrm>
                      <a:off x="0" y="0"/>
                      <a:ext cx="1703070" cy="440690"/>
                    </a:xfrm>
                    <a:prstGeom prst="rect">
                      <a:avLst/>
                    </a:prstGeom>
                    <a:noFill/>
                  </pic:spPr>
                </pic:pic>
              </a:graphicData>
            </a:graphic>
          </wp:anchor>
        </w:drawing>
      </w:r>
    </w:p>
    <w:p>
      <w:pPr>
        <w:spacing w:after="0" w:line="38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00" w:type="dxa"/>
            <w:vAlign w:val="bottom"/>
          </w:tcPr>
          <w:p>
            <w:pPr>
              <w:spacing w:after="0"/>
              <w:rPr>
                <w:sz w:val="14"/>
                <w:szCs w:val="14"/>
                <w:color w:val="auto"/>
              </w:rPr>
            </w:pPr>
          </w:p>
        </w:tc>
        <w:tc>
          <w:tcPr>
            <w:tcW w:w="6600" w:type="dxa"/>
            <w:vAlign w:val="bottom"/>
            <w:gridSpan w:val="5"/>
          </w:tcPr>
          <w:p>
            <w:pPr>
              <w:ind w:left="300"/>
              <w:spacing w:after="0"/>
              <w:rPr>
                <w:sz w:val="20"/>
                <w:szCs w:val="20"/>
                <w:color w:val="auto"/>
              </w:rPr>
            </w:pPr>
            <w:r>
              <w:rPr>
                <w:rFonts w:ascii="Arial" w:cs="Arial" w:eastAsia="Arial" w:hAnsi="Arial"/>
                <w:sz w:val="14"/>
                <w:szCs w:val="14"/>
                <w:b w:val="1"/>
                <w:bCs w:val="1"/>
                <w:color w:val="auto"/>
              </w:rPr>
              <w:t>VOTE BY INTERNET- www.proxyvote.com or scan the QR code above</w:t>
            </w:r>
          </w:p>
        </w:tc>
        <w:tc>
          <w:tcPr>
            <w:tcW w:w="0" w:type="dxa"/>
            <w:vAlign w:val="bottom"/>
          </w:tcPr>
          <w:p>
            <w:pPr>
              <w:spacing w:after="0"/>
              <w:rPr>
                <w:sz w:val="1"/>
                <w:szCs w:val="1"/>
                <w:color w:val="auto"/>
              </w:rPr>
            </w:pPr>
          </w:p>
        </w:tc>
      </w:tr>
      <w:tr>
        <w:trPr>
          <w:trHeight w:val="20"/>
        </w:trPr>
        <w:tc>
          <w:tcPr>
            <w:tcW w:w="460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4600" w:type="dxa"/>
            <w:vAlign w:val="bottom"/>
          </w:tcPr>
          <w:p>
            <w:pPr>
              <w:spacing w:after="0"/>
              <w:rPr>
                <w:sz w:val="12"/>
                <w:szCs w:val="12"/>
                <w:color w:val="auto"/>
              </w:rPr>
            </w:pPr>
          </w:p>
        </w:tc>
        <w:tc>
          <w:tcPr>
            <w:tcW w:w="6600" w:type="dxa"/>
            <w:vAlign w:val="bottom"/>
            <w:gridSpan w:val="5"/>
          </w:tcPr>
          <w:p>
            <w:pPr>
              <w:ind w:left="300"/>
              <w:spacing w:after="0" w:line="144" w:lineRule="exact"/>
              <w:rPr>
                <w:sz w:val="20"/>
                <w:szCs w:val="20"/>
                <w:color w:val="auto"/>
              </w:rPr>
            </w:pPr>
            <w:r>
              <w:rPr>
                <w:rFonts w:ascii="Arial" w:cs="Arial" w:eastAsia="Arial" w:hAnsi="Arial"/>
                <w:sz w:val="14"/>
                <w:szCs w:val="14"/>
                <w:color w:val="auto"/>
              </w:rPr>
              <w:t>Use the Internet to transmit your voting instructions up until 11:59 P.M. Eastern Time on March 17,</w:t>
            </w:r>
          </w:p>
        </w:tc>
        <w:tc>
          <w:tcPr>
            <w:tcW w:w="0" w:type="dxa"/>
            <w:vAlign w:val="bottom"/>
          </w:tcPr>
          <w:p>
            <w:pPr>
              <w:spacing w:after="0"/>
              <w:rPr>
                <w:sz w:val="1"/>
                <w:szCs w:val="1"/>
                <w:color w:val="auto"/>
              </w:rPr>
            </w:pPr>
          </w:p>
        </w:tc>
      </w:tr>
      <w:tr>
        <w:trPr>
          <w:trHeight w:val="160"/>
        </w:trPr>
        <w:tc>
          <w:tcPr>
            <w:tcW w:w="4600" w:type="dxa"/>
            <w:vAlign w:val="bottom"/>
          </w:tcPr>
          <w:p>
            <w:pPr>
              <w:spacing w:after="0"/>
              <w:rPr>
                <w:sz w:val="13"/>
                <w:szCs w:val="13"/>
                <w:color w:val="auto"/>
              </w:rPr>
            </w:pPr>
          </w:p>
        </w:tc>
        <w:tc>
          <w:tcPr>
            <w:tcW w:w="6600" w:type="dxa"/>
            <w:vAlign w:val="bottom"/>
            <w:gridSpan w:val="5"/>
          </w:tcPr>
          <w:p>
            <w:pPr>
              <w:ind w:left="300"/>
              <w:spacing w:after="0"/>
              <w:rPr>
                <w:sz w:val="20"/>
                <w:szCs w:val="20"/>
                <w:color w:val="auto"/>
              </w:rPr>
            </w:pPr>
            <w:r>
              <w:rPr>
                <w:rFonts w:ascii="Arial" w:cs="Arial" w:eastAsia="Arial" w:hAnsi="Arial"/>
                <w:sz w:val="14"/>
                <w:szCs w:val="14"/>
                <w:color w:val="auto"/>
              </w:rPr>
              <w:t>2025. Have your proxy card in hand when you access the web site and follow the instructions to</w:t>
            </w:r>
          </w:p>
        </w:tc>
        <w:tc>
          <w:tcPr>
            <w:tcW w:w="0" w:type="dxa"/>
            <w:vAlign w:val="bottom"/>
          </w:tcPr>
          <w:p>
            <w:pPr>
              <w:spacing w:after="0"/>
              <w:rPr>
                <w:sz w:val="1"/>
                <w:szCs w:val="1"/>
                <w:color w:val="auto"/>
              </w:rPr>
            </w:pPr>
          </w:p>
        </w:tc>
      </w:tr>
      <w:tr>
        <w:trPr>
          <w:trHeight w:val="189"/>
        </w:trPr>
        <w:tc>
          <w:tcPr>
            <w:tcW w:w="4600" w:type="dxa"/>
            <w:vAlign w:val="bottom"/>
          </w:tcPr>
          <w:p>
            <w:pPr>
              <w:spacing w:after="0"/>
              <w:rPr>
                <w:sz w:val="16"/>
                <w:szCs w:val="16"/>
                <w:color w:val="auto"/>
              </w:rPr>
            </w:pPr>
          </w:p>
        </w:tc>
        <w:tc>
          <w:tcPr>
            <w:tcW w:w="6600" w:type="dxa"/>
            <w:vAlign w:val="bottom"/>
            <w:gridSpan w:val="5"/>
          </w:tcPr>
          <w:p>
            <w:pPr>
              <w:ind w:left="300"/>
              <w:spacing w:after="0"/>
              <w:rPr>
                <w:sz w:val="20"/>
                <w:szCs w:val="20"/>
                <w:color w:val="auto"/>
              </w:rPr>
            </w:pPr>
            <w:r>
              <w:rPr>
                <w:rFonts w:ascii="Arial" w:cs="Arial" w:eastAsia="Arial" w:hAnsi="Arial"/>
                <w:sz w:val="14"/>
                <w:szCs w:val="14"/>
                <w:color w:val="auto"/>
              </w:rPr>
              <w:t>obtain your records and to create an electronic voting instruction form.</w:t>
            </w:r>
          </w:p>
        </w:tc>
        <w:tc>
          <w:tcPr>
            <w:tcW w:w="0" w:type="dxa"/>
            <w:vAlign w:val="bottom"/>
          </w:tcPr>
          <w:p>
            <w:pPr>
              <w:spacing w:after="0"/>
              <w:rPr>
                <w:sz w:val="1"/>
                <w:szCs w:val="1"/>
                <w:color w:val="auto"/>
              </w:rPr>
            </w:pPr>
          </w:p>
        </w:tc>
      </w:tr>
      <w:tr>
        <w:trPr>
          <w:trHeight w:val="274"/>
        </w:trPr>
        <w:tc>
          <w:tcPr>
            <w:tcW w:w="4600" w:type="dxa"/>
            <w:vAlign w:val="bottom"/>
          </w:tcPr>
          <w:p>
            <w:pPr>
              <w:spacing w:after="0"/>
              <w:rPr>
                <w:sz w:val="20"/>
                <w:szCs w:val="20"/>
                <w:color w:val="auto"/>
              </w:rPr>
            </w:pPr>
            <w:r>
              <w:rPr>
                <w:rFonts w:ascii="Arial" w:cs="Arial" w:eastAsia="Arial" w:hAnsi="Arial"/>
                <w:sz w:val="14"/>
                <w:szCs w:val="14"/>
                <w:color w:val="auto"/>
              </w:rPr>
              <w:t>8111 LYNDALE AVENUE SOUTH</w:t>
            </w:r>
          </w:p>
        </w:tc>
        <w:tc>
          <w:tcPr>
            <w:tcW w:w="6600" w:type="dxa"/>
            <w:vAlign w:val="bottom"/>
            <w:gridSpan w:val="5"/>
          </w:tcPr>
          <w:p>
            <w:pPr>
              <w:ind w:left="300"/>
              <w:spacing w:after="0"/>
              <w:rPr>
                <w:sz w:val="20"/>
                <w:szCs w:val="20"/>
                <w:color w:val="auto"/>
              </w:rPr>
            </w:pPr>
            <w:r>
              <w:rPr>
                <w:rFonts w:ascii="Arial" w:cs="Arial" w:eastAsia="Arial" w:hAnsi="Arial"/>
                <w:sz w:val="14"/>
                <w:szCs w:val="14"/>
                <w:i w:val="1"/>
                <w:iCs w:val="1"/>
                <w:color w:val="auto"/>
              </w:rPr>
              <w:t>During The Meeting</w:t>
            </w:r>
            <w:r>
              <w:rPr>
                <w:rFonts w:ascii="Arial" w:cs="Arial" w:eastAsia="Arial" w:hAnsi="Arial"/>
                <w:sz w:val="14"/>
                <w:szCs w:val="14"/>
                <w:color w:val="auto"/>
              </w:rPr>
              <w:t>- Go to</w:t>
            </w:r>
            <w:r>
              <w:rPr>
                <w:rFonts w:ascii="Arial" w:cs="Arial" w:eastAsia="Arial" w:hAnsi="Arial"/>
                <w:sz w:val="14"/>
                <w:szCs w:val="14"/>
                <w:i w:val="1"/>
                <w:iCs w:val="1"/>
                <w:color w:val="auto"/>
              </w:rPr>
              <w:t xml:space="preserve"> </w:t>
            </w:r>
            <w:r>
              <w:rPr>
                <w:rFonts w:ascii="Arial" w:cs="Arial" w:eastAsia="Arial" w:hAnsi="Arial"/>
                <w:sz w:val="14"/>
                <w:szCs w:val="14"/>
                <w:b w:val="1"/>
                <w:bCs w:val="1"/>
                <w:color w:val="auto"/>
              </w:rPr>
              <w:t>www.virtualshareholdermeeting.com/TTC2025</w:t>
            </w:r>
          </w:p>
        </w:tc>
        <w:tc>
          <w:tcPr>
            <w:tcW w:w="0" w:type="dxa"/>
            <w:vAlign w:val="bottom"/>
          </w:tcPr>
          <w:p>
            <w:pPr>
              <w:spacing w:after="0"/>
              <w:rPr>
                <w:sz w:val="1"/>
                <w:szCs w:val="1"/>
                <w:color w:val="auto"/>
              </w:rPr>
            </w:pPr>
          </w:p>
        </w:tc>
      </w:tr>
      <w:tr>
        <w:trPr>
          <w:trHeight w:val="20"/>
        </w:trPr>
        <w:tc>
          <w:tcPr>
            <w:tcW w:w="4600" w:type="dxa"/>
            <w:vAlign w:val="bottom"/>
            <w:vMerge w:val="restart"/>
          </w:tcPr>
          <w:p>
            <w:pPr>
              <w:spacing w:after="0"/>
              <w:rPr>
                <w:sz w:val="20"/>
                <w:szCs w:val="20"/>
                <w:color w:val="auto"/>
              </w:rPr>
            </w:pPr>
            <w:r>
              <w:rPr>
                <w:rFonts w:ascii="Arial" w:cs="Arial" w:eastAsia="Arial" w:hAnsi="Arial"/>
                <w:sz w:val="14"/>
                <w:szCs w:val="14"/>
                <w:color w:val="auto"/>
              </w:rPr>
              <w:t>BLOOMINGTON, MN 55420-1196</w:t>
            </w:r>
          </w:p>
        </w:tc>
        <w:tc>
          <w:tcPr>
            <w:tcW w:w="1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000" w:type="dxa"/>
            <w:vAlign w:val="bottom"/>
            <w:shd w:val="clear" w:color="auto" w:fill="000000"/>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3"/>
        </w:trPr>
        <w:tc>
          <w:tcPr>
            <w:tcW w:w="4600" w:type="dxa"/>
            <w:vAlign w:val="bottom"/>
            <w:vMerge w:val="continue"/>
          </w:tcPr>
          <w:p>
            <w:pPr>
              <w:spacing w:after="0"/>
              <w:rPr>
                <w:sz w:val="15"/>
                <w:szCs w:val="15"/>
                <w:color w:val="auto"/>
              </w:rPr>
            </w:pPr>
          </w:p>
        </w:tc>
        <w:tc>
          <w:tcPr>
            <w:tcW w:w="6600" w:type="dxa"/>
            <w:vAlign w:val="bottom"/>
            <w:gridSpan w:val="5"/>
            <w:vMerge w:val="restart"/>
          </w:tcPr>
          <w:p>
            <w:pPr>
              <w:ind w:left="300"/>
              <w:spacing w:after="0"/>
              <w:rPr>
                <w:sz w:val="20"/>
                <w:szCs w:val="20"/>
                <w:color w:val="auto"/>
              </w:rPr>
            </w:pPr>
            <w:r>
              <w:rPr>
                <w:rFonts w:ascii="Arial" w:cs="Arial" w:eastAsia="Arial" w:hAnsi="Arial"/>
                <w:sz w:val="14"/>
                <w:szCs w:val="14"/>
                <w:color w:val="auto"/>
              </w:rPr>
              <w:t>You may attend the meeting via the Internet and vote during the meeting. Have the information that</w:t>
            </w:r>
          </w:p>
        </w:tc>
        <w:tc>
          <w:tcPr>
            <w:tcW w:w="0" w:type="dxa"/>
            <w:vAlign w:val="bottom"/>
          </w:tcPr>
          <w:p>
            <w:pPr>
              <w:spacing w:after="0"/>
              <w:rPr>
                <w:sz w:val="1"/>
                <w:szCs w:val="1"/>
                <w:color w:val="auto"/>
              </w:rPr>
            </w:pPr>
          </w:p>
        </w:tc>
      </w:tr>
      <w:tr>
        <w:trPr>
          <w:trHeight w:val="118"/>
        </w:trPr>
        <w:tc>
          <w:tcPr>
            <w:tcW w:w="4600" w:type="dxa"/>
            <w:vAlign w:val="bottom"/>
          </w:tcPr>
          <w:p>
            <w:pPr>
              <w:spacing w:after="0"/>
              <w:rPr>
                <w:sz w:val="10"/>
                <w:szCs w:val="10"/>
                <w:color w:val="auto"/>
              </w:rPr>
            </w:pPr>
          </w:p>
        </w:tc>
        <w:tc>
          <w:tcPr>
            <w:tcW w:w="6600" w:type="dxa"/>
            <w:vAlign w:val="bottom"/>
            <w:gridSpan w:val="5"/>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89"/>
        </w:trPr>
        <w:tc>
          <w:tcPr>
            <w:tcW w:w="4600" w:type="dxa"/>
            <w:vAlign w:val="bottom"/>
          </w:tcPr>
          <w:p>
            <w:pPr>
              <w:spacing w:after="0"/>
              <w:rPr>
                <w:sz w:val="16"/>
                <w:szCs w:val="16"/>
                <w:color w:val="auto"/>
              </w:rPr>
            </w:pPr>
          </w:p>
        </w:tc>
        <w:tc>
          <w:tcPr>
            <w:tcW w:w="6600" w:type="dxa"/>
            <w:vAlign w:val="bottom"/>
            <w:gridSpan w:val="5"/>
          </w:tcPr>
          <w:p>
            <w:pPr>
              <w:ind w:left="300"/>
              <w:spacing w:after="0"/>
              <w:rPr>
                <w:sz w:val="20"/>
                <w:szCs w:val="20"/>
                <w:color w:val="auto"/>
              </w:rPr>
            </w:pPr>
            <w:r>
              <w:rPr>
                <w:rFonts w:ascii="Arial" w:cs="Arial" w:eastAsia="Arial" w:hAnsi="Arial"/>
                <w:sz w:val="14"/>
                <w:szCs w:val="14"/>
                <w:color w:val="auto"/>
              </w:rPr>
              <w:t>is printed in the box marked by the arrow available and follow the instructions.</w:t>
            </w:r>
          </w:p>
        </w:tc>
        <w:tc>
          <w:tcPr>
            <w:tcW w:w="0" w:type="dxa"/>
            <w:vAlign w:val="bottom"/>
          </w:tcPr>
          <w:p>
            <w:pPr>
              <w:spacing w:after="0"/>
              <w:rPr>
                <w:sz w:val="1"/>
                <w:szCs w:val="1"/>
                <w:color w:val="auto"/>
              </w:rPr>
            </w:pPr>
          </w:p>
        </w:tc>
      </w:tr>
      <w:tr>
        <w:trPr>
          <w:trHeight w:val="398"/>
        </w:trPr>
        <w:tc>
          <w:tcPr>
            <w:tcW w:w="4600" w:type="dxa"/>
            <w:vAlign w:val="bottom"/>
          </w:tcPr>
          <w:p>
            <w:pPr>
              <w:spacing w:after="0"/>
              <w:rPr>
                <w:sz w:val="24"/>
                <w:szCs w:val="24"/>
                <w:color w:val="auto"/>
              </w:rPr>
            </w:pPr>
          </w:p>
        </w:tc>
        <w:tc>
          <w:tcPr>
            <w:tcW w:w="6600" w:type="dxa"/>
            <w:vAlign w:val="bottom"/>
            <w:gridSpan w:val="5"/>
          </w:tcPr>
          <w:p>
            <w:pPr>
              <w:ind w:left="300"/>
              <w:spacing w:after="0"/>
              <w:rPr>
                <w:sz w:val="20"/>
                <w:szCs w:val="20"/>
                <w:color w:val="auto"/>
              </w:rPr>
            </w:pPr>
            <w:r>
              <w:rPr>
                <w:rFonts w:ascii="Arial" w:cs="Arial" w:eastAsia="Arial" w:hAnsi="Arial"/>
                <w:sz w:val="14"/>
                <w:szCs w:val="14"/>
                <w:b w:val="1"/>
                <w:bCs w:val="1"/>
                <w:color w:val="auto"/>
              </w:rPr>
              <w:t>VOTE BY PHONE - 1-800-690-6903</w:t>
            </w:r>
          </w:p>
        </w:tc>
        <w:tc>
          <w:tcPr>
            <w:tcW w:w="0" w:type="dxa"/>
            <w:vAlign w:val="bottom"/>
          </w:tcPr>
          <w:p>
            <w:pPr>
              <w:spacing w:after="0"/>
              <w:rPr>
                <w:sz w:val="1"/>
                <w:szCs w:val="1"/>
                <w:color w:val="auto"/>
              </w:rPr>
            </w:pPr>
          </w:p>
        </w:tc>
      </w:tr>
      <w:tr>
        <w:trPr>
          <w:trHeight w:val="160"/>
        </w:trPr>
        <w:tc>
          <w:tcPr>
            <w:tcW w:w="4600" w:type="dxa"/>
            <w:vAlign w:val="bottom"/>
          </w:tcPr>
          <w:p>
            <w:pPr>
              <w:spacing w:after="0"/>
              <w:rPr>
                <w:sz w:val="13"/>
                <w:szCs w:val="13"/>
                <w:color w:val="auto"/>
              </w:rPr>
            </w:pPr>
          </w:p>
        </w:tc>
        <w:tc>
          <w:tcPr>
            <w:tcW w:w="6600" w:type="dxa"/>
            <w:vAlign w:val="bottom"/>
            <w:gridSpan w:val="5"/>
          </w:tcPr>
          <w:p>
            <w:pPr>
              <w:ind w:left="300"/>
              <w:spacing w:after="0"/>
              <w:rPr>
                <w:sz w:val="20"/>
                <w:szCs w:val="20"/>
                <w:color w:val="auto"/>
              </w:rPr>
            </w:pPr>
            <w:r>
              <w:rPr>
                <w:rFonts w:ascii="Arial" w:cs="Arial" w:eastAsia="Arial" w:hAnsi="Arial"/>
                <w:sz w:val="14"/>
                <w:szCs w:val="14"/>
                <w:color w:val="auto"/>
              </w:rPr>
              <w:t>Use any touch-tone telephone to transmit your voting instructions up until 11:59 P.M. Eastern Time</w:t>
            </w:r>
          </w:p>
        </w:tc>
        <w:tc>
          <w:tcPr>
            <w:tcW w:w="0" w:type="dxa"/>
            <w:vAlign w:val="bottom"/>
          </w:tcPr>
          <w:p>
            <w:pPr>
              <w:spacing w:after="0"/>
              <w:rPr>
                <w:sz w:val="1"/>
                <w:szCs w:val="1"/>
                <w:color w:val="auto"/>
              </w:rPr>
            </w:pPr>
          </w:p>
        </w:tc>
      </w:tr>
      <w:tr>
        <w:trPr>
          <w:trHeight w:val="189"/>
        </w:trPr>
        <w:tc>
          <w:tcPr>
            <w:tcW w:w="4600" w:type="dxa"/>
            <w:vAlign w:val="bottom"/>
          </w:tcPr>
          <w:p>
            <w:pPr>
              <w:spacing w:after="0"/>
              <w:rPr>
                <w:sz w:val="16"/>
                <w:szCs w:val="16"/>
                <w:color w:val="auto"/>
              </w:rPr>
            </w:pPr>
          </w:p>
        </w:tc>
        <w:tc>
          <w:tcPr>
            <w:tcW w:w="6600" w:type="dxa"/>
            <w:vAlign w:val="bottom"/>
            <w:gridSpan w:val="5"/>
          </w:tcPr>
          <w:p>
            <w:pPr>
              <w:ind w:left="300"/>
              <w:spacing w:after="0"/>
              <w:rPr>
                <w:sz w:val="20"/>
                <w:szCs w:val="20"/>
                <w:color w:val="auto"/>
              </w:rPr>
            </w:pPr>
            <w:r>
              <w:rPr>
                <w:rFonts w:ascii="Arial" w:cs="Arial" w:eastAsia="Arial" w:hAnsi="Arial"/>
                <w:sz w:val="14"/>
                <w:szCs w:val="14"/>
                <w:color w:val="auto"/>
              </w:rPr>
              <w:t>on March 17, 2025. Have your proxy card in hand when you call and then follow the instructions.</w:t>
            </w:r>
          </w:p>
        </w:tc>
        <w:tc>
          <w:tcPr>
            <w:tcW w:w="0" w:type="dxa"/>
            <w:vAlign w:val="bottom"/>
          </w:tcPr>
          <w:p>
            <w:pPr>
              <w:spacing w:after="0"/>
              <w:rPr>
                <w:sz w:val="1"/>
                <w:szCs w:val="1"/>
                <w:color w:val="auto"/>
              </w:rPr>
            </w:pPr>
          </w:p>
        </w:tc>
      </w:tr>
      <w:tr>
        <w:trPr>
          <w:trHeight w:val="398"/>
        </w:trPr>
        <w:tc>
          <w:tcPr>
            <w:tcW w:w="4600" w:type="dxa"/>
            <w:vAlign w:val="bottom"/>
          </w:tcPr>
          <w:p>
            <w:pPr>
              <w:spacing w:after="0"/>
              <w:rPr>
                <w:sz w:val="24"/>
                <w:szCs w:val="24"/>
                <w:color w:val="auto"/>
              </w:rPr>
            </w:pPr>
          </w:p>
        </w:tc>
        <w:tc>
          <w:tcPr>
            <w:tcW w:w="6600" w:type="dxa"/>
            <w:vAlign w:val="bottom"/>
            <w:gridSpan w:val="5"/>
          </w:tcPr>
          <w:p>
            <w:pPr>
              <w:ind w:left="300"/>
              <w:spacing w:after="0"/>
              <w:rPr>
                <w:sz w:val="20"/>
                <w:szCs w:val="20"/>
                <w:color w:val="auto"/>
              </w:rPr>
            </w:pPr>
            <w:r>
              <w:rPr>
                <w:rFonts w:ascii="Arial" w:cs="Arial" w:eastAsia="Arial" w:hAnsi="Arial"/>
                <w:sz w:val="14"/>
                <w:szCs w:val="14"/>
                <w:b w:val="1"/>
                <w:bCs w:val="1"/>
                <w:color w:val="auto"/>
              </w:rPr>
              <w:t>VOTE BY MAIL</w:t>
            </w:r>
          </w:p>
        </w:tc>
        <w:tc>
          <w:tcPr>
            <w:tcW w:w="0" w:type="dxa"/>
            <w:vAlign w:val="bottom"/>
          </w:tcPr>
          <w:p>
            <w:pPr>
              <w:spacing w:after="0"/>
              <w:rPr>
                <w:sz w:val="1"/>
                <w:szCs w:val="1"/>
                <w:color w:val="auto"/>
              </w:rPr>
            </w:pPr>
          </w:p>
        </w:tc>
      </w:tr>
      <w:tr>
        <w:trPr>
          <w:trHeight w:val="160"/>
        </w:trPr>
        <w:tc>
          <w:tcPr>
            <w:tcW w:w="4600" w:type="dxa"/>
            <w:vAlign w:val="bottom"/>
          </w:tcPr>
          <w:p>
            <w:pPr>
              <w:spacing w:after="0"/>
              <w:rPr>
                <w:sz w:val="13"/>
                <w:szCs w:val="13"/>
                <w:color w:val="auto"/>
              </w:rPr>
            </w:pPr>
          </w:p>
        </w:tc>
        <w:tc>
          <w:tcPr>
            <w:tcW w:w="6600" w:type="dxa"/>
            <w:vAlign w:val="bottom"/>
            <w:gridSpan w:val="5"/>
          </w:tcPr>
          <w:p>
            <w:pPr>
              <w:ind w:left="300"/>
              <w:spacing w:after="0"/>
              <w:rPr>
                <w:sz w:val="20"/>
                <w:szCs w:val="20"/>
                <w:color w:val="auto"/>
              </w:rPr>
            </w:pPr>
            <w:r>
              <w:rPr>
                <w:rFonts w:ascii="Arial" w:cs="Arial" w:eastAsia="Arial" w:hAnsi="Arial"/>
                <w:sz w:val="14"/>
                <w:szCs w:val="14"/>
                <w:color w:val="auto"/>
              </w:rPr>
              <w:t>Mark, sign and date your proxy card and return it in the postage-paid envelope we have provided or</w:t>
            </w:r>
          </w:p>
        </w:tc>
        <w:tc>
          <w:tcPr>
            <w:tcW w:w="0" w:type="dxa"/>
            <w:vAlign w:val="bottom"/>
          </w:tcPr>
          <w:p>
            <w:pPr>
              <w:spacing w:after="0"/>
              <w:rPr>
                <w:sz w:val="1"/>
                <w:szCs w:val="1"/>
                <w:color w:val="auto"/>
              </w:rPr>
            </w:pPr>
          </w:p>
        </w:tc>
      </w:tr>
      <w:tr>
        <w:trPr>
          <w:trHeight w:val="189"/>
        </w:trPr>
        <w:tc>
          <w:tcPr>
            <w:tcW w:w="4600" w:type="dxa"/>
            <w:vAlign w:val="bottom"/>
          </w:tcPr>
          <w:p>
            <w:pPr>
              <w:spacing w:after="0"/>
              <w:rPr>
                <w:sz w:val="16"/>
                <w:szCs w:val="16"/>
                <w:color w:val="auto"/>
              </w:rPr>
            </w:pPr>
          </w:p>
        </w:tc>
        <w:tc>
          <w:tcPr>
            <w:tcW w:w="6600" w:type="dxa"/>
            <w:vAlign w:val="bottom"/>
            <w:gridSpan w:val="5"/>
          </w:tcPr>
          <w:p>
            <w:pPr>
              <w:ind w:left="300"/>
              <w:spacing w:after="0"/>
              <w:rPr>
                <w:sz w:val="20"/>
                <w:szCs w:val="20"/>
                <w:color w:val="auto"/>
              </w:rPr>
            </w:pPr>
            <w:r>
              <w:rPr>
                <w:rFonts w:ascii="Arial" w:cs="Arial" w:eastAsia="Arial" w:hAnsi="Arial"/>
                <w:sz w:val="14"/>
                <w:szCs w:val="14"/>
                <w:color w:val="auto"/>
              </w:rPr>
              <w:t>return it to Vote Processing, c/o Broadridge, 51 Mercedes Way, Edgewood, NY 11717.</w:t>
            </w:r>
          </w:p>
        </w:tc>
        <w:tc>
          <w:tcPr>
            <w:tcW w:w="0" w:type="dxa"/>
            <w:vAlign w:val="bottom"/>
          </w:tcPr>
          <w:p>
            <w:pPr>
              <w:spacing w:after="0"/>
              <w:rPr>
                <w:sz w:val="1"/>
                <w:szCs w:val="1"/>
                <w:color w:val="auto"/>
              </w:rPr>
            </w:pPr>
          </w:p>
        </w:tc>
      </w:tr>
      <w:tr>
        <w:trPr>
          <w:trHeight w:val="314"/>
        </w:trPr>
        <w:tc>
          <w:tcPr>
            <w:tcW w:w="4600" w:type="dxa"/>
            <w:vAlign w:val="bottom"/>
          </w:tcPr>
          <w:p>
            <w:pPr>
              <w:spacing w:after="0"/>
              <w:rPr>
                <w:sz w:val="20"/>
                <w:szCs w:val="20"/>
                <w:color w:val="auto"/>
              </w:rPr>
            </w:pPr>
            <w:r>
              <w:rPr>
                <w:rFonts w:ascii="Arial" w:cs="Arial" w:eastAsia="Arial" w:hAnsi="Arial"/>
                <w:sz w:val="12"/>
                <w:szCs w:val="12"/>
                <w:color w:val="auto"/>
              </w:rPr>
              <w:t>TO VOTE, MARK BLOCKS BELOW IN BLUE OR BLACK INK AS FOLLOWS:</w:t>
            </w:r>
          </w:p>
        </w:tc>
        <w:tc>
          <w:tcPr>
            <w:tcW w:w="1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7"/>
        </w:trPr>
        <w:tc>
          <w:tcPr>
            <w:tcW w:w="460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3460" w:type="dxa"/>
            <w:vAlign w:val="bottom"/>
            <w:gridSpan w:val="2"/>
          </w:tcPr>
          <w:p>
            <w:pPr>
              <w:jc w:val="right"/>
              <w:spacing w:after="0"/>
              <w:rPr>
                <w:sz w:val="20"/>
                <w:szCs w:val="20"/>
                <w:color w:val="auto"/>
              </w:rPr>
            </w:pPr>
            <w:r>
              <w:rPr>
                <w:rFonts w:ascii="Arial" w:cs="Arial" w:eastAsia="Arial" w:hAnsi="Arial"/>
                <w:sz w:val="12"/>
                <w:szCs w:val="12"/>
                <w:color w:val="363435"/>
              </w:rPr>
              <w:t>KEEP THIS PORTION FOR YOUR RECORDS</w:t>
            </w:r>
          </w:p>
        </w:tc>
        <w:tc>
          <w:tcPr>
            <w:tcW w:w="0" w:type="dxa"/>
            <w:vAlign w:val="bottom"/>
          </w:tcPr>
          <w:p>
            <w:pPr>
              <w:spacing w:after="0"/>
              <w:rPr>
                <w:sz w:val="1"/>
                <w:szCs w:val="1"/>
                <w:color w:val="auto"/>
              </w:rPr>
            </w:pPr>
          </w:p>
        </w:tc>
      </w:tr>
      <w:tr>
        <w:trPr>
          <w:trHeight w:val="240"/>
        </w:trPr>
        <w:tc>
          <w:tcPr>
            <w:tcW w:w="460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3460" w:type="dxa"/>
            <w:vAlign w:val="bottom"/>
            <w:gridSpan w:val="2"/>
          </w:tcPr>
          <w:p>
            <w:pPr>
              <w:jc w:val="right"/>
              <w:spacing w:after="0"/>
              <w:rPr>
                <w:sz w:val="20"/>
                <w:szCs w:val="20"/>
                <w:color w:val="auto"/>
              </w:rPr>
            </w:pPr>
            <w:r>
              <w:rPr>
                <w:rFonts w:ascii="Arial" w:cs="Arial" w:eastAsia="Arial" w:hAnsi="Arial"/>
                <w:sz w:val="12"/>
                <w:szCs w:val="12"/>
                <w:color w:val="auto"/>
              </w:rPr>
              <w:t>DETACH AND RETURN THIS PORTION ONLY</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-20320</wp:posOffset>
            </wp:positionH>
            <wp:positionV relativeFrom="paragraph">
              <wp:posOffset>-156210</wp:posOffset>
            </wp:positionV>
            <wp:extent cx="7159625" cy="3365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159625" cy="33655"/>
                    </a:xfrm>
                    <a:prstGeom prst="rect">
                      <a:avLst/>
                    </a:prstGeom>
                    <a:noFill/>
                  </pic:spPr>
                </pic:pic>
              </a:graphicData>
            </a:graphic>
          </wp:anchor>
        </w:drawing>
      </w:r>
    </w:p>
    <w:p>
      <w:pPr>
        <w:spacing w:after="0" w:line="64"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THIS PROXY CARD IS VALID ONLY WHEN SIGNED AND 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30480</wp:posOffset>
            </wp:positionV>
            <wp:extent cx="7142480" cy="317690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142480" cy="3176905"/>
                    </a:xfrm>
                    <a:prstGeom prst="rect">
                      <a:avLst/>
                    </a:prstGeom>
                    <a:noFill/>
                  </pic:spPr>
                </pic:pic>
              </a:graphicData>
            </a:graphic>
          </wp:anchor>
        </w:drawing>
      </w:r>
    </w:p>
    <w:p>
      <w:pPr>
        <w:spacing w:after="0" w:line="46" w:lineRule="exact"/>
        <w:rPr>
          <w:sz w:val="20"/>
          <w:szCs w:val="20"/>
          <w:color w:val="auto"/>
        </w:rPr>
      </w:pPr>
    </w:p>
    <w:p>
      <w:pPr>
        <w:ind w:left="100"/>
        <w:spacing w:after="0"/>
        <w:rPr>
          <w:sz w:val="20"/>
          <w:szCs w:val="20"/>
          <w:color w:val="auto"/>
        </w:rPr>
      </w:pPr>
      <w:r>
        <w:rPr>
          <w:rFonts w:ascii="Arial" w:cs="Arial" w:eastAsia="Arial" w:hAnsi="Arial"/>
          <w:sz w:val="14"/>
          <w:szCs w:val="14"/>
          <w:b w:val="1"/>
          <w:bCs w:val="1"/>
          <w:color w:val="auto"/>
        </w:rPr>
        <w:t>THE TORO COMPANY</w:t>
      </w:r>
    </w:p>
    <w:p>
      <w:pPr>
        <w:spacing w:after="0" w:line="111" w:lineRule="exact"/>
        <w:rPr>
          <w:sz w:val="20"/>
          <w:szCs w:val="20"/>
          <w:color w:val="auto"/>
        </w:rPr>
      </w:pPr>
    </w:p>
    <w:p>
      <w:pPr>
        <w:ind w:left="100"/>
        <w:spacing w:after="0"/>
        <w:tabs>
          <w:tab w:leader="none" w:pos="4940" w:val="left"/>
        </w:tabs>
        <w:rPr>
          <w:sz w:val="20"/>
          <w:szCs w:val="20"/>
          <w:color w:val="auto"/>
        </w:rPr>
      </w:pPr>
      <w:r>
        <w:rPr>
          <w:rFonts w:ascii="Arial" w:cs="Arial" w:eastAsia="Arial" w:hAnsi="Arial"/>
          <w:sz w:val="12"/>
          <w:szCs w:val="12"/>
          <w:b w:val="1"/>
          <w:bCs w:val="1"/>
          <w:color w:val="auto"/>
        </w:rPr>
        <w:t>The Board of Directors recommends you vote FOR the following:</w:t>
      </w:r>
      <w:r>
        <w:rPr>
          <w:sz w:val="20"/>
          <w:szCs w:val="20"/>
          <w:color w:val="auto"/>
        </w:rPr>
        <w:tab/>
      </w:r>
      <w:r>
        <w:rPr>
          <w:rFonts w:ascii="Arial" w:cs="Arial" w:eastAsia="Arial" w:hAnsi="Arial"/>
          <w:sz w:val="12"/>
          <w:szCs w:val="12"/>
          <w:color w:val="auto"/>
        </w:rPr>
        <w:t>To withhold authority to vote for any individual nominee(s), mark “For</w:t>
      </w:r>
    </w:p>
    <w:p>
      <w:pPr>
        <w:spacing w:after="0" w:line="16" w:lineRule="exact"/>
        <w:rPr>
          <w:sz w:val="20"/>
          <w:szCs w:val="20"/>
          <w:color w:val="auto"/>
        </w:rPr>
      </w:pPr>
    </w:p>
    <w:p>
      <w:pPr>
        <w:ind w:left="4960"/>
        <w:spacing w:after="0"/>
        <w:rPr>
          <w:sz w:val="20"/>
          <w:szCs w:val="20"/>
          <w:color w:val="auto"/>
        </w:rPr>
      </w:pPr>
      <w:r>
        <w:rPr>
          <w:rFonts w:ascii="Arial" w:cs="Arial" w:eastAsia="Arial" w:hAnsi="Arial"/>
          <w:sz w:val="12"/>
          <w:szCs w:val="12"/>
          <w:color w:val="auto"/>
        </w:rPr>
        <w:t>All Except” and write the number(s) of the nominee(s) on the line</w:t>
      </w:r>
    </w:p>
    <w:p>
      <w:pPr>
        <w:ind w:left="4960"/>
        <w:spacing w:after="0"/>
        <w:rPr>
          <w:sz w:val="20"/>
          <w:szCs w:val="20"/>
          <w:color w:val="auto"/>
        </w:rPr>
      </w:pPr>
      <w:r>
        <w:rPr>
          <w:rFonts w:ascii="Arial" w:cs="Arial" w:eastAsia="Arial" w:hAnsi="Arial"/>
          <w:sz w:val="12"/>
          <w:szCs w:val="12"/>
          <w:color w:val="auto"/>
        </w:rPr>
        <w:t>below.</w:t>
      </w:r>
    </w:p>
    <w:p>
      <w:pPr>
        <w:spacing w:after="0" w:line="37" w:lineRule="exact"/>
        <w:rPr>
          <w:sz w:val="20"/>
          <w:szCs w:val="20"/>
          <w:color w:val="auto"/>
        </w:rPr>
      </w:pPr>
    </w:p>
    <w:tbl>
      <w:tblPr>
        <w:tblLayout w:type="fixed"/>
        <w:tblInd w:w="460" w:type="dxa"/>
        <w:tblCellMar>
          <w:top w:w="0" w:type="dxa"/>
          <w:left w:w="0" w:type="dxa"/>
          <w:bottom w:w="0" w:type="dxa"/>
          <w:right w:w="0" w:type="dxa"/>
        </w:tblCellMar>
      </w:tblPr>
      <w:tr>
        <w:trPr>
          <w:trHeight w:val="165"/>
        </w:trPr>
        <w:tc>
          <w:tcPr>
            <w:tcW w:w="200" w:type="dxa"/>
            <w:vAlign w:val="bottom"/>
          </w:tcPr>
          <w:p>
            <w:pPr>
              <w:jc w:val="right"/>
              <w:spacing w:after="0"/>
              <w:rPr>
                <w:sz w:val="20"/>
                <w:szCs w:val="20"/>
                <w:color w:val="auto"/>
              </w:rPr>
            </w:pPr>
            <w:r>
              <w:rPr>
                <w:rFonts w:ascii="Arial" w:cs="Arial" w:eastAsia="Arial" w:hAnsi="Arial"/>
                <w:sz w:val="12"/>
                <w:szCs w:val="12"/>
                <w:color w:val="auto"/>
              </w:rPr>
              <w:t>1.</w:t>
            </w:r>
          </w:p>
        </w:tc>
        <w:tc>
          <w:tcPr>
            <w:tcW w:w="1740" w:type="dxa"/>
            <w:vAlign w:val="bottom"/>
          </w:tcPr>
          <w:p>
            <w:pPr>
              <w:ind w:left="20"/>
              <w:spacing w:after="0"/>
              <w:rPr>
                <w:sz w:val="20"/>
                <w:szCs w:val="20"/>
                <w:color w:val="auto"/>
              </w:rPr>
            </w:pPr>
            <w:r>
              <w:rPr>
                <w:rFonts w:ascii="Arial" w:cs="Arial" w:eastAsia="Arial" w:hAnsi="Arial"/>
                <w:sz w:val="12"/>
                <w:szCs w:val="12"/>
                <w:color w:val="auto"/>
              </w:rPr>
              <w:t>Election of Directors:</w:t>
            </w:r>
          </w:p>
        </w:tc>
        <w:tc>
          <w:tcPr>
            <w:tcW w:w="8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500" w:type="dxa"/>
            <w:vAlign w:val="bottom"/>
          </w:tcPr>
          <w:p>
            <w:pPr>
              <w:spacing w:after="0"/>
              <w:rPr>
                <w:sz w:val="14"/>
                <w:szCs w:val="14"/>
                <w:color w:val="auto"/>
              </w:rPr>
            </w:pPr>
          </w:p>
        </w:tc>
      </w:tr>
      <w:tr>
        <w:trPr>
          <w:trHeight w:val="249"/>
        </w:trPr>
        <w:tc>
          <w:tcPr>
            <w:tcW w:w="200" w:type="dxa"/>
            <w:vAlign w:val="bottom"/>
          </w:tcPr>
          <w:p>
            <w:pPr>
              <w:spacing w:after="0"/>
              <w:rPr>
                <w:sz w:val="21"/>
                <w:szCs w:val="21"/>
                <w:color w:val="auto"/>
              </w:rPr>
            </w:pPr>
          </w:p>
        </w:tc>
        <w:tc>
          <w:tcPr>
            <w:tcW w:w="1740" w:type="dxa"/>
            <w:vAlign w:val="bottom"/>
          </w:tcPr>
          <w:p>
            <w:pPr>
              <w:ind w:left="20"/>
              <w:spacing w:after="0"/>
              <w:rPr>
                <w:sz w:val="20"/>
                <w:szCs w:val="20"/>
                <w:color w:val="auto"/>
              </w:rPr>
            </w:pPr>
            <w:r>
              <w:rPr>
                <w:rFonts w:ascii="Arial" w:cs="Arial" w:eastAsia="Arial" w:hAnsi="Arial"/>
                <w:sz w:val="12"/>
                <w:szCs w:val="12"/>
                <w:b w:val="1"/>
                <w:bCs w:val="1"/>
                <w:color w:val="auto"/>
              </w:rPr>
              <w:t>Nominees:</w:t>
            </w:r>
          </w:p>
        </w:tc>
        <w:tc>
          <w:tcPr>
            <w:tcW w:w="880" w:type="dxa"/>
            <w:vAlign w:val="bottom"/>
          </w:tcPr>
          <w:p>
            <w:pPr>
              <w:jc w:val="center"/>
              <w:ind w:left="409"/>
              <w:spacing w:after="0"/>
              <w:rPr>
                <w:sz w:val="20"/>
                <w:szCs w:val="20"/>
                <w:color w:val="auto"/>
              </w:rPr>
            </w:pPr>
            <w:r>
              <w:rPr>
                <w:rFonts w:ascii="Arial" w:cs="Arial" w:eastAsia="Arial" w:hAnsi="Arial"/>
                <w:sz w:val="12"/>
                <w:szCs w:val="12"/>
                <w:b w:val="1"/>
                <w:bCs w:val="1"/>
                <w:color w:val="auto"/>
              </w:rPr>
              <w:t>For</w:t>
            </w:r>
          </w:p>
        </w:tc>
        <w:tc>
          <w:tcPr>
            <w:tcW w:w="920" w:type="dxa"/>
            <w:vAlign w:val="bottom"/>
          </w:tcPr>
          <w:p>
            <w:pPr>
              <w:jc w:val="center"/>
              <w:spacing w:after="0"/>
              <w:rPr>
                <w:sz w:val="20"/>
                <w:szCs w:val="20"/>
                <w:color w:val="auto"/>
              </w:rPr>
            </w:pPr>
            <w:r>
              <w:rPr>
                <w:rFonts w:ascii="Arial" w:cs="Arial" w:eastAsia="Arial" w:hAnsi="Arial"/>
                <w:sz w:val="12"/>
                <w:szCs w:val="12"/>
                <w:b w:val="1"/>
                <w:bCs w:val="1"/>
                <w:color w:val="auto"/>
              </w:rPr>
              <w:t>Withhold All</w:t>
            </w:r>
          </w:p>
        </w:tc>
        <w:tc>
          <w:tcPr>
            <w:tcW w:w="500" w:type="dxa"/>
            <w:vAlign w:val="bottom"/>
          </w:tcPr>
          <w:p>
            <w:pPr>
              <w:jc w:val="center"/>
              <w:ind w:left="29"/>
              <w:spacing w:after="0"/>
              <w:rPr>
                <w:sz w:val="20"/>
                <w:szCs w:val="20"/>
                <w:color w:val="auto"/>
              </w:rPr>
            </w:pPr>
            <w:r>
              <w:rPr>
                <w:rFonts w:ascii="Arial" w:cs="Arial" w:eastAsia="Arial" w:hAnsi="Arial"/>
                <w:sz w:val="12"/>
                <w:szCs w:val="12"/>
                <w:b w:val="1"/>
                <w:bCs w:val="1"/>
                <w:color w:val="auto"/>
              </w:rPr>
              <w:t>For All</w:t>
            </w:r>
          </w:p>
        </w:tc>
      </w:tr>
      <w:tr>
        <w:trPr>
          <w:trHeight w:val="171"/>
        </w:trPr>
        <w:tc>
          <w:tcPr>
            <w:tcW w:w="20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880" w:type="dxa"/>
            <w:vAlign w:val="bottom"/>
          </w:tcPr>
          <w:p>
            <w:pPr>
              <w:jc w:val="center"/>
              <w:ind w:left="409"/>
              <w:spacing w:after="0"/>
              <w:rPr>
                <w:sz w:val="20"/>
                <w:szCs w:val="20"/>
                <w:color w:val="auto"/>
              </w:rPr>
            </w:pPr>
            <w:r>
              <w:rPr>
                <w:rFonts w:ascii="Arial" w:cs="Arial" w:eastAsia="Arial" w:hAnsi="Arial"/>
                <w:sz w:val="12"/>
                <w:szCs w:val="12"/>
                <w:b w:val="1"/>
                <w:bCs w:val="1"/>
                <w:color w:val="auto"/>
              </w:rPr>
              <w:t>All</w:t>
            </w:r>
          </w:p>
        </w:tc>
        <w:tc>
          <w:tcPr>
            <w:tcW w:w="920" w:type="dxa"/>
            <w:vAlign w:val="bottom"/>
          </w:tcPr>
          <w:p>
            <w:pPr>
              <w:spacing w:after="0"/>
              <w:rPr>
                <w:sz w:val="14"/>
                <w:szCs w:val="14"/>
                <w:color w:val="auto"/>
              </w:rPr>
            </w:pPr>
          </w:p>
        </w:tc>
        <w:tc>
          <w:tcPr>
            <w:tcW w:w="500" w:type="dxa"/>
            <w:vAlign w:val="bottom"/>
          </w:tcPr>
          <w:p>
            <w:pPr>
              <w:jc w:val="center"/>
              <w:ind w:left="29"/>
              <w:spacing w:after="0"/>
              <w:rPr>
                <w:sz w:val="20"/>
                <w:szCs w:val="20"/>
                <w:color w:val="auto"/>
              </w:rPr>
            </w:pPr>
            <w:r>
              <w:rPr>
                <w:rFonts w:ascii="Arial" w:cs="Arial" w:eastAsia="Arial" w:hAnsi="Arial"/>
                <w:sz w:val="12"/>
                <w:szCs w:val="12"/>
                <w:b w:val="1"/>
                <w:bCs w:val="1"/>
                <w:color w:val="auto"/>
              </w:rPr>
              <w:t>Except</w:t>
            </w:r>
          </w:p>
        </w:tc>
      </w:tr>
      <w:tr>
        <w:trPr>
          <w:trHeight w:val="290"/>
        </w:trPr>
        <w:tc>
          <w:tcPr>
            <w:tcW w:w="200" w:type="dxa"/>
            <w:vAlign w:val="bottom"/>
          </w:tcPr>
          <w:p>
            <w:pPr>
              <w:jc w:val="right"/>
              <w:spacing w:after="0"/>
              <w:rPr>
                <w:sz w:val="20"/>
                <w:szCs w:val="20"/>
                <w:color w:val="auto"/>
              </w:rPr>
            </w:pPr>
            <w:r>
              <w:rPr>
                <w:rFonts w:ascii="Arial" w:cs="Arial" w:eastAsia="Arial" w:hAnsi="Arial"/>
                <w:sz w:val="12"/>
                <w:szCs w:val="12"/>
                <w:color w:val="auto"/>
                <w:w w:val="91"/>
              </w:rPr>
              <w:t>01)</w:t>
            </w:r>
          </w:p>
        </w:tc>
        <w:tc>
          <w:tcPr>
            <w:tcW w:w="1740" w:type="dxa"/>
            <w:vAlign w:val="bottom"/>
          </w:tcPr>
          <w:p>
            <w:pPr>
              <w:ind w:left="20"/>
              <w:spacing w:after="0"/>
              <w:rPr>
                <w:sz w:val="20"/>
                <w:szCs w:val="20"/>
                <w:color w:val="auto"/>
              </w:rPr>
            </w:pPr>
            <w:r>
              <w:rPr>
                <w:rFonts w:ascii="Arial" w:cs="Arial" w:eastAsia="Arial" w:hAnsi="Arial"/>
                <w:sz w:val="12"/>
                <w:szCs w:val="12"/>
                <w:color w:val="auto"/>
              </w:rPr>
              <w:t>Jeff L. Harmening</w:t>
            </w:r>
          </w:p>
        </w:tc>
        <w:tc>
          <w:tcPr>
            <w:tcW w:w="880" w:type="dxa"/>
            <w:vAlign w:val="bottom"/>
          </w:tcPr>
          <w:p>
            <w:pPr>
              <w:jc w:val="center"/>
              <w:ind w:left="389"/>
              <w:spacing w:after="0"/>
              <w:rPr>
                <w:sz w:val="20"/>
                <w:szCs w:val="20"/>
                <w:color w:val="auto"/>
              </w:rPr>
            </w:pPr>
            <w:r>
              <w:rPr>
                <w:rFonts w:ascii="Arial" w:cs="Arial" w:eastAsia="Arial" w:hAnsi="Arial"/>
                <w:sz w:val="18"/>
                <w:szCs w:val="18"/>
                <w:color w:val="auto"/>
                <w:w w:val="99"/>
              </w:rPr>
              <w:t>o</w:t>
            </w:r>
          </w:p>
        </w:tc>
        <w:tc>
          <w:tcPr>
            <w:tcW w:w="920" w:type="dxa"/>
            <w:vAlign w:val="bottom"/>
          </w:tcPr>
          <w:p>
            <w:pPr>
              <w:jc w:val="center"/>
              <w:spacing w:after="0"/>
              <w:rPr>
                <w:sz w:val="20"/>
                <w:szCs w:val="20"/>
                <w:color w:val="auto"/>
              </w:rPr>
            </w:pPr>
            <w:r>
              <w:rPr>
                <w:rFonts w:ascii="Arial" w:cs="Arial" w:eastAsia="Arial" w:hAnsi="Arial"/>
                <w:sz w:val="18"/>
                <w:szCs w:val="18"/>
                <w:color w:val="auto"/>
                <w:w w:val="99"/>
              </w:rPr>
              <w:t>o</w:t>
            </w:r>
          </w:p>
        </w:tc>
        <w:tc>
          <w:tcPr>
            <w:tcW w:w="500" w:type="dxa"/>
            <w:vAlign w:val="bottom"/>
          </w:tcPr>
          <w:p>
            <w:pPr>
              <w:jc w:val="center"/>
              <w:ind w:left="49"/>
              <w:spacing w:after="0"/>
              <w:rPr>
                <w:sz w:val="20"/>
                <w:szCs w:val="20"/>
                <w:color w:val="auto"/>
              </w:rPr>
            </w:pPr>
            <w:r>
              <w:rPr>
                <w:rFonts w:ascii="Arial" w:cs="Arial" w:eastAsia="Arial" w:hAnsi="Arial"/>
                <w:sz w:val="18"/>
                <w:szCs w:val="18"/>
                <w:color w:val="auto"/>
                <w:w w:val="99"/>
              </w:rPr>
              <w:t>o</w:t>
            </w:r>
          </w:p>
        </w:tc>
      </w:tr>
    </w:tbl>
    <w:p>
      <w:pPr>
        <w:spacing w:after="0" w:line="100" w:lineRule="exact"/>
        <w:rPr>
          <w:sz w:val="20"/>
          <w:szCs w:val="20"/>
          <w:color w:val="auto"/>
        </w:rPr>
      </w:pPr>
    </w:p>
    <w:p>
      <w:pPr>
        <w:ind w:left="680" w:hanging="210"/>
        <w:spacing w:after="0"/>
        <w:tabs>
          <w:tab w:leader="none" w:pos="680" w:val="left"/>
        </w:tabs>
        <w:numPr>
          <w:ilvl w:val="0"/>
          <w:numId w:val="94"/>
        </w:numPr>
        <w:rPr>
          <w:rFonts w:ascii="Arial" w:cs="Arial" w:eastAsia="Arial" w:hAnsi="Arial"/>
          <w:sz w:val="12"/>
          <w:szCs w:val="12"/>
          <w:color w:val="auto"/>
        </w:rPr>
      </w:pPr>
      <w:r>
        <w:rPr>
          <w:rFonts w:ascii="Arial" w:cs="Arial" w:eastAsia="Arial" w:hAnsi="Arial"/>
          <w:sz w:val="12"/>
          <w:szCs w:val="12"/>
          <w:color w:val="auto"/>
        </w:rPr>
        <w:t>Joyce A. Mullen</w:t>
      </w:r>
    </w:p>
    <w:p>
      <w:pPr>
        <w:spacing w:after="0" w:line="128" w:lineRule="exact"/>
        <w:rPr>
          <w:rFonts w:ascii="Arial" w:cs="Arial" w:eastAsia="Arial" w:hAnsi="Arial"/>
          <w:sz w:val="12"/>
          <w:szCs w:val="12"/>
          <w:color w:val="auto"/>
        </w:rPr>
      </w:pPr>
    </w:p>
    <w:p>
      <w:pPr>
        <w:ind w:left="680" w:hanging="210"/>
        <w:spacing w:after="0"/>
        <w:tabs>
          <w:tab w:leader="none" w:pos="680" w:val="left"/>
        </w:tabs>
        <w:numPr>
          <w:ilvl w:val="0"/>
          <w:numId w:val="94"/>
        </w:numPr>
        <w:rPr>
          <w:rFonts w:ascii="Arial" w:cs="Arial" w:eastAsia="Arial" w:hAnsi="Arial"/>
          <w:sz w:val="12"/>
          <w:szCs w:val="12"/>
          <w:color w:val="auto"/>
        </w:rPr>
      </w:pPr>
      <w:r>
        <w:rPr>
          <w:rFonts w:ascii="Arial" w:cs="Arial" w:eastAsia="Arial" w:hAnsi="Arial"/>
          <w:sz w:val="12"/>
          <w:szCs w:val="12"/>
          <w:color w:val="auto"/>
        </w:rPr>
        <w:t>Richard M. Olson</w:t>
      </w:r>
    </w:p>
    <w:p>
      <w:pPr>
        <w:spacing w:after="0" w:line="102" w:lineRule="exact"/>
        <w:rPr>
          <w:rFonts w:ascii="Arial" w:cs="Arial" w:eastAsia="Arial" w:hAnsi="Arial"/>
          <w:sz w:val="12"/>
          <w:szCs w:val="12"/>
          <w:color w:val="auto"/>
        </w:rPr>
      </w:pPr>
    </w:p>
    <w:p>
      <w:pPr>
        <w:ind w:left="680" w:hanging="210"/>
        <w:spacing w:after="0"/>
        <w:tabs>
          <w:tab w:leader="none" w:pos="680" w:val="left"/>
        </w:tabs>
        <w:numPr>
          <w:ilvl w:val="0"/>
          <w:numId w:val="94"/>
        </w:numPr>
        <w:rPr>
          <w:rFonts w:ascii="Arial" w:cs="Arial" w:eastAsia="Arial" w:hAnsi="Arial"/>
          <w:sz w:val="12"/>
          <w:szCs w:val="12"/>
          <w:color w:val="auto"/>
        </w:rPr>
      </w:pPr>
      <w:r>
        <w:rPr>
          <w:rFonts w:ascii="Arial" w:cs="Arial" w:eastAsia="Arial" w:hAnsi="Arial"/>
          <w:sz w:val="12"/>
          <w:szCs w:val="12"/>
          <w:color w:val="auto"/>
        </w:rPr>
        <w:t>James C. O’Rourke</w:t>
      </w:r>
    </w:p>
    <w:p>
      <w:pPr>
        <w:spacing w:after="0" w:line="102" w:lineRule="exact"/>
        <w:rPr>
          <w:sz w:val="20"/>
          <w:szCs w:val="20"/>
          <w:color w:val="auto"/>
        </w:rPr>
      </w:pPr>
    </w:p>
    <w:p>
      <w:pPr>
        <w:ind w:left="100"/>
        <w:spacing w:after="0"/>
        <w:tabs>
          <w:tab w:leader="none" w:pos="8360" w:val="left"/>
          <w:tab w:leader="none" w:pos="9020" w:val="left"/>
          <w:tab w:leader="none" w:pos="10020" w:val="left"/>
        </w:tabs>
        <w:rPr>
          <w:sz w:val="20"/>
          <w:szCs w:val="20"/>
          <w:color w:val="auto"/>
        </w:rPr>
      </w:pPr>
      <w:r>
        <w:rPr>
          <w:rFonts w:ascii="Arial" w:cs="Arial" w:eastAsia="Arial" w:hAnsi="Arial"/>
          <w:sz w:val="12"/>
          <w:szCs w:val="12"/>
          <w:b w:val="1"/>
          <w:bCs w:val="1"/>
          <w:color w:val="auto"/>
        </w:rPr>
        <w:t>The Board of Directors recommends you vote FOR proposals 2 and 3:</w:t>
      </w:r>
      <w:r>
        <w:rPr>
          <w:sz w:val="20"/>
          <w:szCs w:val="20"/>
          <w:color w:val="auto"/>
        </w:rPr>
        <w:tab/>
      </w:r>
      <w:r>
        <w:rPr>
          <w:rFonts w:ascii="Arial" w:cs="Arial" w:eastAsia="Arial" w:hAnsi="Arial"/>
          <w:sz w:val="12"/>
          <w:szCs w:val="12"/>
          <w:b w:val="1"/>
          <w:bCs w:val="1"/>
          <w:color w:val="auto"/>
        </w:rPr>
        <w:t>For</w:t>
      </w:r>
      <w:r>
        <w:rPr>
          <w:sz w:val="20"/>
          <w:szCs w:val="20"/>
          <w:color w:val="auto"/>
        </w:rPr>
        <w:tab/>
      </w:r>
      <w:r>
        <w:rPr>
          <w:rFonts w:ascii="Arial" w:cs="Arial" w:eastAsia="Arial" w:hAnsi="Arial"/>
          <w:sz w:val="12"/>
          <w:szCs w:val="12"/>
          <w:b w:val="1"/>
          <w:bCs w:val="1"/>
          <w:color w:val="auto"/>
        </w:rPr>
        <w:t>Against</w:t>
      </w:r>
      <w:r>
        <w:rPr>
          <w:sz w:val="20"/>
          <w:szCs w:val="20"/>
          <w:color w:val="auto"/>
        </w:rPr>
        <w:tab/>
      </w:r>
      <w:r>
        <w:rPr>
          <w:rFonts w:ascii="Arial" w:cs="Arial" w:eastAsia="Arial" w:hAnsi="Arial"/>
          <w:sz w:val="12"/>
          <w:szCs w:val="12"/>
          <w:b w:val="1"/>
          <w:bCs w:val="1"/>
          <w:color w:val="auto"/>
        </w:rPr>
        <w:t>Abstain</w:t>
      </w:r>
    </w:p>
    <w:p>
      <w:pPr>
        <w:sectPr>
          <w:pgSz w:w="11900" w:h="16838" w:orient="portrait"/>
          <w:cols w:equalWidth="0" w:num="1">
            <w:col w:w="11200"/>
          </w:cols>
          <w:pgMar w:left="340" w:top="1440" w:right="359" w:bottom="1440" w:gutter="0" w:footer="0" w:header="0"/>
        </w:sectPr>
      </w:pPr>
    </w:p>
    <w:p>
      <w:pPr>
        <w:spacing w:after="0" w:line="102" w:lineRule="exact"/>
        <w:rPr>
          <w:sz w:val="20"/>
          <w:szCs w:val="20"/>
          <w:color w:val="auto"/>
        </w:rPr>
      </w:pPr>
    </w:p>
    <w:p>
      <w:pPr>
        <w:ind w:left="680" w:right="2700" w:hanging="134"/>
        <w:spacing w:after="0" w:line="301" w:lineRule="auto"/>
        <w:tabs>
          <w:tab w:leader="none" w:pos="680" w:val="left"/>
        </w:tabs>
        <w:numPr>
          <w:ilvl w:val="0"/>
          <w:numId w:val="95"/>
        </w:numPr>
        <w:rPr>
          <w:rFonts w:ascii="Arial" w:cs="Arial" w:eastAsia="Arial" w:hAnsi="Arial"/>
          <w:sz w:val="12"/>
          <w:szCs w:val="12"/>
          <w:color w:val="auto"/>
        </w:rPr>
      </w:pPr>
      <w:r>
        <w:rPr>
          <w:rFonts w:ascii="Arial" w:cs="Arial" w:eastAsia="Arial" w:hAnsi="Arial"/>
          <w:sz w:val="12"/>
          <w:szCs w:val="12"/>
          <w:color w:val="auto"/>
        </w:rPr>
        <w:t>Ratification of the selection of KPMG LLP as our independent registered public accounting firm for our fiscal year ending October 31, 2025.</w:t>
      </w:r>
    </w:p>
    <w:p>
      <w:pPr>
        <w:spacing w:after="0" w:line="40" w:lineRule="exact"/>
        <w:rPr>
          <w:rFonts w:ascii="Arial" w:cs="Arial" w:eastAsia="Arial" w:hAnsi="Arial"/>
          <w:sz w:val="12"/>
          <w:szCs w:val="12"/>
          <w:color w:val="auto"/>
        </w:rPr>
      </w:pPr>
    </w:p>
    <w:p>
      <w:pPr>
        <w:ind w:left="680" w:hanging="134"/>
        <w:spacing w:after="0"/>
        <w:tabs>
          <w:tab w:leader="none" w:pos="680" w:val="left"/>
        </w:tabs>
        <w:numPr>
          <w:ilvl w:val="0"/>
          <w:numId w:val="95"/>
        </w:numPr>
        <w:rPr>
          <w:rFonts w:ascii="Arial" w:cs="Arial" w:eastAsia="Arial" w:hAnsi="Arial"/>
          <w:sz w:val="12"/>
          <w:szCs w:val="12"/>
          <w:color w:val="auto"/>
        </w:rPr>
      </w:pPr>
      <w:r>
        <w:rPr>
          <w:rFonts w:ascii="Arial" w:cs="Arial" w:eastAsia="Arial" w:hAnsi="Arial"/>
          <w:sz w:val="12"/>
          <w:szCs w:val="12"/>
          <w:color w:val="auto"/>
        </w:rPr>
        <w:t>Approval of, on an advisory basis, our executive compensation.</w:t>
      </w:r>
    </w:p>
    <w:p>
      <w:pPr>
        <w:spacing w:after="0" w:line="200" w:lineRule="exact"/>
        <w:rPr>
          <w:sz w:val="20"/>
          <w:szCs w:val="20"/>
          <w:color w:val="auto"/>
        </w:rPr>
      </w:pPr>
    </w:p>
    <w:p>
      <w:pPr>
        <w:spacing w:after="0" w:line="249" w:lineRule="exact"/>
        <w:rPr>
          <w:sz w:val="20"/>
          <w:szCs w:val="20"/>
          <w:color w:val="auto"/>
        </w:rPr>
      </w:pPr>
    </w:p>
    <w:p>
      <w:pPr>
        <w:ind w:left="100" w:right="280"/>
        <w:spacing w:after="0" w:line="301" w:lineRule="auto"/>
        <w:rPr>
          <w:sz w:val="20"/>
          <w:szCs w:val="20"/>
          <w:color w:val="auto"/>
        </w:rPr>
      </w:pPr>
      <w:r>
        <w:rPr>
          <w:rFonts w:ascii="Arial" w:cs="Arial" w:eastAsia="Arial" w:hAnsi="Arial"/>
          <w:sz w:val="12"/>
          <w:szCs w:val="12"/>
          <w:b w:val="1"/>
          <w:bCs w:val="1"/>
          <w:color w:val="auto"/>
        </w:rPr>
        <w:t xml:space="preserve">NOTE: </w:t>
      </w:r>
      <w:r>
        <w:rPr>
          <w:rFonts w:ascii="Arial" w:cs="Arial" w:eastAsia="Arial" w:hAnsi="Arial"/>
          <w:sz w:val="12"/>
          <w:szCs w:val="12"/>
          <w:color w:val="auto"/>
        </w:rPr>
        <w:t>In their discretion, the proxies are authorized to vote on any other business properly brought before the annual meeting or any</w:t>
      </w:r>
      <w:r>
        <w:rPr>
          <w:rFonts w:ascii="Arial" w:cs="Arial" w:eastAsia="Arial" w:hAnsi="Arial"/>
          <w:sz w:val="12"/>
          <w:szCs w:val="12"/>
          <w:b w:val="1"/>
          <w:bCs w:val="1"/>
          <w:color w:val="auto"/>
        </w:rPr>
        <w:t xml:space="preserve"> </w:t>
      </w:r>
      <w:r>
        <w:rPr>
          <w:rFonts w:ascii="Arial" w:cs="Arial" w:eastAsia="Arial" w:hAnsi="Arial"/>
          <w:sz w:val="12"/>
          <w:szCs w:val="12"/>
          <w:color w:val="auto"/>
        </w:rPr>
        <w:t>adjournment or postponement of the annual meeting.</w:t>
      </w:r>
    </w:p>
    <w:p>
      <w:pPr>
        <w:spacing w:after="0" w:line="20" w:lineRule="exact"/>
        <w:rPr>
          <w:sz w:val="20"/>
          <w:szCs w:val="20"/>
          <w:color w:val="auto"/>
        </w:rPr>
      </w:pPr>
      <w:r>
        <w:rPr>
          <w:sz w:val="20"/>
          <w:szCs w:val="20"/>
          <w:color w:val="auto"/>
        </w:rPr>
        <w:br w:type="column"/>
      </w:r>
    </w:p>
    <w:p>
      <w:pPr>
        <w:spacing w:after="0" w:line="70" w:lineRule="exact"/>
        <w:rPr>
          <w:sz w:val="20"/>
          <w:szCs w:val="20"/>
          <w:color w:val="auto"/>
        </w:rPr>
      </w:pPr>
    </w:p>
    <w:p>
      <w:pPr>
        <w:spacing w:after="0"/>
        <w:tabs>
          <w:tab w:leader="none" w:pos="760" w:val="left"/>
          <w:tab w:leader="none" w:pos="1760" w:val="left"/>
        </w:tabs>
        <w:rPr>
          <w:sz w:val="20"/>
          <w:szCs w:val="20"/>
          <w:color w:val="auto"/>
        </w:rPr>
      </w:pPr>
      <w:r>
        <w:rPr>
          <w:rFonts w:ascii="Arial" w:cs="Arial" w:eastAsia="Arial" w:hAnsi="Arial"/>
          <w:sz w:val="18"/>
          <w:szCs w:val="18"/>
          <w:color w:val="auto"/>
        </w:rPr>
        <w:t>o</w:t>
      </w:r>
      <w:r>
        <w:rPr>
          <w:sz w:val="20"/>
          <w:szCs w:val="20"/>
          <w:color w:val="auto"/>
        </w:rPr>
        <w:tab/>
      </w:r>
      <w:r>
        <w:rPr>
          <w:rFonts w:ascii="Arial" w:cs="Arial" w:eastAsia="Arial" w:hAnsi="Arial"/>
          <w:sz w:val="18"/>
          <w:szCs w:val="18"/>
          <w:color w:val="auto"/>
        </w:rPr>
        <w:t>o</w:t>
      </w:r>
      <w:r>
        <w:rPr>
          <w:sz w:val="20"/>
          <w:szCs w:val="20"/>
          <w:color w:val="auto"/>
        </w:rPr>
        <w:tab/>
      </w:r>
      <w:r>
        <w:rPr>
          <w:rFonts w:ascii="Arial" w:cs="Arial" w:eastAsia="Arial" w:hAnsi="Arial"/>
          <w:sz w:val="17"/>
          <w:szCs w:val="17"/>
          <w:color w:val="auto"/>
        </w:rPr>
        <w:t>o</w:t>
      </w:r>
    </w:p>
    <w:p>
      <w:pPr>
        <w:spacing w:after="0" w:line="180" w:lineRule="exact"/>
        <w:rPr>
          <w:sz w:val="20"/>
          <w:szCs w:val="20"/>
          <w:color w:val="auto"/>
        </w:rPr>
      </w:pPr>
    </w:p>
    <w:p>
      <w:pPr>
        <w:spacing w:after="0"/>
        <w:tabs>
          <w:tab w:leader="none" w:pos="760" w:val="left"/>
          <w:tab w:leader="none" w:pos="1760" w:val="left"/>
        </w:tabs>
        <w:rPr>
          <w:sz w:val="20"/>
          <w:szCs w:val="20"/>
          <w:color w:val="auto"/>
        </w:rPr>
      </w:pPr>
      <w:r>
        <w:rPr>
          <w:rFonts w:ascii="Arial" w:cs="Arial" w:eastAsia="Arial" w:hAnsi="Arial"/>
          <w:sz w:val="18"/>
          <w:szCs w:val="18"/>
          <w:color w:val="auto"/>
        </w:rPr>
        <w:t>o</w:t>
      </w:r>
      <w:r>
        <w:rPr>
          <w:sz w:val="20"/>
          <w:szCs w:val="20"/>
          <w:color w:val="auto"/>
        </w:rPr>
        <w:tab/>
      </w:r>
      <w:r>
        <w:rPr>
          <w:rFonts w:ascii="Arial" w:cs="Arial" w:eastAsia="Arial" w:hAnsi="Arial"/>
          <w:sz w:val="18"/>
          <w:szCs w:val="18"/>
          <w:color w:val="auto"/>
        </w:rPr>
        <w:t>o</w:t>
      </w:r>
      <w:r>
        <w:rPr>
          <w:sz w:val="20"/>
          <w:szCs w:val="20"/>
          <w:color w:val="auto"/>
        </w:rPr>
        <w:tab/>
      </w:r>
      <w:r>
        <w:rPr>
          <w:rFonts w:ascii="Arial" w:cs="Arial" w:eastAsia="Arial" w:hAnsi="Arial"/>
          <w:sz w:val="17"/>
          <w:szCs w:val="17"/>
          <w:color w:val="auto"/>
        </w:rPr>
        <w:t>o</w:t>
      </w:r>
    </w:p>
    <w:p>
      <w:pPr>
        <w:spacing w:after="0" w:line="779" w:lineRule="exact"/>
        <w:rPr>
          <w:sz w:val="20"/>
          <w:szCs w:val="20"/>
          <w:color w:val="auto"/>
        </w:rPr>
      </w:pPr>
    </w:p>
    <w:p>
      <w:pPr>
        <w:sectPr>
          <w:pgSz w:w="11900" w:h="16838" w:orient="portrait"/>
          <w:cols w:equalWidth="0" w:num="2">
            <w:col w:w="7720" w:space="720"/>
            <w:col w:w="2760"/>
          </w:cols>
          <w:pgMar w:left="340" w:top="1440" w:right="359" w:bottom="1440" w:gutter="0" w:footer="0" w:header="0"/>
          <w:type w:val="continuous"/>
        </w:sectPr>
      </w:pPr>
    </w:p>
    <w:p>
      <w:pPr>
        <w:ind w:left="100" w:right="620"/>
        <w:spacing w:after="0" w:line="301" w:lineRule="auto"/>
        <w:rPr>
          <w:sz w:val="20"/>
          <w:szCs w:val="20"/>
          <w:color w:val="auto"/>
        </w:rPr>
      </w:pPr>
      <w:r>
        <w:rPr>
          <w:rFonts w:ascii="Arial" w:cs="Arial" w:eastAsia="Arial" w:hAnsi="Arial"/>
          <w:sz w:val="12"/>
          <w:szCs w:val="12"/>
          <w:color w:val="auto"/>
        </w:rPr>
        <w:t>Please sign exactly as your name(s) appear(s) on this proxy. If held in joint tenancy, all persons must sign. Trustees, administrators, etc., should include title and authority. Corporations should provide full name of corporation and title of authorized officer signing the proxy.</w:t>
      </w:r>
    </w:p>
    <w:p>
      <w:pPr>
        <w:spacing w:after="0" w:line="388" w:lineRule="exact"/>
        <w:rPr>
          <w:sz w:val="20"/>
          <w:szCs w:val="20"/>
          <w:color w:val="auto"/>
        </w:rPr>
      </w:pPr>
    </w:p>
    <w:p>
      <w:pPr>
        <w:ind w:left="100"/>
        <w:spacing w:after="0"/>
        <w:tabs>
          <w:tab w:leader="none" w:pos="4140" w:val="left"/>
          <w:tab w:leader="none" w:pos="5180" w:val="left"/>
          <w:tab w:leader="none" w:pos="9620" w:val="left"/>
        </w:tabs>
        <w:rPr>
          <w:sz w:val="20"/>
          <w:szCs w:val="20"/>
          <w:color w:val="auto"/>
        </w:rPr>
      </w:pPr>
      <w:r>
        <w:rPr>
          <w:rFonts w:ascii="Arial" w:cs="Arial" w:eastAsia="Arial" w:hAnsi="Arial"/>
          <w:sz w:val="12"/>
          <w:szCs w:val="12"/>
          <w:color w:val="auto"/>
        </w:rPr>
        <w:t>Signature [PLEASE SIGN WITHIN BOX]</w:t>
      </w:r>
      <w:r>
        <w:rPr>
          <w:sz w:val="20"/>
          <w:szCs w:val="20"/>
          <w:color w:val="auto"/>
        </w:rPr>
        <w:tab/>
      </w:r>
      <w:r>
        <w:rPr>
          <w:rFonts w:ascii="Arial" w:cs="Arial" w:eastAsia="Arial" w:hAnsi="Arial"/>
          <w:sz w:val="12"/>
          <w:szCs w:val="12"/>
          <w:color w:val="auto"/>
        </w:rPr>
        <w:t>Date</w:t>
      </w:r>
      <w:r>
        <w:rPr>
          <w:sz w:val="20"/>
          <w:szCs w:val="20"/>
          <w:color w:val="auto"/>
        </w:rPr>
        <w:tab/>
      </w:r>
      <w:r>
        <w:rPr>
          <w:rFonts w:ascii="Arial" w:cs="Arial" w:eastAsia="Arial" w:hAnsi="Arial"/>
          <w:sz w:val="12"/>
          <w:szCs w:val="12"/>
          <w:color w:val="auto"/>
        </w:rPr>
        <w:t>Signature (Joint Owners)</w:t>
      </w:r>
      <w:r>
        <w:rPr>
          <w:sz w:val="20"/>
          <w:szCs w:val="20"/>
          <w:color w:val="auto"/>
        </w:rPr>
        <w:tab/>
      </w:r>
      <w:r>
        <w:rPr>
          <w:rFonts w:ascii="Arial" w:cs="Arial" w:eastAsia="Arial" w:hAnsi="Arial"/>
          <w:sz w:val="12"/>
          <w:szCs w:val="12"/>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-20320</wp:posOffset>
            </wp:positionH>
            <wp:positionV relativeFrom="paragraph">
              <wp:posOffset>1571625</wp:posOffset>
            </wp:positionV>
            <wp:extent cx="7159625" cy="4254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00"/>
          </w:cols>
          <w:pgMar w:left="340" w:top="1440" w:right="359" w:bottom="1440" w:gutter="0" w:footer="0" w:header="0"/>
          <w:type w:val="continuous"/>
        </w:sectPr>
      </w:pPr>
    </w:p>
    <w:bookmarkStart w:id="87" w:name="page88"/>
    <w:bookmarkEnd w:id="87"/>
    <w:p>
      <w:pPr>
        <w:jc w:val="center"/>
        <w:ind w:right="-39"/>
        <w:spacing w:after="0"/>
        <w:rPr>
          <w:sz w:val="20"/>
          <w:szCs w:val="20"/>
          <w:color w:val="auto"/>
        </w:rPr>
      </w:pPr>
      <w:r>
        <w:rPr>
          <w:rFonts w:ascii="Arial" w:cs="Arial" w:eastAsia="Arial" w:hAnsi="Arial"/>
          <w:sz w:val="18"/>
          <w:szCs w:val="18"/>
          <w:b w:val="1"/>
          <w:bCs w:val="1"/>
          <w:color w:val="auto"/>
        </w:rPr>
        <w:t>THE TORO COMPANY</w:t>
      </w:r>
    </w:p>
    <w:p>
      <w:pPr>
        <w:spacing w:after="0" w:line="11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ANNUAL MEETING OF SHAREHOLDERS</w:t>
      </w:r>
    </w:p>
    <w:p>
      <w:pPr>
        <w:spacing w:after="0" w:line="11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Tuesday, March 18, 2025</w:t>
      </w:r>
    </w:p>
    <w:p>
      <w:pPr>
        <w:spacing w:after="0" w:line="11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2:00 p.m. CDT</w:t>
      </w:r>
    </w:p>
    <w:p>
      <w:pPr>
        <w:spacing w:after="0" w:line="11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www.virtualshareholdermeeting.com/TTC2025</w:t>
      </w:r>
    </w:p>
    <w:p>
      <w:pPr>
        <w:spacing w:after="0" w:line="200" w:lineRule="exact"/>
        <w:rPr>
          <w:sz w:val="20"/>
          <w:szCs w:val="20"/>
          <w:color w:val="auto"/>
        </w:rPr>
      </w:pPr>
    </w:p>
    <w:p>
      <w:pPr>
        <w:spacing w:after="0" w:line="203" w:lineRule="exact"/>
        <w:rPr>
          <w:sz w:val="20"/>
          <w:szCs w:val="20"/>
          <w:color w:val="auto"/>
        </w:rPr>
      </w:pPr>
    </w:p>
    <w:p>
      <w:pPr>
        <w:jc w:val="center"/>
        <w:ind w:right="-39"/>
        <w:spacing w:after="0"/>
        <w:rPr>
          <w:sz w:val="20"/>
          <w:szCs w:val="20"/>
          <w:color w:val="auto"/>
        </w:rPr>
      </w:pPr>
      <w:r>
        <w:rPr>
          <w:rFonts w:ascii="Arial" w:cs="Arial" w:eastAsia="Arial" w:hAnsi="Arial"/>
          <w:sz w:val="14"/>
          <w:szCs w:val="14"/>
          <w:b w:val="1"/>
          <w:bCs w:val="1"/>
          <w:color w:val="363435"/>
        </w:rPr>
        <w:t>Important Notice Regarding the Availability of Proxy Materials for the Annual Meeting:</w:t>
      </w:r>
    </w:p>
    <w:p>
      <w:pPr>
        <w:spacing w:after="0" w:line="52"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The Notice &amp; Proxy Statement for the Annual Meeting of Shareholders on March 18, 2025, and</w:t>
      </w:r>
    </w:p>
    <w:p>
      <w:pPr>
        <w:spacing w:after="0" w:line="13"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our 2024 Annual Report are available at www.thetorocompany.com/proxy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356235</wp:posOffset>
            </wp:positionV>
            <wp:extent cx="7159625" cy="293560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159625" cy="29356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8111 Lyndale Avenue South</w:t>
      </w:r>
    </w:p>
    <w:p>
      <w:pPr>
        <w:spacing w:after="0" w:line="1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Bloomington, MN 55420</w:t>
      </w:r>
    </w:p>
    <w:p>
      <w:pPr>
        <w:spacing w:after="0" w:line="65"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auto"/>
        </w:rPr>
        <w:t>Proxy</w:t>
      </w:r>
    </w:p>
    <w:p>
      <w:pPr>
        <w:spacing w:after="0" w:line="306" w:lineRule="exact"/>
        <w:rPr>
          <w:sz w:val="20"/>
          <w:szCs w:val="20"/>
          <w:color w:val="auto"/>
        </w:rPr>
      </w:pPr>
    </w:p>
    <w:p>
      <w:pPr>
        <w:spacing w:after="0"/>
        <w:rPr>
          <w:sz w:val="20"/>
          <w:szCs w:val="20"/>
          <w:color w:val="auto"/>
        </w:rPr>
      </w:pPr>
      <w:r>
        <w:rPr>
          <w:rFonts w:ascii="Arial" w:cs="Arial" w:eastAsia="Arial" w:hAnsi="Arial"/>
          <w:sz w:val="14"/>
          <w:szCs w:val="14"/>
          <w:b w:val="1"/>
          <w:bCs w:val="1"/>
          <w:color w:val="231F20"/>
        </w:rPr>
        <w:t>This proxy is solicited on behalf of the Board of Directors for use at the Annual Meeting on March 18, 2025.</w:t>
      </w:r>
    </w:p>
    <w:p>
      <w:pPr>
        <w:spacing w:after="0" w:line="293" w:lineRule="exact"/>
        <w:rPr>
          <w:sz w:val="20"/>
          <w:szCs w:val="20"/>
          <w:color w:val="auto"/>
        </w:rPr>
      </w:pPr>
    </w:p>
    <w:p>
      <w:pPr>
        <w:jc w:val="both"/>
        <w:spacing w:after="0" w:line="258" w:lineRule="auto"/>
        <w:rPr>
          <w:sz w:val="20"/>
          <w:szCs w:val="20"/>
          <w:color w:val="auto"/>
        </w:rPr>
      </w:pPr>
      <w:r>
        <w:rPr>
          <w:rFonts w:ascii="Arial" w:cs="Arial" w:eastAsia="Arial" w:hAnsi="Arial"/>
          <w:sz w:val="14"/>
          <w:szCs w:val="14"/>
          <w:color w:val="231F20"/>
        </w:rPr>
        <w:t>The shares of stock held in this account will be voted as you specify on the reverse side or by telephone or Internet. Shares held in employee benefit plans for which a proxy is not received will be voted by the trustee in the same proportion as votes actually cast by plan participants.</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b w:val="1"/>
          <w:bCs w:val="1"/>
          <w:color w:val="231F20"/>
        </w:rPr>
        <w:t>If no choice is specified, the proxy will be voted "For" all nominees for Director and "For" Proposals 2 and 3.</w:t>
      </w:r>
    </w:p>
    <w:p>
      <w:pPr>
        <w:spacing w:after="0" w:line="52" w:lineRule="exact"/>
        <w:rPr>
          <w:sz w:val="20"/>
          <w:szCs w:val="20"/>
          <w:color w:val="auto"/>
        </w:rPr>
      </w:pPr>
    </w:p>
    <w:p>
      <w:pPr>
        <w:jc w:val="both"/>
        <w:spacing w:after="0" w:line="239" w:lineRule="auto"/>
        <w:rPr>
          <w:sz w:val="20"/>
          <w:szCs w:val="20"/>
          <w:color w:val="auto"/>
        </w:rPr>
      </w:pPr>
      <w:r>
        <w:rPr>
          <w:rFonts w:ascii="Arial" w:cs="Arial" w:eastAsia="Arial" w:hAnsi="Arial"/>
          <w:sz w:val="14"/>
          <w:szCs w:val="14"/>
          <w:color w:val="231F20"/>
        </w:rPr>
        <w:t>By signing, dating and returning this proxy card, you revoke all prior proxies, including any proxy previously given by telephone or Internet, and appoint R. M. Olson and J. M. Totsky, or either of them, with full power of substitution, to vote these shares on the matters shown on the reverse side and on any other business properly brought before the annual meeting or any adjournment or postponement of the annual meeting.</w:t>
      </w: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Continued and to be signed on reverse side</w:t>
      </w:r>
    </w:p>
    <w:sectPr>
      <w:pgSz w:w="11900" w:h="16838" w:orient="portrait"/>
      <w:cols w:equalWidth="0" w:num="1">
        <w:col w:w="10620"/>
      </w:cols>
      <w:pgMar w:left="620" w:top="1321" w:right="6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644A45C"/>
    <w:multiLevelType w:val="hybridMultilevel"/>
    <w:lvl w:ilvl="0">
      <w:lvlJc w:val="left"/>
      <w:lvlText w:val="☐"/>
      <w:numFmt w:val="bullet"/>
      <w:start w:val="1"/>
    </w:lvl>
  </w:abstractNum>
  <w:abstractNum w:abstractNumId="1">
    <w:nsid w:val="32FFF902"/>
    <w:multiLevelType w:val="hybridMultilevel"/>
    <w:lvl w:ilvl="0">
      <w:lvlJc w:val="left"/>
      <w:lvlText w:val="☒"/>
      <w:numFmt w:val="bullet"/>
      <w:start w:val="1"/>
    </w:lvl>
  </w:abstractNum>
  <w:abstractNum w:abstractNumId="2">
    <w:nsid w:val="684A481A"/>
    <w:multiLevelType w:val="hybridMultilevel"/>
    <w:lvl w:ilvl="0">
      <w:lvlJc w:val="left"/>
      <w:lvlText w:val="☐"/>
      <w:numFmt w:val="bullet"/>
      <w:start w:val="1"/>
    </w:lvl>
  </w:abstractNum>
  <w:abstractNum w:abstractNumId="3">
    <w:nsid w:val="579478FE"/>
    <w:multiLevelType w:val="hybridMultilevel"/>
    <w:lvl w:ilvl="0">
      <w:lvlJc w:val="left"/>
      <w:lvlText w:val="☒"/>
      <w:numFmt w:val="bullet"/>
      <w:start w:val="1"/>
    </w:lvl>
  </w:abstractNum>
  <w:abstractNum w:abstractNumId="4">
    <w:nsid w:val="749ABB43"/>
    <w:multiLevelType w:val="hybridMultilevel"/>
    <w:lvl w:ilvl="0">
      <w:lvlJc w:val="left"/>
      <w:lvlText w:val="☐"/>
      <w:numFmt w:val="bullet"/>
      <w:start w:val="1"/>
    </w:lvl>
  </w:abstractNum>
  <w:abstractNum w:abstractNumId="5">
    <w:nsid w:val="3DC240FB"/>
    <w:multiLevelType w:val="hybridMultilevel"/>
    <w:lvl w:ilvl="0">
      <w:lvlJc w:val="left"/>
      <w:lvlText w:val="•"/>
      <w:numFmt w:val="bullet"/>
      <w:start w:val="1"/>
    </w:lvl>
  </w:abstractNum>
  <w:abstractNum w:abstractNumId="6">
    <w:nsid w:val="1BA026FA"/>
    <w:multiLevelType w:val="hybridMultilevel"/>
    <w:lvl w:ilvl="0">
      <w:lvlJc w:val="left"/>
      <w:lvlText w:val="✓"/>
      <w:numFmt w:val="bullet"/>
      <w:start w:val="1"/>
    </w:lvl>
  </w:abstractNum>
  <w:abstractNum w:abstractNumId="7">
    <w:nsid w:val="79A1DEAA"/>
    <w:multiLevelType w:val="hybridMultilevel"/>
    <w:lvl w:ilvl="0">
      <w:lvlJc w:val="left"/>
      <w:lvlText w:val="✓"/>
      <w:numFmt w:val="bullet"/>
      <w:start w:val="1"/>
    </w:lvl>
  </w:abstractNum>
  <w:abstractNum w:abstractNumId="8">
    <w:nsid w:val="75C6C33A"/>
    <w:multiLevelType w:val="hybridMultilevel"/>
    <w:lvl w:ilvl="0">
      <w:lvlJc w:val="left"/>
      <w:lvlText w:val="✓"/>
      <w:numFmt w:val="bullet"/>
      <w:start w:val="1"/>
    </w:lvl>
  </w:abstractNum>
  <w:abstractNum w:abstractNumId="9">
    <w:nsid w:val="12E685FB"/>
    <w:multiLevelType w:val="hybridMultilevel"/>
    <w:lvl w:ilvl="0">
      <w:lvlJc w:val="left"/>
      <w:lvlText w:val="✓"/>
      <w:numFmt w:val="bullet"/>
      <w:start w:val="1"/>
    </w:lvl>
  </w:abstractNum>
  <w:abstractNum w:abstractNumId="10">
    <w:nsid w:val="70C6A529"/>
    <w:multiLevelType w:val="hybridMultilevel"/>
    <w:lvl w:ilvl="0">
      <w:lvlJc w:val="left"/>
      <w:lvlText w:val="Х"/>
      <w:numFmt w:val="bullet"/>
      <w:start w:val="1"/>
    </w:lvl>
  </w:abstractNum>
  <w:abstractNum w:abstractNumId="11">
    <w:nsid w:val="520EEDD1"/>
    <w:multiLevelType w:val="hybridMultilevel"/>
    <w:lvl w:ilvl="0">
      <w:lvlJc w:val="left"/>
      <w:lvlText w:val="%1."/>
      <w:numFmt w:val="decimal"/>
      <w:start w:val="2"/>
    </w:lvl>
  </w:abstractNum>
  <w:abstractNum w:abstractNumId="12">
    <w:nsid w:val="374A3FE6"/>
    <w:multiLevelType w:val="hybridMultilevel"/>
    <w:lvl w:ilvl="0">
      <w:lvlJc w:val="left"/>
      <w:lvlText w:val="%1."/>
      <w:numFmt w:val="decimal"/>
      <w:start w:val="1"/>
    </w:lvl>
  </w:abstractNum>
  <w:abstractNum w:abstractNumId="13">
    <w:nsid w:val="4F4EF005"/>
    <w:multiLevelType w:val="hybridMultilevel"/>
    <w:lvl w:ilvl="0">
      <w:lvlJc w:val="left"/>
      <w:lvlText w:val="%1."/>
      <w:numFmt w:val="decimal"/>
      <w:start w:val="1"/>
    </w:lvl>
  </w:abstractNum>
  <w:abstractNum w:abstractNumId="14">
    <w:nsid w:val="23F9C13C"/>
    <w:multiLevelType w:val="hybridMultilevel"/>
    <w:lvl w:ilvl="0">
      <w:lvlJc w:val="left"/>
      <w:lvlText w:val="•"/>
      <w:numFmt w:val="bullet"/>
      <w:start w:val="1"/>
    </w:lvl>
  </w:abstractNum>
  <w:abstractNum w:abstractNumId="15">
    <w:nsid w:val="649BB77C"/>
    <w:multiLevelType w:val="hybridMultilevel"/>
    <w:lvl w:ilvl="0">
      <w:lvlJc w:val="left"/>
      <w:lvlText w:val="•"/>
      <w:numFmt w:val="bullet"/>
      <w:start w:val="1"/>
    </w:lvl>
  </w:abstractNum>
  <w:abstractNum w:abstractNumId="16">
    <w:nsid w:val="275AC794"/>
    <w:multiLevelType w:val="hybridMultilevel"/>
    <w:lvl w:ilvl="0">
      <w:lvlJc w:val="left"/>
      <w:lvlText w:val="•"/>
      <w:numFmt w:val="bullet"/>
      <w:start w:val="1"/>
    </w:lvl>
  </w:abstractNum>
  <w:abstractNum w:abstractNumId="17">
    <w:nsid w:val="39386575"/>
    <w:multiLevelType w:val="hybridMultilevel"/>
    <w:lvl w:ilvl="0">
      <w:lvlJc w:val="left"/>
      <w:lvlText w:val="•"/>
      <w:numFmt w:val="bullet"/>
      <w:start w:val="1"/>
    </w:lvl>
  </w:abstractNum>
  <w:abstractNum w:abstractNumId="18">
    <w:nsid w:val="1CF10FD8"/>
    <w:multiLevelType w:val="hybridMultilevel"/>
    <w:lvl w:ilvl="0">
      <w:lvlJc w:val="left"/>
      <w:lvlText w:val="•"/>
      <w:numFmt w:val="bullet"/>
      <w:start w:val="1"/>
    </w:lvl>
  </w:abstractNum>
  <w:abstractNum w:abstractNumId="19">
    <w:nsid w:val="180115BE"/>
    <w:multiLevelType w:val="hybridMultilevel"/>
    <w:lvl w:ilvl="0">
      <w:lvlJc w:val="left"/>
      <w:lvlText w:val="•"/>
      <w:numFmt w:val="bullet"/>
      <w:start w:val="1"/>
    </w:lvl>
  </w:abstractNum>
  <w:abstractNum w:abstractNumId="20">
    <w:nsid w:val="235BA861"/>
    <w:multiLevelType w:val="hybridMultilevel"/>
    <w:lvl w:ilvl="0">
      <w:lvlJc w:val="left"/>
      <w:lvlText w:val="•"/>
      <w:numFmt w:val="bullet"/>
      <w:start w:val="1"/>
    </w:lvl>
  </w:abstractNum>
  <w:abstractNum w:abstractNumId="21">
    <w:nsid w:val="47398C89"/>
    <w:multiLevelType w:val="hybridMultilevel"/>
    <w:lvl w:ilvl="0">
      <w:lvlJc w:val="left"/>
      <w:lvlText w:val="•"/>
      <w:numFmt w:val="bullet"/>
      <w:start w:val="1"/>
    </w:lvl>
  </w:abstractNum>
  <w:abstractNum w:abstractNumId="22">
    <w:nsid w:val="354FE9F9"/>
    <w:multiLevelType w:val="hybridMultilevel"/>
    <w:lvl w:ilvl="0">
      <w:lvlJc w:val="left"/>
      <w:lvlText w:val="•"/>
      <w:numFmt w:val="bullet"/>
      <w:start w:val="1"/>
    </w:lvl>
  </w:abstractNum>
  <w:abstractNum w:abstractNumId="23">
    <w:nsid w:val="15B5AF5C"/>
    <w:multiLevelType w:val="hybridMultilevel"/>
    <w:lvl w:ilvl="0">
      <w:lvlJc w:val="left"/>
      <w:lvlText w:val="•"/>
      <w:numFmt w:val="bullet"/>
      <w:start w:val="1"/>
    </w:lvl>
  </w:abstractNum>
  <w:abstractNum w:abstractNumId="24">
    <w:nsid w:val="741226BB"/>
    <w:multiLevelType w:val="hybridMultilevel"/>
    <w:lvl w:ilvl="0">
      <w:lvlJc w:val="left"/>
      <w:lvlText w:val="•"/>
      <w:numFmt w:val="bullet"/>
      <w:start w:val="1"/>
    </w:lvl>
  </w:abstractNum>
  <w:abstractNum w:abstractNumId="25">
    <w:nsid w:val="D34B6A8"/>
    <w:multiLevelType w:val="hybridMultilevel"/>
    <w:lvl w:ilvl="0">
      <w:lvlJc w:val="left"/>
      <w:lvlText w:val="•"/>
      <w:numFmt w:val="bullet"/>
      <w:start w:val="1"/>
    </w:lvl>
  </w:abstractNum>
  <w:abstractNum w:abstractNumId="26">
    <w:nsid w:val="10233C99"/>
    <w:multiLevelType w:val="hybridMultilevel"/>
    <w:lvl w:ilvl="0">
      <w:lvlJc w:val="left"/>
      <w:lvlText w:val="•"/>
      <w:numFmt w:val="bullet"/>
      <w:start w:val="1"/>
    </w:lvl>
  </w:abstractNum>
  <w:abstractNum w:abstractNumId="27">
    <w:nsid w:val="3F6AB60F"/>
    <w:multiLevelType w:val="hybridMultilevel"/>
    <w:lvl w:ilvl="0">
      <w:lvlJc w:val="left"/>
      <w:lvlText w:val="•"/>
      <w:numFmt w:val="bullet"/>
      <w:start w:val="1"/>
    </w:lvl>
  </w:abstractNum>
  <w:abstractNum w:abstractNumId="28">
    <w:nsid w:val="61574095"/>
    <w:multiLevelType w:val="hybridMultilevel"/>
    <w:lvl w:ilvl="0">
      <w:lvlJc w:val="left"/>
      <w:lvlText w:val="•"/>
      <w:numFmt w:val="bullet"/>
      <w:start w:val="1"/>
    </w:lvl>
  </w:abstractNum>
  <w:abstractNum w:abstractNumId="29">
    <w:nsid w:val="7E0C57B1"/>
    <w:multiLevelType w:val="hybridMultilevel"/>
    <w:lvl w:ilvl="0">
      <w:lvlJc w:val="left"/>
      <w:lvlText w:val="•"/>
      <w:numFmt w:val="bullet"/>
      <w:start w:val="1"/>
    </w:lvl>
  </w:abstractNum>
  <w:abstractNum w:abstractNumId="30">
    <w:nsid w:val="77AE35EB"/>
    <w:multiLevelType w:val="hybridMultilevel"/>
    <w:lvl w:ilvl="0">
      <w:lvlJc w:val="left"/>
      <w:lvlText w:val="•"/>
      <w:numFmt w:val="bullet"/>
      <w:start w:val="1"/>
    </w:lvl>
  </w:abstractNum>
  <w:abstractNum w:abstractNumId="31">
    <w:nsid w:val="579BE4F1"/>
    <w:multiLevelType w:val="hybridMultilevel"/>
    <w:lvl w:ilvl="0">
      <w:lvlJc w:val="left"/>
      <w:lvlText w:val="•"/>
      <w:numFmt w:val="bullet"/>
      <w:start w:val="1"/>
    </w:lvl>
  </w:abstractNum>
  <w:abstractNum w:abstractNumId="32">
    <w:nsid w:val="310C50B3"/>
    <w:multiLevelType w:val="hybridMultilevel"/>
    <w:lvl w:ilvl="0">
      <w:lvlJc w:val="left"/>
      <w:lvlText w:val="•"/>
      <w:numFmt w:val="bullet"/>
      <w:start w:val="1"/>
    </w:lvl>
  </w:abstractNum>
  <w:abstractNum w:abstractNumId="33">
    <w:nsid w:val="5FF87E05"/>
    <w:multiLevelType w:val="hybridMultilevel"/>
    <w:lvl w:ilvl="0">
      <w:lvlJc w:val="left"/>
      <w:lvlText w:val="*"/>
      <w:numFmt w:val="bullet"/>
      <w:start w:val="1"/>
    </w:lvl>
  </w:abstractNum>
  <w:abstractNum w:abstractNumId="34">
    <w:nsid w:val="2F305DEF"/>
    <w:multiLevelType w:val="hybridMultilevel"/>
    <w:lvl w:ilvl="0">
      <w:lvlJc w:val="left"/>
      <w:lvlText w:val="%1."/>
      <w:numFmt w:val="decimal"/>
      <w:start w:val="1"/>
    </w:lvl>
  </w:abstractNum>
  <w:abstractNum w:abstractNumId="35">
    <w:nsid w:val="25A70BF7"/>
    <w:multiLevelType w:val="hybridMultilevel"/>
    <w:lvl w:ilvl="0">
      <w:lvlJc w:val="left"/>
      <w:lvlText w:val="%1."/>
      <w:numFmt w:val="decimal"/>
      <w:start w:val="5"/>
    </w:lvl>
  </w:abstractNum>
  <w:abstractNum w:abstractNumId="36">
    <w:nsid w:val="1DBABF00"/>
    <w:multiLevelType w:val="hybridMultilevel"/>
    <w:lvl w:ilvl="0">
      <w:lvlJc w:val="left"/>
      <w:lvlText w:val="%1."/>
      <w:numFmt w:val="decimal"/>
      <w:start w:val="6"/>
    </w:lvl>
  </w:abstractNum>
  <w:abstractNum w:abstractNumId="37">
    <w:nsid w:val="4AD084E9"/>
    <w:multiLevelType w:val="hybridMultilevel"/>
    <w:lvl w:ilvl="0">
      <w:lvlJc w:val="left"/>
      <w:lvlText w:val="•"/>
      <w:numFmt w:val="bullet"/>
      <w:start w:val="1"/>
    </w:lvl>
  </w:abstractNum>
  <w:abstractNum w:abstractNumId="38">
    <w:nsid w:val="1F48EAA1"/>
    <w:multiLevelType w:val="hybridMultilevel"/>
    <w:lvl w:ilvl="0">
      <w:lvlJc w:val="left"/>
      <w:lvlText w:val="•"/>
      <w:numFmt w:val="bullet"/>
      <w:start w:val="1"/>
    </w:lvl>
  </w:abstractNum>
  <w:abstractNum w:abstractNumId="39">
    <w:nsid w:val="1381823A"/>
    <w:multiLevelType w:val="hybridMultilevel"/>
    <w:lvl w:ilvl="0">
      <w:lvlJc w:val="left"/>
      <w:lvlText w:val="%1."/>
      <w:numFmt w:val="decimal"/>
      <w:start w:val="1"/>
    </w:lvl>
  </w:abstractNum>
  <w:abstractNum w:abstractNumId="40">
    <w:nsid w:val="5DB70AE5"/>
    <w:multiLevelType w:val="hybridMultilevel"/>
    <w:lvl w:ilvl="0">
      <w:lvlJc w:val="left"/>
      <w:lvlText w:val="&amp;"/>
      <w:numFmt w:val="bullet"/>
      <w:start w:val="1"/>
    </w:lvl>
  </w:abstractNum>
  <w:abstractNum w:abstractNumId="41">
    <w:nsid w:val="100F8FCA"/>
    <w:multiLevelType w:val="hybridMultilevel"/>
    <w:lvl w:ilvl="0">
      <w:lvlJc w:val="left"/>
      <w:lvlText w:val="•"/>
      <w:numFmt w:val="bullet"/>
      <w:start w:val="1"/>
    </w:lvl>
  </w:abstractNum>
  <w:abstractNum w:abstractNumId="42">
    <w:nsid w:val="6590700B"/>
    <w:multiLevelType w:val="hybridMultilevel"/>
    <w:lvl w:ilvl="0">
      <w:lvlJc w:val="left"/>
      <w:lvlText w:val="•"/>
      <w:numFmt w:val="bullet"/>
      <w:start w:val="1"/>
    </w:lvl>
  </w:abstractNum>
  <w:abstractNum w:abstractNumId="43">
    <w:nsid w:val="15014ACB"/>
    <w:multiLevelType w:val="hybridMultilevel"/>
    <w:lvl w:ilvl="0">
      <w:lvlJc w:val="left"/>
      <w:lvlText w:val="•"/>
      <w:numFmt w:val="bullet"/>
      <w:start w:val="1"/>
    </w:lvl>
  </w:abstractNum>
  <w:abstractNum w:abstractNumId="44">
    <w:nsid w:val="5F5E7FD0"/>
    <w:multiLevelType w:val="hybridMultilevel"/>
    <w:lvl w:ilvl="0">
      <w:lvlJc w:val="left"/>
      <w:lvlText w:val="•"/>
      <w:numFmt w:val="bullet"/>
      <w:start w:val="1"/>
    </w:lvl>
  </w:abstractNum>
  <w:abstractNum w:abstractNumId="45">
    <w:nsid w:val="98A3148"/>
    <w:multiLevelType w:val="hybridMultilevel"/>
    <w:lvl w:ilvl="0">
      <w:lvlJc w:val="left"/>
      <w:lvlText w:val="•"/>
      <w:numFmt w:val="bullet"/>
      <w:start w:val="1"/>
    </w:lvl>
  </w:abstractNum>
  <w:abstractNum w:abstractNumId="46">
    <w:nsid w:val="799D0247"/>
    <w:multiLevelType w:val="hybridMultilevel"/>
    <w:lvl w:ilvl="0">
      <w:lvlJc w:val="left"/>
      <w:lvlText w:val="•"/>
      <w:numFmt w:val="bullet"/>
      <w:start w:val="1"/>
    </w:lvl>
  </w:abstractNum>
  <w:abstractNum w:abstractNumId="47">
    <w:nsid w:val="6B94764"/>
    <w:multiLevelType w:val="hybridMultilevel"/>
    <w:lvl w:ilvl="0">
      <w:lvlJc w:val="left"/>
      <w:lvlText w:val="•"/>
      <w:numFmt w:val="bullet"/>
      <w:start w:val="1"/>
    </w:lvl>
  </w:abstractNum>
  <w:abstractNum w:abstractNumId="48">
    <w:nsid w:val="42C296BD"/>
    <w:multiLevelType w:val="hybridMultilevel"/>
    <w:lvl w:ilvl="0">
      <w:lvlJc w:val="left"/>
      <w:lvlText w:val="•"/>
      <w:numFmt w:val="bullet"/>
      <w:start w:val="1"/>
    </w:lvl>
  </w:abstractNum>
  <w:abstractNum w:abstractNumId="49">
    <w:nsid w:val="168E121F"/>
    <w:multiLevelType w:val="hybridMultilevel"/>
    <w:lvl w:ilvl="0">
      <w:lvlJc w:val="left"/>
      <w:lvlText w:val="•"/>
      <w:numFmt w:val="bullet"/>
      <w:start w:val="1"/>
    </w:lvl>
  </w:abstractNum>
  <w:abstractNum w:abstractNumId="50">
    <w:nsid w:val="1EBA5D23"/>
    <w:multiLevelType w:val="hybridMultilevel"/>
    <w:lvl w:ilvl="0">
      <w:lvlJc w:val="left"/>
      <w:lvlText w:val="•"/>
      <w:numFmt w:val="bullet"/>
      <w:start w:val="1"/>
    </w:lvl>
    <w:lvl w:ilvl="1">
      <w:lvlJc w:val="left"/>
      <w:lvlText w:val="\endash "/>
      <w:numFmt w:val="bullet"/>
      <w:start w:val="1"/>
    </w:lvl>
  </w:abstractNum>
  <w:abstractNum w:abstractNumId="51">
    <w:nsid w:val="661E3F1E"/>
    <w:multiLevelType w:val="hybridMultilevel"/>
    <w:lvl w:ilvl="0">
      <w:lvlJc w:val="left"/>
      <w:lvlText w:val="•"/>
      <w:numFmt w:val="bullet"/>
      <w:start w:val="1"/>
    </w:lvl>
  </w:abstractNum>
  <w:abstractNum w:abstractNumId="52">
    <w:nsid w:val="5DC79EA8"/>
    <w:multiLevelType w:val="hybridMultilevel"/>
    <w:lvl w:ilvl="0">
      <w:lvlJc w:val="left"/>
      <w:lvlText w:val="•"/>
      <w:numFmt w:val="bullet"/>
      <w:start w:val="1"/>
    </w:lvl>
  </w:abstractNum>
  <w:abstractNum w:abstractNumId="53">
    <w:nsid w:val="540A471C"/>
    <w:multiLevelType w:val="hybridMultilevel"/>
    <w:lvl w:ilvl="0">
      <w:lvlJc w:val="left"/>
      <w:lvlText w:val="%1."/>
      <w:numFmt w:val="decimal"/>
      <w:start w:val="1"/>
    </w:lvl>
  </w:abstractNum>
  <w:abstractNum w:abstractNumId="54">
    <w:nsid w:val="7BD3EE7B"/>
    <w:multiLevelType w:val="hybridMultilevel"/>
    <w:lvl w:ilvl="0">
      <w:lvlJc w:val="left"/>
      <w:lvlText w:val="•"/>
      <w:numFmt w:val="bullet"/>
      <w:start w:val="1"/>
    </w:lvl>
  </w:abstractNum>
  <w:abstractNum w:abstractNumId="55">
    <w:nsid w:val="51D9C564"/>
    <w:multiLevelType w:val="hybridMultilevel"/>
    <w:lvl w:ilvl="0">
      <w:lvlJc w:val="left"/>
      <w:lvlText w:val="•"/>
      <w:numFmt w:val="bullet"/>
      <w:start w:val="1"/>
    </w:lvl>
    <w:lvl w:ilvl="1">
      <w:lvlJc w:val="left"/>
      <w:lvlText w:val="*"/>
      <w:numFmt w:val="bullet"/>
      <w:start w:val="1"/>
    </w:lvl>
  </w:abstractNum>
  <w:abstractNum w:abstractNumId="56">
    <w:nsid w:val="613EFDC5"/>
    <w:multiLevelType w:val="hybridMultilevel"/>
    <w:lvl w:ilvl="0">
      <w:lvlJc w:val="left"/>
      <w:lvlText w:val="•"/>
      <w:numFmt w:val="bullet"/>
      <w:start w:val="1"/>
    </w:lvl>
  </w:abstractNum>
  <w:abstractNum w:abstractNumId="57">
    <w:nsid w:val="BF72B14"/>
    <w:multiLevelType w:val="hybridMultilevel"/>
    <w:lvl w:ilvl="0">
      <w:lvlJc w:val="left"/>
      <w:lvlText w:val="✓"/>
      <w:numFmt w:val="bullet"/>
      <w:start w:val="1"/>
    </w:lvl>
  </w:abstractNum>
  <w:abstractNum w:abstractNumId="58">
    <w:nsid w:val="11447B73"/>
    <w:multiLevelType w:val="hybridMultilevel"/>
    <w:lvl w:ilvl="0">
      <w:lvlJc w:val="left"/>
      <w:lvlText w:val="Х"/>
      <w:numFmt w:val="bullet"/>
      <w:start w:val="1"/>
    </w:lvl>
  </w:abstractNum>
  <w:abstractNum w:abstractNumId="59">
    <w:nsid w:val="42963E5A"/>
    <w:multiLevelType w:val="hybridMultilevel"/>
    <w:lvl w:ilvl="0">
      <w:lvlJc w:val="left"/>
      <w:lvlText w:val="•"/>
      <w:numFmt w:val="bullet"/>
      <w:start w:val="1"/>
    </w:lvl>
  </w:abstractNum>
  <w:abstractNum w:abstractNumId="60">
    <w:nsid w:val="A0382C5"/>
    <w:multiLevelType w:val="hybridMultilevel"/>
    <w:lvl w:ilvl="0">
      <w:lvlJc w:val="left"/>
      <w:lvlText w:val="•"/>
      <w:numFmt w:val="bullet"/>
      <w:start w:val="1"/>
    </w:lvl>
  </w:abstractNum>
  <w:abstractNum w:abstractNumId="61">
    <w:nsid w:val="8F2B15E"/>
    <w:multiLevelType w:val="hybridMultilevel"/>
    <w:lvl w:ilvl="0">
      <w:lvlJc w:val="left"/>
      <w:lvlText w:val="%1."/>
      <w:numFmt w:val="decimal"/>
      <w:start w:val="1"/>
    </w:lvl>
  </w:abstractNum>
  <w:abstractNum w:abstractNumId="62">
    <w:nsid w:val="1A32234B"/>
    <w:multiLevelType w:val="hybridMultilevel"/>
    <w:lvl w:ilvl="0">
      <w:lvlJc w:val="left"/>
      <w:lvlText w:val="%1."/>
      <w:numFmt w:val="decimal"/>
      <w:start w:val="4"/>
    </w:lvl>
  </w:abstractNum>
  <w:abstractNum w:abstractNumId="63">
    <w:nsid w:val="3B0FD379"/>
    <w:multiLevelType w:val="hybridMultilevel"/>
    <w:lvl w:ilvl="0">
      <w:lvlJc w:val="left"/>
      <w:lvlText w:val="%1."/>
      <w:numFmt w:val="decimal"/>
      <w:start w:val="5"/>
    </w:lvl>
  </w:abstractNum>
  <w:abstractNum w:abstractNumId="64">
    <w:nsid w:val="68EB2F63"/>
    <w:multiLevelType w:val="hybridMultilevel"/>
    <w:lvl w:ilvl="0">
      <w:lvlJc w:val="left"/>
      <w:lvlText w:val="•"/>
      <w:numFmt w:val="bullet"/>
      <w:start w:val="1"/>
    </w:lvl>
  </w:abstractNum>
  <w:abstractNum w:abstractNumId="65">
    <w:nsid w:val="4962813B"/>
    <w:multiLevelType w:val="hybridMultilevel"/>
    <w:lvl w:ilvl="0">
      <w:lvlJc w:val="left"/>
      <w:lvlText w:val="%1."/>
      <w:numFmt w:val="decimal"/>
      <w:start w:val="1"/>
    </w:lvl>
  </w:abstractNum>
  <w:abstractNum w:abstractNumId="66">
    <w:nsid w:val="60B6DF70"/>
    <w:multiLevelType w:val="hybridMultilevel"/>
    <w:lvl w:ilvl="0">
      <w:lvlJc w:val="left"/>
      <w:lvlText w:val="%1."/>
      <w:numFmt w:val="decimal"/>
      <w:start w:val="1"/>
    </w:lvl>
  </w:abstractNum>
  <w:abstractNum w:abstractNumId="67">
    <w:nsid w:val="6A5EE64"/>
    <w:multiLevelType w:val="hybridMultilevel"/>
    <w:lvl w:ilvl="0">
      <w:lvlJc w:val="left"/>
      <w:lvlText w:val="(%1)"/>
      <w:numFmt w:val="lowerRoman"/>
      <w:start w:val="1"/>
    </w:lvl>
  </w:abstractNum>
  <w:abstractNum w:abstractNumId="68">
    <w:nsid w:val="14330624"/>
    <w:multiLevelType w:val="hybridMultilevel"/>
    <w:lvl w:ilvl="0">
      <w:lvlJc w:val="left"/>
      <w:lvlText w:val="%1."/>
      <w:numFmt w:val="decimal"/>
      <w:start w:val="1"/>
    </w:lvl>
  </w:abstractNum>
  <w:abstractNum w:abstractNumId="69">
    <w:nsid w:val="7FFFCA11"/>
    <w:multiLevelType w:val="hybridMultilevel"/>
    <w:lvl w:ilvl="0">
      <w:lvlJc w:val="left"/>
      <w:lvlText w:val="%1."/>
      <w:numFmt w:val="decimal"/>
      <w:start w:val="2"/>
    </w:lvl>
  </w:abstractNum>
  <w:abstractNum w:abstractNumId="70">
    <w:nsid w:val="1A27709E"/>
    <w:multiLevelType w:val="hybridMultilevel"/>
    <w:lvl w:ilvl="0">
      <w:lvlJc w:val="left"/>
      <w:lvlText w:val="%1."/>
      <w:numFmt w:val="decimal"/>
      <w:start w:val="1"/>
    </w:lvl>
  </w:abstractNum>
  <w:abstractNum w:abstractNumId="71">
    <w:nsid w:val="71EA1109"/>
    <w:multiLevelType w:val="hybridMultilevel"/>
    <w:lvl w:ilvl="0">
      <w:lvlJc w:val="left"/>
      <w:lvlText w:val="%1."/>
      <w:numFmt w:val="decimal"/>
      <w:start w:val="1"/>
    </w:lvl>
  </w:abstractNum>
  <w:abstractNum w:abstractNumId="72">
    <w:nsid w:val="100F59DC"/>
    <w:multiLevelType w:val="hybridMultilevel"/>
    <w:lvl w:ilvl="0">
      <w:lvlJc w:val="left"/>
      <w:lvlText w:val="%1."/>
      <w:numFmt w:val="decimal"/>
      <w:start w:val="2"/>
    </w:lvl>
  </w:abstractNum>
  <w:abstractNum w:abstractNumId="73">
    <w:nsid w:val="7FB7E0AA"/>
    <w:multiLevelType w:val="hybridMultilevel"/>
    <w:lvl w:ilvl="0">
      <w:lvlJc w:val="left"/>
      <w:lvlText w:val="%1."/>
      <w:numFmt w:val="decimal"/>
      <w:start w:val="4"/>
    </w:lvl>
  </w:abstractNum>
  <w:abstractNum w:abstractNumId="74">
    <w:nsid w:val="6EB5BD4"/>
    <w:multiLevelType w:val="hybridMultilevel"/>
    <w:lvl w:ilvl="0">
      <w:lvlJc w:val="left"/>
      <w:lvlText w:val="%1."/>
      <w:numFmt w:val="decimal"/>
      <w:start w:val="1"/>
    </w:lvl>
  </w:abstractNum>
  <w:abstractNum w:abstractNumId="75">
    <w:nsid w:val="6F6DD9AC"/>
    <w:multiLevelType w:val="hybridMultilevel"/>
    <w:lvl w:ilvl="0">
      <w:lvlJc w:val="left"/>
      <w:lvlText w:val="•"/>
      <w:numFmt w:val="bullet"/>
      <w:start w:val="1"/>
    </w:lvl>
  </w:abstractNum>
  <w:abstractNum w:abstractNumId="76">
    <w:nsid w:val="94211F2"/>
    <w:multiLevelType w:val="hybridMultilevel"/>
    <w:lvl w:ilvl="0">
      <w:lvlJc w:val="left"/>
      <w:lvlText w:val="•"/>
      <w:numFmt w:val="bullet"/>
      <w:start w:val="1"/>
    </w:lvl>
    <w:lvl w:ilvl="1">
      <w:lvlJc w:val="left"/>
      <w:lvlText w:val="(%2)"/>
      <w:numFmt w:val="lowerRoman"/>
      <w:start w:val="2"/>
    </w:lvl>
  </w:abstractNum>
  <w:abstractNum w:abstractNumId="77">
    <w:nsid w:val="885E1B"/>
    <w:multiLevelType w:val="hybridMultilevel"/>
    <w:lvl w:ilvl="0">
      <w:lvlJc w:val="left"/>
      <w:lvlText w:val="•"/>
      <w:numFmt w:val="bullet"/>
      <w:start w:val="1"/>
    </w:lvl>
  </w:abstractNum>
  <w:abstractNum w:abstractNumId="78">
    <w:nsid w:val="76272110"/>
    <w:multiLevelType w:val="hybridMultilevel"/>
    <w:lvl w:ilvl="0">
      <w:lvlJc w:val="left"/>
      <w:lvlText w:val="•"/>
      <w:numFmt w:val="bullet"/>
      <w:start w:val="1"/>
    </w:lvl>
  </w:abstractNum>
  <w:abstractNum w:abstractNumId="79">
    <w:nsid w:val="4C04A8AF"/>
    <w:multiLevelType w:val="hybridMultilevel"/>
    <w:lvl w:ilvl="0">
      <w:lvlJc w:val="left"/>
      <w:lvlText w:val="•"/>
      <w:numFmt w:val="bullet"/>
      <w:start w:val="1"/>
    </w:lvl>
  </w:abstractNum>
  <w:abstractNum w:abstractNumId="80">
    <w:nsid w:val="1716703B"/>
    <w:multiLevelType w:val="hybridMultilevel"/>
    <w:lvl w:ilvl="0">
      <w:lvlJc w:val="left"/>
      <w:lvlText w:val="•"/>
      <w:numFmt w:val="bullet"/>
      <w:start w:val="1"/>
    </w:lvl>
  </w:abstractNum>
  <w:abstractNum w:abstractNumId="81">
    <w:nsid w:val="14E17E33"/>
    <w:multiLevelType w:val="hybridMultilevel"/>
    <w:lvl w:ilvl="0">
      <w:lvlJc w:val="left"/>
      <w:lvlText w:val="•"/>
      <w:numFmt w:val="bullet"/>
      <w:start w:val="1"/>
    </w:lvl>
  </w:abstractNum>
  <w:abstractNum w:abstractNumId="82">
    <w:nsid w:val="3222E7CD"/>
    <w:multiLevelType w:val="hybridMultilevel"/>
    <w:lvl w:ilvl="0">
      <w:lvlJc w:val="left"/>
      <w:lvlText w:val="•"/>
      <w:numFmt w:val="bullet"/>
      <w:start w:val="1"/>
    </w:lvl>
  </w:abstractNum>
  <w:abstractNum w:abstractNumId="83">
    <w:nsid w:val="74DE0EE3"/>
    <w:multiLevelType w:val="hybridMultilevel"/>
    <w:lvl w:ilvl="0">
      <w:lvlJc w:val="left"/>
      <w:lvlText w:val="•"/>
      <w:numFmt w:val="bullet"/>
      <w:start w:val="1"/>
    </w:lvl>
  </w:abstractNum>
  <w:abstractNum w:abstractNumId="84">
    <w:nsid w:val="68EBC550"/>
    <w:multiLevelType w:val="hybridMultilevel"/>
    <w:lvl w:ilvl="0">
      <w:lvlJc w:val="left"/>
      <w:lvlText w:val="•"/>
      <w:numFmt w:val="bullet"/>
      <w:start w:val="1"/>
    </w:lvl>
  </w:abstractNum>
  <w:abstractNum w:abstractNumId="85">
    <w:nsid w:val="2DF6D648"/>
    <w:multiLevelType w:val="hybridMultilevel"/>
    <w:lvl w:ilvl="0">
      <w:lvlJc w:val="left"/>
      <w:lvlText w:val="%1."/>
      <w:numFmt w:val="decimal"/>
      <w:start w:val="1"/>
    </w:lvl>
  </w:abstractNum>
  <w:abstractNum w:abstractNumId="86">
    <w:nsid w:val="46B7D447"/>
    <w:multiLevelType w:val="hybridMultilevel"/>
    <w:lvl w:ilvl="0">
      <w:lvlJc w:val="left"/>
      <w:lvlText w:val="%1."/>
      <w:numFmt w:val="decimal"/>
      <w:start w:val="1"/>
    </w:lvl>
  </w:abstractNum>
  <w:abstractNum w:abstractNumId="87">
    <w:nsid w:val="4A2AC315"/>
    <w:multiLevelType w:val="hybridMultilevel"/>
    <w:lvl w:ilvl="0">
      <w:lvlJc w:val="left"/>
      <w:lvlText w:val="(%1)"/>
      <w:numFmt w:val="lowerRoman"/>
      <w:start w:val="1"/>
    </w:lvl>
  </w:abstractNum>
  <w:abstractNum w:abstractNumId="88">
    <w:nsid w:val="39EE015C"/>
    <w:multiLevelType w:val="hybridMultilevel"/>
    <w:lvl w:ilvl="0">
      <w:lvlJc w:val="left"/>
      <w:lvlText w:val="%1."/>
      <w:numFmt w:val="decimal"/>
      <w:start w:val="1"/>
    </w:lvl>
  </w:abstractNum>
  <w:abstractNum w:abstractNumId="89">
    <w:nsid w:val="57FC4FBB"/>
    <w:multiLevelType w:val="hybridMultilevel"/>
    <w:lvl w:ilvl="0">
      <w:lvlJc w:val="left"/>
      <w:lvlText w:val="%1."/>
      <w:numFmt w:val="decimal"/>
      <w:start w:val="3"/>
    </w:lvl>
  </w:abstractNum>
  <w:abstractNum w:abstractNumId="90">
    <w:nsid w:val="CC1016F"/>
    <w:multiLevelType w:val="hybridMultilevel"/>
    <w:lvl w:ilvl="0">
      <w:lvlJc w:val="left"/>
      <w:lvlText w:val="•"/>
      <w:numFmt w:val="bullet"/>
      <w:start w:val="1"/>
    </w:lvl>
  </w:abstractNum>
  <w:abstractNum w:abstractNumId="91">
    <w:nsid w:val="43F18422"/>
    <w:multiLevelType w:val="hybridMultilevel"/>
    <w:lvl w:ilvl="0">
      <w:lvlJc w:val="left"/>
      <w:lvlText w:val="•"/>
      <w:numFmt w:val="bullet"/>
      <w:start w:val="1"/>
    </w:lvl>
  </w:abstractNum>
  <w:abstractNum w:abstractNumId="92">
    <w:nsid w:val="60EF0119"/>
    <w:multiLevelType w:val="hybridMultilevel"/>
    <w:lvl w:ilvl="0">
      <w:lvlJc w:val="left"/>
      <w:lvlText w:val="%1."/>
      <w:numFmt w:val="decimal"/>
      <w:start w:val="1"/>
    </w:lvl>
  </w:abstractNum>
  <w:abstractNum w:abstractNumId="93">
    <w:nsid w:val="26F324BA"/>
    <w:multiLevelType w:val="hybridMultilevel"/>
    <w:lvl w:ilvl="0">
      <w:lvlJc w:val="left"/>
      <w:lvlText w:val="%1)"/>
      <w:numFmt w:val="decimal"/>
      <w:start w:val="2"/>
    </w:lvl>
  </w:abstractNum>
  <w:abstractNum w:abstractNumId="94">
    <w:nsid w:val="7F01579B"/>
    <w:multiLevelType w:val="hybridMultilevel"/>
    <w:lvl w:ilvl="0">
      <w:lvlJc w:val="left"/>
      <w:lvlText w:val="%1."/>
      <w:numFmt w:val="decimal"/>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jpeg"/><Relationship Id="rId12" Type="http://schemas.openxmlformats.org/officeDocument/2006/relationships/image" Target="media/image5.jpe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jpe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 Id="rId36" Type="http://schemas.openxmlformats.org/officeDocument/2006/relationships/image" Target="media/image29.jpe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jpe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jpeg"/><Relationship Id="rId66" Type="http://schemas.openxmlformats.org/officeDocument/2006/relationships/image" Target="media/image59.jpe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jpe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jpe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jpeg"/><Relationship Id="rId84" Type="http://schemas.openxmlformats.org/officeDocument/2006/relationships/image" Target="media/image77.jpe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jpeg"/><Relationship Id="rId93" Type="http://schemas.openxmlformats.org/officeDocument/2006/relationships/image" Target="media/image86.jpe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jpe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jpeg"/><Relationship Id="rId141" Type="http://schemas.openxmlformats.org/officeDocument/2006/relationships/image" Target="media/image134.jpeg"/><Relationship Id="rId142" Type="http://schemas.openxmlformats.org/officeDocument/2006/relationships/image" Target="media/image135.jpeg"/><Relationship Id="rId143" Type="http://schemas.openxmlformats.org/officeDocument/2006/relationships/image" Target="media/image136.jpeg"/><Relationship Id="rId144" Type="http://schemas.openxmlformats.org/officeDocument/2006/relationships/image" Target="media/image137.jpe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jpeg"/><Relationship Id="rId203" Type="http://schemas.openxmlformats.org/officeDocument/2006/relationships/image" Target="media/image196.png"/><Relationship Id="rId204" Type="http://schemas.openxmlformats.org/officeDocument/2006/relationships/image" Target="media/image197.jpeg"/><Relationship Id="rId205" Type="http://schemas.openxmlformats.org/officeDocument/2006/relationships/image" Target="media/image198.jpe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jpeg"/><Relationship Id="rId230" Type="http://schemas.openxmlformats.org/officeDocument/2006/relationships/image" Target="media/image223.png"/><Relationship Id="rId231" Type="http://schemas.openxmlformats.org/officeDocument/2006/relationships/image" Target="media/image224.jpeg"/><Relationship Id="rId232" Type="http://schemas.openxmlformats.org/officeDocument/2006/relationships/image" Target="media/image225.jpe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2025-02-04T06:25:12Z</dcterms:created>
  <dcterms:modified xsi:type="dcterms:W3CDTF">2025-02-04T06:25:12Z</dcterms:modified>
</cp:coreProperties>
</file>