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Carpenter Kevin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 S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Global Ops &amp; Supply Chain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11/30/2023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7"/>
        <w:gridCol w:w="917"/>
        <w:gridCol w:w="787"/>
        <w:gridCol w:w="608"/>
        <w:gridCol w:w="339"/>
        <w:gridCol w:w="1152"/>
        <w:gridCol w:w="420"/>
        <w:gridCol w:w="586"/>
        <w:gridCol w:w="1247"/>
        <w:gridCol w:w="963"/>
        <w:gridCol w:w="119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11/30/2023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5,958.872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6,128.136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11/30/2023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2,718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</w:t>
            </w:r>
            <w:r>
              <w:rPr/>
              <w:t xml:space="preserve"> 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3,410.136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Toro Company Retirement Plan</w:t>
            </w:r>
          </w:p>
        </w:tc>
      </w:tr>
    </w:tbl>
    <w:tbl>
      <w:tblPr>
        <w:tblW w:w="127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11/30/2023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5,958.872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5,958.872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5,958.869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0.004 shares acquired by the reporting person since the date of his last report under the dividend reinvestment feature of The Toro Company Retirement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TTC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and related dividend equivalents vest and become non-forfeitable in three equal annual installments commencing on the first anniversary of the November 30, 2021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97554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3603</Characters>
  <CharactersWithSpaces>4186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