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Group VP, Intl. &amp; Comm.</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05/30/2012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2,902</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16.1375</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46,411.635</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05/30/2012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2,902</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74.65</w:t>
            </w:r>
            <w:r>
              <w:rPr>
                <w:rFonts w:ascii="Arial" w:cs="Arial" w:eastAsia="Arial" w:hAnsi="Arial"/>
                <w:sz w:val="22"/>
                <w:szCs w:val="22"/>
                <w:color w:val="008000"/>
                <w:w w:val="90"/>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43,509.635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7,125.183</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tcPr>
          <w:p>
            <w:pPr>
              <w:ind w:left="260"/>
              <w:spacing w:after="0"/>
              <w:rPr>
                <w:sz w:val="20"/>
                <w:szCs w:val="20"/>
                <w:color w:val="auto"/>
              </w:rPr>
            </w:pPr>
            <w:r>
              <w:rPr>
                <w:rFonts w:ascii="Arial" w:cs="Arial" w:eastAsia="Arial" w:hAnsi="Arial"/>
                <w:sz w:val="14"/>
                <w:szCs w:val="14"/>
                <w:color w:val="0000FF"/>
              </w:rPr>
              <w:t>05/30/2012</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2,902</w:t>
            </w:r>
          </w:p>
        </w:tc>
        <w:tc>
          <w:tcPr>
            <w:tcW w:w="860" w:type="dxa"/>
            <w:vAlign w:val="bottom"/>
          </w:tcPr>
          <w:p>
            <w:pPr>
              <w:ind w:left="180"/>
              <w:spacing w:after="0"/>
              <w:rPr>
                <w:sz w:val="20"/>
                <w:szCs w:val="20"/>
                <w:color w:val="auto"/>
              </w:rPr>
            </w:pPr>
            <w:r>
              <w:rPr>
                <w:rFonts w:ascii="Arial" w:cs="Arial" w:eastAsia="Arial" w:hAnsi="Arial"/>
                <w:sz w:val="14"/>
                <w:szCs w:val="14"/>
                <w:color w:val="0000FF"/>
                <w:w w:val="94"/>
              </w:rPr>
              <w:t>12/04/2002</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12/04/2012</w:t>
            </w:r>
          </w:p>
        </w:tc>
        <w:tc>
          <w:tcPr>
            <w:tcW w:w="130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2,902</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4.635 shares acquired by the reporting person since the date of his last report under The Toro Company Dividend Reinvestment Plan (the "DRIP") on 1,500 shares of restricted stock. The restricted stock and all related DRIP shares vest in full on the third anniversary of the date of grant, which was March 20, 2012.</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$74.62 to $74.71,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21.928 shares of common stock acquired by the reporting person under the dividend reinvestment feature of The Toro Company Investment, Savings &amp; ESOP since the date of his last report.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05/31/2012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2019-12-17T01:29:52Z</dcterms:created>
  <dcterms:modified xsi:type="dcterms:W3CDTF">2019-12-17T01:29:52Z</dcterms:modified>
</cp:coreProperties>
</file>