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__)*</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Toro Co</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891092108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05/31/2009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tbl>
      <w:tblPr>
        <w:tblLayout w:type="fixed"/>
        <w:tblInd w:w="3280" w:type="dxa"/>
        <w:tblCellMar>
          <w:top w:w="0" w:type="dxa"/>
          <w:left w:w="0" w:type="dxa"/>
          <w:bottom w:w="0" w:type="dxa"/>
          <w:right w:w="0" w:type="dxa"/>
        </w:tblCellMar>
      </w:tblPr>
      <w:tr>
        <w:trPr>
          <w:trHeight w:val="204"/>
        </w:trPr>
        <w:tc>
          <w:tcPr>
            <w:tcW w:w="1520" w:type="dxa"/>
            <w:vAlign w:val="bottom"/>
            <w:gridSpan w:val="3"/>
          </w:tcPr>
          <w:p>
            <w:pPr>
              <w:spacing w:after="0"/>
              <w:rPr>
                <w:sz w:val="20"/>
                <w:szCs w:val="20"/>
                <w:color w:val="auto"/>
              </w:rPr>
            </w:pPr>
            <w:r>
              <w:rPr>
                <w:rFonts w:ascii="Courier New" w:cs="Courier New" w:eastAsia="Courier New" w:hAnsi="Courier New"/>
                <w:sz w:val="18"/>
                <w:szCs w:val="18"/>
                <w:color w:val="auto"/>
                <w:w w:val="99"/>
              </w:rPr>
              <w:t>|X| Rule 13d-1</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(c)</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(d)</w:t>
            </w:r>
          </w:p>
        </w:tc>
      </w:tr>
    </w:tbl>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19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Neuberger Berman Group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46380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1897115</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2284873</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2284873</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6.382%</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46380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1897115</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2284873</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2284873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6.382%</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Management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1897115</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1897115</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1897115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5.2986%</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Equity Funds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1890604</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1890604</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1890604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5.2804%</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8111 Lyndale Ave South</w:t>
      </w:r>
    </w:p>
    <w:p>
      <w:pPr>
        <w:ind w:left="1160"/>
        <w:spacing w:after="0" w:line="238" w:lineRule="auto"/>
        <w:rPr>
          <w:sz w:val="20"/>
          <w:szCs w:val="20"/>
          <w:color w:val="auto"/>
        </w:rPr>
      </w:pPr>
      <w:r>
        <w:rPr>
          <w:rFonts w:ascii="Courier New" w:cs="Courier New" w:eastAsia="Courier New" w:hAnsi="Courier New"/>
          <w:sz w:val="18"/>
          <w:szCs w:val="18"/>
          <w:color w:val="auto"/>
        </w:rPr>
        <w:t>Bloomington, Minnesota 55420-1196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Group LLC</w:t>
      </w:r>
    </w:p>
    <w:p>
      <w:pPr>
        <w:ind w:left="1160"/>
        <w:spacing w:after="0" w:line="238" w:lineRule="auto"/>
        <w:rPr>
          <w:sz w:val="20"/>
          <w:szCs w:val="20"/>
          <w:color w:val="auto"/>
        </w:rPr>
      </w:pPr>
      <w:r>
        <w:rPr>
          <w:rFonts w:ascii="Courier New" w:cs="Courier New" w:eastAsia="Courier New" w:hAnsi="Courier New"/>
          <w:sz w:val="18"/>
          <w:szCs w:val="18"/>
          <w:color w:val="auto"/>
        </w:rPr>
        <w:t>Neuberger Berman LLC</w:t>
      </w:r>
    </w:p>
    <w:p>
      <w:pPr>
        <w:ind w:left="1160"/>
        <w:spacing w:after="0"/>
        <w:rPr>
          <w:sz w:val="20"/>
          <w:szCs w:val="20"/>
          <w:color w:val="auto"/>
        </w:rPr>
      </w:pPr>
      <w:r>
        <w:rPr>
          <w:rFonts w:ascii="Courier New" w:cs="Courier New" w:eastAsia="Courier New" w:hAnsi="Courier New"/>
          <w:sz w:val="18"/>
          <w:szCs w:val="18"/>
          <w:color w:val="auto"/>
        </w:rPr>
        <w:t>Neuberger Berman Management LLC</w:t>
      </w:r>
    </w:p>
    <w:p>
      <w:pPr>
        <w:ind w:left="1160"/>
        <w:spacing w:after="0" w:line="237" w:lineRule="auto"/>
        <w:rPr>
          <w:sz w:val="20"/>
          <w:szCs w:val="20"/>
          <w:color w:val="auto"/>
        </w:rPr>
      </w:pPr>
      <w:r>
        <w:rPr>
          <w:rFonts w:ascii="Courier New" w:cs="Courier New" w:eastAsia="Courier New" w:hAnsi="Courier New"/>
          <w:sz w:val="18"/>
          <w:szCs w:val="18"/>
          <w:color w:val="auto"/>
        </w:rPr>
        <w:t>Neuberger Berman Equity Funds</w:t>
      </w:r>
    </w:p>
    <w:p>
      <w:pPr>
        <w:spacing w:after="0" w:line="207" w:lineRule="exact"/>
        <w:rPr>
          <w:sz w:val="20"/>
          <w:szCs w:val="20"/>
          <w:color w:val="auto"/>
        </w:rPr>
      </w:pPr>
    </w:p>
    <w:p>
      <w:pPr>
        <w:ind w:left="1160" w:right="1779"/>
        <w:spacing w:after="0" w:line="272" w:lineRule="auto"/>
        <w:rPr>
          <w:sz w:val="20"/>
          <w:szCs w:val="20"/>
          <w:color w:val="auto"/>
        </w:rPr>
      </w:pPr>
      <w:r>
        <w:rPr>
          <w:rFonts w:ascii="Courier New" w:cs="Courier New" w:eastAsia="Courier New" w:hAnsi="Courier New"/>
          <w:sz w:val="16"/>
          <w:szCs w:val="16"/>
          <w:color w:val="auto"/>
        </w:rPr>
        <w:t>Neuberger Berman Group LLC ("NBG") makes this filing on behalf of itself and its direct and indirect affiliates, including, Neuberger Berman Holdings LLC, formerly known as Neuberger Berman Inc. ("NBI"). NBI and its subsidiaries, Neuberger Berman LLC and Neuberger Berman Management LLC, became subsidiaries of NBG following the sale of certain assets formerly owned by Lehman Brothers Holdings Inc.</w:t>
      </w:r>
    </w:p>
    <w:p>
      <w:pPr>
        <w:spacing w:after="0" w:line="186" w:lineRule="exact"/>
        <w:rPr>
          <w:sz w:val="20"/>
          <w:szCs w:val="20"/>
          <w:color w:val="auto"/>
        </w:rPr>
      </w:pPr>
    </w:p>
    <w:p>
      <w:pPr>
        <w:ind w:left="1160" w:right="1999"/>
        <w:spacing w:after="0" w:line="237" w:lineRule="auto"/>
        <w:rPr>
          <w:sz w:val="20"/>
          <w:szCs w:val="20"/>
          <w:color w:val="auto"/>
        </w:rPr>
      </w:pPr>
      <w:r>
        <w:rPr>
          <w:rFonts w:ascii="Courier New" w:cs="Courier New" w:eastAsia="Courier New" w:hAnsi="Courier New"/>
          <w:sz w:val="18"/>
          <w:szCs w:val="18"/>
          <w:color w:val="auto"/>
        </w:rPr>
        <w:t>Please note that in connection with sale described above, certain disclosures required under Section 13(d) of the Securities Exchange Act of 1934, as amended, that were filed by NBI under SEC Central Index Key (CIK) number (#0001068144) will now be filed under NBG's CIK number (#0001465109).</w:t>
      </w:r>
    </w:p>
    <w:p>
      <w:pPr>
        <w:spacing w:after="0" w:line="209"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This statement is filed by: (i) Neuberger Berman Group LLC with respect to shares of the issuer's common stock ("Shares"), beneficially owned by Neuberger Berman LLC and certain affiliated persons; (ii) Neuberger Berman LLC with respect to Shares beneficially owned by certain affiliated persons; (iii) and Neuberger Berman Management LLC with respect to Shares beneficially owned by certain affiliated persons.</w:t>
      </w:r>
    </w:p>
    <w:p>
      <w:pPr>
        <w:spacing w:after="0" w:line="211"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Neuberger Berman Group LLC, Neuberger Berman LLC and Neuberger Management LLC have entered into a Joint Filing Agreement, a copy of which is filed with this Schedule 13G as Exhibit 99.1, pursuant to which they have agreed to file this Schedule 13G jointly in accordance with the provisions of Rule 13d-1(k) of the Securities Exchange Act of 1934, as amended.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605 Third Avenue</w:t>
      </w:r>
    </w:p>
    <w:p>
      <w:pPr>
        <w:ind w:left="1160"/>
        <w:spacing w:after="0" w:line="238" w:lineRule="auto"/>
        <w:rPr>
          <w:sz w:val="20"/>
          <w:szCs w:val="20"/>
          <w:color w:val="auto"/>
        </w:rPr>
      </w:pPr>
      <w:r>
        <w:rPr>
          <w:rFonts w:ascii="Courier New" w:cs="Courier New" w:eastAsia="Courier New" w:hAnsi="Courier New"/>
          <w:sz w:val="18"/>
          <w:szCs w:val="18"/>
          <w:color w:val="auto"/>
        </w:rPr>
        <w:t>New York, New York 10158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ind w:left="1700" w:right="273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6" w:lineRule="exact"/>
        <w:rPr>
          <w:rFonts w:ascii="Courier New" w:cs="Courier New" w:eastAsia="Courier New" w:hAnsi="Courier New"/>
          <w:sz w:val="18"/>
          <w:szCs w:val="18"/>
          <w:color w:val="auto"/>
        </w:rPr>
      </w:pPr>
    </w:p>
    <w:p>
      <w:pPr>
        <w:ind w:left="1700" w:right="2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700" w:right="4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ectPr>
          <w:pgSz w:w="11900" w:h="16838" w:orient="portrait"/>
          <w:cols w:equalWidth="0" w:num="1">
            <w:col w:w="10219"/>
          </w:cols>
          <w:pgMar w:left="240" w:top="717" w:right="1440" w:bottom="0" w:gutter="0" w:footer="0" w:header="0"/>
        </w:sectPr>
      </w:pPr>
    </w:p>
    <w:bookmarkStart w:id="6" w:name="page7"/>
    <w:bookmarkEnd w:id="6"/>
    <w:p>
      <w:pPr>
        <w:ind w:left="1700" w:right="2099" w:hanging="849"/>
        <w:spacing w:after="0" w:line="235" w:lineRule="auto"/>
        <w:tabs>
          <w:tab w:leader="none" w:pos="127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208" w:lineRule="exact"/>
        <w:rPr>
          <w:rFonts w:ascii="Courier New" w:cs="Courier New" w:eastAsia="Courier New" w:hAnsi="Courier New"/>
          <w:sz w:val="18"/>
          <w:szCs w:val="18"/>
          <w:color w:val="auto"/>
        </w:rPr>
      </w:pPr>
    </w:p>
    <w:p>
      <w:pPr>
        <w:ind w:left="1700" w:right="2619" w:hanging="849"/>
        <w:spacing w:after="0" w:line="235" w:lineRule="auto"/>
        <w:tabs>
          <w:tab w:leader="none" w:pos="127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700" w:right="2319" w:hanging="849"/>
        <w:spacing w:after="0" w:line="236" w:lineRule="auto"/>
        <w:tabs>
          <w:tab w:leader="none" w:pos="127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hanging="431"/>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2284873 (1)</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6.382</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5679" w:hanging="629"/>
        <w:spacing w:after="0" w:line="235" w:lineRule="auto"/>
        <w:tabs>
          <w:tab w:leader="none" w:pos="14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 475</w:t>
      </w:r>
    </w:p>
    <w:p>
      <w:pPr>
        <w:spacing w:after="0" w:line="208" w:lineRule="exact"/>
        <w:rPr>
          <w:rFonts w:ascii="Courier New" w:cs="Courier New" w:eastAsia="Courier New" w:hAnsi="Courier New"/>
          <w:sz w:val="18"/>
          <w:szCs w:val="18"/>
          <w:color w:val="auto"/>
        </w:rPr>
      </w:pPr>
    </w:p>
    <w:p>
      <w:pPr>
        <w:ind w:left="1480" w:right="5479" w:hanging="629"/>
        <w:spacing w:after="0" w:line="235" w:lineRule="auto"/>
        <w:tabs>
          <w:tab w:leader="none" w:pos="14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1897115</w:t>
      </w:r>
    </w:p>
    <w:p>
      <w:pPr>
        <w:spacing w:after="0" w:line="208" w:lineRule="exact"/>
        <w:rPr>
          <w:rFonts w:ascii="Courier New" w:cs="Courier New" w:eastAsia="Courier New" w:hAnsi="Courier New"/>
          <w:sz w:val="18"/>
          <w:szCs w:val="18"/>
          <w:color w:val="auto"/>
        </w:rPr>
      </w:pPr>
    </w:p>
    <w:p>
      <w:pPr>
        <w:ind w:left="1480" w:right="3479" w:hanging="629"/>
        <w:spacing w:after="0" w:line="235" w:lineRule="auto"/>
        <w:tabs>
          <w:tab w:leader="none" w:pos="14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8" w:lineRule="exact"/>
        <w:rPr>
          <w:rFonts w:ascii="Courier New" w:cs="Courier New" w:eastAsia="Courier New" w:hAnsi="Courier New"/>
          <w:sz w:val="18"/>
          <w:szCs w:val="18"/>
          <w:color w:val="auto"/>
        </w:rPr>
      </w:pPr>
    </w:p>
    <w:p>
      <w:pPr>
        <w:ind w:left="1480" w:right="3259" w:hanging="629"/>
        <w:spacing w:after="0" w:line="235" w:lineRule="auto"/>
        <w:tabs>
          <w:tab w:leader="none" w:pos="14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2284873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7" w:lineRule="exact"/>
        <w:rPr>
          <w:sz w:val="20"/>
          <w:szCs w:val="20"/>
          <w:color w:val="auto"/>
        </w:rPr>
      </w:pPr>
    </w:p>
    <w:p>
      <w:pPr>
        <w:ind w:left="860" w:right="17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Neuberger Berman Group LLC may be deemed to be a beneficial owner of securities for purposes of Rule 13d-3 because certain affiliated persons have shared power to retain or dispose of, and in some cases the sole power to vote, the securities of many unrelated clients. Neuberger Berman Group LLC or its affiliated persons do not, however, have any economic interest in the securities of those clients. The clients are the actual owners of the securities and have the sole right to receive and the power to direct the receipt of dividends from or proceeds from the sale of such securities. No one client has an interest of more than 5% of the issuer.</w:t>
      </w:r>
    </w:p>
    <w:p>
      <w:pPr>
        <w:spacing w:after="0" w:line="215" w:lineRule="exact"/>
        <w:rPr>
          <w:sz w:val="20"/>
          <w:szCs w:val="20"/>
          <w:color w:val="auto"/>
        </w:rPr>
      </w:pPr>
    </w:p>
    <w:p>
      <w:pPr>
        <w:ind w:left="860" w:right="1779"/>
        <w:spacing w:after="0" w:line="238" w:lineRule="auto"/>
        <w:rPr>
          <w:sz w:val="20"/>
          <w:szCs w:val="20"/>
          <w:color w:val="auto"/>
        </w:rPr>
      </w:pPr>
      <w:r>
        <w:rPr>
          <w:rFonts w:ascii="Courier New" w:cs="Courier New" w:eastAsia="Courier New" w:hAnsi="Courier New"/>
          <w:sz w:val="18"/>
          <w:szCs w:val="18"/>
          <w:color w:val="auto"/>
        </w:rPr>
        <w:t>With regard to the Shares set forth under item 4(c)(II), Neuberger Berman Group LLC may be deemed to be the beneficial owner for purposes of Rule 13d-3 because certain affiliated persons have shared power retain, dispose of and vote the securities. Each of Neuberger Berman LLC and Neuberger Berman Management LLC serve as a sub-adviser and investment manager, respectively, of Neuberger Berman Group LLC's various registered mutual funds which hold such Shares in the ordinary course of their business and not with the purpose nor with the effect of changing or influencing the control of the issuer. The holdings of Neuberger Berman Fixed Income LLC and NB Alternative Fund Management LLC, affiliates of Neuberger Berman LLC, are also aggregated to comprise the holdings referenced herein.</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It should be further noted that the Share calculation under item 4(c)(IV) is derived from a total combination of the Shares set forth under Item 4(c)(I and II). The remaining balance of Shares, if any, are for the individual client accounts over which Neuberger Berman LLC has shared power to dispose but not vote Shares.</w:t>
      </w:r>
    </w:p>
    <w:p>
      <w:pPr>
        <w:spacing w:after="0" w:line="209"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ectPr>
          <w:pgSz w:w="11900" w:h="16838" w:orient="portrait"/>
          <w:cols w:equalWidth="0" w:num="1">
            <w:col w:w="10219"/>
          </w:cols>
          <w:pgMar w:left="240" w:top="142" w:right="1440" w:bottom="0" w:gutter="0" w:footer="0" w:header="0"/>
        </w:sectPr>
      </w:pPr>
    </w:p>
    <w:bookmarkStart w:id="7" w:name="page8"/>
    <w:bookmarkEnd w:id="7"/>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1879" w:hanging="312"/>
        <w:spacing w:after="0" w:line="237" w:lineRule="auto"/>
        <w:tabs>
          <w:tab w:leader="none" w:pos="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Group LLC, Neuberger Berman LLC, Neuberger Berman Management LLC and certain affiliated persons own directly no Shares. As investment advisers, certain affiliated persons that are controlled by Neuberger Berman Group LLC have investment and voting powers with respect to the Shares held.</w:t>
      </w:r>
    </w:p>
    <w:p>
      <w:pPr>
        <w:spacing w:after="0" w:line="208" w:lineRule="exact"/>
        <w:rPr>
          <w:rFonts w:ascii="Courier New" w:cs="Courier New" w:eastAsia="Courier New" w:hAnsi="Courier New"/>
          <w:sz w:val="18"/>
          <w:szCs w:val="18"/>
          <w:color w:val="auto"/>
        </w:rPr>
      </w:pPr>
    </w:p>
    <w:p>
      <w:pPr>
        <w:ind w:left="3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Group LLC, through its direct and indirect subsidiary Neuberger Berman Holdings LLC, controls Neuberger Berman LLC and certain affiliated persons. By reason of the provisions of Rule 13d-3 of the Securities Exchange Act of 1934, as amended, Neuberger Berman Group LLC may be deemed to own beneficially 2,284,873 Shares while Neuberger Berman LLC and Neuberger Berman Management LLC may be deemed to own beneficially 2,284,873 Shares and 1,897,115 Shares constituting approximately 6.382% and 5.299%, respectively, of the Shares outstanding. Each of Neuberger Berman Group LLC, Neuberger Berman LLC, Neuberger Berman Management LLC and certain affiliated persons disclaim beneficial ownership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136" w:right="1440" w:bottom="1440" w:gutter="0" w:footer="0" w:header="0"/>
        </w:sectPr>
      </w:pPr>
    </w:p>
    <w:bookmarkStart w:id="8" w:name="page9"/>
    <w:bookmarkEnd w:id="8"/>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Group 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06/10/2009</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4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06/10/2009</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4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Management 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06/10/2009</w:t>
            </w:r>
          </w:p>
        </w:tc>
        <w:tc>
          <w:tcPr>
            <w:tcW w:w="288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8"/>
              </w:rPr>
              <w:t>/s/ Robert Conti</w:t>
            </w:r>
          </w:p>
        </w:tc>
        <w:tc>
          <w:tcPr>
            <w:tcW w:w="154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Robert Conti</w:t>
            </w:r>
          </w:p>
        </w:tc>
      </w:tr>
      <w:tr>
        <w:trPr>
          <w:trHeight w:val="203"/>
        </w:trPr>
        <w:tc>
          <w:tcPr>
            <w:tcW w:w="2860" w:type="dxa"/>
            <w:vAlign w:val="bottom"/>
          </w:tcPr>
          <w:p>
            <w:pPr>
              <w:spacing w:after="0"/>
              <w:rPr>
                <w:sz w:val="17"/>
                <w:szCs w:val="17"/>
                <w:color w:val="auto"/>
              </w:rPr>
            </w:pPr>
          </w:p>
        </w:tc>
        <w:tc>
          <w:tcPr>
            <w:tcW w:w="288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8"/>
              </w:rPr>
              <w:t>Title: President</w:t>
            </w:r>
          </w:p>
        </w:tc>
        <w:tc>
          <w:tcPr>
            <w:tcW w:w="1540" w:type="dxa"/>
            <w:vAlign w:val="bottom"/>
          </w:tcPr>
          <w:p>
            <w:pPr>
              <w:spacing w:after="0"/>
              <w:rPr>
                <w:sz w:val="17"/>
                <w:szCs w:val="17"/>
                <w:color w:val="auto"/>
              </w:rPr>
            </w:pP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Equity Funds</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06/10/2009</w:t>
            </w:r>
          </w:p>
        </w:tc>
        <w:tc>
          <w:tcPr>
            <w:tcW w:w="288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8"/>
              </w:rPr>
              <w:t>/s/ Robert Conti</w:t>
            </w:r>
          </w:p>
        </w:tc>
        <w:tc>
          <w:tcPr>
            <w:tcW w:w="154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Robert Conti</w:t>
            </w:r>
          </w:p>
        </w:tc>
      </w:tr>
      <w:tr>
        <w:trPr>
          <w:trHeight w:val="203"/>
        </w:trPr>
        <w:tc>
          <w:tcPr>
            <w:tcW w:w="2860" w:type="dxa"/>
            <w:vAlign w:val="bottom"/>
          </w:tcPr>
          <w:p>
            <w:pPr>
              <w:spacing w:after="0"/>
              <w:rPr>
                <w:sz w:val="17"/>
                <w:szCs w:val="17"/>
                <w:color w:val="auto"/>
              </w:rPr>
            </w:pPr>
          </w:p>
        </w:tc>
        <w:tc>
          <w:tcPr>
            <w:tcW w:w="288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8"/>
              </w:rPr>
              <w:t>Title: President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Chief</w:t>
            </w:r>
          </w:p>
        </w:tc>
      </w:tr>
      <w:tr>
        <w:trPr>
          <w:trHeight w:val="203"/>
        </w:trPr>
        <w:tc>
          <w:tcPr>
            <w:tcW w:w="2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Executive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p>
      <w:pPr>
        <w:sectPr>
          <w:pgSz w:w="11900" w:h="16838" w:orient="portrait"/>
          <w:cols w:equalWidth="0" w:num="1">
            <w:col w:w="10219"/>
          </w:cols>
          <w:pgMar w:left="240" w:top="723" w:right="1440" w:bottom="144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The undersigned hereby agrees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10, 2009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2)"/>
      <w:numFmt w:val="decimal"/>
      <w:start w:val="5"/>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2)"/>
      <w:numFmt w:val="decimal"/>
      <w:start w:val="5"/>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2)"/>
      <w:numFmt w:val="decimal"/>
      <w:start w:val="5"/>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lvl w:ilvl="1">
      <w:lvlJc w:val="left"/>
      <w:lvlText w:val="(%2)"/>
      <w:numFmt w:val="decimal"/>
      <w:start w:val="5"/>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6"/>
    </w:lvl>
  </w:abstractNum>
  <w:abstractNum w:abstractNumId="31">
    <w:nsid w:val="22221A70"/>
    <w:multiLevelType w:val="hybridMultilevel"/>
    <w:lvl w:ilvl="0">
      <w:lvlJc w:val="left"/>
      <w:lvlText w:val="(%1)"/>
      <w:numFmt w:val="lowerLetter"/>
      <w:start w:val="1"/>
    </w:lvl>
    <w:lvl w:ilvl="1">
      <w:lvlJc w:val="left"/>
      <w:lvlText w:val="(%2)"/>
      <w:numFmt w:val="lowerRoman"/>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2019-12-10T05:26:05Z</dcterms:created>
  <dcterms:modified xsi:type="dcterms:W3CDTF">2019-12-10T05:26:05Z</dcterms:modified>
</cp:coreProperties>
</file>