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165100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Date of Report (Date of earliest event reported): </w:t>
      </w:r>
      <w:r>
        <w:rPr>
          <w:rFonts w:ascii="Times New Roman" w:cs="Times New Roman" w:eastAsia="Times New Roman" w:hAnsi="Times New Roman"/>
          <w:sz w:val="19"/>
          <w:szCs w:val="19"/>
          <w:b w:val="1"/>
          <w:bCs w:val="1"/>
          <w:color w:val="auto"/>
        </w:rPr>
        <w:t>August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172085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TORO COMPANY</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172085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tbl>
      <w:tblPr>
        <w:tblLayout w:type="fixed"/>
        <w:tblInd w:w="620" w:type="dxa"/>
        <w:tblCellMar>
          <w:top w:w="0" w:type="dxa"/>
          <w:left w:w="0" w:type="dxa"/>
          <w:bottom w:w="0" w:type="dxa"/>
          <w:right w:w="0" w:type="dxa"/>
        </w:tblCellMar>
      </w:tblPr>
      <w:tr>
        <w:trPr>
          <w:trHeight w:val="243"/>
        </w:trPr>
        <w:tc>
          <w:tcPr>
            <w:tcW w:w="2840" w:type="dxa"/>
            <w:vAlign w:val="bottom"/>
          </w:tcPr>
          <w:p>
            <w:pPr>
              <w:jc w:val="center"/>
              <w:ind w:right="150"/>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46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1-8649</w:t>
            </w:r>
          </w:p>
        </w:tc>
        <w:tc>
          <w:tcPr>
            <w:tcW w:w="2580" w:type="dxa"/>
            <w:vAlign w:val="bottom"/>
          </w:tcPr>
          <w:p>
            <w:pPr>
              <w:jc w:val="right"/>
              <w:ind w:right="550"/>
              <w:spacing w:after="0"/>
              <w:rPr>
                <w:sz w:val="20"/>
                <w:szCs w:val="20"/>
                <w:color w:val="auto"/>
              </w:rPr>
            </w:pPr>
            <w:r>
              <w:rPr>
                <w:rFonts w:ascii="Times New Roman" w:cs="Times New Roman" w:eastAsia="Times New Roman" w:hAnsi="Times New Roman"/>
                <w:sz w:val="20"/>
                <w:szCs w:val="20"/>
                <w:b w:val="1"/>
                <w:bCs w:val="1"/>
                <w:color w:val="auto"/>
              </w:rPr>
              <w:t>41-0580470</w:t>
            </w:r>
          </w:p>
        </w:tc>
      </w:tr>
      <w:tr>
        <w:trPr>
          <w:trHeight w:val="203"/>
        </w:trPr>
        <w:tc>
          <w:tcPr>
            <w:tcW w:w="2840" w:type="dxa"/>
            <w:vAlign w:val="bottom"/>
          </w:tcPr>
          <w:p>
            <w:pPr>
              <w:jc w:val="center"/>
              <w:ind w:right="170"/>
              <w:spacing w:after="0"/>
              <w:rPr>
                <w:sz w:val="20"/>
                <w:szCs w:val="20"/>
                <w:color w:val="auto"/>
              </w:rPr>
            </w:pPr>
            <w:r>
              <w:rPr>
                <w:rFonts w:ascii="Times New Roman" w:cs="Times New Roman" w:eastAsia="Times New Roman" w:hAnsi="Times New Roman"/>
                <w:sz w:val="16"/>
                <w:szCs w:val="16"/>
                <w:color w:val="auto"/>
              </w:rPr>
              <w:t>(State or other jurisdiction</w:t>
            </w:r>
          </w:p>
        </w:tc>
        <w:tc>
          <w:tcPr>
            <w:tcW w:w="4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(Commission File Number)</w:t>
            </w:r>
          </w:p>
        </w:tc>
        <w:tc>
          <w:tcPr>
            <w:tcW w:w="2580" w:type="dxa"/>
            <w:vAlign w:val="bottom"/>
          </w:tcPr>
          <w:p>
            <w:pPr>
              <w:jc w:val="center"/>
              <w:ind w:left="250"/>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2840" w:type="dxa"/>
            <w:vAlign w:val="bottom"/>
          </w:tcPr>
          <w:p>
            <w:pPr>
              <w:jc w:val="center"/>
              <w:ind w:right="170"/>
              <w:spacing w:after="0"/>
              <w:rPr>
                <w:sz w:val="20"/>
                <w:szCs w:val="20"/>
                <w:color w:val="auto"/>
              </w:rPr>
            </w:pPr>
            <w:r>
              <w:rPr>
                <w:rFonts w:ascii="Times New Roman" w:cs="Times New Roman" w:eastAsia="Times New Roman" w:hAnsi="Times New Roman"/>
                <w:sz w:val="16"/>
                <w:szCs w:val="16"/>
                <w:color w:val="auto"/>
              </w:rPr>
              <w:t>of incorporation)</w:t>
            </w:r>
          </w:p>
        </w:tc>
        <w:tc>
          <w:tcPr>
            <w:tcW w:w="460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425"/>
        </w:trPr>
        <w:tc>
          <w:tcPr>
            <w:tcW w:w="2840" w:type="dxa"/>
            <w:vAlign w:val="bottom"/>
          </w:tcPr>
          <w:p>
            <w:pPr>
              <w:jc w:val="center"/>
              <w:ind w:right="150"/>
              <w:spacing w:after="0"/>
              <w:rPr>
                <w:sz w:val="20"/>
                <w:szCs w:val="20"/>
                <w:color w:val="auto"/>
              </w:rPr>
            </w:pPr>
            <w:r>
              <w:rPr>
                <w:rFonts w:ascii="Times New Roman" w:cs="Times New Roman" w:eastAsia="Times New Roman" w:hAnsi="Times New Roman"/>
                <w:sz w:val="20"/>
                <w:szCs w:val="20"/>
                <w:b w:val="1"/>
                <w:bCs w:val="1"/>
                <w:color w:val="auto"/>
                <w:w w:val="96"/>
              </w:rPr>
              <w:t>8111 Lyndale Avenue South</w:t>
            </w:r>
          </w:p>
        </w:tc>
        <w:tc>
          <w:tcPr>
            <w:tcW w:w="46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43"/>
        </w:trPr>
        <w:tc>
          <w:tcPr>
            <w:tcW w:w="2840" w:type="dxa"/>
            <w:vAlign w:val="bottom"/>
          </w:tcPr>
          <w:p>
            <w:pPr>
              <w:jc w:val="center"/>
              <w:ind w:right="150"/>
              <w:spacing w:after="0"/>
              <w:rPr>
                <w:sz w:val="20"/>
                <w:szCs w:val="20"/>
                <w:color w:val="auto"/>
              </w:rPr>
            </w:pPr>
            <w:r>
              <w:rPr>
                <w:rFonts w:ascii="Times New Roman" w:cs="Times New Roman" w:eastAsia="Times New Roman" w:hAnsi="Times New Roman"/>
                <w:sz w:val="20"/>
                <w:szCs w:val="20"/>
                <w:b w:val="1"/>
                <w:bCs w:val="1"/>
                <w:color w:val="auto"/>
                <w:w w:val="99"/>
              </w:rPr>
              <w:t>Bloomington, Minnesota</w:t>
            </w:r>
          </w:p>
        </w:tc>
        <w:tc>
          <w:tcPr>
            <w:tcW w:w="4600" w:type="dxa"/>
            <w:vAlign w:val="bottom"/>
          </w:tcPr>
          <w:p>
            <w:pPr>
              <w:spacing w:after="0"/>
              <w:rPr>
                <w:sz w:val="21"/>
                <w:szCs w:val="21"/>
                <w:color w:val="auto"/>
              </w:rPr>
            </w:pPr>
          </w:p>
        </w:tc>
        <w:tc>
          <w:tcPr>
            <w:tcW w:w="2580" w:type="dxa"/>
            <w:vAlign w:val="bottom"/>
          </w:tcPr>
          <w:p>
            <w:pPr>
              <w:jc w:val="right"/>
              <w:ind w:right="790"/>
              <w:spacing w:after="0"/>
              <w:rPr>
                <w:sz w:val="20"/>
                <w:szCs w:val="20"/>
                <w:color w:val="auto"/>
              </w:rPr>
            </w:pPr>
            <w:r>
              <w:rPr>
                <w:rFonts w:ascii="Times New Roman" w:cs="Times New Roman" w:eastAsia="Times New Roman" w:hAnsi="Times New Roman"/>
                <w:sz w:val="20"/>
                <w:szCs w:val="20"/>
                <w:b w:val="1"/>
                <w:bCs w:val="1"/>
                <w:color w:val="auto"/>
              </w:rPr>
              <w:t>55420</w:t>
            </w:r>
          </w:p>
        </w:tc>
      </w:tr>
      <w:tr>
        <w:trPr>
          <w:trHeight w:val="210"/>
        </w:trPr>
        <w:tc>
          <w:tcPr>
            <w:tcW w:w="2840" w:type="dxa"/>
            <w:vAlign w:val="bottom"/>
          </w:tcPr>
          <w:p>
            <w:pPr>
              <w:jc w:val="center"/>
              <w:ind w:right="17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600" w:type="dxa"/>
            <w:vAlign w:val="bottom"/>
          </w:tcPr>
          <w:p>
            <w:pPr>
              <w:spacing w:after="0"/>
              <w:rPr>
                <w:sz w:val="18"/>
                <w:szCs w:val="18"/>
                <w:color w:val="auto"/>
              </w:rPr>
            </w:pPr>
          </w:p>
        </w:tc>
        <w:tc>
          <w:tcPr>
            <w:tcW w:w="2580" w:type="dxa"/>
            <w:vAlign w:val="bottom"/>
          </w:tcPr>
          <w:p>
            <w:pPr>
              <w:jc w:val="center"/>
              <w:ind w:left="250"/>
              <w:spacing w:after="0"/>
              <w:rPr>
                <w:sz w:val="20"/>
                <w:szCs w:val="20"/>
                <w:color w:val="auto"/>
              </w:rPr>
            </w:pPr>
            <w:r>
              <w:rPr>
                <w:rFonts w:ascii="Times New Roman" w:cs="Times New Roman" w:eastAsia="Times New Roman" w:hAnsi="Times New Roman"/>
                <w:sz w:val="16"/>
                <w:szCs w:val="16"/>
                <w:color w:val="auto"/>
              </w:rPr>
              <w:t>(Zip Code)</w:t>
            </w:r>
          </w:p>
        </w:tc>
      </w:tr>
      <w:tr>
        <w:trPr>
          <w:trHeight w:val="379"/>
        </w:trPr>
        <w:tc>
          <w:tcPr>
            <w:tcW w:w="2840" w:type="dxa"/>
            <w:vAlign w:val="bottom"/>
          </w:tcPr>
          <w:p>
            <w:pPr>
              <w:spacing w:after="0"/>
              <w:rPr>
                <w:sz w:val="24"/>
                <w:szCs w:val="24"/>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(952) 888-8801</w:t>
            </w:r>
          </w:p>
        </w:tc>
        <w:tc>
          <w:tcPr>
            <w:tcW w:w="2580" w:type="dxa"/>
            <w:vAlign w:val="bottom"/>
          </w:tcPr>
          <w:p>
            <w:pPr>
              <w:spacing w:after="0"/>
              <w:rPr>
                <w:sz w:val="24"/>
                <w:szCs w:val="24"/>
                <w:color w:val="auto"/>
              </w:rPr>
            </w:pPr>
          </w:p>
        </w:tc>
      </w:tr>
      <w:tr>
        <w:trPr>
          <w:trHeight w:val="234"/>
        </w:trPr>
        <w:tc>
          <w:tcPr>
            <w:tcW w:w="2840" w:type="dxa"/>
            <w:vAlign w:val="bottom"/>
          </w:tcPr>
          <w:p>
            <w:pPr>
              <w:spacing w:after="0"/>
              <w:rPr>
                <w:sz w:val="20"/>
                <w:szCs w:val="20"/>
                <w:color w:val="auto"/>
              </w:rPr>
            </w:pPr>
          </w:p>
        </w:tc>
        <w:tc>
          <w:tcPr>
            <w:tcW w:w="4600" w:type="dxa"/>
            <w:vAlign w:val="bottom"/>
          </w:tcPr>
          <w:p>
            <w:pPr>
              <w:jc w:val="center"/>
              <w:ind w:right="8"/>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580" w:type="dxa"/>
            <w:vAlign w:val="bottom"/>
          </w:tcPr>
          <w:p>
            <w:pPr>
              <w:spacing w:after="0"/>
              <w:rPr>
                <w:sz w:val="20"/>
                <w:szCs w:val="20"/>
                <w:color w:val="auto"/>
              </w:rPr>
            </w:pPr>
          </w:p>
        </w:tc>
      </w:tr>
      <w:tr>
        <w:trPr>
          <w:trHeight w:val="378"/>
        </w:trPr>
        <w:tc>
          <w:tcPr>
            <w:tcW w:w="2840" w:type="dxa"/>
            <w:vAlign w:val="bottom"/>
          </w:tcPr>
          <w:p>
            <w:pPr>
              <w:spacing w:after="0"/>
              <w:rPr>
                <w:sz w:val="24"/>
                <w:szCs w:val="24"/>
                <w:color w:val="auto"/>
              </w:rPr>
            </w:pPr>
          </w:p>
        </w:tc>
        <w:tc>
          <w:tcPr>
            <w:tcW w:w="4600" w:type="dxa"/>
            <w:vAlign w:val="bottom"/>
          </w:tcPr>
          <w:p>
            <w:pPr>
              <w:jc w:val="center"/>
              <w:ind w:right="8"/>
              <w:spacing w:after="0"/>
              <w:rPr>
                <w:sz w:val="20"/>
                <w:szCs w:val="20"/>
                <w:color w:val="auto"/>
              </w:rPr>
            </w:pPr>
            <w:r>
              <w:rPr>
                <w:rFonts w:ascii="Times New Roman" w:cs="Times New Roman" w:eastAsia="Times New Roman" w:hAnsi="Times New Roman"/>
                <w:sz w:val="20"/>
                <w:szCs w:val="20"/>
                <w:b w:val="1"/>
                <w:bCs w:val="1"/>
                <w:color w:val="auto"/>
                <w:w w:val="98"/>
              </w:rPr>
              <w:t>Not Applicable</w:t>
            </w:r>
          </w:p>
        </w:tc>
        <w:tc>
          <w:tcPr>
            <w:tcW w:w="2580" w:type="dxa"/>
            <w:vAlign w:val="bottom"/>
          </w:tcPr>
          <w:p>
            <w:pPr>
              <w:spacing w:after="0"/>
              <w:rPr>
                <w:sz w:val="24"/>
                <w:szCs w:val="24"/>
                <w:color w:val="auto"/>
              </w:rPr>
            </w:pPr>
          </w:p>
        </w:tc>
      </w:tr>
      <w:tr>
        <w:trPr>
          <w:trHeight w:val="210"/>
        </w:trPr>
        <w:tc>
          <w:tcPr>
            <w:tcW w:w="2840" w:type="dxa"/>
            <w:vAlign w:val="bottom"/>
          </w:tcPr>
          <w:p>
            <w:pPr>
              <w:spacing w:after="0"/>
              <w:rPr>
                <w:sz w:val="18"/>
                <w:szCs w:val="18"/>
                <w:color w:val="auto"/>
              </w:rPr>
            </w:pPr>
          </w:p>
        </w:tc>
        <w:tc>
          <w:tcPr>
            <w:tcW w:w="4600" w:type="dxa"/>
            <w:vAlign w:val="bottom"/>
          </w:tcPr>
          <w:p>
            <w:pPr>
              <w:jc w:val="center"/>
              <w:ind w:right="8"/>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tc>
        <w:tc>
          <w:tcPr>
            <w:tcW w:w="258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140970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60" w:firstLine="8"/>
        <w:spacing w:after="0" w:line="386" w:lineRule="auto"/>
        <w:tabs>
          <w:tab w:leader="none" w:pos="51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870" w:type="dxa"/>
        <w:tblCellMar>
          <w:top w:w="0" w:type="dxa"/>
          <w:left w:w="0" w:type="dxa"/>
          <w:bottom w:w="0" w:type="dxa"/>
          <w:right w:w="0" w:type="dxa"/>
        </w:tblCellMar>
      </w:tblPr>
      <w:tr>
        <w:trPr>
          <w:trHeight w:val="229"/>
        </w:trPr>
        <w:tc>
          <w:tcPr>
            <w:tcW w:w="38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
        </w:trPr>
        <w:tc>
          <w:tcPr>
            <w:tcW w:w="3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4020" w:type="dxa"/>
            <w:vAlign w:val="bottom"/>
            <w:tcBorders>
              <w:bottom w:val="single" w:sz="8" w:color="auto"/>
              <w:right w:val="single" w:sz="8" w:color="auto"/>
            </w:tcBorders>
          </w:tcPr>
          <w:p>
            <w:pPr>
              <w:spacing w:after="0" w:line="20" w:lineRule="exact"/>
              <w:rPr>
                <w:sz w:val="1"/>
                <w:szCs w:val="1"/>
                <w:color w:val="auto"/>
              </w:rPr>
            </w:pPr>
          </w:p>
        </w:tc>
      </w:tr>
      <w:tr>
        <w:trPr>
          <w:trHeight w:val="244"/>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44"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2" w:lineRule="exact"/>
        <w:rPr>
          <w:sz w:val="24"/>
          <w:szCs w:val="24"/>
          <w:color w:val="auto"/>
        </w:rPr>
      </w:pPr>
    </w:p>
    <w:p>
      <w:pPr>
        <w:ind w:left="92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1"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695960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2 – Financial Information</w:t>
      </w:r>
    </w:p>
    <w:p>
      <w:pPr>
        <w:spacing w:after="0" w:line="229"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2.05</w:t>
      </w:r>
      <w:r>
        <w:rPr>
          <w:sz w:val="20"/>
          <w:szCs w:val="20"/>
          <w:color w:val="auto"/>
        </w:rPr>
        <w:tab/>
      </w:r>
      <w:r>
        <w:rPr>
          <w:rFonts w:ascii="Times New Roman" w:cs="Times New Roman" w:eastAsia="Times New Roman" w:hAnsi="Times New Roman"/>
          <w:sz w:val="19"/>
          <w:szCs w:val="19"/>
          <w:b w:val="1"/>
          <w:bCs w:val="1"/>
          <w:color w:val="auto"/>
        </w:rPr>
        <w:t>Costs Associated with Exit or Disposal Activities.</w:t>
      </w:r>
    </w:p>
    <w:p>
      <w:pPr>
        <w:spacing w:after="0" w:line="233" w:lineRule="exact"/>
        <w:rPr>
          <w:sz w:val="20"/>
          <w:szCs w:val="20"/>
          <w:color w:val="auto"/>
        </w:rPr>
      </w:pPr>
    </w:p>
    <w:p>
      <w:pPr>
        <w:jc w:val="both"/>
        <w:ind w:firstLine="761"/>
        <w:spacing w:after="0" w:line="247" w:lineRule="auto"/>
        <w:rPr>
          <w:sz w:val="20"/>
          <w:szCs w:val="20"/>
          <w:color w:val="auto"/>
        </w:rPr>
      </w:pPr>
      <w:r>
        <w:rPr>
          <w:rFonts w:ascii="Times New Roman" w:cs="Times New Roman" w:eastAsia="Times New Roman" w:hAnsi="Times New Roman"/>
          <w:sz w:val="20"/>
          <w:szCs w:val="20"/>
          <w:color w:val="auto"/>
        </w:rPr>
        <w:t>On August 1, 2019, The Toro Company (“Toro”) announced a new underground construction business strategy that includes winding down its Toro-branded large horizontal directional drill and riding trencher product categories (the “Underground Brand Transition”). The Underground Brand Transition is primarily driven by Toro’s recent acquisition of The Charles Machine Works, Inc. (“CMW”), and is intended to leverage CMW’s strength in the underground construction business to increase operational and manufacturing efficiencies, provide cost savings, and rationalize its product offerings for the underground construction business.</w:t>
      </w:r>
    </w:p>
    <w:p>
      <w:pPr>
        <w:spacing w:after="0" w:line="194" w:lineRule="exact"/>
        <w:rPr>
          <w:sz w:val="20"/>
          <w:szCs w:val="20"/>
          <w:color w:val="auto"/>
        </w:rPr>
      </w:pPr>
    </w:p>
    <w:p>
      <w:pPr>
        <w:jc w:val="both"/>
        <w:ind w:firstLine="761"/>
        <w:spacing w:after="0" w:line="245" w:lineRule="auto"/>
        <w:rPr>
          <w:sz w:val="20"/>
          <w:szCs w:val="20"/>
          <w:color w:val="auto"/>
        </w:rPr>
      </w:pPr>
      <w:r>
        <w:rPr>
          <w:rFonts w:ascii="Times New Roman" w:cs="Times New Roman" w:eastAsia="Times New Roman" w:hAnsi="Times New Roman"/>
          <w:sz w:val="20"/>
          <w:szCs w:val="20"/>
          <w:color w:val="auto"/>
        </w:rPr>
        <w:t>Toro expects to incur total pre-tax charges in connection with the Underground Brand Transition of approximately $10 million to $13 million, most of which are expected to be incurred during its third quarter ending August 2, 2019. Such pre-tax charges are primarily comprised of a one-time expense due to the write-down of inventory associated with the Toro-branded large horizontal directional drill and riding trencher product categories. Future cash expenditures for these pre-tax charges are estimated to be approximately $1.5 million to $2.5 million and will be primarily used for anticipated inventory retail support activities. Substantially all activities anticipated to be incurred in connection with the Underground Brand Transition are expected to be completed by the end of Toro’s 2020 fiscal year.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 – Regulation FD</w:t>
      </w:r>
    </w:p>
    <w:p>
      <w:pPr>
        <w:spacing w:after="0" w:line="229"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7.01</w:t>
      </w:r>
      <w:r>
        <w:rPr>
          <w:sz w:val="20"/>
          <w:szCs w:val="20"/>
          <w:color w:val="auto"/>
        </w:rPr>
        <w:tab/>
      </w:r>
      <w:r>
        <w:rPr>
          <w:rFonts w:ascii="Times New Roman" w:cs="Times New Roman" w:eastAsia="Times New Roman" w:hAnsi="Times New Roman"/>
          <w:sz w:val="19"/>
          <w:szCs w:val="19"/>
          <w:b w:val="1"/>
          <w:bCs w:val="1"/>
          <w:color w:val="auto"/>
        </w:rPr>
        <w:t>Regulation FD Disclosure.</w:t>
      </w:r>
    </w:p>
    <w:p>
      <w:pPr>
        <w:spacing w:after="0" w:line="233" w:lineRule="exact"/>
        <w:rPr>
          <w:sz w:val="20"/>
          <w:szCs w:val="20"/>
          <w:color w:val="auto"/>
        </w:rPr>
      </w:pPr>
    </w:p>
    <w:p>
      <w:pPr>
        <w:jc w:val="both"/>
        <w:ind w:firstLine="761"/>
        <w:spacing w:after="0" w:line="254" w:lineRule="auto"/>
        <w:rPr>
          <w:sz w:val="20"/>
          <w:szCs w:val="20"/>
          <w:color w:val="auto"/>
        </w:rPr>
      </w:pPr>
      <w:r>
        <w:rPr>
          <w:rFonts w:ascii="Times New Roman" w:cs="Times New Roman" w:eastAsia="Times New Roman" w:hAnsi="Times New Roman"/>
          <w:sz w:val="20"/>
          <w:szCs w:val="20"/>
          <w:color w:val="auto"/>
        </w:rPr>
        <w:t>On August 1, 2019, Toro announced its new underground construction business strategy, including the Underground Brand Transition described in Item 2.05 above. A copy of the press release is furnished as Exhibit 99.1 to this Current Report on Form 8-K and is incorporated herein by reference.</w:t>
      </w:r>
    </w:p>
    <w:p>
      <w:pPr>
        <w:spacing w:after="0" w:line="188" w:lineRule="exact"/>
        <w:rPr>
          <w:sz w:val="20"/>
          <w:szCs w:val="20"/>
          <w:color w:val="auto"/>
        </w:rPr>
      </w:pPr>
    </w:p>
    <w:p>
      <w:pPr>
        <w:jc w:val="both"/>
        <w:ind w:firstLine="761"/>
        <w:spacing w:after="0" w:line="249" w:lineRule="auto"/>
        <w:rPr>
          <w:sz w:val="20"/>
          <w:szCs w:val="20"/>
          <w:color w:val="auto"/>
        </w:rPr>
      </w:pPr>
      <w:r>
        <w:rPr>
          <w:rFonts w:ascii="Times New Roman" w:cs="Times New Roman" w:eastAsia="Times New Roman" w:hAnsi="Times New Roman"/>
          <w:sz w:val="20"/>
          <w:szCs w:val="20"/>
          <w:color w:val="auto"/>
        </w:rPr>
        <w:t>The information contained in this Item 7.01 and Exhibit 99.1 to this Current Report on Form 8-K shall not be deemed to be “filed” for purposes of Section 18 of the Securities Exchange Act of 1934, as amended (the “Exchange Act”), or otherwise subject to the liability of that section, and shall not be incorporated by reference into any filings made by Toro under the Securities Act of 1933, as amended, or the Exchange Act, except as shall be expressly set forth by specific reference in such filing.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9 – Financial Statements and Exhibits</w:t>
      </w:r>
    </w:p>
    <w:p>
      <w:pPr>
        <w:spacing w:after="0" w:line="21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16" w:lineRule="exact"/>
        <w:rPr>
          <w:sz w:val="20"/>
          <w:szCs w:val="20"/>
          <w:color w:val="auto"/>
        </w:rPr>
      </w:pPr>
    </w:p>
    <w:p>
      <w:pPr>
        <w:ind w:left="1660" w:hanging="891"/>
        <w:spacing w:after="0"/>
        <w:tabs>
          <w:tab w:leader="none" w:pos="166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Exhibits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Exhibit</w:t>
      </w:r>
    </w:p>
    <w:p>
      <w:pPr>
        <w:spacing w:after="0" w:line="26" w:lineRule="exact"/>
        <w:rPr>
          <w:sz w:val="20"/>
          <w:szCs w:val="20"/>
          <w:color w:val="auto"/>
        </w:rPr>
      </w:pPr>
    </w:p>
    <w:p>
      <w:pPr>
        <w:ind w:left="1060"/>
        <w:spacing w:after="0"/>
        <w:tabs>
          <w:tab w:leader="none" w:pos="5140" w:val="left"/>
        </w:tabs>
        <w:rPr>
          <w:sz w:val="20"/>
          <w:szCs w:val="20"/>
          <w:color w:val="auto"/>
        </w:rPr>
      </w:pPr>
      <w:r>
        <w:rPr>
          <w:rFonts w:ascii="Times New Roman" w:cs="Times New Roman" w:eastAsia="Times New Roman" w:hAnsi="Times New Roman"/>
          <w:sz w:val="20"/>
          <w:szCs w:val="20"/>
          <w:b w:val="1"/>
          <w:bCs w:val="1"/>
          <w:color w:val="auto"/>
        </w:rPr>
        <w:t>No.</w:t>
      </w:r>
      <w:r>
        <w:rPr>
          <w:sz w:val="20"/>
          <w:szCs w:val="20"/>
          <w:color w:val="auto"/>
        </w:rPr>
        <w:tab/>
      </w:r>
      <w:r>
        <w:rPr>
          <w:rFonts w:ascii="Times New Roman" w:cs="Times New Roman" w:eastAsia="Times New Roman" w:hAnsi="Times New Roman"/>
          <w:sz w:val="20"/>
          <w:szCs w:val="2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0</wp:posOffset>
            </wp:positionV>
            <wp:extent cx="55568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56885" cy="8890"/>
                    </a:xfrm>
                    <a:prstGeom prst="rect">
                      <a:avLst/>
                    </a:prstGeom>
                    <a:noFill/>
                  </pic:spPr>
                </pic:pic>
              </a:graphicData>
            </a:graphic>
          </wp:anchor>
        </w:drawing>
      </w:r>
    </w:p>
    <w:p>
      <w:pPr>
        <w:ind w:left="1020"/>
        <w:spacing w:after="0"/>
        <w:tabs>
          <w:tab w:leader="none" w:pos="1780" w:val="left"/>
        </w:tabs>
        <w:rPr>
          <w:rFonts w:ascii="Times New Roman" w:cs="Times New Roman" w:eastAsia="Times New Roman" w:hAnsi="Times New Roman"/>
          <w:sz w:val="19"/>
          <w:szCs w:val="19"/>
          <w:u w:val="single" w:color="auto"/>
          <w:color w:val="0000EE"/>
        </w:rPr>
      </w:pPr>
      <w:r>
        <w:rPr>
          <w:rFonts w:ascii="Times New Roman" w:cs="Times New Roman" w:eastAsia="Times New Roman" w:hAnsi="Times New Roman"/>
          <w:sz w:val="20"/>
          <w:szCs w:val="20"/>
          <w:color w:val="auto"/>
        </w:rPr>
        <w:t>99.1</w:t>
      </w:r>
      <w:r>
        <w:rPr>
          <w:sz w:val="20"/>
          <w:szCs w:val="20"/>
          <w:color w:val="auto"/>
        </w:rPr>
        <w:tab/>
      </w:r>
      <w:hyperlink w:anchor="page5">
        <w:r>
          <w:rPr>
            <w:rFonts w:ascii="Times New Roman" w:cs="Times New Roman" w:eastAsia="Times New Roman" w:hAnsi="Times New Roman"/>
            <w:sz w:val="19"/>
            <w:szCs w:val="19"/>
            <w:u w:val="single" w:color="auto"/>
            <w:color w:val="0000EE"/>
          </w:rPr>
          <w:t xml:space="preserve">Press Release dated August 1, 2019 issued by The Toro Company </w:t>
        </w:r>
      </w:hyperlink>
      <w:r>
        <w:rPr>
          <w:rFonts w:ascii="Times New Roman" w:cs="Times New Roman" w:eastAsia="Times New Roman" w:hAnsi="Times New Roman"/>
          <w:sz w:val="19"/>
          <w:szCs w:val="19"/>
          <w:color w:val="000000"/>
        </w:rPr>
        <w:t>(furnished</w:t>
      </w:r>
      <w:r>
        <w:rPr>
          <w:rFonts w:ascii="Times New Roman" w:cs="Times New Roman" w:eastAsia="Times New Roman" w:hAnsi="Times New Roman"/>
          <w:sz w:val="19"/>
          <w:szCs w:val="19"/>
          <w:u w:val="single" w:color="auto"/>
          <w:color w:val="0000EE"/>
        </w:rPr>
        <w:t xml:space="preserve"> </w:t>
      </w:r>
      <w:r>
        <w:rPr>
          <w:rFonts w:ascii="Times New Roman" w:cs="Times New Roman" w:eastAsia="Times New Roman" w:hAnsi="Times New Roman"/>
          <w:sz w:val="19"/>
          <w:szCs w:val="19"/>
          <w:color w:val="000000"/>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This Current Report on Form 8-K contains forward-looking statements within the meaning of Section 27A of the Securities Act and Section 21E of the Exchange Act, and that are subject to the safe harbor created by those sections. In addition, Toro or others on its behalf may make forward-looking statements relating to the Underground Brand Transition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Toro’s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"can," "seek," "potential," "pro forma," or the negative thereof and similar expressions or future dates. Some of the forward-looking statements in this report include the anticipated cash expenditures and non-cash charges in connection with the Underground Brand Transition, anticipated benefits as a result of the Underground Brand Transition and the timing of events related to the Underground Brand Transition. Forward-looking statements involve risks and uncertainties that could cause actual results to differ materially from those projected or implied. The following are some of the factors known to Toro that could cause Toro’s actual results to differ materially from what Toro has anticipated in its forward-looking statements: delays in completing the Underground Brand Transition; the failure by Toro to achieve any cost or revenue synergies expected from the Underground Brand Transition or delays in the realization thereof; business disruption during the pendency of or following the Underground Brand Transition; and unanticipated charges that may be incurred in connection with the Underground Brand Transition. For more information regarding these and other uncertainties and factors that could cause Toro’s actual results to differ materially from what it has anticipated in its forward-looking statements or otherwise could materially adversely affect its business, financial condition or operating results, see Toro’s most recently filed Annual Report on Form 10-K, Part I, Item 1A, “Risk Factors” and Quarterly Reports on Form 10-Q, Part II, Item 1A, “Risk Factors”. All forward-looking statements included in this report are expressly qualified in their entirety by the foregoing cautionary statements. Toro cautions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Toro’s most recent Annual Report on Form 10-K, Part I, Item 1A, “Risk Factors” and Quarterly Reports on Form 10-Q, Part II, Item IA, “Risk Factors,” as well as others that Toro may consider immaterial or does not anticipate at this time. The foregoing risks and uncertainties are not exclusive and further information concerning Toro and its businesses, including factors that potentially could materially affect Toro’s financial results or condition, may emerge from time to time. Toro undertakes no obligation to update forward-looking statements to reflect actual results or changes in factors or assumptions affecting such forward-looking statements. Toro advises you, however, to consult any further disclosures it makes on related subjects in its future Annual Reports on Form 10-K, Quarterly Reports on Form 10-Q, and Current Reports on Form 8-K that Toro may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right="440" w:firstLine="761"/>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00" w:type="dxa"/>
            <w:vAlign w:val="bottom"/>
          </w:tcPr>
          <w:p>
            <w:pPr>
              <w:spacing w:after="0"/>
              <w:rPr>
                <w:sz w:val="21"/>
                <w:szCs w:val="21"/>
                <w:color w:val="auto"/>
              </w:rPr>
            </w:pPr>
          </w:p>
        </w:tc>
        <w:tc>
          <w:tcPr>
            <w:tcW w:w="7720" w:type="dxa"/>
            <w:vAlign w:val="bottom"/>
            <w:gridSpan w:val="2"/>
          </w:tcPr>
          <w:p>
            <w:pPr>
              <w:ind w:left="2080"/>
              <w:spacing w:after="0"/>
              <w:rPr>
                <w:sz w:val="20"/>
                <w:szCs w:val="20"/>
                <w:color w:val="auto"/>
              </w:rPr>
            </w:pPr>
            <w:r>
              <w:rPr>
                <w:rFonts w:ascii="Times New Roman" w:cs="Times New Roman" w:eastAsia="Times New Roman" w:hAnsi="Times New Roman"/>
                <w:sz w:val="20"/>
                <w:szCs w:val="20"/>
                <w:b w:val="1"/>
                <w:bCs w:val="1"/>
                <w:color w:val="auto"/>
              </w:rPr>
              <w:t>THE TORO COMPANY</w:t>
            </w:r>
          </w:p>
        </w:tc>
      </w:tr>
      <w:tr>
        <w:trPr>
          <w:trHeight w:val="262"/>
        </w:trPr>
        <w:tc>
          <w:tcPr>
            <w:tcW w:w="3700" w:type="dxa"/>
            <w:vAlign w:val="bottom"/>
          </w:tcPr>
          <w:p>
            <w:pPr>
              <w:spacing w:after="0"/>
              <w:rPr>
                <w:sz w:val="22"/>
                <w:szCs w:val="22"/>
                <w:color w:val="auto"/>
              </w:rPr>
            </w:pPr>
          </w:p>
        </w:tc>
        <w:tc>
          <w:tcPr>
            <w:tcW w:w="7720" w:type="dxa"/>
            <w:vAlign w:val="bottom"/>
            <w:gridSpan w:val="2"/>
          </w:tcPr>
          <w:p>
            <w:pPr>
              <w:ind w:left="2080"/>
              <w:spacing w:after="0"/>
              <w:rPr>
                <w:sz w:val="20"/>
                <w:szCs w:val="20"/>
                <w:color w:val="auto"/>
              </w:rPr>
            </w:pPr>
            <w:r>
              <w:rPr>
                <w:rFonts w:ascii="Times New Roman" w:cs="Times New Roman" w:eastAsia="Times New Roman" w:hAnsi="Times New Roman"/>
                <w:sz w:val="20"/>
                <w:szCs w:val="20"/>
                <w:b w:val="1"/>
                <w:bCs w:val="1"/>
                <w:color w:val="auto"/>
              </w:rPr>
              <w:t>(Registrant)</w:t>
            </w:r>
          </w:p>
        </w:tc>
      </w:tr>
      <w:tr>
        <w:trPr>
          <w:trHeight w:val="696"/>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Date: August 1, 2019</w:t>
            </w:r>
          </w:p>
        </w:tc>
        <w:tc>
          <w:tcPr>
            <w:tcW w:w="7720" w:type="dxa"/>
            <w:vAlign w:val="bottom"/>
            <w:gridSpan w:val="2"/>
          </w:tcPr>
          <w:p>
            <w:pPr>
              <w:ind w:left="2080"/>
              <w:spacing w:after="0"/>
              <w:rPr>
                <w:sz w:val="20"/>
                <w:szCs w:val="20"/>
                <w:color w:val="auto"/>
              </w:rPr>
            </w:pPr>
            <w:r>
              <w:rPr>
                <w:rFonts w:ascii="Times New Roman" w:cs="Times New Roman" w:eastAsia="Times New Roman" w:hAnsi="Times New Roman"/>
                <w:sz w:val="20"/>
                <w:szCs w:val="20"/>
                <w:color w:val="auto"/>
              </w:rPr>
              <w:t>By: /s/ Timothy P. Dordell</w:t>
            </w:r>
          </w:p>
        </w:tc>
      </w:tr>
      <w:tr>
        <w:trPr>
          <w:trHeight w:val="227"/>
        </w:trPr>
        <w:tc>
          <w:tcPr>
            <w:tcW w:w="37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20" w:type="dxa"/>
            <w:vAlign w:val="bottom"/>
            <w:tcBorders>
              <w:top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rPr>
              <w:t>Timothy P. Dordell</w:t>
            </w:r>
          </w:p>
        </w:tc>
      </w:tr>
      <w:tr>
        <w:trPr>
          <w:trHeight w:val="258"/>
        </w:trPr>
        <w:tc>
          <w:tcPr>
            <w:tcW w:w="37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Vice President, Secretary and General Counsel</w:t>
            </w:r>
          </w:p>
        </w:tc>
      </w:tr>
      <w:tr>
        <w:trPr>
          <w:trHeight w:val="642"/>
        </w:trPr>
        <w:tc>
          <w:tcPr>
            <w:tcW w:w="3700" w:type="dxa"/>
            <w:vAlign w:val="bottom"/>
          </w:tcPr>
          <w:p>
            <w:pPr>
              <w:spacing w:after="0"/>
              <w:rPr>
                <w:sz w:val="24"/>
                <w:szCs w:val="24"/>
                <w:color w:val="auto"/>
              </w:rPr>
            </w:pPr>
          </w:p>
        </w:tc>
        <w:tc>
          <w:tcPr>
            <w:tcW w:w="2500" w:type="dxa"/>
            <w:vAlign w:val="bottom"/>
          </w:tcPr>
          <w:p>
            <w:pPr>
              <w:jc w:val="right"/>
              <w:ind w:right="343"/>
              <w:spacing w:after="0"/>
              <w:rPr>
                <w:sz w:val="20"/>
                <w:szCs w:val="20"/>
                <w:color w:val="auto"/>
              </w:rPr>
            </w:pPr>
            <w:r>
              <w:rPr>
                <w:rFonts w:ascii="Times New Roman" w:cs="Times New Roman" w:eastAsia="Times New Roman" w:hAnsi="Times New Roman"/>
                <w:sz w:val="18"/>
                <w:szCs w:val="18"/>
                <w:color w:val="auto"/>
              </w:rPr>
              <w:t>3</w:t>
            </w:r>
          </w:p>
        </w:tc>
        <w:tc>
          <w:tcPr>
            <w:tcW w:w="5220" w:type="dxa"/>
            <w:vAlign w:val="bottom"/>
          </w:tcPr>
          <w:p>
            <w:pPr>
              <w:spacing w:after="0"/>
              <w:rPr>
                <w:sz w:val="24"/>
                <w:szCs w:val="24"/>
                <w:color w:val="auto"/>
              </w:rPr>
            </w:pPr>
          </w:p>
        </w:tc>
      </w:tr>
    </w:tbl>
    <w:p>
      <w:pPr>
        <w:sectPr>
          <w:pgSz w:w="11900" w:h="16838" w:orient="portrait"/>
          <w:cols w:equalWidth="0" w:num="1">
            <w:col w:w="11420"/>
          </w:cols>
          <w:pgMar w:left="240" w:top="329"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54380"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5438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234" w:lineRule="auto"/>
        <w:rPr>
          <w:sz w:val="20"/>
          <w:szCs w:val="20"/>
          <w:color w:val="auto"/>
        </w:rPr>
      </w:pPr>
      <w:r>
        <w:rPr>
          <w:rFonts w:ascii="Arial" w:cs="Arial" w:eastAsia="Arial" w:hAnsi="Arial"/>
          <w:sz w:val="18"/>
          <w:szCs w:val="18"/>
          <w:color w:val="auto"/>
        </w:rPr>
        <w:t>Director, Investor Relations &amp; External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(952) 887-8923, heather.hille@toro.com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234" w:lineRule="auto"/>
        <w:rPr>
          <w:sz w:val="20"/>
          <w:szCs w:val="20"/>
          <w:color w:val="auto"/>
        </w:rPr>
      </w:pPr>
      <w:r>
        <w:rPr>
          <w:rFonts w:ascii="Arial" w:cs="Arial" w:eastAsia="Arial" w:hAnsi="Arial"/>
          <w:sz w:val="18"/>
          <w:szCs w:val="18"/>
          <w:color w:val="auto"/>
        </w:rPr>
        <w:t>Senior Manager, Public Relations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(952) 887-8930, branden.happel@toro.com</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The Toro Company Announces New Underground Construction Business Strategy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20"/>
          <w:szCs w:val="20"/>
          <w:i w:val="1"/>
          <w:iCs w:val="1"/>
          <w:color w:val="auto"/>
        </w:rPr>
        <w:t>New strategy will best serve customers, leverage world-class channel partners</w:t>
      </w:r>
    </w:p>
    <w:p>
      <w:pPr>
        <w:jc w:val="center"/>
        <w:ind w:right="-59"/>
        <w:spacing w:after="0"/>
        <w:rPr>
          <w:sz w:val="20"/>
          <w:szCs w:val="20"/>
          <w:color w:val="auto"/>
        </w:rPr>
      </w:pPr>
      <w:r>
        <w:rPr>
          <w:rFonts w:ascii="Arial" w:cs="Arial" w:eastAsia="Arial" w:hAnsi="Arial"/>
          <w:sz w:val="20"/>
          <w:szCs w:val="20"/>
          <w:i w:val="1"/>
          <w:iCs w:val="1"/>
          <w:color w:val="auto"/>
        </w:rPr>
        <w:t>and position the company for future growth</w:t>
      </w:r>
    </w:p>
    <w:p>
      <w:pPr>
        <w:spacing w:after="0" w:line="190" w:lineRule="exact"/>
        <w:rPr>
          <w:sz w:val="20"/>
          <w:szCs w:val="20"/>
          <w:color w:val="auto"/>
        </w:rPr>
      </w:pPr>
    </w:p>
    <w:p>
      <w:pPr>
        <w:ind w:right="180"/>
        <w:spacing w:after="0" w:line="236" w:lineRule="auto"/>
        <w:rPr>
          <w:sz w:val="20"/>
          <w:szCs w:val="20"/>
          <w:color w:val="auto"/>
        </w:rPr>
      </w:pPr>
      <w:r>
        <w:rPr>
          <w:rFonts w:ascii="Arial" w:cs="Arial" w:eastAsia="Arial" w:hAnsi="Arial"/>
          <w:sz w:val="20"/>
          <w:szCs w:val="20"/>
          <w:color w:val="auto"/>
        </w:rPr>
        <w:t>BLOOMINGTON, Minn. (August 1, 2019) – The Toro Company today announced that it is realigning the organizational structure for its underground construction businesses to better serve customers, maximize synergies and streamline costs. The company intends to combine certain aspects of the Ditch Witch, American Augers and Trencor businesses, all of which were part of the Charles Machine Works acquisition announced earlier this year. This realignment supports a streamlined approach to the marketing, sales and service functions of those businesses to more effectively support end customer needs.</w:t>
      </w:r>
    </w:p>
    <w:p>
      <w:pPr>
        <w:spacing w:after="0" w:line="179"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“We continue to be very excited about the expertise, knowledge and understanding of the underground business that the Charles Machine Works companies bring to our organization,” said Rick Rodier, group vice president, construction businesses at The Toro Company. “Throughout the ongoing integration process, we continue to be impressed by their market-leading position, strong product portfolio and best-in-class channel. It is these factors that have influenced our decision to concentrate on the Charles Machine Works’ product portfolio and brands in the underground product category going forward.”</w:t>
      </w:r>
    </w:p>
    <w:p>
      <w:pPr>
        <w:spacing w:after="0" w:line="179"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color w:val="auto"/>
        </w:rPr>
        <w:t>In a related strategic move, the company has decided to wind down its Toro-branded large horizontal directional drill and riding trencher categories. With the addition of the Charles Machine Works companies to The Toro Company family of brands, there are many opportunities to leverage their strength in the underground market, while maximizing efficiencies and cost benefits. These actions are very much aligned with the broader integration plan and will allow the company to rationalize its product offering in the underground construction market quickly and efficiently. The Toro brand will continue to serve the growing rental and specialty construction markets with industry-leading Dingo® compact utility loaders, concrete and masonry mixers, compaction equipment, and tree and specialty turf products.</w:t>
      </w:r>
    </w:p>
    <w:p>
      <w:pPr>
        <w:spacing w:after="0" w:line="179" w:lineRule="exact"/>
        <w:rPr>
          <w:sz w:val="20"/>
          <w:szCs w:val="20"/>
          <w:color w:val="auto"/>
        </w:rPr>
      </w:pPr>
    </w:p>
    <w:p>
      <w:pPr>
        <w:jc w:val="both"/>
        <w:ind w:right="200"/>
        <w:spacing w:after="0" w:line="239" w:lineRule="auto"/>
        <w:rPr>
          <w:sz w:val="20"/>
          <w:szCs w:val="20"/>
          <w:color w:val="auto"/>
        </w:rPr>
      </w:pPr>
      <w:r>
        <w:rPr>
          <w:rFonts w:ascii="Arial" w:cs="Arial" w:eastAsia="Arial" w:hAnsi="Arial"/>
          <w:sz w:val="20"/>
          <w:szCs w:val="20"/>
          <w:color w:val="auto"/>
        </w:rPr>
        <w:t>Since closing on the acquisition, integration and the resulting synergies are progressing as planned. These strategic initiatives have been put in place to generate even greater efficiencies, while enabling the company to allocate resources to both the Toro and Charles Machine Works brands effectively. The moves also align with the company’s commitment to accelerating profitable growth, while extending its legacy of excellence.</w:t>
      </w:r>
    </w:p>
    <w:p>
      <w:pPr>
        <w:spacing w:after="0" w:line="178" w:lineRule="exact"/>
        <w:rPr>
          <w:sz w:val="20"/>
          <w:szCs w:val="20"/>
          <w:color w:val="auto"/>
        </w:rPr>
      </w:pPr>
    </w:p>
    <w:p>
      <w:pPr>
        <w:ind w:right="220"/>
        <w:spacing w:after="0" w:line="245" w:lineRule="auto"/>
        <w:rPr>
          <w:sz w:val="20"/>
          <w:szCs w:val="20"/>
          <w:color w:val="auto"/>
        </w:rPr>
      </w:pPr>
      <w:r>
        <w:rPr>
          <w:rFonts w:ascii="Arial" w:cs="Arial" w:eastAsia="Arial" w:hAnsi="Arial"/>
          <w:sz w:val="20"/>
          <w:szCs w:val="20"/>
          <w:color w:val="auto"/>
        </w:rPr>
        <w:t xml:space="preserve">The Toro Company will address details of this press release and answer related questions during its 2019 third quarter earnings call and webcast for investors beginning at 10:00 a.m. CDT on August 22, 2019. The webcast will be available at </w:t>
      </w:r>
      <w:r>
        <w:rPr>
          <w:rFonts w:ascii="Arial" w:cs="Arial" w:eastAsia="Arial" w:hAnsi="Arial"/>
          <w:sz w:val="20"/>
          <w:szCs w:val="20"/>
          <w:u w:val="single" w:color="auto"/>
          <w:color w:val="auto"/>
        </w:rPr>
        <w:t>www.streetevents.com</w:t>
      </w:r>
      <w:r>
        <w:rPr>
          <w:rFonts w:ascii="Arial" w:cs="Arial" w:eastAsia="Arial" w:hAnsi="Arial"/>
          <w:sz w:val="20"/>
          <w:szCs w:val="20"/>
          <w:color w:val="auto"/>
        </w:rPr>
        <w:t xml:space="preserve"> or at </w:t>
      </w:r>
      <w:r>
        <w:rPr>
          <w:rFonts w:ascii="Arial" w:cs="Arial" w:eastAsia="Arial" w:hAnsi="Arial"/>
          <w:sz w:val="20"/>
          <w:szCs w:val="20"/>
          <w:u w:val="single" w:color="auto"/>
          <w:color w:val="auto"/>
        </w:rPr>
        <w:t>www.thetorocompany.com/invest</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0" w:right="279"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color w:val="auto"/>
        </w:rPr>
        <w:t>2 - The Toro Company Announces New Underground Construction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4" w:lineRule="exact"/>
        <w:rPr>
          <w:sz w:val="20"/>
          <w:szCs w:val="20"/>
          <w:color w:val="auto"/>
        </w:rPr>
      </w:pPr>
    </w:p>
    <w:p>
      <w:pPr>
        <w:ind w:right="80"/>
        <w:spacing w:after="0" w:line="241" w:lineRule="auto"/>
        <w:rPr>
          <w:sz w:val="20"/>
          <w:szCs w:val="20"/>
          <w:color w:val="auto"/>
        </w:rPr>
      </w:pPr>
      <w:r>
        <w:rPr>
          <w:rFonts w:ascii="Arial" w:cs="Arial" w:eastAsia="Arial" w:hAnsi="Arial"/>
          <w:sz w:val="19"/>
          <w:szCs w:val="19"/>
          <w:color w:val="auto"/>
        </w:rPr>
        <w:t xml:space="preserve">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sales of $2.6 billion in fiscal 2018, The Toro Company’s global presence extends to more than 125 countries through a family of brands that includes Toro, Ditch Witch, Exmark, BOSS Snowplow, American Augers, Subsite Electronics, HammerHead, Trencor, Unique Lighting Systems, Irritrol, Hayter, Pope, Lawn-Boy, MTI Equipment and Radius HDD. Through constant innovation and caring relationships built on trust and integrity, The Toro Company and its family of brands have built a legacy of excellence by helping customers care for golf courses, sports fields, construction sites, public green spaces, commercial and residential properties and agricultural operations. For more information, visit </w:t>
      </w:r>
      <w:r>
        <w:rPr>
          <w:rFonts w:ascii="Arial" w:cs="Arial" w:eastAsia="Arial" w:hAnsi="Arial"/>
          <w:sz w:val="19"/>
          <w:szCs w:val="19"/>
          <w:u w:val="single" w:color="auto"/>
          <w:color w:val="auto"/>
        </w:rPr>
        <w:t>www.thetorocompany.com</w:t>
      </w:r>
      <w:r>
        <w:rPr>
          <w:rFonts w:ascii="Arial" w:cs="Arial" w:eastAsia="Arial" w:hAnsi="Arial"/>
          <w:sz w:val="19"/>
          <w:szCs w:val="19"/>
          <w:color w:val="auto"/>
        </w:rPr>
        <w: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release contains forward-looking statements within the meaning of Section 27A of the Securities Act and Section 21E of the Exchange Act, and that are subject to the safe harbor created by those sections. In addition, Toro or others on its behalf may make forward-looking statements relating to the underground construction business strategy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Toro’s current expectations of future events, and often can be identified in this release and elsewhere by using words such as "expect," "strive," "looking ahead," "outlook," "guidance," "forecast," "goal," "optimistic," "anticipate," "continue," "plan," "estimate," "project," "believe," "should," "could," "will," "would," "possible," "may," "likely," "intend," "can," "seek," "potential," "pro forma," or the negative thereof and similar expressions or future dates. Some of the forward-looking statements in this release include efficiency gains, cost savings, and synergy enhancements anticipated as a result of the new underground construction business strategy. Forward-looking statements involve risks and uncertainties that could cause actual results to differ materially from those projected or implied. The following are some of the factors known to Toro that could cause Toro’s actual results to differ materially from what Toro has anticipated in its forward-looking statements: delays in implementing the new underground construction business strategy; the failure by Toro to achieve any cost or revenue synergies expected from such strategy or delays in the realization thereof; business disruption during the pendency of or following the implementation of such strategy; and unanticipated charges that may be incurred in connection with such actions. For more information regarding these and other uncertainties and factors that could cause Toro’s actual results to differ materially from what it has anticipated in its forward-looking statements or otherwise could materially adversely affect its business, financial condition or operating results, see Toro’s most recently filed Annual Report on Form 10-K, Part I, Item 1A, “Risk Factors” and Quarterly Reports on Form 10-Q, Part II, Item 1A, “Risk Factors”. All forward-looking statements included in this release are expressly qualified in their entirety by the foregoing cautionary statements. Toro cautions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Toro’s most recent Annual Report on Form 10-K, Part I, Item 1A, “Risk Factors” and Quarterly Reports on Form 10-Q, Part II, Item IA, “Risk Factors,” as well as others that Toro may consider immaterial or does not anticipate at this time. The foregoing risks and uncertainties are not exclusive and further information concerning Toro and its businesses, including factors that potentially could materially affect Toro’s financial results or condition, may emerge from time to time. Toro undertakes no obligation to update forward-looking statements to reflect actual results or changes in factors or assumptions affecting such forward-looking statements. Toro advises you, however, to consult any further disclosures it makes on related subjects in its future Annual Reports on Form 10-K, Quarterly Reports on Form 10-Q, and Current Reports on Form 8-K that Toro may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sectPr>
      <w:pgSz w:w="11900" w:h="16838" w:orient="portrait"/>
      <w:cols w:equalWidth="0" w:num="1">
        <w:col w:w="11420"/>
      </w:cols>
      <w:pgMar w:left="240" w:top="3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2019-12-28T08:57:01Z</dcterms:created>
  <dcterms:modified xsi:type="dcterms:W3CDTF">2019-12-28T08:57:01Z</dcterms:modified>
</cp:coreProperties>
</file>