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107950</wp:posOffset>
            </wp:positionV>
            <wp:extent cx="7272020"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34925"/>
                    </a:xfrm>
                    <a:prstGeom prst="rect">
                      <a:avLst/>
                    </a:prstGeom>
                    <a:noFill/>
                  </pic:spPr>
                </pic:pic>
              </a:graphicData>
            </a:graphic>
          </wp:anchor>
        </w:drawing>
        <w:t>UNITED STATES</w:t>
      </w:r>
    </w:p>
    <w:p>
      <w:pPr>
        <w:spacing w:after="0" w:line="209" w:lineRule="exact"/>
        <w:rPr>
          <w:sz w:val="24"/>
          <w:szCs w:val="24"/>
          <w:color w:val="auto"/>
        </w:rPr>
      </w:pPr>
    </w:p>
    <w:p>
      <w:pPr>
        <w:jc w:val="center"/>
        <w:ind w:right="-7"/>
        <w:spacing w:after="0"/>
        <w:rPr>
          <w:sz w:val="20"/>
          <w:szCs w:val="20"/>
          <w:color w:val="auto"/>
        </w:rPr>
      </w:pPr>
      <w:r>
        <w:rPr>
          <w:rFonts w:ascii="Arial" w:cs="Arial" w:eastAsia="Arial" w:hAnsi="Arial"/>
          <w:sz w:val="18"/>
          <w:szCs w:val="18"/>
          <w:b w:val="1"/>
          <w:bCs w:val="1"/>
          <w:color w:val="auto"/>
        </w:rPr>
        <w:t>SECURITIES AND EXCHANGE COMMISSION</w:t>
      </w:r>
    </w:p>
    <w:p>
      <w:pPr>
        <w:spacing w:after="0" w:line="215" w:lineRule="exact"/>
        <w:rPr>
          <w:sz w:val="24"/>
          <w:szCs w:val="24"/>
          <w:color w:val="auto"/>
        </w:rPr>
      </w:pPr>
    </w:p>
    <w:p>
      <w:pPr>
        <w:jc w:val="center"/>
        <w:ind w:right="-7"/>
        <w:spacing w:after="0"/>
        <w:rPr>
          <w:sz w:val="20"/>
          <w:szCs w:val="20"/>
          <w:color w:val="auto"/>
        </w:rPr>
      </w:pPr>
      <w:r>
        <w:rPr>
          <w:rFonts w:ascii="Arial" w:cs="Arial" w:eastAsia="Arial" w:hAnsi="Arial"/>
          <w:sz w:val="15"/>
          <w:szCs w:val="15"/>
          <w:b w:val="1"/>
          <w:bCs w:val="1"/>
          <w:color w:val="auto"/>
        </w:rPr>
        <w:t>Washington, D.C. 20549</w:t>
      </w:r>
    </w:p>
    <w:p>
      <w:pPr>
        <w:spacing w:after="0" w:line="214" w:lineRule="exact"/>
        <w:rPr>
          <w:sz w:val="24"/>
          <w:szCs w:val="24"/>
          <w:color w:val="auto"/>
        </w:rPr>
      </w:pPr>
    </w:p>
    <w:p>
      <w:pPr>
        <w:jc w:val="center"/>
        <w:ind w:right="-7"/>
        <w:spacing w:after="0"/>
        <w:rPr>
          <w:sz w:val="20"/>
          <w:szCs w:val="20"/>
          <w:color w:val="auto"/>
        </w:rPr>
      </w:pPr>
      <w:r>
        <w:rPr>
          <w:rFonts w:ascii="Arial" w:cs="Arial" w:eastAsia="Arial" w:hAnsi="Arial"/>
          <w:sz w:val="18"/>
          <w:szCs w:val="18"/>
          <w:b w:val="1"/>
          <w:bCs w:val="1"/>
          <w:color w:val="auto"/>
        </w:rPr>
        <w:t>FORM 8-K</w:t>
      </w:r>
    </w:p>
    <w:p>
      <w:pPr>
        <w:spacing w:after="0" w:line="215" w:lineRule="exact"/>
        <w:rPr>
          <w:sz w:val="24"/>
          <w:szCs w:val="24"/>
          <w:color w:val="auto"/>
        </w:rPr>
      </w:pPr>
    </w:p>
    <w:p>
      <w:pPr>
        <w:jc w:val="center"/>
        <w:ind w:right="-7"/>
        <w:spacing w:after="0"/>
        <w:rPr>
          <w:sz w:val="20"/>
          <w:szCs w:val="20"/>
          <w:color w:val="auto"/>
        </w:rPr>
      </w:pPr>
      <w:r>
        <w:rPr>
          <w:rFonts w:ascii="Arial" w:cs="Arial" w:eastAsia="Arial" w:hAnsi="Arial"/>
          <w:sz w:val="15"/>
          <w:szCs w:val="15"/>
          <w:b w:val="1"/>
          <w:bCs w:val="1"/>
          <w:color w:val="auto"/>
        </w:rPr>
        <w:t>CURRENT REPORT</w:t>
      </w:r>
    </w:p>
    <w:p>
      <w:pPr>
        <w:spacing w:after="0" w:line="220" w:lineRule="exact"/>
        <w:rPr>
          <w:sz w:val="24"/>
          <w:szCs w:val="24"/>
          <w:color w:val="auto"/>
        </w:rPr>
      </w:pPr>
    </w:p>
    <w:p>
      <w:pPr>
        <w:jc w:val="center"/>
        <w:ind w:right="-7"/>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20" w:lineRule="exact"/>
        <w:rPr>
          <w:sz w:val="24"/>
          <w:szCs w:val="24"/>
          <w:color w:val="auto"/>
        </w:rPr>
      </w:pPr>
    </w:p>
    <w:p>
      <w:pPr>
        <w:jc w:val="center"/>
        <w:ind w:right="-7"/>
        <w:spacing w:after="0"/>
        <w:rPr>
          <w:sz w:val="20"/>
          <w:szCs w:val="20"/>
          <w:color w:val="auto"/>
        </w:rPr>
      </w:pPr>
      <w:r>
        <w:rPr>
          <w:rFonts w:ascii="Arial" w:cs="Arial" w:eastAsia="Arial" w:hAnsi="Arial"/>
          <w:sz w:val="15"/>
          <w:szCs w:val="15"/>
          <w:b w:val="1"/>
          <w:bCs w:val="1"/>
          <w:color w:val="auto"/>
        </w:rPr>
        <w:t>Date of Report (Date of earliest event reported): September 18, 2007</w:t>
      </w:r>
    </w:p>
    <w:p>
      <w:pPr>
        <w:spacing w:after="0" w:line="200" w:lineRule="exact"/>
        <w:rPr>
          <w:sz w:val="24"/>
          <w:szCs w:val="24"/>
          <w:color w:val="auto"/>
        </w:rPr>
      </w:pPr>
    </w:p>
    <w:p>
      <w:pPr>
        <w:spacing w:after="0" w:line="208" w:lineRule="exact"/>
        <w:rPr>
          <w:sz w:val="24"/>
          <w:szCs w:val="24"/>
          <w:color w:val="auto"/>
        </w:rPr>
      </w:pPr>
    </w:p>
    <w:p>
      <w:pPr>
        <w:jc w:val="center"/>
        <w:ind w:right="-7"/>
        <w:spacing w:after="0"/>
        <w:rPr>
          <w:sz w:val="20"/>
          <w:szCs w:val="20"/>
          <w:color w:val="auto"/>
        </w:rPr>
      </w:pPr>
      <w:r>
        <w:rPr>
          <w:rFonts w:ascii="Arial" w:cs="Arial" w:eastAsia="Arial" w:hAnsi="Arial"/>
          <w:sz w:val="28"/>
          <w:szCs w:val="28"/>
          <w:b w:val="1"/>
          <w:bCs w:val="1"/>
          <w:color w:val="auto"/>
        </w:rPr>
        <w:t>THE TORO COMPANY</w:t>
      </w:r>
    </w:p>
    <w:p>
      <w:pPr>
        <w:spacing w:after="0" w:line="28" w:lineRule="exact"/>
        <w:rPr>
          <w:sz w:val="24"/>
          <w:szCs w:val="24"/>
          <w:color w:val="auto"/>
        </w:rPr>
      </w:pPr>
    </w:p>
    <w:p>
      <w:pPr>
        <w:jc w:val="center"/>
        <w:ind w:right="-7"/>
        <w:spacing w:after="0"/>
        <w:rPr>
          <w:sz w:val="20"/>
          <w:szCs w:val="20"/>
          <w:color w:val="auto"/>
        </w:rPr>
      </w:pPr>
      <w:r>
        <w:rPr>
          <w:rFonts w:ascii="Arial" w:cs="Arial" w:eastAsia="Arial" w:hAnsi="Arial"/>
          <w:sz w:val="15"/>
          <w:szCs w:val="15"/>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8" w:type="dxa"/>
        <w:tblCellMar>
          <w:top w:w="0" w:type="dxa"/>
          <w:left w:w="0" w:type="dxa"/>
          <w:bottom w:w="0" w:type="dxa"/>
          <w:right w:w="0" w:type="dxa"/>
        </w:tblCellMar>
      </w:tblPr>
      <w:tr>
        <w:trPr>
          <w:trHeight w:val="191"/>
        </w:trPr>
        <w:tc>
          <w:tcPr>
            <w:tcW w:w="4620" w:type="dxa"/>
            <w:vAlign w:val="bottom"/>
          </w:tcPr>
          <w:p>
            <w:pPr>
              <w:ind w:left="1580"/>
              <w:spacing w:after="0"/>
              <w:rPr>
                <w:sz w:val="20"/>
                <w:szCs w:val="20"/>
                <w:color w:val="auto"/>
              </w:rPr>
            </w:pPr>
            <w:r>
              <w:rPr>
                <w:rFonts w:ascii="Arial" w:cs="Arial" w:eastAsia="Arial" w:hAnsi="Arial"/>
                <w:sz w:val="15"/>
                <w:szCs w:val="15"/>
                <w:b w:val="1"/>
                <w:bCs w:val="1"/>
                <w:color w:val="auto"/>
              </w:rPr>
              <w:t>Delaware</w:t>
            </w:r>
          </w:p>
        </w:tc>
        <w:tc>
          <w:tcPr>
            <w:tcW w:w="2780" w:type="dxa"/>
            <w:vAlign w:val="bottom"/>
          </w:tcPr>
          <w:p>
            <w:pPr>
              <w:jc w:val="right"/>
              <w:ind w:right="1403"/>
              <w:spacing w:after="0"/>
              <w:rPr>
                <w:sz w:val="20"/>
                <w:szCs w:val="20"/>
                <w:color w:val="auto"/>
              </w:rPr>
            </w:pPr>
            <w:r>
              <w:rPr>
                <w:rFonts w:ascii="Arial" w:cs="Arial" w:eastAsia="Arial" w:hAnsi="Arial"/>
                <w:sz w:val="15"/>
                <w:szCs w:val="15"/>
                <w:b w:val="1"/>
                <w:bCs w:val="1"/>
                <w:color w:val="auto"/>
              </w:rPr>
              <w:t>1-8649</w:t>
            </w:r>
          </w:p>
        </w:tc>
        <w:tc>
          <w:tcPr>
            <w:tcW w:w="4040" w:type="dxa"/>
            <w:vAlign w:val="bottom"/>
          </w:tcPr>
          <w:p>
            <w:pPr>
              <w:jc w:val="right"/>
              <w:ind w:right="1463"/>
              <w:spacing w:after="0"/>
              <w:rPr>
                <w:sz w:val="20"/>
                <w:szCs w:val="20"/>
                <w:color w:val="auto"/>
              </w:rPr>
            </w:pPr>
            <w:r>
              <w:rPr>
                <w:rFonts w:ascii="Arial" w:cs="Arial" w:eastAsia="Arial" w:hAnsi="Arial"/>
                <w:sz w:val="15"/>
                <w:szCs w:val="15"/>
                <w:b w:val="1"/>
                <w:bCs w:val="1"/>
                <w:color w:val="auto"/>
              </w:rPr>
              <w:t>41-0580470</w:t>
            </w:r>
          </w:p>
        </w:tc>
      </w:tr>
      <w:tr>
        <w:trPr>
          <w:trHeight w:val="195"/>
        </w:trPr>
        <w:tc>
          <w:tcPr>
            <w:tcW w:w="4620" w:type="dxa"/>
            <w:vAlign w:val="bottom"/>
          </w:tcPr>
          <w:p>
            <w:pPr>
              <w:ind w:left="1180"/>
              <w:spacing w:after="0"/>
              <w:rPr>
                <w:sz w:val="20"/>
                <w:szCs w:val="20"/>
                <w:color w:val="auto"/>
              </w:rPr>
            </w:pPr>
            <w:r>
              <w:rPr>
                <w:rFonts w:ascii="Arial" w:cs="Arial" w:eastAsia="Arial" w:hAnsi="Arial"/>
                <w:sz w:val="15"/>
                <w:szCs w:val="15"/>
                <w:color w:val="auto"/>
              </w:rPr>
              <w:t>(State of Incorporation)</w:t>
            </w:r>
          </w:p>
        </w:tc>
        <w:tc>
          <w:tcPr>
            <w:tcW w:w="2780" w:type="dxa"/>
            <w:vAlign w:val="bottom"/>
          </w:tcPr>
          <w:p>
            <w:pPr>
              <w:jc w:val="center"/>
              <w:ind w:right="523"/>
              <w:spacing w:after="0"/>
              <w:rPr>
                <w:sz w:val="20"/>
                <w:szCs w:val="20"/>
                <w:color w:val="auto"/>
              </w:rPr>
            </w:pPr>
            <w:r>
              <w:rPr>
                <w:rFonts w:ascii="Arial" w:cs="Arial" w:eastAsia="Arial" w:hAnsi="Arial"/>
                <w:sz w:val="15"/>
                <w:szCs w:val="15"/>
                <w:color w:val="auto"/>
                <w:w w:val="95"/>
              </w:rPr>
              <w:t>(Commission File Number)</w:t>
            </w:r>
          </w:p>
        </w:tc>
        <w:tc>
          <w:tcPr>
            <w:tcW w:w="4040" w:type="dxa"/>
            <w:vAlign w:val="bottom"/>
          </w:tcPr>
          <w:p>
            <w:pPr>
              <w:jc w:val="center"/>
              <w:ind w:left="123"/>
              <w:spacing w:after="0"/>
              <w:rPr>
                <w:sz w:val="20"/>
                <w:szCs w:val="20"/>
                <w:color w:val="auto"/>
              </w:rPr>
            </w:pPr>
            <w:r>
              <w:rPr>
                <w:rFonts w:ascii="Arial" w:cs="Arial" w:eastAsia="Arial" w:hAnsi="Arial"/>
                <w:sz w:val="15"/>
                <w:szCs w:val="15"/>
                <w:color w:val="auto"/>
                <w:w w:val="96"/>
              </w:rPr>
              <w:t>(I.R.S. Employer Identification Number)</w:t>
            </w:r>
          </w:p>
        </w:tc>
      </w:tr>
      <w:tr>
        <w:trPr>
          <w:trHeight w:val="584"/>
        </w:trPr>
        <w:tc>
          <w:tcPr>
            <w:tcW w:w="4620" w:type="dxa"/>
            <w:vAlign w:val="bottom"/>
          </w:tcPr>
          <w:p>
            <w:pPr>
              <w:jc w:val="center"/>
              <w:ind w:left="1003"/>
              <w:spacing w:after="0"/>
              <w:rPr>
                <w:sz w:val="20"/>
                <w:szCs w:val="20"/>
                <w:color w:val="auto"/>
              </w:rPr>
            </w:pPr>
            <w:r>
              <w:rPr>
                <w:rFonts w:ascii="Arial" w:cs="Arial" w:eastAsia="Arial" w:hAnsi="Arial"/>
                <w:sz w:val="15"/>
                <w:szCs w:val="15"/>
                <w:b w:val="1"/>
                <w:bCs w:val="1"/>
                <w:color w:val="auto"/>
                <w:w w:val="91"/>
              </w:rPr>
              <w:t>8111 Lyndale Avenue South</w:t>
            </w:r>
          </w:p>
        </w:tc>
        <w:tc>
          <w:tcPr>
            <w:tcW w:w="278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91"/>
        </w:trPr>
        <w:tc>
          <w:tcPr>
            <w:tcW w:w="4620" w:type="dxa"/>
            <w:vAlign w:val="bottom"/>
          </w:tcPr>
          <w:p>
            <w:pPr>
              <w:jc w:val="center"/>
              <w:ind w:left="1003"/>
              <w:spacing w:after="0"/>
              <w:rPr>
                <w:sz w:val="20"/>
                <w:szCs w:val="20"/>
                <w:color w:val="auto"/>
              </w:rPr>
            </w:pPr>
            <w:r>
              <w:rPr>
                <w:rFonts w:ascii="Arial" w:cs="Arial" w:eastAsia="Arial" w:hAnsi="Arial"/>
                <w:sz w:val="15"/>
                <w:szCs w:val="15"/>
                <w:b w:val="1"/>
                <w:bCs w:val="1"/>
                <w:color w:val="auto"/>
                <w:w w:val="92"/>
              </w:rPr>
              <w:t>Bloomington, Minnesota</w:t>
            </w:r>
          </w:p>
        </w:tc>
        <w:tc>
          <w:tcPr>
            <w:tcW w:w="2780" w:type="dxa"/>
            <w:vAlign w:val="bottom"/>
          </w:tcPr>
          <w:p>
            <w:pPr>
              <w:spacing w:after="0"/>
              <w:rPr>
                <w:sz w:val="16"/>
                <w:szCs w:val="16"/>
                <w:color w:val="auto"/>
              </w:rPr>
            </w:pPr>
          </w:p>
        </w:tc>
        <w:tc>
          <w:tcPr>
            <w:tcW w:w="4040" w:type="dxa"/>
            <w:vAlign w:val="bottom"/>
          </w:tcPr>
          <w:p>
            <w:pPr>
              <w:jc w:val="right"/>
              <w:ind w:right="2603"/>
              <w:spacing w:after="0"/>
              <w:rPr>
                <w:sz w:val="20"/>
                <w:szCs w:val="20"/>
                <w:color w:val="auto"/>
              </w:rPr>
            </w:pPr>
            <w:r>
              <w:rPr>
                <w:rFonts w:ascii="Arial" w:cs="Arial" w:eastAsia="Arial" w:hAnsi="Arial"/>
                <w:sz w:val="15"/>
                <w:szCs w:val="15"/>
                <w:b w:val="1"/>
                <w:bCs w:val="1"/>
                <w:color w:val="auto"/>
              </w:rPr>
              <w:t>55420</w:t>
            </w:r>
          </w:p>
        </w:tc>
      </w:tr>
      <w:tr>
        <w:trPr>
          <w:trHeight w:val="222"/>
        </w:trPr>
        <w:tc>
          <w:tcPr>
            <w:tcW w:w="4620" w:type="dxa"/>
            <w:vAlign w:val="bottom"/>
            <w:tcBorders>
              <w:bottom w:val="single" w:sz="8" w:color="auto"/>
            </w:tcBorders>
          </w:tcPr>
          <w:p>
            <w:pPr>
              <w:jc w:val="center"/>
              <w:ind w:left="1003"/>
              <w:spacing w:after="0"/>
              <w:rPr>
                <w:sz w:val="20"/>
                <w:szCs w:val="20"/>
                <w:color w:val="auto"/>
              </w:rPr>
            </w:pPr>
            <w:r>
              <w:rPr>
                <w:rFonts w:ascii="Arial" w:cs="Arial" w:eastAsia="Arial" w:hAnsi="Arial"/>
                <w:sz w:val="15"/>
                <w:szCs w:val="15"/>
                <w:color w:val="auto"/>
                <w:w w:val="95"/>
              </w:rPr>
              <w:t>(Address of principal executive offices)</w:t>
            </w:r>
          </w:p>
        </w:tc>
        <w:tc>
          <w:tcPr>
            <w:tcW w:w="278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jc w:val="center"/>
              <w:ind w:right="1603"/>
              <w:spacing w:after="0"/>
              <w:rPr>
                <w:sz w:val="20"/>
                <w:szCs w:val="20"/>
                <w:color w:val="auto"/>
              </w:rPr>
            </w:pPr>
            <w:r>
              <w:rPr>
                <w:rFonts w:ascii="Arial" w:cs="Arial" w:eastAsia="Arial" w:hAnsi="Arial"/>
                <w:sz w:val="15"/>
                <w:szCs w:val="15"/>
                <w:color w:val="auto"/>
                <w:w w:val="95"/>
              </w:rPr>
              <w:t>(Zip Code)</w:t>
            </w:r>
          </w:p>
        </w:tc>
      </w:tr>
      <w:tr>
        <w:trPr>
          <w:trHeight w:val="392"/>
        </w:trPr>
        <w:tc>
          <w:tcPr>
            <w:tcW w:w="4620" w:type="dxa"/>
            <w:vAlign w:val="bottom"/>
          </w:tcPr>
          <w:p>
            <w:pPr>
              <w:ind w:left="1180"/>
              <w:spacing w:after="0"/>
              <w:rPr>
                <w:sz w:val="20"/>
                <w:szCs w:val="20"/>
                <w:color w:val="auto"/>
              </w:rPr>
            </w:pPr>
            <w:r>
              <w:rPr>
                <w:rFonts w:ascii="Arial" w:cs="Arial" w:eastAsia="Arial" w:hAnsi="Arial"/>
                <w:sz w:val="15"/>
                <w:szCs w:val="15"/>
                <w:color w:val="auto"/>
                <w:w w:val="98"/>
              </w:rPr>
              <w:t>Registrant’s telephone number, including area code:</w:t>
            </w:r>
          </w:p>
        </w:tc>
        <w:tc>
          <w:tcPr>
            <w:tcW w:w="2780" w:type="dxa"/>
            <w:vAlign w:val="bottom"/>
          </w:tcPr>
          <w:p>
            <w:pPr>
              <w:spacing w:after="0"/>
              <w:rPr>
                <w:sz w:val="24"/>
                <w:szCs w:val="24"/>
                <w:color w:val="auto"/>
              </w:rPr>
            </w:pPr>
          </w:p>
        </w:tc>
        <w:tc>
          <w:tcPr>
            <w:tcW w:w="4040" w:type="dxa"/>
            <w:vAlign w:val="bottom"/>
          </w:tcPr>
          <w:p>
            <w:pPr>
              <w:jc w:val="right"/>
              <w:ind w:right="1103"/>
              <w:spacing w:after="0"/>
              <w:rPr>
                <w:sz w:val="20"/>
                <w:szCs w:val="20"/>
                <w:color w:val="auto"/>
              </w:rPr>
            </w:pPr>
            <w:r>
              <w:rPr>
                <w:rFonts w:ascii="Arial" w:cs="Arial" w:eastAsia="Arial" w:hAnsi="Arial"/>
                <w:sz w:val="15"/>
                <w:szCs w:val="15"/>
                <w:b w:val="1"/>
                <w:bCs w:val="1"/>
                <w:color w:val="auto"/>
              </w:rPr>
              <w:t>(952) 888-8801</w:t>
            </w:r>
          </w:p>
        </w:tc>
      </w:tr>
    </w:tbl>
    <w:p>
      <w:pPr>
        <w:spacing w:after="0" w:line="200" w:lineRule="exact"/>
        <w:rPr>
          <w:sz w:val="24"/>
          <w:szCs w:val="24"/>
          <w:color w:val="auto"/>
        </w:rPr>
      </w:pPr>
    </w:p>
    <w:p>
      <w:pPr>
        <w:spacing w:after="0" w:line="205" w:lineRule="exact"/>
        <w:rPr>
          <w:sz w:val="24"/>
          <w:szCs w:val="24"/>
          <w:color w:val="auto"/>
        </w:rPr>
      </w:pPr>
    </w:p>
    <w:p>
      <w:pPr>
        <w:jc w:val="center"/>
        <w:ind w:right="-7"/>
        <w:spacing w:after="0"/>
        <w:rPr>
          <w:sz w:val="20"/>
          <w:szCs w:val="20"/>
          <w:color w:val="auto"/>
        </w:rPr>
      </w:pPr>
      <w:r>
        <w:rPr>
          <w:rFonts w:ascii="Arial" w:cs="Arial" w:eastAsia="Arial" w:hAnsi="Arial"/>
          <w:sz w:val="15"/>
          <w:szCs w:val="15"/>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2747010</wp:posOffset>
            </wp:positionH>
            <wp:positionV relativeFrom="paragraph">
              <wp:posOffset>-6985</wp:posOffset>
            </wp:positionV>
            <wp:extent cx="17722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2285" cy="7620"/>
                    </a:xfrm>
                    <a:prstGeom prst="rect">
                      <a:avLst/>
                    </a:prstGeom>
                    <a:noFill/>
                  </pic:spPr>
                </pic:pic>
              </a:graphicData>
            </a:graphic>
          </wp:anchor>
        </w:drawing>
      </w:r>
    </w:p>
    <w:p>
      <w:pPr>
        <w:spacing w:after="0" w:line="3" w:lineRule="exact"/>
        <w:rPr>
          <w:sz w:val="24"/>
          <w:szCs w:val="24"/>
          <w:color w:val="auto"/>
        </w:rPr>
      </w:pPr>
    </w:p>
    <w:p>
      <w:pPr>
        <w:jc w:val="center"/>
        <w:ind w:right="-7"/>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210" w:lineRule="exact"/>
        <w:rPr>
          <w:sz w:val="24"/>
          <w:szCs w:val="24"/>
          <w:color w:val="auto"/>
        </w:rPr>
      </w:pPr>
    </w:p>
    <w:p>
      <w:pPr>
        <w:ind w:left="8"/>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20" w:lineRule="exact"/>
        <w:rPr>
          <w:sz w:val="24"/>
          <w:szCs w:val="24"/>
          <w:color w:val="auto"/>
        </w:rPr>
      </w:pPr>
    </w:p>
    <w:p>
      <w:pPr>
        <w:ind w:left="128" w:hanging="128"/>
        <w:spacing w:after="0"/>
        <w:tabs>
          <w:tab w:leader="none" w:pos="128" w:val="left"/>
        </w:tabs>
        <w:numPr>
          <w:ilvl w:val="0"/>
          <w:numId w:val="1"/>
        </w:numPr>
        <w:rPr>
          <w:rFonts w:ascii="Arial" w:cs="Arial" w:eastAsia="Arial" w:hAnsi="Arial"/>
          <w:sz w:val="15"/>
          <w:szCs w:val="15"/>
          <w:color w:val="auto"/>
        </w:rPr>
      </w:pPr>
      <w:r>
        <w:rPr>
          <w:rFonts w:ascii="Arial" w:cs="Arial" w:eastAsia="Arial" w:hAnsi="Arial"/>
          <w:sz w:val="15"/>
          <w:szCs w:val="15"/>
          <w:color w:val="auto"/>
        </w:rPr>
        <w:t>] Written communications pursuant to Rule 425 under the Securities Act (17 CFR 230.425)</w:t>
      </w:r>
    </w:p>
    <w:p>
      <w:pPr>
        <w:spacing w:after="0" w:line="220" w:lineRule="exact"/>
        <w:rPr>
          <w:rFonts w:ascii="Arial" w:cs="Arial" w:eastAsia="Arial" w:hAnsi="Arial"/>
          <w:sz w:val="15"/>
          <w:szCs w:val="15"/>
          <w:color w:val="auto"/>
        </w:rPr>
      </w:pPr>
    </w:p>
    <w:p>
      <w:pPr>
        <w:ind w:left="128" w:hanging="128"/>
        <w:spacing w:after="0"/>
        <w:tabs>
          <w:tab w:leader="none" w:pos="128" w:val="left"/>
        </w:tabs>
        <w:numPr>
          <w:ilvl w:val="0"/>
          <w:numId w:val="1"/>
        </w:numPr>
        <w:rPr>
          <w:rFonts w:ascii="Arial" w:cs="Arial" w:eastAsia="Arial" w:hAnsi="Arial"/>
          <w:sz w:val="15"/>
          <w:szCs w:val="15"/>
          <w:color w:val="auto"/>
        </w:rPr>
      </w:pPr>
      <w:r>
        <w:rPr>
          <w:rFonts w:ascii="Arial" w:cs="Arial" w:eastAsia="Arial" w:hAnsi="Arial"/>
          <w:sz w:val="15"/>
          <w:szCs w:val="15"/>
          <w:color w:val="auto"/>
        </w:rPr>
        <w:t>] Soliciting material pursuant to Rule 14a-12 under the Exchange Act (17 CFR 240.14a-12)</w:t>
      </w:r>
    </w:p>
    <w:p>
      <w:pPr>
        <w:spacing w:after="0" w:line="220" w:lineRule="exact"/>
        <w:rPr>
          <w:rFonts w:ascii="Arial" w:cs="Arial" w:eastAsia="Arial" w:hAnsi="Arial"/>
          <w:sz w:val="15"/>
          <w:szCs w:val="15"/>
          <w:color w:val="auto"/>
        </w:rPr>
      </w:pPr>
    </w:p>
    <w:p>
      <w:pPr>
        <w:ind w:left="128" w:hanging="128"/>
        <w:spacing w:after="0"/>
        <w:tabs>
          <w:tab w:leader="none" w:pos="128"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14d-2(b) under the Exchange Act (17 CFR 240.14d-2(b))</w:t>
      </w:r>
    </w:p>
    <w:p>
      <w:pPr>
        <w:spacing w:after="0" w:line="220" w:lineRule="exact"/>
        <w:rPr>
          <w:rFonts w:ascii="Arial" w:cs="Arial" w:eastAsia="Arial" w:hAnsi="Arial"/>
          <w:sz w:val="15"/>
          <w:szCs w:val="15"/>
          <w:color w:val="auto"/>
        </w:rPr>
      </w:pPr>
    </w:p>
    <w:p>
      <w:pPr>
        <w:ind w:left="128" w:hanging="128"/>
        <w:spacing w:after="0"/>
        <w:tabs>
          <w:tab w:leader="none" w:pos="128"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7272020"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370"/>
                    </a:xfrm>
                    <a:prstGeom prst="rect">
                      <a:avLst/>
                    </a:prstGeom>
                    <a:noFill/>
                  </pic:spPr>
                </pic:pic>
              </a:graphicData>
            </a:graphic>
          </wp:anchor>
        </w:drawing>
      </w:r>
    </w:p>
    <w:p>
      <w:pPr>
        <w:sectPr>
          <w:pgSz w:w="11900" w:h="16838" w:orient="portrait"/>
          <w:cols w:equalWidth="0" w:num="1">
            <w:col w:w="11448"/>
          </w:cols>
          <w:pgMar w:left="232" w:top="486" w:right="219" w:bottom="1440" w:gutter="0" w:footer="0" w:header="0"/>
        </w:sectPr>
      </w:pPr>
    </w:p>
    <w:bookmarkStart w:id="1" w:name="page2"/>
    <w:bookmarkEnd w:id="1"/>
    <w:p>
      <w:pPr>
        <w:ind w:left="8"/>
        <w:spacing w:after="0"/>
        <w:rPr>
          <w:sz w:val="20"/>
          <w:szCs w:val="20"/>
          <w:color w:val="auto"/>
        </w:rPr>
      </w:pPr>
      <w:r>
        <w:rPr>
          <w:rFonts w:ascii="Arial" w:cs="Arial" w:eastAsia="Arial" w:hAnsi="Arial"/>
          <w:sz w:val="14"/>
          <w:szCs w:val="14"/>
          <w:b w:val="1"/>
          <w:bCs w:val="1"/>
          <w:color w:val="auto"/>
        </w:rPr>
        <w:t>Section 5 — Corporate Governance and Management</w:t>
      </w:r>
    </w:p>
    <w:p>
      <w:pPr>
        <w:sectPr>
          <w:pgSz w:w="11900" w:h="16838" w:orient="portrait"/>
          <w:cols w:equalWidth="0" w:num="1">
            <w:col w:w="11448"/>
          </w:cols>
          <w:pgMar w:left="232" w:top="331" w:right="219" w:bottom="0" w:gutter="0" w:footer="0" w:header="0"/>
        </w:sectPr>
      </w:pPr>
    </w:p>
    <w:p>
      <w:pPr>
        <w:spacing w:after="0" w:line="232" w:lineRule="exact"/>
        <w:rPr>
          <w:sz w:val="20"/>
          <w:szCs w:val="20"/>
          <w:color w:val="auto"/>
        </w:rPr>
      </w:pPr>
    </w:p>
    <w:p>
      <w:pPr>
        <w:ind w:left="48"/>
        <w:spacing w:after="0"/>
        <w:rPr>
          <w:sz w:val="20"/>
          <w:szCs w:val="20"/>
          <w:color w:val="auto"/>
        </w:rPr>
      </w:pPr>
      <w:r>
        <w:rPr>
          <w:rFonts w:ascii="Arial" w:cs="Arial" w:eastAsia="Arial" w:hAnsi="Arial"/>
          <w:sz w:val="14"/>
          <w:szCs w:val="14"/>
          <w:b w:val="1"/>
          <w:bCs w:val="1"/>
          <w:color w:val="auto"/>
        </w:rPr>
        <w:t>Item 5.02</w:t>
      </w:r>
    </w:p>
    <w:p>
      <w:pPr>
        <w:spacing w:after="0" w:line="4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Officers.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Departure of Directors or Certain Officers; Election of Directors; Appointment of Certain Officers; Compensatory Arrangements of Certain</w:t>
      </w:r>
    </w:p>
    <w:p>
      <w:pPr>
        <w:spacing w:after="0" w:line="412" w:lineRule="exact"/>
        <w:rPr>
          <w:sz w:val="20"/>
          <w:szCs w:val="20"/>
          <w:color w:val="auto"/>
        </w:rPr>
      </w:pPr>
    </w:p>
    <w:p>
      <w:pPr>
        <w:sectPr>
          <w:pgSz w:w="11900" w:h="16838" w:orient="portrait"/>
          <w:cols w:equalWidth="0" w:num="2">
            <w:col w:w="1328" w:space="720"/>
            <w:col w:w="9400"/>
          </w:cols>
          <w:pgMar w:left="232" w:top="331" w:right="219" w:bottom="0" w:gutter="0" w:footer="0" w:header="0"/>
          <w:type w:val="continuous"/>
        </w:sectPr>
      </w:pPr>
    </w:p>
    <w:p>
      <w:pPr>
        <w:spacing w:after="0" w:line="10" w:lineRule="exact"/>
        <w:rPr>
          <w:sz w:val="20"/>
          <w:szCs w:val="20"/>
          <w:color w:val="auto"/>
        </w:rPr>
      </w:pPr>
    </w:p>
    <w:p>
      <w:pPr>
        <w:ind w:left="548" w:right="120" w:hanging="548"/>
        <w:spacing w:after="0" w:line="267" w:lineRule="auto"/>
        <w:tabs>
          <w:tab w:leader="none" w:pos="548" w:val="left"/>
        </w:tabs>
        <w:numPr>
          <w:ilvl w:val="0"/>
          <w:numId w:val="2"/>
        </w:numPr>
        <w:rPr>
          <w:rFonts w:ascii="Arial" w:cs="Arial" w:eastAsia="Arial" w:hAnsi="Arial"/>
          <w:sz w:val="15"/>
          <w:szCs w:val="15"/>
          <w:color w:val="auto"/>
        </w:rPr>
      </w:pPr>
      <w:r>
        <w:rPr>
          <w:rFonts w:ascii="Arial" w:cs="Arial" w:eastAsia="Arial" w:hAnsi="Arial"/>
          <w:sz w:val="15"/>
          <w:szCs w:val="15"/>
          <w:color w:val="auto"/>
        </w:rPr>
        <w:t>On September 18, 2007, The Toro Company Board of Directors increased the size of the Board from 10 directors to 11 directors and elected Mr. Inge G. Thulin to fill the vacancy created by such increase. Mr. Thulin joins the Class III directors having a term ending at Toro’s Annual Meeting of Stockholders to be held in March 2008. In connection with the election of Mr. Thulin to the Board, Toro entered into an Indemnification Agreement with Mr. Thulin, a form of which is attached to Toro’s Annual Report on Form 10-K for the fiscal year ended October 31, 2006, as Exhibit 10(u).</w:t>
      </w:r>
    </w:p>
    <w:p>
      <w:pPr>
        <w:spacing w:after="0" w:line="179" w:lineRule="exact"/>
        <w:rPr>
          <w:sz w:val="20"/>
          <w:szCs w:val="20"/>
          <w:color w:val="auto"/>
        </w:rPr>
      </w:pPr>
    </w:p>
    <w:p>
      <w:pPr>
        <w:jc w:val="both"/>
        <w:ind w:left="268" w:right="20"/>
        <w:spacing w:after="0" w:line="272" w:lineRule="auto"/>
        <w:rPr>
          <w:sz w:val="20"/>
          <w:szCs w:val="20"/>
          <w:color w:val="auto"/>
        </w:rPr>
      </w:pPr>
      <w:r>
        <w:rPr>
          <w:rFonts w:ascii="Arial" w:cs="Arial" w:eastAsia="Arial" w:hAnsi="Arial"/>
          <w:sz w:val="15"/>
          <w:szCs w:val="15"/>
          <w:color w:val="auto"/>
        </w:rPr>
        <w:t>Mr. Thulin, age 53, is the Executive Vice President, International Operations, of 3M, Saint Paul, Minnesota (diversified technology), a position he has held since 2003. Prior to such time, Mr. Thulin served as Area Vice President, Asia Pacific for 3M from 2003 to 2004 and as Area Vice President, Europe, Central/East Europe &amp; Middle East from 3M from 2002 to 2003.</w:t>
      </w:r>
    </w:p>
    <w:p>
      <w:pPr>
        <w:spacing w:after="0" w:line="176" w:lineRule="exact"/>
        <w:rPr>
          <w:sz w:val="20"/>
          <w:szCs w:val="20"/>
          <w:color w:val="auto"/>
        </w:rPr>
      </w:pPr>
    </w:p>
    <w:p>
      <w:pPr>
        <w:ind w:left="268"/>
        <w:spacing w:after="0"/>
        <w:rPr>
          <w:sz w:val="20"/>
          <w:szCs w:val="20"/>
          <w:color w:val="auto"/>
        </w:rPr>
      </w:pPr>
      <w:r>
        <w:rPr>
          <w:rFonts w:ascii="Arial" w:cs="Arial" w:eastAsia="Arial" w:hAnsi="Arial"/>
          <w:sz w:val="15"/>
          <w:szCs w:val="15"/>
          <w:color w:val="auto"/>
        </w:rPr>
        <w:t>Mr. Thulin has been appointed to the Audit Committee of the Board, the Executive Committee of the Board, and the newly established Finance Committee of the Board.</w:t>
      </w:r>
    </w:p>
    <w:p>
      <w:pPr>
        <w:spacing w:after="0" w:line="220" w:lineRule="exact"/>
        <w:rPr>
          <w:sz w:val="20"/>
          <w:szCs w:val="20"/>
          <w:color w:val="auto"/>
        </w:rPr>
      </w:pPr>
    </w:p>
    <w:p>
      <w:pPr>
        <w:ind w:left="268" w:right="40"/>
        <w:spacing w:after="0" w:line="262" w:lineRule="auto"/>
        <w:rPr>
          <w:sz w:val="20"/>
          <w:szCs w:val="20"/>
          <w:color w:val="auto"/>
        </w:rPr>
      </w:pPr>
      <w:r>
        <w:rPr>
          <w:rFonts w:ascii="Arial" w:cs="Arial" w:eastAsia="Arial" w:hAnsi="Arial"/>
          <w:sz w:val="15"/>
          <w:szCs w:val="15"/>
          <w:color w:val="auto"/>
        </w:rPr>
        <w:t>Mr. Thulin will receive compensation and participate in plans as a non-employee member of the Board as described in our Proxy Statement for Toro’s Annual Meeting of Stockholders held on March 13, 2007, under the heading “Board Compensation,” with the following changes that are applicable to all members of the Board and take effect with the September 18, 2007 meeting: (i) the annual cash retainer is increased from $30,000 to $40,000, (ii) per Board meeting fees are increased from $1,000 to $1,500, (iii) per committee meeting fees are increased from $1,000 to $1,250, (iv) the Nominating and Governance Committee Chair annual retainer is increased from $0 to $2,500, (v) the Finance Committee Chair annual retainer is established at $2,500, and (vi) the Lead Director retainer is changed from $1,000 per meeting to an annual retainer of $7,500. Additionally, committee members are now entitled to a committee meeting fee for each committee meeting they attend in a single day. Previously no more than one committee meeting fee was paid for committee meetings held in a single day.</w:t>
      </w:r>
    </w:p>
    <w:p>
      <w:pPr>
        <w:spacing w:after="0" w:line="177" w:lineRule="exact"/>
        <w:rPr>
          <w:sz w:val="20"/>
          <w:szCs w:val="20"/>
          <w:color w:val="auto"/>
        </w:rPr>
      </w:pPr>
    </w:p>
    <w:p>
      <w:pPr>
        <w:ind w:left="8"/>
        <w:spacing w:after="0"/>
        <w:tabs>
          <w:tab w:leader="none" w:pos="3867" w:val="left"/>
        </w:tabs>
        <w:rPr>
          <w:sz w:val="20"/>
          <w:szCs w:val="20"/>
          <w:color w:val="auto"/>
        </w:rPr>
      </w:pPr>
      <w:r>
        <w:rPr>
          <w:rFonts w:ascii="Arial" w:cs="Arial" w:eastAsia="Arial" w:hAnsi="Arial"/>
          <w:sz w:val="15"/>
          <w:szCs w:val="15"/>
          <w:b w:val="1"/>
          <w:bCs w:val="1"/>
          <w:color w:val="auto"/>
        </w:rPr>
        <w:t>Item 5.04</w:t>
      </w:r>
      <w:r>
        <w:rPr>
          <w:sz w:val="20"/>
          <w:szCs w:val="20"/>
          <w:color w:val="auto"/>
        </w:rPr>
        <w:tab/>
      </w:r>
      <w:r>
        <w:rPr>
          <w:rFonts w:ascii="Arial" w:cs="Arial" w:eastAsia="Arial" w:hAnsi="Arial"/>
          <w:sz w:val="13"/>
          <w:szCs w:val="13"/>
          <w:b w:val="1"/>
          <w:bCs w:val="1"/>
          <w:color w:val="auto"/>
        </w:rPr>
        <w:t>Temporary Suspension of Trading Under Registrant’s Employee Benefit Plans.</w:t>
      </w:r>
    </w:p>
    <w:p>
      <w:pPr>
        <w:spacing w:after="0" w:line="226" w:lineRule="exact"/>
        <w:rPr>
          <w:sz w:val="20"/>
          <w:szCs w:val="20"/>
          <w:color w:val="auto"/>
        </w:rPr>
      </w:pPr>
    </w:p>
    <w:p>
      <w:pPr>
        <w:ind w:left="268" w:right="100"/>
        <w:spacing w:after="0" w:line="261" w:lineRule="auto"/>
        <w:rPr>
          <w:sz w:val="20"/>
          <w:szCs w:val="20"/>
          <w:color w:val="auto"/>
        </w:rPr>
      </w:pPr>
      <w:r>
        <w:rPr>
          <w:rFonts w:ascii="Arial" w:cs="Arial" w:eastAsia="Arial" w:hAnsi="Arial"/>
          <w:sz w:val="15"/>
          <w:szCs w:val="15"/>
          <w:color w:val="auto"/>
        </w:rPr>
        <w:t>The Toro Company has elected to change administrative service providers for The Toro Company Investment, Savings, and Employee Stock Ownership Plan and The Toro Company Profit Sharing Plan for Plymouth Union Employees from JP Morgan Retirement Plan Services to Fidelity Investments; and Hahn Equipment Co., a wholly owned subsidiary of Toro, has elected to change administrative service providers for The Hahn Equipment Co. Savings Plan for Union Employees from JP Morgan Retirement Plan Services to Fidelity Investments. As a result of these changes, there will be a customary blackout period in which participants under these plans temporarily will be unable to engage in account transactions, including transactions involving Toro common stock, par value $1.00 per share, and related preferred share purchase rights, or associated derivative securities, held in their individual accounts. During the blackout period, participants under these plans will not be able to change investments of their contributions, reallocate investments of existing balances in their individual accounts or obtain distributions. The blackout period is expected to begin on October 19, 2007 at 4:00 p.m. Eastern Time, and end the week of November 4, 2007. Toro received notice of the blackout period from the administrator under each of the plans pursuant to Section 101(i)(2)(E) of the Employment Retirement Income Security Act of 1974 on September 18, 2007.</w:t>
      </w:r>
    </w:p>
    <w:p>
      <w:pPr>
        <w:spacing w:after="0" w:line="182" w:lineRule="exact"/>
        <w:rPr>
          <w:sz w:val="20"/>
          <w:szCs w:val="20"/>
          <w:color w:val="auto"/>
        </w:rPr>
      </w:pPr>
    </w:p>
    <w:p>
      <w:pPr>
        <w:ind w:left="268" w:right="180"/>
        <w:spacing w:after="0" w:line="264" w:lineRule="auto"/>
        <w:rPr>
          <w:sz w:val="20"/>
          <w:szCs w:val="20"/>
          <w:color w:val="auto"/>
        </w:rPr>
      </w:pPr>
      <w:r>
        <w:rPr>
          <w:rFonts w:ascii="Arial" w:cs="Arial" w:eastAsia="Arial" w:hAnsi="Arial"/>
          <w:sz w:val="15"/>
          <w:szCs w:val="15"/>
          <w:color w:val="auto"/>
        </w:rPr>
        <w:t>Pursuant to Section 306(a) of the Sarbanes-Oxley Act of 2002 and Rule 104(b)(2)(i)(B) of the Securities and Exchange Commission’s Regulation BTR, on September 18, 2007, Toro provided written notice of the blackout period to its directors and executive officers notifying them that during the blackout period they may not, directly or indirectly, purchase, sell or otherwise acquire or transfer any shares of Toro common stock and related preferred share purchase rights, or associated derivative securities, if those securities were acquired in connection with their service or employment as a director or executive officer of Toro. A copy of the notice provided to Toro’s directors and executive officers is attached as Exhibit 99.1 to this Current Report on Form 8-K, and incorporated herein by reference.</w:t>
      </w:r>
    </w:p>
    <w:p>
      <w:pPr>
        <w:spacing w:after="0" w:line="183" w:lineRule="exact"/>
        <w:rPr>
          <w:sz w:val="20"/>
          <w:szCs w:val="20"/>
          <w:color w:val="auto"/>
        </w:rPr>
      </w:pPr>
    </w:p>
    <w:p>
      <w:pPr>
        <w:ind w:left="268" w:right="80"/>
        <w:spacing w:after="0" w:line="272" w:lineRule="auto"/>
        <w:rPr>
          <w:sz w:val="20"/>
          <w:szCs w:val="20"/>
          <w:color w:val="auto"/>
        </w:rPr>
      </w:pPr>
      <w:r>
        <w:rPr>
          <w:rFonts w:ascii="Arial" w:cs="Arial" w:eastAsia="Arial" w:hAnsi="Arial"/>
          <w:sz w:val="15"/>
          <w:szCs w:val="15"/>
          <w:color w:val="auto"/>
        </w:rPr>
        <w:t>During the blackout period and for a period of two years after the blackout period has ended, interested parties may obtain, without charge, information regarding the blackout period, including the actual ending date of the blackout period, by contacting Timothy P. Dordell, Vice President, Secretary and General Counsel, The Toro Company, 8111 Lyndale Avenue South, Bloomington, Minnesota 55420, (952) 887-8178.</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Section 7 — Regulation FD</w:t>
      </w:r>
    </w:p>
    <w:p>
      <w:pPr>
        <w:spacing w:after="0" w:line="220" w:lineRule="exact"/>
        <w:rPr>
          <w:sz w:val="20"/>
          <w:szCs w:val="20"/>
          <w:color w:val="auto"/>
        </w:rPr>
      </w:pPr>
    </w:p>
    <w:p>
      <w:pPr>
        <w:ind w:left="8"/>
        <w:spacing w:after="0"/>
        <w:tabs>
          <w:tab w:leader="none" w:pos="3867"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226" w:lineRule="exact"/>
        <w:rPr>
          <w:sz w:val="20"/>
          <w:szCs w:val="20"/>
          <w:color w:val="auto"/>
        </w:rPr>
      </w:pPr>
    </w:p>
    <w:p>
      <w:pPr>
        <w:ind w:left="548"/>
        <w:spacing w:after="0"/>
        <w:rPr>
          <w:sz w:val="20"/>
          <w:szCs w:val="20"/>
          <w:color w:val="auto"/>
        </w:rPr>
      </w:pPr>
      <w:r>
        <w:rPr>
          <w:rFonts w:ascii="Arial" w:cs="Arial" w:eastAsia="Arial" w:hAnsi="Arial"/>
          <w:sz w:val="14"/>
          <w:szCs w:val="14"/>
          <w:color w:val="auto"/>
        </w:rPr>
        <w:t>Effective as of September 18, 2007, in connection with the establishment of a Finance Committee of the Board and the appointment of Mr. Thulin to the Audit Committee of the</w:t>
      </w:r>
    </w:p>
    <w:p>
      <w:pPr>
        <w:spacing w:after="0" w:line="34" w:lineRule="exact"/>
        <w:rPr>
          <w:sz w:val="20"/>
          <w:szCs w:val="20"/>
          <w:color w:val="auto"/>
        </w:rPr>
      </w:pPr>
    </w:p>
    <w:p>
      <w:pPr>
        <w:ind w:left="548"/>
        <w:spacing w:after="0"/>
        <w:rPr>
          <w:sz w:val="20"/>
          <w:szCs w:val="20"/>
          <w:color w:val="auto"/>
        </w:rPr>
      </w:pPr>
      <w:r>
        <w:rPr>
          <w:rFonts w:ascii="Arial" w:cs="Arial" w:eastAsia="Arial" w:hAnsi="Arial"/>
          <w:sz w:val="15"/>
          <w:szCs w:val="15"/>
          <w:color w:val="auto"/>
        </w:rPr>
        <w:t>Board, the Executive Committee of the Board, and the Finance Committee of the Board, the Board has re-appointed its Board committees as follows:</w:t>
      </w:r>
    </w:p>
    <w:p>
      <w:pPr>
        <w:spacing w:after="0" w:line="210" w:lineRule="exact"/>
        <w:rPr>
          <w:sz w:val="20"/>
          <w:szCs w:val="20"/>
          <w:color w:val="auto"/>
        </w:rPr>
      </w:pPr>
    </w:p>
    <w:p>
      <w:pPr>
        <w:ind w:left="548"/>
        <w:spacing w:after="0"/>
        <w:rPr>
          <w:sz w:val="20"/>
          <w:szCs w:val="20"/>
          <w:color w:val="auto"/>
        </w:rPr>
      </w:pPr>
      <w:r>
        <w:rPr>
          <w:rFonts w:ascii="Arial" w:cs="Arial" w:eastAsia="Arial" w:hAnsi="Arial"/>
          <w:sz w:val="15"/>
          <w:szCs w:val="15"/>
          <w:color w:val="auto"/>
        </w:rPr>
        <w:t>Audit Committee: Janet Cooper (Chair), Ronald Baukol, Robert Buhrmaster, Winslow Buxton, Gary Ellis, Robert Nassau and Inge Thulin.</w:t>
      </w:r>
    </w:p>
    <w:p>
      <w:pPr>
        <w:spacing w:after="0" w:line="220" w:lineRule="exact"/>
        <w:rPr>
          <w:sz w:val="20"/>
          <w:szCs w:val="20"/>
          <w:color w:val="auto"/>
        </w:rPr>
      </w:pPr>
    </w:p>
    <w:p>
      <w:pPr>
        <w:ind w:left="548"/>
        <w:spacing w:after="0"/>
        <w:rPr>
          <w:sz w:val="20"/>
          <w:szCs w:val="20"/>
          <w:color w:val="auto"/>
        </w:rPr>
      </w:pPr>
      <w:r>
        <w:rPr>
          <w:rFonts w:ascii="Arial" w:cs="Arial" w:eastAsia="Arial" w:hAnsi="Arial"/>
          <w:sz w:val="15"/>
          <w:szCs w:val="15"/>
          <w:color w:val="auto"/>
        </w:rPr>
        <w:t>Compensation and Human Resources Committee: Christopher Twomey (Chair), Winslow Buxton, Katherine Harless, Robert Nassau and Gregg Steinhafel.</w:t>
      </w:r>
    </w:p>
    <w:p>
      <w:pPr>
        <w:spacing w:after="0" w:line="220" w:lineRule="exact"/>
        <w:rPr>
          <w:sz w:val="20"/>
          <w:szCs w:val="20"/>
          <w:color w:val="auto"/>
        </w:rPr>
      </w:pPr>
    </w:p>
    <w:p>
      <w:pPr>
        <w:ind w:left="548" w:right="180"/>
        <w:spacing w:after="0" w:line="288" w:lineRule="auto"/>
        <w:rPr>
          <w:sz w:val="20"/>
          <w:szCs w:val="20"/>
          <w:color w:val="auto"/>
        </w:rPr>
      </w:pPr>
      <w:r>
        <w:rPr>
          <w:rFonts w:ascii="Arial" w:cs="Arial" w:eastAsia="Arial" w:hAnsi="Arial"/>
          <w:sz w:val="15"/>
          <w:szCs w:val="15"/>
          <w:color w:val="auto"/>
        </w:rPr>
        <w:t>Nominating and Governance Committee: Winslow Buxton (Chair), Ronald Baukol, Robert Buhrmaster, Katherine Harless, Robert Nassau, Gregg Steinhafel and Christopher Twomey.</w:t>
      </w:r>
    </w:p>
    <w:p>
      <w:pPr>
        <w:spacing w:after="0" w:line="163" w:lineRule="exact"/>
        <w:rPr>
          <w:sz w:val="20"/>
          <w:szCs w:val="20"/>
          <w:color w:val="auto"/>
        </w:rPr>
      </w:pPr>
    </w:p>
    <w:p>
      <w:pPr>
        <w:ind w:left="548"/>
        <w:spacing w:after="0"/>
        <w:rPr>
          <w:sz w:val="20"/>
          <w:szCs w:val="20"/>
          <w:color w:val="auto"/>
        </w:rPr>
      </w:pPr>
      <w:r>
        <w:rPr>
          <w:rFonts w:ascii="Arial" w:cs="Arial" w:eastAsia="Arial" w:hAnsi="Arial"/>
          <w:sz w:val="15"/>
          <w:szCs w:val="15"/>
          <w:color w:val="auto"/>
        </w:rPr>
        <w:t>Finance Committee: Gary Ellis (Chair), Robert Buhrmaster, Janet Cooper, Michael Hoffman, and Inge Thulin.</w:t>
      </w:r>
    </w:p>
    <w:p>
      <w:pPr>
        <w:spacing w:after="0" w:line="220" w:lineRule="exact"/>
        <w:rPr>
          <w:sz w:val="20"/>
          <w:szCs w:val="20"/>
          <w:color w:val="auto"/>
        </w:rPr>
      </w:pPr>
    </w:p>
    <w:p>
      <w:pPr>
        <w:ind w:left="548"/>
        <w:spacing w:after="0"/>
        <w:rPr>
          <w:sz w:val="20"/>
          <w:szCs w:val="20"/>
          <w:color w:val="auto"/>
        </w:rPr>
      </w:pPr>
      <w:r>
        <w:rPr>
          <w:rFonts w:ascii="Arial" w:cs="Arial" w:eastAsia="Arial" w:hAnsi="Arial"/>
          <w:sz w:val="15"/>
          <w:szCs w:val="15"/>
          <w:color w:val="auto"/>
        </w:rPr>
        <w:t>Executive Committee: Michael Hoffman (Chair), Ronald Baukol, Robert Buhrmaster, Gary Ellis, Gregg Steinhafel, Inge Thulin, and Christopher Twomey.</w:t>
      </w:r>
    </w:p>
    <w:p>
      <w:pPr>
        <w:spacing w:after="0" w:line="220" w:lineRule="exact"/>
        <w:rPr>
          <w:sz w:val="20"/>
          <w:szCs w:val="20"/>
          <w:color w:val="auto"/>
        </w:rPr>
      </w:pPr>
    </w:p>
    <w:p>
      <w:pPr>
        <w:ind w:left="548" w:right="300"/>
        <w:spacing w:after="0" w:line="288" w:lineRule="auto"/>
        <w:rPr>
          <w:sz w:val="20"/>
          <w:szCs w:val="20"/>
          <w:color w:val="auto"/>
        </w:rPr>
      </w:pPr>
      <w:r>
        <w:rPr>
          <w:rFonts w:ascii="Arial" w:cs="Arial" w:eastAsia="Arial" w:hAnsi="Arial"/>
          <w:sz w:val="15"/>
          <w:szCs w:val="15"/>
          <w:color w:val="auto"/>
        </w:rPr>
        <w:t>Also on September 18, 2007, the Board declared a regular quarterly cash dividend of 12 cents per share payable October 17, 2007 to stockholders of record as of October 3, 2007.</w:t>
      </w:r>
    </w:p>
    <w:p>
      <w:pPr>
        <w:spacing w:after="0" w:line="163" w:lineRule="exact"/>
        <w:rPr>
          <w:sz w:val="20"/>
          <w:szCs w:val="20"/>
          <w:color w:val="auto"/>
        </w:rPr>
      </w:pPr>
    </w:p>
    <w:p>
      <w:pPr>
        <w:ind w:left="268" w:right="20"/>
        <w:spacing w:after="0" w:line="264" w:lineRule="auto"/>
        <w:rPr>
          <w:sz w:val="20"/>
          <w:szCs w:val="20"/>
          <w:color w:val="auto"/>
        </w:rPr>
      </w:pPr>
      <w:r>
        <w:rPr>
          <w:rFonts w:ascii="Arial" w:cs="Arial" w:eastAsia="Arial" w:hAnsi="Arial"/>
          <w:sz w:val="15"/>
          <w:szCs w:val="15"/>
          <w:color w:val="auto"/>
        </w:rPr>
        <w:t>Attached to this Current Report on Form 8-K as Exhibit 99.2 is a copy of our press release in connection with the announcement of Mr. Thulin’s election to the Board and the declaration of the quarterly cash dividend, which is incorporated herein by reference. The information in this Item 7.01, including the exhibit attached hereto, is furnished pursuant to Item 7.01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448"/>
          </w:cols>
          <w:pgMar w:left="232" w:top="331" w:right="219" w:bottom="0" w:gutter="0" w:footer="0" w:header="0"/>
          <w:type w:val="continuous"/>
        </w:sectPr>
      </w:pPr>
    </w:p>
    <w:p>
      <w:pPr>
        <w:spacing w:after="0" w:line="177" w:lineRule="exact"/>
        <w:rPr>
          <w:sz w:val="20"/>
          <w:szCs w:val="20"/>
          <w:color w:val="auto"/>
        </w:rPr>
      </w:pPr>
    </w:p>
    <w:p>
      <w:pPr>
        <w:ind w:left="8" w:right="20"/>
        <w:spacing w:after="0" w:line="550" w:lineRule="auto"/>
        <w:rPr>
          <w:sz w:val="20"/>
          <w:szCs w:val="20"/>
          <w:color w:val="auto"/>
        </w:rPr>
      </w:pPr>
      <w:r>
        <w:rPr>
          <w:rFonts w:ascii="Arial" w:cs="Arial" w:eastAsia="Arial" w:hAnsi="Arial"/>
          <w:sz w:val="15"/>
          <w:szCs w:val="15"/>
          <w:b w:val="1"/>
          <w:bCs w:val="1"/>
          <w:color w:val="auto"/>
        </w:rPr>
        <w:t>Section 9 — Financial Statements and Exhibits Item 9.01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Statements and Exhibits</w:t>
      </w:r>
    </w:p>
    <w:p>
      <w:pPr>
        <w:spacing w:after="0" w:line="249" w:lineRule="exact"/>
        <w:rPr>
          <w:sz w:val="20"/>
          <w:szCs w:val="20"/>
          <w:color w:val="auto"/>
        </w:rPr>
      </w:pPr>
    </w:p>
    <w:p>
      <w:pPr>
        <w:sectPr>
          <w:pgSz w:w="11900" w:h="16838" w:orient="portrait"/>
          <w:cols w:equalWidth="0" w:num="2">
            <w:col w:w="3168" w:space="720"/>
            <w:col w:w="7560"/>
          </w:cols>
          <w:pgMar w:left="232" w:top="331" w:right="219" w:bottom="0" w:gutter="0" w:footer="0" w:header="0"/>
          <w:type w:val="continuous"/>
        </w:sectPr>
      </w:pPr>
    </w:p>
    <w:p>
      <w:pPr>
        <w:ind w:left="1228" w:hanging="535"/>
        <w:spacing w:after="0"/>
        <w:tabs>
          <w:tab w:leader="none" w:pos="1228" w:val="left"/>
        </w:tabs>
        <w:numPr>
          <w:ilvl w:val="0"/>
          <w:numId w:val="3"/>
        </w:numPr>
        <w:rPr>
          <w:rFonts w:ascii="Arial" w:cs="Arial" w:eastAsia="Arial" w:hAnsi="Arial"/>
          <w:sz w:val="15"/>
          <w:szCs w:val="15"/>
          <w:color w:val="auto"/>
        </w:rPr>
      </w:pPr>
      <w:r>
        <w:rPr>
          <w:rFonts w:ascii="Arial" w:cs="Arial" w:eastAsia="Arial" w:hAnsi="Arial"/>
          <w:sz w:val="15"/>
          <w:szCs w:val="15"/>
          <w:color w:val="auto"/>
        </w:rPr>
        <w:t>Exhibits.</w:t>
      </w:r>
    </w:p>
    <w:p>
      <w:pPr>
        <w:spacing w:after="0" w:line="214" w:lineRule="exact"/>
        <w:rPr>
          <w:sz w:val="20"/>
          <w:szCs w:val="20"/>
          <w:color w:val="auto"/>
        </w:rPr>
      </w:pPr>
    </w:p>
    <w:tbl>
      <w:tblPr>
        <w:tblLayout w:type="fixed"/>
        <w:tblInd w:w="8" w:type="dxa"/>
        <w:tblCellMar>
          <w:top w:w="0" w:type="dxa"/>
          <w:left w:w="0" w:type="dxa"/>
          <w:bottom w:w="0" w:type="dxa"/>
          <w:right w:w="0" w:type="dxa"/>
        </w:tblCellMar>
      </w:tblPr>
      <w:tr>
        <w:trPr>
          <w:trHeight w:val="204"/>
        </w:trPr>
        <w:tc>
          <w:tcPr>
            <w:tcW w:w="14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 No.</w:t>
            </w:r>
          </w:p>
        </w:tc>
        <w:tc>
          <w:tcPr>
            <w:tcW w:w="10040" w:type="dxa"/>
            <w:vAlign w:val="bottom"/>
            <w:tcBorders>
              <w:bottom w:val="single" w:sz="8" w:color="auto"/>
            </w:tcBorders>
          </w:tcPr>
          <w:p>
            <w:pPr>
              <w:ind w:left="4960"/>
              <w:spacing w:after="0"/>
              <w:rPr>
                <w:sz w:val="20"/>
                <w:szCs w:val="20"/>
                <w:color w:val="auto"/>
              </w:rPr>
            </w:pPr>
            <w:r>
              <w:rPr>
                <w:rFonts w:ascii="Arial" w:cs="Arial" w:eastAsia="Arial" w:hAnsi="Arial"/>
                <w:sz w:val="15"/>
                <w:szCs w:val="15"/>
                <w:b w:val="1"/>
                <w:bCs w:val="1"/>
                <w:color w:val="auto"/>
              </w:rPr>
              <w:t>Description</w:t>
            </w:r>
          </w:p>
        </w:tc>
      </w:tr>
      <w:tr>
        <w:trPr>
          <w:trHeight w:val="174"/>
        </w:trPr>
        <w:tc>
          <w:tcPr>
            <w:tcW w:w="1400" w:type="dxa"/>
            <w:vAlign w:val="bottom"/>
          </w:tcPr>
          <w:p>
            <w:pPr>
              <w:spacing w:after="0"/>
              <w:rPr>
                <w:sz w:val="20"/>
                <w:szCs w:val="20"/>
                <w:color w:val="auto"/>
              </w:rPr>
            </w:pPr>
            <w:r>
              <w:rPr>
                <w:rFonts w:ascii="Arial" w:cs="Arial" w:eastAsia="Arial" w:hAnsi="Arial"/>
                <w:sz w:val="15"/>
                <w:szCs w:val="15"/>
                <w:color w:val="auto"/>
              </w:rPr>
              <w:t>99.1</w:t>
            </w:r>
          </w:p>
        </w:tc>
        <w:tc>
          <w:tcPr>
            <w:tcW w:w="10040" w:type="dxa"/>
            <w:vAlign w:val="bottom"/>
          </w:tcPr>
          <w:p>
            <w:pPr>
              <w:ind w:left="660"/>
              <w:spacing w:after="0"/>
              <w:rPr>
                <w:sz w:val="20"/>
                <w:szCs w:val="20"/>
                <w:color w:val="auto"/>
              </w:rPr>
            </w:pPr>
            <w:r>
              <w:rPr>
                <w:rFonts w:ascii="Arial" w:cs="Arial" w:eastAsia="Arial" w:hAnsi="Arial"/>
                <w:sz w:val="15"/>
                <w:szCs w:val="15"/>
                <w:color w:val="auto"/>
                <w:w w:val="94"/>
              </w:rPr>
              <w:t>Notice to Directors and Executive Officers of The Toro Company Regarding Blackout Period Under Employee Benefit Plans and Trading Restrictions</w:t>
            </w:r>
          </w:p>
        </w:tc>
      </w:tr>
      <w:tr>
        <w:trPr>
          <w:trHeight w:val="185"/>
        </w:trPr>
        <w:tc>
          <w:tcPr>
            <w:tcW w:w="1400" w:type="dxa"/>
            <w:vAlign w:val="bottom"/>
          </w:tcPr>
          <w:p>
            <w:pPr>
              <w:spacing w:after="0"/>
              <w:rPr>
                <w:sz w:val="16"/>
                <w:szCs w:val="16"/>
                <w:color w:val="auto"/>
              </w:rPr>
            </w:pPr>
          </w:p>
        </w:tc>
        <w:tc>
          <w:tcPr>
            <w:tcW w:w="10040" w:type="dxa"/>
            <w:vAlign w:val="bottom"/>
          </w:tcPr>
          <w:p>
            <w:pPr>
              <w:ind w:left="660"/>
              <w:spacing w:after="0"/>
              <w:rPr>
                <w:sz w:val="20"/>
                <w:szCs w:val="20"/>
                <w:color w:val="auto"/>
              </w:rPr>
            </w:pPr>
            <w:r>
              <w:rPr>
                <w:rFonts w:ascii="Arial" w:cs="Arial" w:eastAsia="Arial" w:hAnsi="Arial"/>
                <w:sz w:val="15"/>
                <w:szCs w:val="15"/>
                <w:color w:val="auto"/>
              </w:rPr>
              <w:t>dated September 18, 2007.</w:t>
            </w:r>
          </w:p>
        </w:tc>
      </w:tr>
      <w:tr>
        <w:trPr>
          <w:trHeight w:val="185"/>
        </w:trPr>
        <w:tc>
          <w:tcPr>
            <w:tcW w:w="1400" w:type="dxa"/>
            <w:vAlign w:val="bottom"/>
          </w:tcPr>
          <w:p>
            <w:pPr>
              <w:spacing w:after="0"/>
              <w:rPr>
                <w:sz w:val="20"/>
                <w:szCs w:val="20"/>
                <w:color w:val="auto"/>
              </w:rPr>
            </w:pPr>
            <w:r>
              <w:rPr>
                <w:rFonts w:ascii="Arial" w:cs="Arial" w:eastAsia="Arial" w:hAnsi="Arial"/>
                <w:sz w:val="15"/>
                <w:szCs w:val="15"/>
                <w:color w:val="auto"/>
              </w:rPr>
              <w:t>99.2</w:t>
            </w:r>
          </w:p>
        </w:tc>
        <w:tc>
          <w:tcPr>
            <w:tcW w:w="10040" w:type="dxa"/>
            <w:vAlign w:val="bottom"/>
          </w:tcPr>
          <w:p>
            <w:pPr>
              <w:ind w:left="660"/>
              <w:spacing w:after="0"/>
              <w:rPr>
                <w:sz w:val="20"/>
                <w:szCs w:val="20"/>
                <w:color w:val="auto"/>
              </w:rPr>
            </w:pPr>
            <w:r>
              <w:rPr>
                <w:rFonts w:ascii="Arial" w:cs="Arial" w:eastAsia="Arial" w:hAnsi="Arial"/>
                <w:sz w:val="15"/>
                <w:szCs w:val="15"/>
                <w:color w:val="auto"/>
                <w:w w:val="93"/>
              </w:rPr>
              <w:t>Press release dated September 18, 2007 related to the election of Mr. Inge G. Thulin to the Board of Directors and the declaration of the quarterly cash</w:t>
            </w:r>
          </w:p>
        </w:tc>
      </w:tr>
      <w:tr>
        <w:trPr>
          <w:trHeight w:val="195"/>
        </w:trPr>
        <w:tc>
          <w:tcPr>
            <w:tcW w:w="1400" w:type="dxa"/>
            <w:vAlign w:val="bottom"/>
          </w:tcPr>
          <w:p>
            <w:pPr>
              <w:spacing w:after="0"/>
              <w:rPr>
                <w:sz w:val="16"/>
                <w:szCs w:val="16"/>
                <w:color w:val="auto"/>
              </w:rPr>
            </w:pPr>
          </w:p>
        </w:tc>
        <w:tc>
          <w:tcPr>
            <w:tcW w:w="10040" w:type="dxa"/>
            <w:vAlign w:val="bottom"/>
          </w:tcPr>
          <w:p>
            <w:pPr>
              <w:ind w:left="660"/>
              <w:spacing w:after="0"/>
              <w:rPr>
                <w:sz w:val="20"/>
                <w:szCs w:val="20"/>
                <w:color w:val="auto"/>
              </w:rPr>
            </w:pPr>
            <w:r>
              <w:rPr>
                <w:rFonts w:ascii="Arial" w:cs="Arial" w:eastAsia="Arial" w:hAnsi="Arial"/>
                <w:sz w:val="15"/>
                <w:szCs w:val="15"/>
                <w:color w:val="auto"/>
              </w:rPr>
              <w:t>dividend (furnished herewith).</w:t>
            </w:r>
          </w:p>
        </w:tc>
      </w:tr>
    </w:tbl>
    <w:p>
      <w:pPr>
        <w:sectPr>
          <w:pgSz w:w="11900" w:h="16838" w:orient="portrait"/>
          <w:cols w:equalWidth="0" w:num="1">
            <w:col w:w="11448"/>
          </w:cols>
          <w:pgMar w:left="232" w:top="331" w:right="219" w:bottom="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276860</wp:posOffset>
            </wp:positionV>
            <wp:extent cx="727202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139"/>
        <w:spacing w:after="0"/>
        <w:rPr>
          <w:sz w:val="20"/>
          <w:szCs w:val="20"/>
          <w:color w:val="auto"/>
        </w:rPr>
      </w:pPr>
      <w:r>
        <w:rPr>
          <w:rFonts w:ascii="Arial" w:cs="Arial" w:eastAsia="Arial" w:hAnsi="Arial"/>
          <w:sz w:val="15"/>
          <w:szCs w:val="15"/>
          <w:b w:val="1"/>
          <w:bCs w:val="1"/>
          <w:color w:val="auto"/>
        </w:rPr>
        <w:t>SIGNATURES</w:t>
      </w: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THE TORO COMPANY</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(Registrant)</w:t>
      </w:r>
    </w:p>
    <w:p>
      <w:pPr>
        <w:spacing w:after="0" w:line="210" w:lineRule="exact"/>
        <w:rPr>
          <w:sz w:val="20"/>
          <w:szCs w:val="20"/>
          <w:color w:val="auto"/>
        </w:rPr>
      </w:pPr>
    </w:p>
    <w:p>
      <w:pPr>
        <w:spacing w:after="0"/>
        <w:tabs>
          <w:tab w:leader="none" w:pos="5680" w:val="left"/>
        </w:tabs>
        <w:rPr>
          <w:sz w:val="20"/>
          <w:szCs w:val="20"/>
          <w:color w:val="auto"/>
        </w:rPr>
      </w:pPr>
      <w:r>
        <w:rPr>
          <w:rFonts w:ascii="Arial" w:cs="Arial" w:eastAsia="Arial" w:hAnsi="Arial"/>
          <w:sz w:val="15"/>
          <w:szCs w:val="15"/>
          <w:color w:val="auto"/>
        </w:rPr>
        <w:t>Date: September 18, 2007</w:t>
      </w:r>
      <w:r>
        <w:rPr>
          <w:sz w:val="20"/>
          <w:szCs w:val="20"/>
          <w:color w:val="auto"/>
        </w:rPr>
        <w:tab/>
      </w:r>
      <w:r>
        <w:rPr>
          <w:rFonts w:ascii="Arial" w:cs="Arial" w:eastAsia="Arial" w:hAnsi="Arial"/>
          <w:sz w:val="14"/>
          <w:szCs w:val="14"/>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14605</wp:posOffset>
            </wp:positionV>
            <wp:extent cx="363664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36645" cy="14605"/>
                    </a:xfrm>
                    <a:prstGeom prst="rect">
                      <a:avLst/>
                    </a:prstGeom>
                    <a:noFill/>
                  </pic:spPr>
                </pic:pic>
              </a:graphicData>
            </a:graphic>
          </wp:anchor>
        </w:drawing>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Timothy P. Dordell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Vice President, Secretary</w:t>
      </w:r>
    </w:p>
    <w:p>
      <w:pPr>
        <w:spacing w:after="0" w:line="12"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27202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280"/>
          </w:cols>
          <w:pgMar w:left="240" w:top="331"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1"/>
        </w:trPr>
        <w:tc>
          <w:tcPr>
            <w:tcW w:w="1940" w:type="dxa"/>
            <w:vAlign w:val="bottom"/>
          </w:tcPr>
          <w:p>
            <w:pPr>
              <w:spacing w:after="0"/>
              <w:rPr>
                <w:sz w:val="17"/>
                <w:szCs w:val="17"/>
                <w:color w:val="auto"/>
              </w:rPr>
            </w:pPr>
          </w:p>
        </w:tc>
        <w:tc>
          <w:tcPr>
            <w:tcW w:w="9500" w:type="dxa"/>
            <w:vAlign w:val="bottom"/>
          </w:tcPr>
          <w:p>
            <w:pPr>
              <w:ind w:left="3180"/>
              <w:spacing w:after="0"/>
              <w:rPr>
                <w:sz w:val="20"/>
                <w:szCs w:val="20"/>
                <w:color w:val="auto"/>
              </w:rPr>
            </w:pPr>
            <w:r>
              <w:rPr>
                <w:rFonts w:ascii="Arial" w:cs="Arial" w:eastAsia="Arial" w:hAnsi="Arial"/>
                <w:sz w:val="15"/>
                <w:szCs w:val="15"/>
                <w:b w:val="1"/>
                <w:bCs w:val="1"/>
                <w:color w:val="auto"/>
              </w:rPr>
              <w:t>EXHIBIT INDEX</w:t>
            </w:r>
          </w:p>
        </w:tc>
      </w:tr>
      <w:tr>
        <w:trPr>
          <w:trHeight w:val="208"/>
        </w:trPr>
        <w:tc>
          <w:tcPr>
            <w:tcW w:w="1940" w:type="dxa"/>
            <w:vAlign w:val="bottom"/>
            <w:tcBorders>
              <w:bottom w:val="single" w:sz="8" w:color="auto"/>
            </w:tcBorders>
          </w:tcPr>
          <w:p>
            <w:pPr>
              <w:spacing w:after="0"/>
              <w:rPr>
                <w:sz w:val="18"/>
                <w:szCs w:val="18"/>
                <w:color w:val="auto"/>
              </w:rPr>
            </w:pPr>
          </w:p>
        </w:tc>
        <w:tc>
          <w:tcPr>
            <w:tcW w:w="9500" w:type="dxa"/>
            <w:vAlign w:val="bottom"/>
            <w:tcBorders>
              <w:bottom w:val="single" w:sz="8" w:color="auto"/>
            </w:tcBorders>
          </w:tcPr>
          <w:p>
            <w:pPr>
              <w:spacing w:after="0"/>
              <w:rPr>
                <w:sz w:val="18"/>
                <w:szCs w:val="18"/>
                <w:color w:val="auto"/>
              </w:rPr>
            </w:pPr>
          </w:p>
        </w:tc>
      </w:tr>
      <w:tr>
        <w:trPr>
          <w:trHeight w:val="179"/>
        </w:trPr>
        <w:tc>
          <w:tcPr>
            <w:tcW w:w="19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 NUMBER</w:t>
            </w:r>
          </w:p>
        </w:tc>
        <w:tc>
          <w:tcPr>
            <w:tcW w:w="950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rPr>
              <w:t>DESCRIPTION</w:t>
            </w:r>
          </w:p>
        </w:tc>
      </w:tr>
      <w:tr>
        <w:trPr>
          <w:trHeight w:val="174"/>
        </w:trPr>
        <w:tc>
          <w:tcPr>
            <w:tcW w:w="1940" w:type="dxa"/>
            <w:vAlign w:val="bottom"/>
          </w:tcPr>
          <w:p>
            <w:pPr>
              <w:spacing w:after="0"/>
              <w:rPr>
                <w:sz w:val="20"/>
                <w:szCs w:val="20"/>
                <w:color w:val="auto"/>
              </w:rPr>
            </w:pPr>
            <w:r>
              <w:rPr>
                <w:rFonts w:ascii="Arial" w:cs="Arial" w:eastAsia="Arial" w:hAnsi="Arial"/>
                <w:sz w:val="15"/>
                <w:szCs w:val="15"/>
                <w:color w:val="auto"/>
              </w:rPr>
              <w:t>99.1</w:t>
            </w:r>
          </w:p>
        </w:tc>
        <w:tc>
          <w:tcPr>
            <w:tcW w:w="9500" w:type="dxa"/>
            <w:vAlign w:val="bottom"/>
          </w:tcPr>
          <w:p>
            <w:pPr>
              <w:ind w:left="540"/>
              <w:spacing w:after="0"/>
              <w:rPr>
                <w:sz w:val="20"/>
                <w:szCs w:val="20"/>
                <w:color w:val="auto"/>
              </w:rPr>
            </w:pPr>
            <w:r>
              <w:rPr>
                <w:rFonts w:ascii="Arial" w:cs="Arial" w:eastAsia="Arial" w:hAnsi="Arial"/>
                <w:sz w:val="15"/>
                <w:szCs w:val="15"/>
                <w:color w:val="auto"/>
                <w:w w:val="99"/>
              </w:rPr>
              <w:t>Notice to Directors and Executive Officers of The Toro Company Regarding Blackout Period Under Employee Benefit Plans and Trading</w:t>
            </w:r>
          </w:p>
        </w:tc>
      </w:tr>
      <w:tr>
        <w:trPr>
          <w:trHeight w:val="198"/>
        </w:trPr>
        <w:tc>
          <w:tcPr>
            <w:tcW w:w="1940" w:type="dxa"/>
            <w:vAlign w:val="bottom"/>
            <w:tcBorders>
              <w:bottom w:val="single" w:sz="8" w:color="auto"/>
            </w:tcBorders>
          </w:tcPr>
          <w:p>
            <w:pPr>
              <w:spacing w:after="0"/>
              <w:rPr>
                <w:sz w:val="17"/>
                <w:szCs w:val="17"/>
                <w:color w:val="auto"/>
              </w:rPr>
            </w:pPr>
          </w:p>
        </w:tc>
        <w:tc>
          <w:tcPr>
            <w:tcW w:w="9500" w:type="dxa"/>
            <w:vAlign w:val="bottom"/>
            <w:tcBorders>
              <w:bottom w:val="single" w:sz="8" w:color="auto"/>
            </w:tcBorders>
          </w:tcPr>
          <w:p>
            <w:pPr>
              <w:ind w:left="540"/>
              <w:spacing w:after="0"/>
              <w:rPr>
                <w:sz w:val="20"/>
                <w:szCs w:val="20"/>
                <w:color w:val="auto"/>
              </w:rPr>
            </w:pPr>
            <w:r>
              <w:rPr>
                <w:rFonts w:ascii="Arial" w:cs="Arial" w:eastAsia="Arial" w:hAnsi="Arial"/>
                <w:sz w:val="15"/>
                <w:szCs w:val="15"/>
                <w:color w:val="auto"/>
              </w:rPr>
              <w:t>Restrictions dated September 18, 2007.</w:t>
            </w:r>
          </w:p>
        </w:tc>
      </w:tr>
      <w:tr>
        <w:trPr>
          <w:trHeight w:val="174"/>
        </w:trPr>
        <w:tc>
          <w:tcPr>
            <w:tcW w:w="1940" w:type="dxa"/>
            <w:vAlign w:val="bottom"/>
          </w:tcPr>
          <w:p>
            <w:pPr>
              <w:spacing w:after="0"/>
              <w:rPr>
                <w:sz w:val="20"/>
                <w:szCs w:val="20"/>
                <w:color w:val="auto"/>
              </w:rPr>
            </w:pPr>
            <w:r>
              <w:rPr>
                <w:rFonts w:ascii="Arial" w:cs="Arial" w:eastAsia="Arial" w:hAnsi="Arial"/>
                <w:sz w:val="15"/>
                <w:szCs w:val="15"/>
                <w:color w:val="auto"/>
              </w:rPr>
              <w:t>99.2</w:t>
            </w:r>
          </w:p>
        </w:tc>
        <w:tc>
          <w:tcPr>
            <w:tcW w:w="9500" w:type="dxa"/>
            <w:vAlign w:val="bottom"/>
          </w:tcPr>
          <w:p>
            <w:pPr>
              <w:ind w:left="540"/>
              <w:spacing w:after="0"/>
              <w:rPr>
                <w:sz w:val="20"/>
                <w:szCs w:val="20"/>
                <w:color w:val="auto"/>
              </w:rPr>
            </w:pPr>
            <w:r>
              <w:rPr>
                <w:rFonts w:ascii="Arial" w:cs="Arial" w:eastAsia="Arial" w:hAnsi="Arial"/>
                <w:sz w:val="15"/>
                <w:szCs w:val="15"/>
                <w:color w:val="auto"/>
                <w:w w:val="92"/>
              </w:rPr>
              <w:t>Press release dated September 18, 2007 related to the election of Mr. Inge G. Thulin to the Board of Directors and the declaration of the quarterly</w:t>
            </w:r>
          </w:p>
        </w:tc>
      </w:tr>
      <w:tr>
        <w:trPr>
          <w:trHeight w:val="198"/>
        </w:trPr>
        <w:tc>
          <w:tcPr>
            <w:tcW w:w="1940" w:type="dxa"/>
            <w:vAlign w:val="bottom"/>
            <w:tcBorders>
              <w:bottom w:val="single" w:sz="8" w:color="auto"/>
            </w:tcBorders>
          </w:tcPr>
          <w:p>
            <w:pPr>
              <w:spacing w:after="0"/>
              <w:rPr>
                <w:sz w:val="17"/>
                <w:szCs w:val="17"/>
                <w:color w:val="auto"/>
              </w:rPr>
            </w:pPr>
          </w:p>
        </w:tc>
        <w:tc>
          <w:tcPr>
            <w:tcW w:w="9500" w:type="dxa"/>
            <w:vAlign w:val="bottom"/>
            <w:tcBorders>
              <w:bottom w:val="single" w:sz="8" w:color="auto"/>
            </w:tcBorders>
          </w:tcPr>
          <w:p>
            <w:pPr>
              <w:ind w:left="540"/>
              <w:spacing w:after="0"/>
              <w:rPr>
                <w:sz w:val="20"/>
                <w:szCs w:val="20"/>
                <w:color w:val="auto"/>
              </w:rPr>
            </w:pPr>
            <w:r>
              <w:rPr>
                <w:rFonts w:ascii="Arial" w:cs="Arial" w:eastAsia="Arial" w:hAnsi="Arial"/>
                <w:sz w:val="15"/>
                <w:szCs w:val="15"/>
                <w:color w:val="auto"/>
              </w:rPr>
              <w:t>cash dividend (furnished herewith).</w:t>
            </w:r>
          </w:p>
        </w:tc>
      </w:tr>
      <w:tr>
        <w:trPr>
          <w:trHeight w:val="515"/>
        </w:trPr>
        <w:tc>
          <w:tcPr>
            <w:tcW w:w="1940" w:type="dxa"/>
            <w:vAlign w:val="bottom"/>
            <w:tcBorders>
              <w:bottom w:val="single" w:sz="8" w:color="808080"/>
            </w:tcBorders>
          </w:tcPr>
          <w:p>
            <w:pPr>
              <w:spacing w:after="0"/>
              <w:rPr>
                <w:sz w:val="24"/>
                <w:szCs w:val="24"/>
                <w:color w:val="auto"/>
              </w:rPr>
            </w:pPr>
          </w:p>
        </w:tc>
        <w:tc>
          <w:tcPr>
            <w:tcW w:w="9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276860</wp:posOffset>
            </wp:positionV>
            <wp:extent cx="727202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195"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NOTICE OF BLACKOUT PERIOD</w:t>
      </w:r>
    </w:p>
    <w:p>
      <w:pPr>
        <w:spacing w:after="0" w:line="220"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TO</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Directors and Executive Officers of The Toro Company</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FROM</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Timothy P. Dordell, Vice President, Secretary and General Counsel</w:t>
      </w:r>
    </w:p>
    <w:p>
      <w:pPr>
        <w:spacing w:after="0" w:line="220" w:lineRule="exact"/>
        <w:rPr>
          <w:sz w:val="20"/>
          <w:szCs w:val="20"/>
          <w:color w:val="auto"/>
        </w:rPr>
      </w:pPr>
    </w:p>
    <w:p>
      <w:pPr>
        <w:spacing w:after="0"/>
        <w:tabs>
          <w:tab w:leader="none" w:pos="1080" w:val="left"/>
        </w:tabs>
        <w:rPr>
          <w:sz w:val="20"/>
          <w:szCs w:val="20"/>
          <w:color w:val="auto"/>
        </w:rPr>
      </w:pPr>
      <w:r>
        <w:rPr>
          <w:rFonts w:ascii="Arial" w:cs="Arial" w:eastAsia="Arial" w:hAnsi="Arial"/>
          <w:sz w:val="15"/>
          <w:szCs w:val="15"/>
          <w:b w:val="1"/>
          <w:bCs w:val="1"/>
          <w:color w:val="auto"/>
        </w:rPr>
        <w:t>DATE</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September 18, 2007</w:t>
      </w:r>
    </w:p>
    <w:p>
      <w:pPr>
        <w:spacing w:after="0" w:line="220" w:lineRule="exact"/>
        <w:rPr>
          <w:sz w:val="20"/>
          <w:szCs w:val="20"/>
          <w:color w:val="auto"/>
        </w:rPr>
      </w:pPr>
    </w:p>
    <w:p>
      <w:pPr>
        <w:spacing w:after="0"/>
        <w:tabs>
          <w:tab w:leader="none" w:pos="1640" w:val="left"/>
        </w:tabs>
        <w:rPr>
          <w:sz w:val="20"/>
          <w:szCs w:val="20"/>
          <w:color w:val="auto"/>
        </w:rPr>
      </w:pPr>
      <w:r>
        <w:rPr>
          <w:rFonts w:ascii="Arial" w:cs="Arial" w:eastAsia="Arial" w:hAnsi="Arial"/>
          <w:sz w:val="15"/>
          <w:szCs w:val="15"/>
          <w:b w:val="1"/>
          <w:bCs w:val="1"/>
          <w:color w:val="auto"/>
        </w:rPr>
        <w:t>SUBJECT</w:t>
      </w:r>
      <w:r>
        <w:rPr>
          <w:rFonts w:ascii="Arial" w:cs="Arial" w:eastAsia="Arial" w:hAnsi="Arial"/>
          <w:sz w:val="15"/>
          <w:szCs w:val="15"/>
          <w:color w:val="auto"/>
        </w:rPr>
        <w:t>:</w:t>
      </w:r>
      <w:r>
        <w:rPr>
          <w:sz w:val="20"/>
          <w:szCs w:val="20"/>
          <w:color w:val="auto"/>
        </w:rPr>
        <w:tab/>
      </w:r>
      <w:r>
        <w:rPr>
          <w:rFonts w:ascii="Arial" w:cs="Arial" w:eastAsia="Arial" w:hAnsi="Arial"/>
          <w:sz w:val="13"/>
          <w:szCs w:val="13"/>
          <w:b w:val="1"/>
          <w:bCs w:val="1"/>
          <w:color w:val="auto"/>
        </w:rPr>
        <w:t>Notice Regarding Blackout Period under Employee Benefit Plans and Trading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266305"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14605"/>
                    </a:xfrm>
                    <a:prstGeom prst="rect">
                      <a:avLst/>
                    </a:prstGeom>
                    <a:noFill/>
                  </pic:spPr>
                </pic:pic>
              </a:graphicData>
            </a:graphic>
          </wp:anchor>
        </w:drawing>
      </w: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color w:val="auto"/>
        </w:rPr>
        <w:t xml:space="preserve">As you may know, The Toro Company will be changing administrative service providers for each of The Toro Company Investment, Savings and Employee Stock Ownership Plan, The Toro Company Profit Sharing Plan for Plymouth Union Employees and The Hahn Equipment Co. Savings Plan for Union Employees from JP Morgan Retirement Plan Services to Fidelity Investments. As a result of these changes, there will be a blackout period in which participants under these plans temporarily will be unable to engage in any account transactions, including transactions involving Toro common stock, related preferred share purchase rights, or associated derivative securities held in their individual accounts. During the blackout period, participants under these plans will not be able to change investments of their contributions, reallocate investments of existing balances in their individual accounts or obtain distributions. </w:t>
      </w:r>
      <w:r>
        <w:rPr>
          <w:rFonts w:ascii="Arial" w:cs="Arial" w:eastAsia="Arial" w:hAnsi="Arial"/>
          <w:sz w:val="14"/>
          <w:szCs w:val="14"/>
          <w:b w:val="1"/>
          <w:bCs w:val="1"/>
          <w:u w:val="single" w:color="auto"/>
          <w:color w:val="auto"/>
        </w:rPr>
        <w:t>The blackout period is expected to begin at 4:00 p.m., Eastern time, on October 19, 2007, and end during the week of November 4, 2007.</w:t>
      </w:r>
    </w:p>
    <w:p>
      <w:pPr>
        <w:spacing w:after="0" w:line="169" w:lineRule="exact"/>
        <w:rPr>
          <w:sz w:val="20"/>
          <w:szCs w:val="20"/>
          <w:color w:val="auto"/>
        </w:rPr>
      </w:pPr>
    </w:p>
    <w:p>
      <w:pPr>
        <w:ind w:right="80"/>
        <w:spacing w:after="0" w:line="280" w:lineRule="auto"/>
        <w:rPr>
          <w:sz w:val="20"/>
          <w:szCs w:val="20"/>
          <w:color w:val="auto"/>
        </w:rPr>
      </w:pPr>
      <w:r>
        <w:rPr>
          <w:rFonts w:ascii="Arial" w:cs="Arial" w:eastAsia="Arial" w:hAnsi="Arial"/>
          <w:sz w:val="14"/>
          <w:szCs w:val="14"/>
          <w:color w:val="auto"/>
        </w:rPr>
        <w:t>As a director or executive officer of Toro, you are subject to the restrictions under Section 306(a) of the Sarbanes-Oxley Act of 2002 and the Securities and Exchange Commission’s Regulation BTR, which prohibit certain securities transactions during employee benefit plan blackout periods. This notice is to inform you of the blackout period. During the blackout period, you may not, directly or indirectly, purchase, sell or otherwise acquire or transfer any Toro common stock, related preferred share purchase rights, or associated derivative securities (including stock options) that you acquired in connection with your service or employment as a director or executive officer of Toro. This prohibition is intended to cast a wide net and does not just apply to Toro common stock and other Toro securities you have acquired under typical Toro compensation plans. Rather, this prohibition applies to all Toro common stock and all other Toro securities you have acquired under any plan or arrangement that has resulted in the acquisition of Toro common stock or other Toro securities in exchange for the performance of services for, or employment with, Toro. If you sell or transfer any Toro common stock or other Toro securities during the blackout period, there will be a presumption that such Toro common stock or other Toro securities were acquired in connection with your service or employment with Toro. This prohibition applies to any direct or indirect pecuniary interest you may have in such Toro common stock or other Toro securities, such as any Toro common stock held by immediate family members living with you, in trust, or by controlled partnerships or corporations. This prohibition also applies to you regardless of whether you participate in any of the employee benefit plans named above and is in addition to the other restrictions under Toro’s policy on restrictions on trading in Toro common stock or other Toro securities.</w:t>
      </w:r>
    </w:p>
    <w:p>
      <w:pPr>
        <w:spacing w:after="0" w:line="174" w:lineRule="exact"/>
        <w:rPr>
          <w:sz w:val="20"/>
          <w:szCs w:val="20"/>
          <w:color w:val="auto"/>
        </w:rPr>
      </w:pPr>
    </w:p>
    <w:p>
      <w:pPr>
        <w:ind w:right="100"/>
        <w:spacing w:after="0" w:line="300" w:lineRule="auto"/>
        <w:rPr>
          <w:sz w:val="20"/>
          <w:szCs w:val="20"/>
          <w:color w:val="auto"/>
        </w:rPr>
      </w:pPr>
      <w:r>
        <w:rPr>
          <w:rFonts w:ascii="Arial" w:cs="Arial" w:eastAsia="Arial" w:hAnsi="Arial"/>
          <w:sz w:val="14"/>
          <w:szCs w:val="14"/>
          <w:color w:val="auto"/>
        </w:rPr>
        <w:t>There are limited exceptions to the prohibition, including purchases or sales under dividend reinvestment plans, bona fide gift transactions and purchases and sales under a qualified Rule 10b5-1 trading plan. The Securities and Exchange Commission regulations regarding the blackout period restrictions are complex. To avoid any inadvertent violations of the blackout period restrictions, you are required to follow Toro’s pre-clearance procedures in connection with any proposed transaction in Toro common stock or other Toro Securities.</w:t>
      </w:r>
    </w:p>
    <w:p>
      <w:pPr>
        <w:spacing w:after="0" w:line="158" w:lineRule="exact"/>
        <w:rPr>
          <w:sz w:val="20"/>
          <w:szCs w:val="20"/>
          <w:color w:val="auto"/>
        </w:rPr>
      </w:pPr>
    </w:p>
    <w:p>
      <w:pPr>
        <w:ind w:right="160"/>
        <w:spacing w:after="0" w:line="272" w:lineRule="auto"/>
        <w:rPr>
          <w:sz w:val="20"/>
          <w:szCs w:val="20"/>
          <w:color w:val="auto"/>
        </w:rPr>
      </w:pPr>
      <w:r>
        <w:rPr>
          <w:rFonts w:ascii="Arial" w:cs="Arial" w:eastAsia="Arial" w:hAnsi="Arial"/>
          <w:sz w:val="15"/>
          <w:szCs w:val="15"/>
          <w:color w:val="auto"/>
        </w:rPr>
        <w:t>If you have any questions regarding this notice, the blackout period, including whether it has ended during the week of November 4, 2007, or your ability to engage in any transaction, please contact me by phone at (952) 887-8178 or in writing to The Toro Company, Attention: Timothy P. Dordell, Vice President, Secretary and General Counsel, 8111 Lyndale Avenue South, Bloomington, Minnesota, 55420.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7202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left="10388"/>
        <w:spacing w:after="0"/>
        <w:rPr>
          <w:sz w:val="20"/>
          <w:szCs w:val="20"/>
          <w:color w:val="auto"/>
        </w:rPr>
      </w:pPr>
      <w:r>
        <w:rPr>
          <w:rFonts w:ascii="Arial" w:cs="Arial" w:eastAsia="Arial" w:hAnsi="Arial"/>
          <w:sz w:val="18"/>
          <w:szCs w:val="18"/>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872490" cy="564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72490" cy="56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Media Relations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5"/>
          <w:szCs w:val="15"/>
          <w:color w:val="auto"/>
        </w:rPr>
        <w:t>Connie Kotke</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5"/>
          <w:szCs w:val="15"/>
          <w:color w:val="auto"/>
        </w:rPr>
        <w:t>Manager, Corporate Communications</w:t>
      </w:r>
    </w:p>
    <w:p>
      <w:pPr>
        <w:spacing w:after="0" w:line="12" w:lineRule="exact"/>
        <w:rPr>
          <w:sz w:val="20"/>
          <w:szCs w:val="20"/>
          <w:color w:val="auto"/>
        </w:rPr>
      </w:pPr>
    </w:p>
    <w:p>
      <w:pPr>
        <w:ind w:left="8" w:right="9560" w:hanging="8"/>
        <w:spacing w:after="0" w:line="310" w:lineRule="auto"/>
        <w:tabs>
          <w:tab w:leader="none" w:pos="37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887-8984, </w:t>
      </w:r>
      <w:r>
        <w:rPr>
          <w:rFonts w:ascii="Arial" w:cs="Arial" w:eastAsia="Arial" w:hAnsi="Arial"/>
          <w:sz w:val="14"/>
          <w:szCs w:val="14"/>
          <w:u w:val="single" w:color="auto"/>
          <w:color w:val="auto"/>
        </w:rPr>
        <w:t>pr@toro.com</w:t>
      </w:r>
      <w:r>
        <w:rPr>
          <w:rFonts w:ascii="Arial" w:cs="Arial" w:eastAsia="Arial" w:hAnsi="Arial"/>
          <w:sz w:val="14"/>
          <w:szCs w:val="14"/>
          <w:color w:val="auto"/>
        </w:rPr>
        <w:t xml:space="preserve"> www.thetorocompany.com</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For Immediate Release</w:t>
      </w:r>
    </w:p>
    <w:p>
      <w:pPr>
        <w:spacing w:after="0" w:line="21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THE TORO COMPANY NAMES INGE G. THULIN TO BOARD OF DIRECTORS</w:t>
      </w:r>
    </w:p>
    <w:p>
      <w:pPr>
        <w:spacing w:after="0" w:line="22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Company Declares Regular Quarterly Dividend</w:t>
      </w:r>
    </w:p>
    <w:p>
      <w:pPr>
        <w:spacing w:after="0" w:line="226" w:lineRule="exact"/>
        <w:rPr>
          <w:sz w:val="20"/>
          <w:szCs w:val="20"/>
          <w:color w:val="auto"/>
        </w:rPr>
      </w:pPr>
    </w:p>
    <w:p>
      <w:pPr>
        <w:ind w:left="8"/>
        <w:spacing w:after="0" w:line="288" w:lineRule="auto"/>
        <w:rPr>
          <w:sz w:val="20"/>
          <w:szCs w:val="20"/>
          <w:color w:val="auto"/>
        </w:rPr>
      </w:pPr>
      <w:r>
        <w:rPr>
          <w:rFonts w:ascii="Arial" w:cs="Arial" w:eastAsia="Arial" w:hAnsi="Arial"/>
          <w:sz w:val="15"/>
          <w:szCs w:val="15"/>
          <w:color w:val="auto"/>
        </w:rPr>
        <w:t>BLOOMINGTON, Minn. (September 18, 2007) -- The Toro Company (NYSE: TTC) today announced that it has elected Inge G. Thulin to its board of directors, effective September 18, 2007.</w:t>
      </w:r>
    </w:p>
    <w:p>
      <w:pPr>
        <w:spacing w:after="0" w:line="163" w:lineRule="exact"/>
        <w:rPr>
          <w:sz w:val="20"/>
          <w:szCs w:val="20"/>
          <w:color w:val="auto"/>
        </w:rPr>
      </w:pPr>
    </w:p>
    <w:p>
      <w:pPr>
        <w:ind w:left="8" w:right="80"/>
        <w:spacing w:after="0" w:line="264" w:lineRule="auto"/>
        <w:rPr>
          <w:sz w:val="20"/>
          <w:szCs w:val="20"/>
          <w:color w:val="auto"/>
        </w:rPr>
      </w:pPr>
      <w:r>
        <w:rPr>
          <w:rFonts w:ascii="Arial" w:cs="Arial" w:eastAsia="Arial" w:hAnsi="Arial"/>
          <w:sz w:val="15"/>
          <w:szCs w:val="15"/>
          <w:color w:val="auto"/>
        </w:rPr>
        <w:t>Thulin, 53, is executive vice president, international operations, of 3M Company (NYSE: MMM), a $22.9 billion diversified technology company that develops and manufactures innovative products for market segments such as industrial, transportation, health care and office products. Thulin joined 3M in 1979 and served in various sales and marketing roles at its location in Stockholm, Sweden. During the next ten years, he led several businesses and subsidiaries in Sweden, France, Belgium and Russia before his first assignment at corporate headquarters in St. Paul, Minn., as vice president for the skin health division. He subsequently served as area vice president for Europe, Asia, and the Middle East and was named executive vice president, international operations in 2003.</w:t>
      </w:r>
    </w:p>
    <w:p>
      <w:pPr>
        <w:spacing w:after="0" w:line="183" w:lineRule="exact"/>
        <w:rPr>
          <w:sz w:val="20"/>
          <w:szCs w:val="20"/>
          <w:color w:val="auto"/>
        </w:rPr>
      </w:pPr>
    </w:p>
    <w:p>
      <w:pPr>
        <w:ind w:left="8" w:right="100"/>
        <w:spacing w:after="0" w:line="272" w:lineRule="auto"/>
        <w:rPr>
          <w:sz w:val="20"/>
          <w:szCs w:val="20"/>
          <w:color w:val="auto"/>
        </w:rPr>
      </w:pPr>
      <w:r>
        <w:rPr>
          <w:rFonts w:ascii="Arial" w:cs="Arial" w:eastAsia="Arial" w:hAnsi="Arial"/>
          <w:sz w:val="15"/>
          <w:szCs w:val="15"/>
          <w:color w:val="auto"/>
        </w:rPr>
        <w:t>"Inge is a seasoned executive with strong international experience and a proven ability to develop successful growth strategies in global organizations," said Michael J. Hoffman, Toro's chairman and CEO. "As Toro’s revenue from non-U.S. markets continues to rise and we expand our manufacturing, design, and distribution capabilities around the world, his perspectives will be invaluable in positioning the company for long-term growth and profitability. I am pleased to have him join our board."</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addition of Mr. Thulin brings the Toro board to 11 members.</w:t>
      </w:r>
    </w:p>
    <w:p>
      <w:pPr>
        <w:spacing w:after="0" w:line="220" w:lineRule="exact"/>
        <w:rPr>
          <w:sz w:val="20"/>
          <w:szCs w:val="20"/>
          <w:color w:val="auto"/>
        </w:rPr>
      </w:pPr>
    </w:p>
    <w:p>
      <w:pPr>
        <w:ind w:left="8"/>
        <w:spacing w:after="0" w:line="272" w:lineRule="auto"/>
        <w:rPr>
          <w:sz w:val="20"/>
          <w:szCs w:val="20"/>
          <w:color w:val="auto"/>
        </w:rPr>
      </w:pPr>
      <w:r>
        <w:rPr>
          <w:rFonts w:ascii="Arial" w:cs="Arial" w:eastAsia="Arial" w:hAnsi="Arial"/>
          <w:sz w:val="15"/>
          <w:szCs w:val="15"/>
          <w:color w:val="auto"/>
        </w:rPr>
        <w:t>Thulin is a native of Sweden and received a DIHM degree in marketing and strategy from Gothenburg University’s IHM Business School in Gothenburg, Sweden. He is currently a member of the Board of Trustees, United States Council for International Business; a member of the International Programs Advisory Council at the Carlson School of Management; and director for The Council for the United States and Italy.</w:t>
      </w:r>
    </w:p>
    <w:p>
      <w:pPr>
        <w:spacing w:after="0" w:line="176" w:lineRule="exact"/>
        <w:rPr>
          <w:sz w:val="20"/>
          <w:szCs w:val="20"/>
          <w:color w:val="auto"/>
        </w:rPr>
      </w:pPr>
    </w:p>
    <w:p>
      <w:pPr>
        <w:ind w:left="8" w:right="440"/>
        <w:spacing w:after="0" w:line="288" w:lineRule="auto"/>
        <w:rPr>
          <w:sz w:val="20"/>
          <w:szCs w:val="20"/>
          <w:color w:val="auto"/>
        </w:rPr>
      </w:pPr>
      <w:r>
        <w:rPr>
          <w:rFonts w:ascii="Arial" w:cs="Arial" w:eastAsia="Arial" w:hAnsi="Arial"/>
          <w:sz w:val="15"/>
          <w:szCs w:val="15"/>
          <w:color w:val="auto"/>
        </w:rPr>
        <w:t>The board also announced today it has declared a regular quarterly cash dividend of 12 cents per share payable October 17, 2007 to stockholders of record October 3, 2007. As of September 17, 2007, the company has 40,201,108 common shares outstanding.</w:t>
      </w:r>
    </w:p>
    <w:p>
      <w:pPr>
        <w:spacing w:after="0" w:line="35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About The Toro Company</w:t>
      </w:r>
    </w:p>
    <w:p>
      <w:pPr>
        <w:spacing w:after="0" w:line="221" w:lineRule="exact"/>
        <w:rPr>
          <w:sz w:val="20"/>
          <w:szCs w:val="20"/>
          <w:color w:val="auto"/>
        </w:rPr>
      </w:pPr>
    </w:p>
    <w:p>
      <w:pPr>
        <w:ind w:left="8" w:right="20"/>
        <w:spacing w:after="0" w:line="292" w:lineRule="auto"/>
        <w:rPr>
          <w:sz w:val="20"/>
          <w:szCs w:val="20"/>
          <w:color w:val="auto"/>
        </w:rPr>
      </w:pPr>
      <w:r>
        <w:rPr>
          <w:rFonts w:ascii="Arial" w:cs="Arial" w:eastAsia="Arial" w:hAnsi="Arial"/>
          <w:sz w:val="14"/>
          <w:szCs w:val="14"/>
          <w:color w:val="auto"/>
        </w:rPr>
        <w:t xml:space="preserve">The Toro Company (NYSE: TTC) is a leading worldwide provider of outdoor beautification products, support services and integrated solutions. With sales of $1.8 billion in 2006, Toro is committed to providing environmentally responsible products of customer-valued quality and innovation. Since 1914, the company has built a tradition of excellence around a number of strong brands that serve a customer base that includes golf course superintendents, groundskeepers, sports field managers, landscape and irrigation contractors, fruit and vegetable growers, and homeowners. The Toro Company is headquartered at 8111 Lyndale Avenue in Bloomington, Minn. Visit the company website at </w:t>
      </w:r>
      <w:r>
        <w:rPr>
          <w:rFonts w:ascii="Arial" w:cs="Arial" w:eastAsia="Arial" w:hAnsi="Arial"/>
          <w:sz w:val="14"/>
          <w:szCs w:val="14"/>
          <w:u w:val="single" w:color="auto"/>
          <w:color w:val="auto"/>
        </w:rPr>
        <w:t>www.thetorocompany.com</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298450</wp:posOffset>
            </wp:positionV>
            <wp:extent cx="727202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20320"/>
                    </a:xfrm>
                    <a:prstGeom prst="rect">
                      <a:avLst/>
                    </a:prstGeom>
                    <a:noFill/>
                  </pic:spPr>
                </pic:pic>
              </a:graphicData>
            </a:graphic>
          </wp:anchor>
        </w:drawing>
      </w:r>
    </w:p>
    <w:p>
      <w:pPr>
        <w:sectPr>
          <w:pgSz w:w="11900" w:h="16838" w:orient="portrait"/>
          <w:cols w:equalWidth="0" w:num="1">
            <w:col w:w="11428"/>
          </w:cols>
          <w:pgMar w:left="232" w:top="122"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2019-12-13T13:37:16Z</dcterms:created>
  <dcterms:modified xsi:type="dcterms:W3CDTF">2019-12-13T13:37:16Z</dcterms:modified>
</cp:coreProperties>
</file>