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7, 2024, The Toro Company announced its financial results for the three month period ended February 2, 2024.</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440" w:type="dxa"/>
            <w:vAlign w:val="bottom"/>
          </w:tcPr>
          <w:p>
            <w:pPr>
              <w:spacing w:after="0"/>
              <w:rPr>
                <w:sz w:val="22"/>
                <w:szCs w:val="22"/>
                <w:color w:val="auto"/>
              </w:rPr>
            </w:pPr>
          </w:p>
        </w:tc>
        <w:tc>
          <w:tcPr>
            <w:tcW w:w="442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444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Press release dated March 7, 2024 (furnished herewith).</w:t>
            </w:r>
          </w:p>
        </w:tc>
        <w:tc>
          <w:tcPr>
            <w:tcW w:w="4420" w:type="dxa"/>
            <w:vAlign w:val="bottom"/>
          </w:tcPr>
          <w:p>
            <w:pPr>
              <w:spacing w:after="0"/>
              <w:rPr>
                <w:sz w:val="18"/>
                <w:szCs w:val="18"/>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March 7, 2024</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Results for the First Quarter of Fiscal 2024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Continued Strength in Demand Across Construction, and Golf and Grounds Markets</w:t>
      </w:r>
    </w:p>
    <w:p>
      <w:pPr>
        <w:jc w:val="center"/>
        <w:spacing w:after="0"/>
        <w:rPr>
          <w:sz w:val="20"/>
          <w:szCs w:val="20"/>
          <w:color w:val="auto"/>
        </w:rPr>
      </w:pPr>
      <w:r>
        <w:rPr>
          <w:rFonts w:ascii="Arial" w:cs="Arial" w:eastAsia="Arial" w:hAnsi="Arial"/>
          <w:sz w:val="20"/>
          <w:szCs w:val="20"/>
          <w:i w:val="1"/>
          <w:iCs w:val="1"/>
          <w:color w:val="auto"/>
        </w:rPr>
        <w:t>Company Reaffirms Full-Year Fiscal 2024 Guidance</w:t>
      </w:r>
    </w:p>
    <w:p>
      <w:pPr>
        <w:spacing w:after="0" w:line="157"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net sales of $1.00 billion, compared to $1.15 billion in the same period of fiscal 2023</w:t>
      </w:r>
    </w:p>
    <w:p>
      <w:pPr>
        <w:spacing w:after="0" w:line="17"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reported diluted EPS of $0.62, compared to $1.01 in the same period of fiscal 2023</w:t>
      </w: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First-quarter *adjusted diluted EPS of $0.64, compared to $0.98 in the same period of fiscal 2023</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March 7, 2024—</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 provider</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of solutions for the outdoor environment, </w:t>
      </w:r>
      <w:r>
        <w:rPr>
          <w:rFonts w:ascii="Arial" w:cs="Arial" w:eastAsia="Arial" w:hAnsi="Arial"/>
          <w:sz w:val="20"/>
          <w:szCs w:val="20"/>
          <w:color w:val="000000"/>
        </w:rPr>
        <w:t>today reported results for its fiscal first quarter ended February 2, 2024.</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first quarter aligned with our expectations, as we drove exceptional top-line growth for our underground and specialty construction, and golf and grounds businesses,” said Richard M. Olson, chairman and chief executive officer. "This performance was the result of continued strong demand for these products and the strategic actions we’ve taken to increase output with more stable supply. The strength in these areas was offset by lower shipments of zero-turn mowers, as expected, given elevated field inventories heading into the fiscal year, and lower shipments of snow and ice management products due to below-average snowfall activity. At the same time, our team drove productivity gains that offset higher material costs, operating with resiliency and agility as we continued to align costs and production to demand trends.”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innovation leadership in attractive end markets, strong business fundamentals, and proven ability to drive positive results through economic cycles and seasonal variability give us confidence in our ability to deliver growth in fiscal 2024,” continued Olson. "We anticipate homeowner markets will begin stabilizing this spring, following last year’s combination of macro factors and weather patterns that resulted in elevated field inventories of lawn care products. We expect incremental growth from our expanded mass retailer channel will help offset this dynamic. We also expect benefits from the sustained demand in our underground and specialty construction, and golf and grounds businesses. With this demand, order backlog for these businesses remains elevated, and we intend to continue flexing production within our existing facilities to improve lead times and better serve our customers.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2" w:lineRule="auto"/>
        <w:rPr>
          <w:sz w:val="20"/>
          <w:szCs w:val="20"/>
          <w:color w:val="auto"/>
        </w:rPr>
      </w:pPr>
      <w:r>
        <w:rPr>
          <w:rFonts w:ascii="Arial" w:cs="Arial" w:eastAsia="Arial" w:hAnsi="Arial"/>
          <w:sz w:val="20"/>
          <w:szCs w:val="20"/>
          <w:color w:val="auto"/>
        </w:rPr>
        <w:t>“Our commitment to delivering superior innovation and customer care continues to drive our market leadership, supported by our strong balance sheet, disciplined capital allocation, and outstanding team of employees and channel partners. We are prioritizing investments in advanced technologies and solutions that we expect will drive long-term profitable growth and value for all stakeholders. For example, we are leveraging our proprietary Hypercell™ smart battery system to accelerate the development of high-powered sustainable solutions for professional segment markets, such as our new Groundsmaster® e3200 out-front rotary mower. We also continue to drive productivity and operational excellence across the enterprise, including the more than $100 million of annualized cost savings we expect to realize by fiscal 2027 with AMP, the multi-year initiative we announced last quarter,” concluded Olson.</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fiscal 2024, the company continues to expect low-single-digit total company net sales growth and *adjusted diluted EPS in the range of $4.25 to $ 4.35. This guidance is based on current visibility, and assumes continued strong demand and more stable supply for businesses with elevated order backlog, a continuation of macro factors that have driven increased consumer and channel caution, and manufacturing inefficiencies as production and inventory levels continue to be adjusted to market conditions. This guidance also considers the below-average snowfall activity year-to-date, assumes weather patterns aligned with historical averages for the remainder of the year, and includes the expected incremental impact of an expanded residential segment mass channel.</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2024 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Reported</w:t>
            </w:r>
          </w:p>
        </w:tc>
        <w:tc>
          <w:tcPr>
            <w:tcW w:w="1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FY24 Q1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FY23 Q1</w:t>
            </w:r>
          </w:p>
        </w:tc>
        <w:tc>
          <w:tcPr>
            <w:tcW w:w="136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FY24 Q1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FY23 Q1</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106.9</w:t>
            </w:r>
          </w:p>
        </w:tc>
        <w:tc>
          <w:tcPr>
            <w:tcW w:w="136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103.6</w:t>
            </w:r>
          </w:p>
        </w:tc>
        <w:tc>
          <w:tcPr>
            <w:tcW w:w="1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bl>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FIRST-QUARTER FISCAL 2024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$756.5 million, down 14.1% from $880.7 million in the same period last year. The decrease was primarily driven by lower shipments of zero-turn mowers, and snow and ice management products, partially offset by higher shipments of underground and specialty construction products, and golf and grounds equipment.</w:t>
      </w:r>
    </w:p>
    <w:p>
      <w:pPr>
        <w:spacing w:after="0" w:line="135"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$112.8 million, down 21.7% from $144.1 million in the same period last year, and when expressed as a percentage of net sales, 14.9%, down from 16.4% in the prior-year period. The decrease was primarily due to lower net sales volume, partially offset by favorable product mix.</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$240.1 million, down 9.3% from $264.6 million in the same period last year. The decrease was primarily driven by lower shipments of snow products and zero-turn mowers, partially offset by higher shipments of walk-power mowers and portable power products.</w:t>
      </w:r>
    </w:p>
    <w:p>
      <w:pPr>
        <w:spacing w:after="0" w:line="130"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$23.5 million, down 37.8% from $37.8 million in the same period last year, and when expressed as a percentage of net sales, 9.8%, down from 14.3% in the prior-year period. The year-over-year decrease was largely driven by product mix.</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and *adjusted gross margin for the first quarter were both 34.4%, down slightly from 34.5% for both in the same prior-year period. The slight decrease was primarily due to unfavorable product mix within the residential segment, mostly offset by favorable product mix within the professional segment.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SG&amp;A expense as a percentage of net sales for the first quarter was 25.6%, compared with 22.6% in the prior-year period. The increase was primarily driven by lower net sales volume.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8.8% for the first quarter, compared with 11.9% in the same prior-year period. *Adjusted operating earnings as a percentage of net sales for the first quarter were 9.2%, compared with 11.9%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$16.2 million for the first quarter, up $2.1 million from the same prior-year period. This increase was primarily driven by higher average interest rates and higher average outstanding borrowings.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reported effective tax rate for the first quarter was 19.0%, compared with 18.6% in the same prior year period. The increase was primarily due to lower tax benefits recorded as excess tax deductions for stock-based compensation in the current-year period, partially offset by a more favorable geographic mix of earnings. The *adjusted effective tax rate for the first quarter was 20.8% compared with 21.4% in the same prior year period. The year-over-year difference was primarily driven by the geographic mix of earnings.</w:t>
      </w:r>
    </w:p>
    <w:p>
      <w:pPr>
        <w:spacing w:after="0" w:line="200" w:lineRule="exact"/>
        <w:rPr>
          <w:sz w:val="20"/>
          <w:szCs w:val="20"/>
          <w:color w:val="auto"/>
        </w:rPr>
      </w:pPr>
    </w:p>
    <w:p>
      <w:pPr>
        <w:spacing w:after="0" w:line="37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7, 2024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CST on March 7, 2024.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$4.55 billion in fiscal 2023, The Toro Company’s global presence extends to more than 125 countries through a portfolio of brands that includes Toro, Ditch Witch, Exmark, Spartan, BOSS, Ventrac, American Augers, Trencor, Pope, Subsite, HammerHead, Radius, Perrot, Hayter, Unique Lighting Systems, Irritrol, and Lawn-Boy. Through constant innovation and caring relationships built on trust and integrity, The Toro Company and its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2024 to diluted EPS, which is the most directly comparable GAAP measure, in reliance on the unreasonable efforts exception provided under Item 10(e)(1)(i)(B) of Regulation S-K. The company’s adjusted diluted EPS guidance for fiscal 2024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2024 to diluted EPS reconciliation without unreasonable efforts. A quantitative reconciliation of adjusted diluted EPS for fiscal 2024 to diluted EPS would imply a degree of precision and certainty as to these future items that does not exist and could be confusing to investors. From a qualitative perspective, it is anticipated that the differences between adjusted diluted EPS for fiscal 2024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2024 financial guidance, expectations regarding demand trends,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impacts of the company’s AMP initiative and any future restructuring activities or productivity or cost savings initiatives; COVID-19 related factors, risks and challenges;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ind w:left="340" w:right="270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(Unaudited) (Dollars and shares in millions, except per-share data)</w:t>
      </w:r>
    </w:p>
    <w:p>
      <w:pPr>
        <w:spacing w:after="0" w:line="157" w:lineRule="exact"/>
        <w:rPr>
          <w:sz w:val="20"/>
          <w:szCs w:val="20"/>
          <w:color w:val="auto"/>
        </w:rPr>
      </w:pPr>
    </w:p>
    <w:p>
      <w:pPr>
        <w:ind w:left="87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8"/>
              </w:rPr>
              <w:t>February 2, 2024</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8"/>
              </w:rPr>
              <w:t>February 3, 2023</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1,001.9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1,148.8</w:t>
            </w:r>
          </w:p>
        </w:tc>
      </w:tr>
      <w:tr>
        <w:trPr>
          <w:trHeight w:val="21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657.4</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752.9</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344.5</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395.9</w:t>
            </w:r>
          </w:p>
        </w:tc>
      </w:tr>
      <w:tr>
        <w:trPr>
          <w:trHeight w:val="216"/>
        </w:trPr>
        <w:tc>
          <w:tcPr>
            <w:tcW w:w="678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1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34.4 %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34.5 %</w:t>
            </w:r>
          </w:p>
        </w:tc>
      </w:tr>
      <w:tr>
        <w:trPr>
          <w:trHeight w:val="216"/>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255.9</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259.5</w:t>
            </w:r>
          </w:p>
        </w:tc>
      </w:tr>
      <w:tr>
        <w:trPr>
          <w:trHeight w:val="209"/>
        </w:trPr>
        <w:tc>
          <w:tcPr>
            <w:tcW w:w="678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1200" w:type="dxa"/>
            <w:vAlign w:val="bottom"/>
          </w:tcPr>
          <w:p>
            <w:pPr>
              <w:spacing w:after="0"/>
              <w:rPr>
                <w:sz w:val="18"/>
                <w:szCs w:val="18"/>
                <w:color w:val="auto"/>
              </w:rPr>
            </w:pPr>
          </w:p>
        </w:tc>
        <w:tc>
          <w:tcPr>
            <w:tcW w:w="1540" w:type="dxa"/>
            <w:vAlign w:val="bottom"/>
          </w:tcPr>
          <w:p>
            <w:pPr>
              <w:jc w:val="right"/>
              <w:ind w:right="177"/>
              <w:spacing w:after="0"/>
              <w:rPr>
                <w:sz w:val="20"/>
                <w:szCs w:val="20"/>
                <w:color w:val="auto"/>
              </w:rPr>
            </w:pPr>
            <w:r>
              <w:rPr>
                <w:rFonts w:ascii="Arial" w:cs="Arial" w:eastAsia="Arial" w:hAnsi="Arial"/>
                <w:sz w:val="17"/>
                <w:szCs w:val="17"/>
                <w:color w:val="auto"/>
              </w:rPr>
              <w:t>88.6</w:t>
            </w:r>
          </w:p>
        </w:tc>
        <w:tc>
          <w:tcPr>
            <w:tcW w:w="20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Arial" w:cs="Arial" w:eastAsia="Arial" w:hAnsi="Arial"/>
                <w:sz w:val="17"/>
                <w:szCs w:val="17"/>
                <w:color w:val="auto"/>
              </w:rPr>
              <w:t>136.4</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(16.2)</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(14.1)</w:t>
            </w:r>
          </w:p>
        </w:tc>
      </w:tr>
      <w:tr>
        <w:trPr>
          <w:trHeight w:val="21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7.7</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9.0</w:t>
            </w:r>
          </w:p>
        </w:tc>
      </w:tr>
      <w:tr>
        <w:trPr>
          <w:trHeight w:val="209"/>
        </w:trPr>
        <w:tc>
          <w:tcPr>
            <w:tcW w:w="6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80.1</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131.3</w:t>
            </w:r>
          </w:p>
        </w:tc>
      </w:tr>
      <w:tr>
        <w:trPr>
          <w:trHeight w:val="21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provision</w:t>
            </w: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24.4</w:t>
            </w:r>
          </w:p>
        </w:tc>
      </w:tr>
      <w:tr>
        <w:trPr>
          <w:trHeight w:val="235"/>
        </w:trPr>
        <w:tc>
          <w:tcPr>
            <w:tcW w:w="6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106.9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7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9"/>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1.02</w:t>
            </w:r>
          </w:p>
        </w:tc>
      </w:tr>
      <w:tr>
        <w:trPr>
          <w:trHeight w:val="88"/>
        </w:trPr>
        <w:tc>
          <w:tcPr>
            <w:tcW w:w="67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r>
        <w:trPr>
          <w:trHeight w:val="209"/>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1.01</w:t>
            </w:r>
          </w:p>
        </w:tc>
      </w:tr>
      <w:tr>
        <w:trPr>
          <w:trHeight w:val="88"/>
        </w:trPr>
        <w:tc>
          <w:tcPr>
            <w:tcW w:w="6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104.4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104.5</w:t>
            </w:r>
          </w:p>
        </w:tc>
      </w:tr>
      <w:tr>
        <w:trPr>
          <w:trHeight w:val="108"/>
        </w:trPr>
        <w:tc>
          <w:tcPr>
            <w:tcW w:w="6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16"/>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104.7</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105.6</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Segment Data (Unaudited)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(Dollars in millions)</w:t>
      </w:r>
    </w:p>
    <w:p>
      <w:pPr>
        <w:spacing w:after="0" w:line="201" w:lineRule="exact"/>
        <w:rPr>
          <w:sz w:val="20"/>
          <w:szCs w:val="20"/>
          <w:color w:val="auto"/>
        </w:rPr>
      </w:pPr>
    </w:p>
    <w:p>
      <w:pPr>
        <w:ind w:left="882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426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February 2, 2024</w:t>
            </w:r>
          </w:p>
        </w:tc>
        <w:tc>
          <w:tcPr>
            <w:tcW w:w="160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February 3, 2023</w:t>
            </w: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322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756.5</w:t>
            </w:r>
          </w:p>
        </w:tc>
        <w:tc>
          <w:tcPr>
            <w:tcW w:w="58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880.7</w:t>
            </w: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22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240.1</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264.6</w:t>
            </w:r>
          </w:p>
        </w:tc>
      </w:tr>
      <w:tr>
        <w:trPr>
          <w:trHeight w:val="216"/>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5.3</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322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1,001.9</w:t>
            </w:r>
          </w:p>
        </w:tc>
        <w:tc>
          <w:tcPr>
            <w:tcW w:w="58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1,148.8</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536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0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322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205.0</w:t>
            </w:r>
          </w:p>
        </w:tc>
        <w:tc>
          <w:tcPr>
            <w:tcW w:w="5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245.4</w:t>
            </w:r>
          </w:p>
        </w:tc>
      </w:tr>
    </w:tbl>
    <w:p>
      <w:pPr>
        <w:spacing w:after="0" w:line="292" w:lineRule="exact"/>
        <w:rPr>
          <w:sz w:val="20"/>
          <w:szCs w:val="20"/>
          <w:color w:val="auto"/>
        </w:rPr>
      </w:pPr>
    </w:p>
    <w:p>
      <w:pPr>
        <w:ind w:left="882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378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February 2, 2024</w:t>
            </w:r>
          </w:p>
        </w:tc>
        <w:tc>
          <w:tcPr>
            <w:tcW w:w="158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February 3, 2023</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280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112.8</w:t>
            </w:r>
          </w:p>
        </w:tc>
        <w:tc>
          <w:tcPr>
            <w:tcW w:w="62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w:t>
            </w:r>
          </w:p>
        </w:tc>
      </w:tr>
      <w:tr>
        <w:trPr>
          <w:trHeight w:val="216"/>
        </w:trPr>
        <w:tc>
          <w:tcPr>
            <w:tcW w:w="58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280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23.5</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10"/>
        </w:trPr>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income taxes</w:t>
            </w:r>
          </w:p>
        </w:tc>
        <w:tc>
          <w:tcPr>
            <w:tcW w:w="280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80.1</w:t>
            </w:r>
          </w:p>
        </w:tc>
        <w:tc>
          <w:tcPr>
            <w:tcW w:w="6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764"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0"/>
          <w:szCs w:val="20"/>
          <w:b w:val="1"/>
          <w:bCs w:val="1"/>
          <w:color w:val="auto"/>
        </w:rPr>
        <w:t>THE TORO COMPANY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ind w:right="-19"/>
        <w:spacing w:after="0"/>
        <w:rPr>
          <w:sz w:val="20"/>
          <w:szCs w:val="20"/>
          <w:color w:val="auto"/>
        </w:rPr>
      </w:pPr>
      <w:r>
        <w:rPr>
          <w:rFonts w:ascii="Arial" w:cs="Arial" w:eastAsia="Arial" w:hAnsi="Arial"/>
          <w:sz w:val="20"/>
          <w:szCs w:val="20"/>
          <w:b w:val="1"/>
          <w:b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98"/>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9"/>
              </w:rPr>
              <w:t>February 3, 2023</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October 31, 2023</w:t>
            </w:r>
          </w:p>
        </w:tc>
      </w:tr>
      <w:tr>
        <w:trPr>
          <w:trHeight w:val="169"/>
        </w:trPr>
        <w:tc>
          <w:tcPr>
            <w:tcW w:w="20" w:type="dxa"/>
            <w:vAlign w:val="bottom"/>
            <w:shd w:val="clear" w:color="auto" w:fill="CCEEFF"/>
          </w:tcPr>
          <w:p>
            <w:pPr>
              <w:spacing w:after="0"/>
              <w:rPr>
                <w:sz w:val="14"/>
                <w:szCs w:val="14"/>
                <w:color w:val="auto"/>
              </w:rPr>
            </w:pPr>
          </w:p>
        </w:tc>
        <w:tc>
          <w:tcPr>
            <w:tcW w:w="470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198.5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174.0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193.1</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489.1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377.3</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1,177.1</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1,131.4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1,087.8</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101.8</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75.0</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r>
      <w:tr>
        <w:trPr>
          <w:trHeight w:val="209"/>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1,966.5</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1,757.7</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1,798.8</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639.2</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584.1</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641.7</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451.2</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584.6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531.5</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577.1</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540.1</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121.8</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74.6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48.4</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45.7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20.3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6"/>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22.2</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19.4</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3,801.1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3,654.9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6.8</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421.8</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475.2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474.5</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496.8</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499.1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18.8</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16.0</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0"/>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921.9</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988.0</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948.6</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1,179.8</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1,091.0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1,031.5</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108.4</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31.4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104.3</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6"/>
        </w:trPr>
        <w:tc>
          <w:tcPr>
            <w:tcW w:w="20" w:type="dxa"/>
            <w:vAlign w:val="bottom"/>
          </w:tcPr>
          <w:p>
            <w:pPr>
              <w:spacing w:after="0"/>
              <w:rPr>
                <w:sz w:val="18"/>
                <w:szCs w:val="18"/>
                <w:color w:val="auto"/>
              </w:rPr>
            </w:pPr>
          </w:p>
        </w:tc>
        <w:tc>
          <w:tcPr>
            <w:tcW w:w="470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4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1,478.9</w:t>
            </w:r>
          </w:p>
        </w:tc>
        <w:tc>
          <w:tcPr>
            <w:tcW w:w="200" w:type="dxa"/>
            <w:vAlign w:val="bottom"/>
          </w:tcPr>
          <w:p>
            <w:pPr>
              <w:spacing w:after="0"/>
              <w:rPr>
                <w:sz w:val="18"/>
                <w:szCs w:val="18"/>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1,368.5</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1,444.1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0"/>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1,547.9</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1,444.2</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1,510.9</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3,801.1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3,654.9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764" w:right="359" w:bottom="1440" w:gutter="0" w:footer="0" w:header="0"/>
        </w:sectPr>
      </w:pPr>
    </w:p>
    <w:bookmarkStart w:id="10" w:name="page11"/>
    <w:bookmarkEnd w:id="10"/>
    <w:p>
      <w:pPr>
        <w:jc w:val="center"/>
        <w:ind w:left="340" w:right="25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millions)</w:t>
      </w:r>
    </w:p>
    <w:p>
      <w:pPr>
        <w:spacing w:after="0" w:line="157"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February 2, 2024</w:t>
            </w: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96"/>
              </w:rPr>
              <w:t>February 3, 2023</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64.9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106.9</w:t>
            </w: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used in operating activities:</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(contributions to) finance affiliate, net</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22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22.0</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8.7</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22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(86.4)</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(76.8)</w:t>
            </w: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6.5</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(10.3)</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(103.6)</w:t>
            </w:r>
          </w:p>
        </w:tc>
      </w:tr>
      <w:tr>
        <w:trPr>
          <w:trHeight w:val="216"/>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1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210"/>
        </w:trPr>
        <w:tc>
          <w:tcPr>
            <w:tcW w:w="68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operating activities</w:t>
            </w: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w:t>
            </w:r>
          </w:p>
        </w:tc>
      </w:tr>
      <w:tr>
        <w:trPr>
          <w:trHeight w:val="74"/>
        </w:trPr>
        <w:tc>
          <w:tcPr>
            <w:tcW w:w="68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Proceeds from insurance claim</w:t>
            </w:r>
          </w:p>
        </w:tc>
        <w:tc>
          <w:tcPr>
            <w:tcW w:w="122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6"/>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0"/>
        </w:trPr>
        <w:tc>
          <w:tcPr>
            <w:tcW w:w="68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r>
      <w:tr>
        <w:trPr>
          <w:trHeight w:val="74"/>
        </w:trPr>
        <w:tc>
          <w:tcPr>
            <w:tcW w:w="68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84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Net borrowings under the revolving credit facility</w:t>
            </w:r>
            <w:r>
              <w:rPr>
                <w:rFonts w:ascii="Arial" w:cs="Arial" w:eastAsia="Arial" w:hAnsi="Arial"/>
                <w:sz w:val="21"/>
                <w:szCs w:val="21"/>
                <w:color w:val="auto"/>
                <w:vertAlign w:val="superscript"/>
              </w:rPr>
              <w:t>1</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155.0</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22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6840" w:type="dxa"/>
            <w:vAlign w:val="bottom"/>
          </w:tcPr>
          <w:p>
            <w:pPr>
              <w:ind w:left="140"/>
              <w:spacing w:after="0"/>
              <w:rPr>
                <w:sz w:val="20"/>
                <w:szCs w:val="20"/>
                <w:color w:val="auto"/>
              </w:rPr>
            </w:pPr>
            <w:r>
              <w:rPr>
                <w:rFonts w:ascii="Arial" w:cs="Arial" w:eastAsia="Arial" w:hAnsi="Arial"/>
                <w:sz w:val="17"/>
                <w:szCs w:val="17"/>
                <w:color w:val="auto"/>
              </w:rPr>
              <w:t>Dividends paid on TTC common stock</w:t>
            </w:r>
          </w:p>
        </w:tc>
        <w:tc>
          <w:tcPr>
            <w:tcW w:w="1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(37.6)</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16"/>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9"/>
        </w:trPr>
        <w:tc>
          <w:tcPr>
            <w:tcW w:w="68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provided by financing activities</w:t>
            </w: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114.1</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w:t>
            </w:r>
          </w:p>
        </w:tc>
      </w:tr>
      <w:tr>
        <w:trPr>
          <w:trHeight w:val="88"/>
        </w:trPr>
        <w:tc>
          <w:tcPr>
            <w:tcW w:w="6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216"/>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2.6</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88"/>
        </w:trPr>
        <w:tc>
          <w:tcPr>
            <w:tcW w:w="6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216"/>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5.4</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r>
      <w:tr>
        <w:trPr>
          <w:trHeight w:val="21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193.1</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w:t>
            </w:r>
          </w:p>
        </w:tc>
      </w:tr>
      <w:tr>
        <w:trPr>
          <w:trHeight w:val="21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174.0</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hanging="171"/>
        <w:spacing w:after="0" w:line="222" w:lineRule="auto"/>
        <w:tabs>
          <w:tab w:leader="none" w:pos="254"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Presentation of prior year revolving credit facility and long-term debt activity has been conformed to the current year presentation. There was no change to net cash provided by financing activities.</w:t>
      </w:r>
    </w:p>
    <w:p>
      <w:pPr>
        <w:sectPr>
          <w:pgSz w:w="11900" w:h="16838" w:orient="portrait"/>
          <w:cols w:equalWidth="0" w:num="1">
            <w:col w:w="11240"/>
          </w:cols>
          <w:pgMar w:left="320" w:top="764" w:right="339" w:bottom="1440" w:gutter="0" w:footer="0" w:header="0"/>
        </w:sectPr>
      </w:pPr>
    </w:p>
    <w:bookmarkStart w:id="11" w:name="page12"/>
    <w:bookmarkEnd w:id="11"/>
    <w:p>
      <w:pPr>
        <w:jc w:val="center"/>
        <w:ind w:left="340" w:right="2760"/>
        <w:spacing w:after="0" w:line="262"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millions, except per-share data)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the non-GAAP financial performance measures used in this press release and our related earnings call to the most directly comparable measures calculated and reported in accordance with U.S. GAAP for the three month periods ended February 2, 2024 and February 3, 2023:</w:t>
      </w:r>
    </w:p>
    <w:p>
      <w:pPr>
        <w:spacing w:after="0" w:line="175" w:lineRule="exact"/>
        <w:rPr>
          <w:sz w:val="20"/>
          <w:szCs w:val="20"/>
          <w:color w:val="auto"/>
        </w:rPr>
      </w:pPr>
    </w:p>
    <w:p>
      <w:pPr>
        <w:ind w:left="872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6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8"/>
              </w:rPr>
              <w:t>February 2, 2024</w:t>
            </w: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8"/>
              </w:rPr>
              <w:t>February 3, 2023</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344.5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395.9</w:t>
            </w:r>
          </w:p>
        </w:tc>
      </w:tr>
      <w:tr>
        <w:trPr>
          <w:trHeight w:val="216"/>
        </w:trPr>
        <w:tc>
          <w:tcPr>
            <w:tcW w:w="55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0.2</w:t>
            </w:r>
          </w:p>
        </w:tc>
      </w:tr>
      <w:tr>
        <w:trPr>
          <w:trHeight w:val="20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344.5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396.1</w:t>
            </w:r>
          </w:p>
        </w:tc>
      </w:tr>
      <w:tr>
        <w:trPr>
          <w:trHeight w:val="75"/>
        </w:trPr>
        <w:tc>
          <w:tcPr>
            <w:tcW w:w="556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88.6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136.4</w:t>
            </w:r>
          </w:p>
        </w:tc>
      </w:tr>
      <w:tr>
        <w:trPr>
          <w:trHeight w:val="216"/>
        </w:trPr>
        <w:tc>
          <w:tcPr>
            <w:tcW w:w="55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440" w:type="dxa"/>
            <w:vAlign w:val="bottom"/>
          </w:tcPr>
          <w:p>
            <w:pPr>
              <w:spacing w:after="0"/>
              <w:rPr>
                <w:sz w:val="18"/>
                <w:szCs w:val="18"/>
                <w:color w:val="auto"/>
              </w:rPr>
            </w:pPr>
          </w:p>
        </w:tc>
        <w:tc>
          <w:tcPr>
            <w:tcW w:w="15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Arial" w:cs="Arial" w:eastAsia="Arial" w:hAnsi="Arial"/>
                <w:sz w:val="17"/>
                <w:szCs w:val="17"/>
                <w:color w:val="auto"/>
              </w:rPr>
              <w:t>0.5</w:t>
            </w:r>
          </w:p>
        </w:tc>
      </w:tr>
      <w:tr>
        <w:trPr>
          <w:trHeight w:val="216"/>
        </w:trPr>
        <w:tc>
          <w:tcPr>
            <w:tcW w:w="55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2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3.9</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operating earnings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92.5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136.9</w:t>
            </w:r>
          </w:p>
        </w:tc>
      </w:tr>
      <w:tr>
        <w:trPr>
          <w:trHeight w:val="74"/>
        </w:trPr>
        <w:tc>
          <w:tcPr>
            <w:tcW w:w="5560" w:type="dxa"/>
            <w:vAlign w:val="bottom"/>
            <w:tcBorders>
              <w:bottom w:val="single" w:sz="8" w:color="auto"/>
            </w:tcBorders>
            <w:shd w:val="clear" w:color="auto" w:fill="CCEEFF"/>
          </w:tcPr>
          <w:p>
            <w:pPr>
              <w:spacing w:after="0"/>
              <w:rPr>
                <w:sz w:val="6"/>
                <w:szCs w:val="6"/>
                <w:color w:val="auto"/>
              </w:rPr>
            </w:pPr>
          </w:p>
        </w:tc>
        <w:tc>
          <w:tcPr>
            <w:tcW w:w="244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Operating earnings margin</w:t>
            </w:r>
          </w:p>
        </w:tc>
        <w:tc>
          <w:tcPr>
            <w:tcW w:w="2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8.8 %</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11.9 %</w:t>
            </w:r>
          </w:p>
        </w:tc>
      </w:tr>
      <w:tr>
        <w:trPr>
          <w:trHeight w:val="216"/>
        </w:trPr>
        <w:tc>
          <w:tcPr>
            <w:tcW w:w="55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2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9"/>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Adjusted operating earnings margin</w:t>
            </w:r>
          </w:p>
        </w:tc>
        <w:tc>
          <w:tcPr>
            <w:tcW w:w="2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9.2 %</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11.9 %</w:t>
            </w:r>
          </w:p>
        </w:tc>
      </w:tr>
      <w:tr>
        <w:trPr>
          <w:trHeight w:val="74"/>
        </w:trPr>
        <w:tc>
          <w:tcPr>
            <w:tcW w:w="5560" w:type="dxa"/>
            <w:vAlign w:val="bottom"/>
            <w:tcBorders>
              <w:bottom w:val="single" w:sz="8" w:color="auto"/>
            </w:tcBorders>
            <w:shd w:val="clear" w:color="auto" w:fill="CCEEFF"/>
          </w:tcPr>
          <w:p>
            <w:pPr>
              <w:spacing w:after="0"/>
              <w:rPr>
                <w:sz w:val="6"/>
                <w:szCs w:val="6"/>
                <w:color w:val="auto"/>
              </w:rPr>
            </w:pPr>
          </w:p>
        </w:tc>
        <w:tc>
          <w:tcPr>
            <w:tcW w:w="244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Earnings before income taxes</w:t>
            </w:r>
          </w:p>
        </w:tc>
        <w:tc>
          <w:tcPr>
            <w:tcW w:w="244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97"/>
              <w:spacing w:after="0"/>
              <w:rPr>
                <w:sz w:val="20"/>
                <w:szCs w:val="20"/>
                <w:color w:val="auto"/>
              </w:rPr>
            </w:pPr>
            <w:r>
              <w:rPr>
                <w:rFonts w:ascii="Arial" w:cs="Arial" w:eastAsia="Arial" w:hAnsi="Arial"/>
                <w:sz w:val="17"/>
                <w:szCs w:val="17"/>
                <w:color w:val="auto"/>
              </w:rPr>
              <w:t>80.1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37"/>
              <w:spacing w:after="0"/>
              <w:rPr>
                <w:sz w:val="20"/>
                <w:szCs w:val="20"/>
                <w:color w:val="auto"/>
              </w:rPr>
            </w:pPr>
            <w:r>
              <w:rPr>
                <w:rFonts w:ascii="Arial" w:cs="Arial" w:eastAsia="Arial" w:hAnsi="Arial"/>
                <w:sz w:val="17"/>
                <w:szCs w:val="17"/>
                <w:color w:val="auto"/>
              </w:rPr>
              <w:t>131.3</w:t>
            </w:r>
          </w:p>
        </w:tc>
      </w:tr>
      <w:tr>
        <w:trPr>
          <w:trHeight w:val="216"/>
        </w:trPr>
        <w:tc>
          <w:tcPr>
            <w:tcW w:w="55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0.5</w:t>
            </w:r>
          </w:p>
        </w:tc>
      </w:tr>
      <w:tr>
        <w:trPr>
          <w:trHeight w:val="216"/>
        </w:trPr>
        <w:tc>
          <w:tcPr>
            <w:tcW w:w="55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2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3.9</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r>
      <w:tr>
        <w:trPr>
          <w:trHeight w:val="21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earnings before income taxes</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84.0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131.8</w:t>
            </w:r>
          </w:p>
        </w:tc>
      </w:tr>
      <w:tr>
        <w:trPr>
          <w:trHeight w:val="74"/>
        </w:trPr>
        <w:tc>
          <w:tcPr>
            <w:tcW w:w="556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15.2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24.4</w:t>
            </w:r>
          </w:p>
        </w:tc>
      </w:tr>
      <w:tr>
        <w:trPr>
          <w:trHeight w:val="216"/>
        </w:trPr>
        <w:tc>
          <w:tcPr>
            <w:tcW w:w="55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440" w:type="dxa"/>
            <w:vAlign w:val="bottom"/>
          </w:tcPr>
          <w:p>
            <w:pPr>
              <w:spacing w:after="0"/>
              <w:rPr>
                <w:sz w:val="18"/>
                <w:szCs w:val="18"/>
                <w:color w:val="auto"/>
              </w:rPr>
            </w:pPr>
          </w:p>
        </w:tc>
        <w:tc>
          <w:tcPr>
            <w:tcW w:w="15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Arial" w:cs="Arial" w:eastAsia="Arial" w:hAnsi="Arial"/>
                <w:sz w:val="17"/>
                <w:szCs w:val="17"/>
                <w:color w:val="auto"/>
              </w:rPr>
              <w:t>0.2</w:t>
            </w:r>
          </w:p>
        </w:tc>
      </w:tr>
      <w:tr>
        <w:trPr>
          <w:trHeight w:val="216"/>
        </w:trPr>
        <w:tc>
          <w:tcPr>
            <w:tcW w:w="55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2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0.8</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2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3.6</w:t>
            </w:r>
          </w:p>
        </w:tc>
      </w:tr>
      <w:tr>
        <w:trPr>
          <w:trHeight w:val="21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income tax provision</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28.2</w:t>
            </w:r>
          </w:p>
        </w:tc>
      </w:tr>
      <w:tr>
        <w:trPr>
          <w:trHeight w:val="74"/>
        </w:trPr>
        <w:tc>
          <w:tcPr>
            <w:tcW w:w="556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64.9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106.9</w:t>
            </w:r>
          </w:p>
        </w:tc>
      </w:tr>
      <w:tr>
        <w:trPr>
          <w:trHeight w:val="216"/>
        </w:trPr>
        <w:tc>
          <w:tcPr>
            <w:tcW w:w="55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2440" w:type="dxa"/>
            <w:vAlign w:val="bottom"/>
          </w:tcPr>
          <w:p>
            <w:pPr>
              <w:spacing w:after="0"/>
              <w:rPr>
                <w:sz w:val="18"/>
                <w:szCs w:val="18"/>
                <w:color w:val="auto"/>
              </w:rPr>
            </w:pPr>
          </w:p>
        </w:tc>
        <w:tc>
          <w:tcPr>
            <w:tcW w:w="15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Arial" w:cs="Arial" w:eastAsia="Arial" w:hAnsi="Arial"/>
                <w:sz w:val="17"/>
                <w:szCs w:val="17"/>
                <w:color w:val="auto"/>
              </w:rPr>
              <w:t>0.3</w:t>
            </w:r>
          </w:p>
        </w:tc>
      </w:tr>
      <w:tr>
        <w:trPr>
          <w:trHeight w:val="216"/>
        </w:trPr>
        <w:tc>
          <w:tcPr>
            <w:tcW w:w="55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2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2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(3.6)</w:t>
            </w:r>
          </w:p>
        </w:tc>
      </w:tr>
      <w:tr>
        <w:trPr>
          <w:trHeight w:val="21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net earnings</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66.5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103.6</w:t>
            </w:r>
          </w:p>
        </w:tc>
      </w:tr>
      <w:tr>
        <w:trPr>
          <w:trHeight w:val="75"/>
        </w:trPr>
        <w:tc>
          <w:tcPr>
            <w:tcW w:w="556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0.62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1.01</w:t>
            </w:r>
          </w:p>
        </w:tc>
      </w:tr>
      <w:tr>
        <w:trPr>
          <w:trHeight w:val="216"/>
        </w:trPr>
        <w:tc>
          <w:tcPr>
            <w:tcW w:w="556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2440" w:type="dxa"/>
            <w:vAlign w:val="bottom"/>
          </w:tcPr>
          <w:p>
            <w:pPr>
              <w:spacing w:after="0"/>
              <w:rPr>
                <w:sz w:val="18"/>
                <w:szCs w:val="18"/>
                <w:color w:val="auto"/>
              </w:rPr>
            </w:pPr>
          </w:p>
        </w:tc>
        <w:tc>
          <w:tcPr>
            <w:tcW w:w="1540" w:type="dxa"/>
            <w:vAlign w:val="bottom"/>
          </w:tcPr>
          <w:p>
            <w:pPr>
              <w:jc w:val="right"/>
              <w:ind w:right="197"/>
              <w:spacing w:after="0"/>
              <w:rPr>
                <w:sz w:val="20"/>
                <w:szCs w:val="20"/>
                <w:color w:val="auto"/>
              </w:rPr>
            </w:pPr>
            <w:r>
              <w:rPr>
                <w:rFonts w:ascii="Arial" w:cs="Arial" w:eastAsia="Arial" w:hAnsi="Arial"/>
                <w:sz w:val="17"/>
                <w:szCs w:val="17"/>
                <w:color w:val="auto"/>
              </w:rPr>
              <w:t>0.03</w:t>
            </w:r>
          </w:p>
        </w:tc>
        <w:tc>
          <w:tcPr>
            <w:tcW w:w="18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2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(0.01)</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(0.03)</w:t>
            </w:r>
          </w:p>
        </w:tc>
      </w:tr>
      <w:tr>
        <w:trPr>
          <w:trHeight w:val="21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0.64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0.98</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Borders>
              <w:bottom w:val="single" w:sz="8" w:color="auto"/>
            </w:tcBorders>
            <w:shd w:val="clear" w:color="auto" w:fill="CCEEFF"/>
          </w:tcPr>
          <w:p>
            <w:pPr>
              <w:spacing w:after="0"/>
              <w:rPr>
                <w:sz w:val="5"/>
                <w:szCs w:val="5"/>
                <w:color w:val="auto"/>
              </w:rPr>
            </w:pPr>
          </w:p>
        </w:tc>
        <w:tc>
          <w:tcPr>
            <w:tcW w:w="24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2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19.0 %</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18.6 %</w:t>
            </w:r>
          </w:p>
        </w:tc>
      </w:tr>
      <w:tr>
        <w:trPr>
          <w:trHeight w:val="216"/>
        </w:trPr>
        <w:tc>
          <w:tcPr>
            <w:tcW w:w="55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2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2.8 %</w:t>
            </w:r>
          </w:p>
        </w:tc>
      </w:tr>
      <w:tr>
        <w:trPr>
          <w:trHeight w:val="20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effective tax rate</w:t>
            </w:r>
          </w:p>
        </w:tc>
        <w:tc>
          <w:tcPr>
            <w:tcW w:w="2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20.8 %</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21.4 %</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right="20" w:hanging="171"/>
        <w:spacing w:after="0" w:line="222" w:lineRule="auto"/>
        <w:tabs>
          <w:tab w:leader="none" w:pos="281"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On January 13, 2022, the company completed the acquisition of Intimidator Group. Acquisition-related costs for the three month period ended February 3, 2023 represent integration costs.</w:t>
      </w:r>
    </w:p>
    <w:p>
      <w:pPr>
        <w:spacing w:after="0" w:line="162" w:lineRule="exact"/>
        <w:rPr>
          <w:sz w:val="20"/>
          <w:szCs w:val="20"/>
          <w:color w:val="auto"/>
        </w:rPr>
      </w:pPr>
    </w:p>
    <w:p>
      <w:pPr>
        <w:jc w:val="both"/>
        <w:ind w:left="260" w:hanging="171"/>
        <w:spacing w:after="0" w:line="231" w:lineRule="auto"/>
        <w:tabs>
          <w:tab w:leader="none" w:pos="26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month period ended February 2, 2024 primarily represent third-party consulting costs.</w:t>
      </w:r>
    </w:p>
    <w:p>
      <w:pPr>
        <w:sectPr>
          <w:pgSz w:w="11900" w:h="16838" w:orient="portrait"/>
          <w:cols w:equalWidth="0" w:num="1">
            <w:col w:w="11240"/>
          </w:cols>
          <w:pgMar w:left="320" w:top="764" w:right="339" w:bottom="1440" w:gutter="0" w:footer="0" w:header="0"/>
        </w:sectPr>
      </w:pPr>
    </w:p>
    <w:bookmarkStart w:id="12" w:name="page13"/>
    <w:bookmarkEnd w:id="12"/>
    <w:p>
      <w:pPr>
        <w:jc w:val="both"/>
        <w:ind w:left="260" w:hanging="171"/>
        <w:spacing w:after="0" w:line="235" w:lineRule="auto"/>
        <w:tabs>
          <w:tab w:leader="none" w:pos="28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February 2, 2024 and February 3,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February 2, 2024 and February 3, 2023:</w:t>
      </w:r>
    </w:p>
    <w:p>
      <w:pPr>
        <w:spacing w:after="0" w:line="175" w:lineRule="exact"/>
        <w:rPr>
          <w:sz w:val="20"/>
          <w:szCs w:val="20"/>
          <w:color w:val="auto"/>
        </w:rPr>
      </w:pPr>
    </w:p>
    <w:p>
      <w:pPr>
        <w:ind w:left="84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5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8"/>
              </w:rPr>
              <w:t>February 2, 2024</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February 3, 2023</w:t>
            </w: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(92.2)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(68.9)</w:t>
            </w:r>
          </w:p>
        </w:tc>
      </w:tr>
      <w:tr>
        <w:trPr>
          <w:trHeight w:val="216"/>
        </w:trPr>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 net of proceeds from insurance claim</w:t>
            </w:r>
          </w:p>
        </w:tc>
        <w:tc>
          <w:tcPr>
            <w:tcW w:w="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19.1</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22.2</w:t>
            </w:r>
          </w:p>
        </w:tc>
      </w:tr>
      <w:tr>
        <w:trPr>
          <w:trHeight w:val="209"/>
        </w:trPr>
        <w:tc>
          <w:tcPr>
            <w:tcW w:w="7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(111.3)</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(91.1)</w:t>
            </w:r>
          </w:p>
        </w:tc>
      </w:tr>
      <w:tr>
        <w:trPr>
          <w:trHeight w:val="216"/>
        </w:trPr>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106.9</w:t>
            </w:r>
          </w:p>
        </w:tc>
      </w:tr>
      <w:tr>
        <w:trPr>
          <w:trHeight w:val="235"/>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5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(85.2)%</w:t>
            </w:r>
          </w:p>
        </w:tc>
      </w:tr>
      <w:tr>
        <w:trPr>
          <w:trHeight w:val="20"/>
        </w:trPr>
        <w:tc>
          <w:tcPr>
            <w:tcW w:w="7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2024-03-07T07:44:28Z</dcterms:created>
  <dcterms:modified xsi:type="dcterms:W3CDTF">2024-03-07T07:44:28Z</dcterms:modified>
</cp:coreProperties>
</file>