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54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Happe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09/08/2015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3"/>
        <w:spacing w:after="0"/>
        <w:rPr>
          <w:sz w:val="20"/>
          <w:szCs w:val="20"/>
          <w:color w:val="auto"/>
        </w:rPr>
      </w:pPr>
      <w:r>
        <w:rPr>
          <w:rFonts w:ascii="Arial" w:cs="Arial" w:eastAsia="Arial" w:hAnsi="Arial"/>
          <w:sz w:val="18"/>
          <w:szCs w:val="18"/>
          <w:color w:val="0000FF"/>
        </w:rPr>
        <w:t>Group VP, Res. &amp; Cont.</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09/08/2015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M</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2,000</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20.365</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17,278.539</w:t>
            </w:r>
            <w:r>
              <w:rPr>
                <w:rFonts w:ascii="Arial" w:cs="Arial" w:eastAsia="Arial" w:hAnsi="Arial"/>
                <w:sz w:val="22"/>
                <w:szCs w:val="22"/>
                <w:color w:val="008000"/>
                <w:w w:val="85"/>
                <w:vertAlign w:val="superscript"/>
              </w:rPr>
              <w:t>(1)</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0000FF"/>
              </w:rPr>
              <w:t>09/08/2015</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Pr>
          <w:p>
            <w:pPr>
              <w:ind w:left="200"/>
              <w:spacing w:after="0"/>
              <w:rPr>
                <w:sz w:val="20"/>
                <w:szCs w:val="20"/>
                <w:color w:val="auto"/>
              </w:rPr>
            </w:pPr>
            <w:r>
              <w:rPr>
                <w:rFonts w:ascii="Arial" w:cs="Arial" w:eastAsia="Arial" w:hAnsi="Arial"/>
                <w:sz w:val="18"/>
                <w:szCs w:val="18"/>
                <w:color w:val="0000FF"/>
              </w:rPr>
              <w:t>2,000</w:t>
            </w:r>
          </w:p>
        </w:tc>
        <w:tc>
          <w:tcPr>
            <w:tcW w:w="60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Pr>
          <w:p>
            <w:pPr>
              <w:jc w:val="center"/>
              <w:ind w:right="1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71.82</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15,278.539</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12,162.584</w:t>
            </w:r>
            <w:r>
              <w:rPr>
                <w:rFonts w:ascii="Arial" w:cs="Arial" w:eastAsia="Arial" w:hAnsi="Arial"/>
                <w:sz w:val="22"/>
                <w:szCs w:val="22"/>
                <w:color w:val="008000"/>
                <w:w w:val="85"/>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3"/>
              </w:rPr>
              <w:t>3,961.721</w:t>
            </w:r>
            <w:r>
              <w:rPr>
                <w:rFonts w:ascii="Arial" w:cs="Arial" w:eastAsia="Arial" w:hAnsi="Arial"/>
                <w:sz w:val="22"/>
                <w:szCs w:val="22"/>
                <w:color w:val="008000"/>
                <w:w w:val="83"/>
                <w:vertAlign w:val="superscript"/>
              </w:rPr>
              <w:t>(3)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0"/>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8"/>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20.365</w:t>
            </w:r>
          </w:p>
        </w:tc>
        <w:tc>
          <w:tcPr>
            <w:tcW w:w="1140" w:type="dxa"/>
            <w:vAlign w:val="bottom"/>
          </w:tcPr>
          <w:p>
            <w:pPr>
              <w:ind w:left="260"/>
              <w:spacing w:after="0"/>
              <w:rPr>
                <w:sz w:val="20"/>
                <w:szCs w:val="20"/>
                <w:color w:val="auto"/>
              </w:rPr>
            </w:pPr>
            <w:r>
              <w:rPr>
                <w:rFonts w:ascii="Arial" w:cs="Arial" w:eastAsia="Arial" w:hAnsi="Arial"/>
                <w:sz w:val="14"/>
                <w:szCs w:val="14"/>
                <w:color w:val="0000FF"/>
              </w:rPr>
              <w:t>09/08/2015</w:t>
            </w:r>
          </w:p>
        </w:tc>
        <w:tc>
          <w:tcPr>
            <w:tcW w:w="1140" w:type="dxa"/>
            <w:vAlign w:val="bottom"/>
          </w:tcPr>
          <w:p>
            <w:pPr>
              <w:spacing w:after="0"/>
              <w:rPr>
                <w:sz w:val="17"/>
                <w:szCs w:val="17"/>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7"/>
                <w:szCs w:val="17"/>
                <w:color w:val="auto"/>
              </w:rPr>
            </w:pPr>
          </w:p>
        </w:tc>
        <w:tc>
          <w:tcPr>
            <w:tcW w:w="740" w:type="dxa"/>
            <w:vAlign w:val="bottom"/>
          </w:tcPr>
          <w:p>
            <w:pPr>
              <w:ind w:left="340"/>
              <w:spacing w:after="0"/>
              <w:rPr>
                <w:sz w:val="20"/>
                <w:szCs w:val="20"/>
                <w:color w:val="auto"/>
              </w:rPr>
            </w:pPr>
            <w:r>
              <w:rPr>
                <w:rFonts w:ascii="Arial" w:cs="Arial" w:eastAsia="Arial" w:hAnsi="Arial"/>
                <w:sz w:val="14"/>
                <w:szCs w:val="14"/>
                <w:color w:val="0000FF"/>
              </w:rPr>
              <w:t>2,000</w:t>
            </w:r>
          </w:p>
        </w:tc>
        <w:tc>
          <w:tcPr>
            <w:tcW w:w="800" w:type="dxa"/>
            <w:vAlign w:val="bottom"/>
          </w:tcPr>
          <w:p>
            <w:pPr>
              <w:ind w:left="320"/>
              <w:spacing w:after="0"/>
              <w:rPr>
                <w:sz w:val="20"/>
                <w:szCs w:val="20"/>
                <w:color w:val="auto"/>
              </w:rPr>
            </w:pPr>
            <w:r>
              <w:rPr>
                <w:rFonts w:ascii="Arial" w:cs="Arial" w:eastAsia="Arial" w:hAnsi="Arial"/>
                <w:sz w:val="11"/>
                <w:szCs w:val="11"/>
                <w:color w:val="008000"/>
              </w:rPr>
              <w:t>(4)</w:t>
            </w:r>
          </w:p>
        </w:tc>
        <w:tc>
          <w:tcPr>
            <w:tcW w:w="760" w:type="dxa"/>
            <w:vAlign w:val="bottom"/>
          </w:tcPr>
          <w:p>
            <w:pPr>
              <w:ind w:left="80"/>
              <w:spacing w:after="0"/>
              <w:rPr>
                <w:sz w:val="20"/>
                <w:szCs w:val="20"/>
                <w:color w:val="auto"/>
              </w:rPr>
            </w:pPr>
            <w:r>
              <w:rPr>
                <w:rFonts w:ascii="Arial" w:cs="Arial" w:eastAsia="Arial" w:hAnsi="Arial"/>
                <w:sz w:val="14"/>
                <w:szCs w:val="14"/>
                <w:color w:val="0000FF"/>
                <w:w w:val="94"/>
              </w:rPr>
              <w:t>12/01/2019</w:t>
            </w:r>
          </w:p>
        </w:tc>
        <w:tc>
          <w:tcPr>
            <w:tcW w:w="600" w:type="dxa"/>
            <w:vAlign w:val="bottom"/>
          </w:tcPr>
          <w:p>
            <w:pPr>
              <w:ind w:left="80"/>
              <w:spacing w:after="0"/>
              <w:rPr>
                <w:sz w:val="20"/>
                <w:szCs w:val="20"/>
                <w:color w:val="auto"/>
              </w:rPr>
            </w:pPr>
            <w:r>
              <w:rPr>
                <w:rFonts w:ascii="Arial" w:cs="Arial" w:eastAsia="Arial" w:hAnsi="Arial"/>
                <w:sz w:val="14"/>
                <w:szCs w:val="14"/>
                <w:color w:val="0000FF"/>
                <w:w w:val="87"/>
              </w:rPr>
              <w:t>Common</w:t>
            </w:r>
          </w:p>
        </w:tc>
        <w:tc>
          <w:tcPr>
            <w:tcW w:w="660" w:type="dxa"/>
            <w:vAlign w:val="bottom"/>
          </w:tcPr>
          <w:p>
            <w:pPr>
              <w:ind w:left="160"/>
              <w:spacing w:after="0" w:line="200" w:lineRule="exact"/>
              <w:rPr>
                <w:sz w:val="20"/>
                <w:szCs w:val="20"/>
                <w:color w:val="auto"/>
              </w:rPr>
            </w:pPr>
            <w:r>
              <w:rPr>
                <w:rFonts w:ascii="Arial" w:cs="Arial" w:eastAsia="Arial" w:hAnsi="Arial"/>
                <w:sz w:val="18"/>
                <w:szCs w:val="18"/>
                <w:color w:val="0000FF"/>
              </w:rPr>
              <w:t>2,000</w:t>
            </w:r>
          </w:p>
        </w:tc>
        <w:tc>
          <w:tcPr>
            <w:tcW w:w="7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20" w:type="dxa"/>
            <w:vAlign w:val="bottom"/>
            <w:gridSpan w:val="2"/>
          </w:tcPr>
          <w:p>
            <w:pPr>
              <w:ind w:left="300"/>
              <w:spacing w:after="0"/>
              <w:rPr>
                <w:sz w:val="20"/>
                <w:szCs w:val="20"/>
                <w:color w:val="auto"/>
              </w:rPr>
            </w:pPr>
            <w:r>
              <w:rPr>
                <w:rFonts w:ascii="Arial" w:cs="Arial" w:eastAsia="Arial" w:hAnsi="Arial"/>
                <w:sz w:val="14"/>
                <w:szCs w:val="14"/>
                <w:color w:val="0000FF"/>
              </w:rPr>
              <w:t>9,000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0.003 shares of common stock acquired by the reporting person since the date of his last report under The Toro Company Dividend Reinvestment Plan.</w:t>
      </w:r>
    </w:p>
    <w:p>
      <w:pPr>
        <w:spacing w:after="0" w:line="41"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44.021 net shares of common stock acquired by the reporting person since the date of his last report under the dividend reinvestment feature of The Toro Company Investment, Savings &amp; ESOP less quarterly non-discretionary administrative fees.</w:t>
      </w:r>
    </w:p>
    <w:p>
      <w:pPr>
        <w:spacing w:after="0" w:line="30"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14.402 performance share units acquired by the reporting person since the date of his last report under the dividend reinvestment feature of The Toro Company Deferred Compensation Plan for Officers.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December 1, 2009.</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09/09/2015</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45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2019-12-23T20:50:04Z</dcterms:created>
  <dcterms:modified xsi:type="dcterms:W3CDTF">2019-12-23T20:50:04Z</dcterms:modified>
</cp:coreProperties>
</file>