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816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166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Ramstad Peter 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12/07/2010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66"/>
        <w:spacing w:after="0"/>
        <w:rPr>
          <w:sz w:val="20"/>
          <w:szCs w:val="20"/>
          <w:color w:val="auto"/>
        </w:rPr>
      </w:pPr>
      <w:r>
        <w:rPr>
          <w:rFonts w:ascii="Arial" w:cs="Arial" w:eastAsia="Arial" w:hAnsi="Arial"/>
          <w:sz w:val="17"/>
          <w:szCs w:val="17"/>
          <w:color w:val="0000FF"/>
        </w:rPr>
        <w:t>VP, HR and Bus. Development</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2"/>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60" w:type="dxa"/>
            <w:vAlign w:val="bottom"/>
          </w:tcPr>
          <w:p>
            <w:pPr>
              <w:spacing w:after="0"/>
              <w:rPr>
                <w:sz w:val="11"/>
                <w:szCs w:val="11"/>
                <w:color w:val="auto"/>
              </w:rPr>
            </w:pPr>
          </w:p>
        </w:tc>
        <w:tc>
          <w:tcPr>
            <w:tcW w:w="9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12/07/2010</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0000FF"/>
              </w:rPr>
              <w:t>1,409</w:t>
            </w:r>
            <w:r>
              <w:rPr>
                <w:rFonts w:ascii="Arial" w:cs="Arial" w:eastAsia="Arial" w:hAnsi="Arial"/>
                <w:sz w:val="22"/>
                <w:szCs w:val="22"/>
                <w:color w:val="008000"/>
                <w:vertAlign w:val="superscript"/>
              </w:rPr>
              <w:t>(1)</w:t>
            </w:r>
          </w:p>
        </w:tc>
        <w:tc>
          <w:tcPr>
            <w:tcW w:w="600" w:type="dxa"/>
            <w:vAlign w:val="bottom"/>
            <w:tcBorders>
              <w:bottom w:val="single" w:sz="8" w:color="2C2C2C"/>
            </w:tcBorders>
          </w:tcPr>
          <w:p>
            <w:pPr>
              <w:jc w:val="center"/>
              <w:ind w:left="14"/>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right="15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3,705.678</w:t>
            </w:r>
            <w:r>
              <w:rPr>
                <w:rFonts w:ascii="Arial" w:cs="Arial" w:eastAsia="Arial" w:hAnsi="Arial"/>
                <w:sz w:val="22"/>
                <w:szCs w:val="22"/>
                <w:color w:val="008000"/>
                <w:w w:val="87"/>
                <w:vertAlign w:val="superscript"/>
              </w:rPr>
              <w:t>(2)</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80" w:type="dxa"/>
            <w:vAlign w:val="bottom"/>
            <w:gridSpan w:val="2"/>
          </w:tcPr>
          <w:p>
            <w:pPr>
              <w:ind w:left="780"/>
              <w:spacing w:after="0"/>
              <w:rPr>
                <w:sz w:val="20"/>
                <w:szCs w:val="20"/>
                <w:color w:val="auto"/>
              </w:rPr>
            </w:pPr>
            <w:r>
              <w:rPr>
                <w:rFonts w:ascii="Arial" w:cs="Arial" w:eastAsia="Arial" w:hAnsi="Arial"/>
                <w:sz w:val="17"/>
                <w:szCs w:val="17"/>
                <w:color w:val="0000FF"/>
              </w:rPr>
              <w:t>12/07/2010</w:t>
            </w: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60" w:type="dxa"/>
            <w:vAlign w:val="bottom"/>
          </w:tcPr>
          <w:p>
            <w:pPr>
              <w:jc w:val="right"/>
              <w:ind w:right="133"/>
              <w:spacing w:after="0"/>
              <w:rPr>
                <w:sz w:val="20"/>
                <w:szCs w:val="20"/>
                <w:color w:val="auto"/>
              </w:rPr>
            </w:pPr>
            <w:r>
              <w:rPr>
                <w:rFonts w:ascii="Arial" w:cs="Arial" w:eastAsia="Arial" w:hAnsi="Arial"/>
                <w:sz w:val="17"/>
                <w:szCs w:val="17"/>
                <w:color w:val="0000FF"/>
              </w:rPr>
              <w:t>460</w:t>
            </w:r>
          </w:p>
        </w:tc>
        <w:tc>
          <w:tcPr>
            <w:tcW w:w="600" w:type="dxa"/>
            <w:vAlign w:val="bottom"/>
          </w:tcPr>
          <w:p>
            <w:pPr>
              <w:jc w:val="center"/>
              <w:ind w:left="14"/>
              <w:spacing w:after="0"/>
              <w:rPr>
                <w:sz w:val="20"/>
                <w:szCs w:val="20"/>
                <w:color w:val="auto"/>
              </w:rPr>
            </w:pPr>
            <w:r>
              <w:rPr>
                <w:rFonts w:ascii="Arial" w:cs="Arial" w:eastAsia="Arial" w:hAnsi="Arial"/>
                <w:sz w:val="17"/>
                <w:szCs w:val="17"/>
                <w:color w:val="0000FF"/>
                <w:w w:val="97"/>
              </w:rPr>
              <w:t>D</w:t>
            </w:r>
          </w:p>
        </w:tc>
        <w:tc>
          <w:tcPr>
            <w:tcW w:w="660" w:type="dxa"/>
            <w:vAlign w:val="bottom"/>
          </w:tcPr>
          <w:p>
            <w:pPr>
              <w:jc w:val="center"/>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64.38</w:t>
            </w: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3,245.678</w:t>
            </w:r>
          </w:p>
        </w:tc>
        <w:tc>
          <w:tcPr>
            <w:tcW w:w="340" w:type="dxa"/>
            <w:vAlign w:val="bottom"/>
          </w:tcPr>
          <w:p>
            <w:pPr>
              <w:spacing w:after="0"/>
              <w:rPr>
                <w:sz w:val="23"/>
                <w:szCs w:val="23"/>
                <w:color w:val="auto"/>
              </w:rPr>
            </w:pP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8"/>
              </w:rPr>
              <w:t>157.221</w:t>
            </w:r>
            <w:r>
              <w:rPr>
                <w:rFonts w:ascii="Arial" w:cs="Arial" w:eastAsia="Arial" w:hAnsi="Arial"/>
                <w:sz w:val="22"/>
                <w:szCs w:val="22"/>
                <w:color w:val="008000"/>
                <w:w w:val="88"/>
                <w:vertAlign w:val="superscript"/>
              </w:rPr>
              <w:t>(3)</w:t>
            </w:r>
          </w:p>
        </w:tc>
        <w:tc>
          <w:tcPr>
            <w:tcW w:w="340" w:type="dxa"/>
            <w:vAlign w:val="bottom"/>
          </w:tcPr>
          <w:p>
            <w:pPr>
              <w:spacing w:after="0"/>
              <w:rPr>
                <w:sz w:val="18"/>
                <w:szCs w:val="18"/>
                <w:color w:val="auto"/>
              </w:rPr>
            </w:pPr>
          </w:p>
        </w:tc>
        <w:tc>
          <w:tcPr>
            <w:tcW w:w="600" w:type="dxa"/>
            <w:vAlign w:val="bottom"/>
          </w:tcPr>
          <w:p>
            <w:pPr>
              <w:jc w:val="center"/>
              <w:ind w:right="35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10"/>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63.52</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12/08/2010</w:t>
            </w:r>
          </w:p>
        </w:tc>
        <w:tc>
          <w:tcPr>
            <w:tcW w:w="1180" w:type="dxa"/>
            <w:vAlign w:val="bottom"/>
          </w:tcPr>
          <w:p>
            <w:pPr>
              <w:spacing w:after="0"/>
              <w:rPr>
                <w:sz w:val="20"/>
                <w:szCs w:val="20"/>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20"/>
                <w:szCs w:val="20"/>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11,500</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(4)</w:t>
            </w:r>
          </w:p>
        </w:tc>
        <w:tc>
          <w:tcPr>
            <w:tcW w:w="760" w:type="dxa"/>
            <w:vAlign w:val="bottom"/>
          </w:tcPr>
          <w:p>
            <w:pPr>
              <w:jc w:val="right"/>
              <w:ind w:right="13"/>
              <w:spacing w:after="0"/>
              <w:rPr>
                <w:sz w:val="20"/>
                <w:szCs w:val="20"/>
                <w:color w:val="auto"/>
              </w:rPr>
            </w:pPr>
            <w:r>
              <w:rPr>
                <w:rFonts w:ascii="Arial" w:cs="Arial" w:eastAsia="Arial" w:hAnsi="Arial"/>
                <w:sz w:val="13"/>
                <w:szCs w:val="13"/>
                <w:color w:val="0000FF"/>
              </w:rPr>
              <w:t>12/08/2020</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ind w:left="120"/>
              <w:spacing w:after="0"/>
              <w:rPr>
                <w:sz w:val="20"/>
                <w:szCs w:val="20"/>
                <w:color w:val="auto"/>
              </w:rPr>
            </w:pPr>
            <w:r>
              <w:rPr>
                <w:rFonts w:ascii="Arial" w:cs="Arial" w:eastAsia="Arial" w:hAnsi="Arial"/>
                <w:sz w:val="17"/>
                <w:szCs w:val="17"/>
                <w:color w:val="0000FF"/>
                <w:w w:val="99"/>
              </w:rPr>
              <w:t>11,500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60"/>
              <w:spacing w:after="0"/>
              <w:rPr>
                <w:sz w:val="20"/>
                <w:szCs w:val="20"/>
                <w:color w:val="auto"/>
              </w:rPr>
            </w:pPr>
            <w:r>
              <w:rPr>
                <w:rFonts w:ascii="Arial" w:cs="Arial" w:eastAsia="Arial" w:hAnsi="Arial"/>
                <w:sz w:val="13"/>
                <w:szCs w:val="13"/>
                <w:color w:val="0000FF"/>
              </w:rPr>
              <w:t>11,500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6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payout of Performance Share Awards for the Fiscal 2008 to Fiscal 2010 Performance Period under The Toro Company Performance Share Plan (the "PSP"), as approved by the registrant's Compensation &amp; Human Resources Committee of its Board of Directors and conditioned upon and subject to confirmation by the registrant's Fiscal 2010 financial results released on December 7, 2010. Performance Share Awards are paid in Shares of Common Stock under the PSP.</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32.532 shares of common stock acquired by the reporting person under The Toro Company Dividend Reinvestment Plan since the date of his last report.</w:t>
      </w:r>
    </w:p>
    <w:p>
      <w:pPr>
        <w:spacing w:after="0" w:line="51" w:lineRule="exact"/>
        <w:rPr>
          <w:rFonts w:ascii="Arial" w:cs="Arial" w:eastAsia="Arial" w:hAnsi="Arial"/>
          <w:sz w:val="13"/>
          <w:szCs w:val="13"/>
          <w:color w:val="008000"/>
        </w:rPr>
      </w:pPr>
    </w:p>
    <w:p>
      <w:pPr>
        <w:ind w:left="40" w:right="7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since the date of his last report: 1.681 shares acquired under the dividend reinvestment feature of The Toro Company Investment, Savings &amp; ESOP (IS&amp;ESOP); and 73.021 shares acquired through issuer annual investment fund contributions to the IS&amp;ESOP.</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Amy E. Dahl,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12/09/2010</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127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2019-12-17T00:28:02Z</dcterms:created>
  <dcterms:modified xsi:type="dcterms:W3CDTF">2019-12-17T00:28:02Z</dcterms:modified>
</cp:coreProperties>
</file>