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Chmn., CEO &amp; Pres.</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7"/>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9"/>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38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BLOOMINGTON MN</w:t>
            </w:r>
          </w:p>
        </w:tc>
        <w:tc>
          <w:tcPr>
            <w:tcW w:w="1260" w:type="dxa"/>
            <w:vAlign w:val="bottom"/>
          </w:tcPr>
          <w:p>
            <w:pPr>
              <w:ind w:left="40"/>
              <w:spacing w:after="0"/>
              <w:rPr>
                <w:sz w:val="20"/>
                <w:szCs w:val="20"/>
                <w:color w:val="auto"/>
              </w:rPr>
            </w:pPr>
            <w:r>
              <w:rPr>
                <w:rFonts w:ascii="Arial" w:cs="Arial" w:eastAsia="Arial" w:hAnsi="Arial"/>
                <w:sz w:val="18"/>
                <w:szCs w:val="18"/>
                <w:color w:val="0000FF"/>
              </w:rPr>
              <w:t>55420-1196</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180" w:type="dxa"/>
            <w:vAlign w:val="bottom"/>
            <w:gridSpan w:val="7"/>
            <w:vMerge w:val="restart"/>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1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4320" w:type="dxa"/>
            <w:vAlign w:val="bottom"/>
            <w:tcBorders>
              <w:bottom w:val="single" w:sz="8" w:color="2C2C2C"/>
            </w:tcBorders>
            <w:gridSpan w:val="9"/>
          </w:tcPr>
          <w:p>
            <w:pPr>
              <w:spacing w:after="0"/>
              <w:rPr>
                <w:sz w:val="11"/>
                <w:szCs w:val="11"/>
                <w:color w:val="auto"/>
              </w:rPr>
            </w:pPr>
          </w:p>
        </w:tc>
        <w:tc>
          <w:tcPr>
            <w:tcW w:w="130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3"/>
          </w:tcPr>
          <w:p>
            <w:pPr>
              <w:jc w:val="center"/>
              <w:ind w:left="2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3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09/20/2012</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72"/>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1,580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485,560.588</w:t>
            </w:r>
            <w:r>
              <w:rPr>
                <w:rFonts w:ascii="Arial" w:cs="Arial" w:eastAsia="Arial" w:hAnsi="Arial"/>
                <w:sz w:val="22"/>
                <w:szCs w:val="22"/>
                <w:color w:val="008000"/>
                <w:w w:val="84"/>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64,490.516</w:t>
            </w:r>
            <w:r>
              <w:rPr>
                <w:rFonts w:ascii="Arial" w:cs="Arial" w:eastAsia="Arial" w:hAnsi="Arial"/>
                <w:sz w:val="22"/>
                <w:szCs w:val="22"/>
                <w:color w:val="008000"/>
                <w:w w:val="85"/>
                <w:vertAlign w:val="superscript"/>
              </w:rPr>
              <w:t>(2)</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40" w:type="dxa"/>
            <w:vAlign w:val="bottom"/>
            <w:tcBorders>
              <w:bottom w:val="single" w:sz="8" w:color="2C2C2C"/>
            </w:tcBorders>
            <w:gridSpan w:val="4"/>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Performance Share Units</w:t>
            </w:r>
          </w:p>
        </w:tc>
        <w:tc>
          <w:tcPr>
            <w:tcW w:w="12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97,084.062</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29, 2012, the common stock of the issuer split two-for-one (the "Stock Split"), resulting in the reporting person's ownership of 242,965.368 additional shares of common stock and 1,209.852 post-split shares of common stock acquired by the reporting person under The Toro Company Dividend Reinvestment Plan. All future Form 4 and 5 filings made by the reporting person will include adjustments, as necessary, to reflect the Stock Split.</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189.810 post-split shares of common stock acquired by the reporting person under the dividend reinvestment feature of The Toro Company Investment, Savings &amp; ESOP since the date of his last report and 32,150.353 additional shares of common stock as a result of the Stock Split.</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286.618 post-split performance share units acquired by the reporting person under the dividend reinvestment feature of the The Toro Company Deferred Compensation Plan for Officers since the date of his last report and 48,398.722 additional performance share units as a result of the Stock Split.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09/28/2012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2019-12-17T01:45:48Z</dcterms:created>
  <dcterms:modified xsi:type="dcterms:W3CDTF">2019-12-17T01:45:48Z</dcterms:modified>
</cp:coreProperties>
</file>