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CIO, VP Contractor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8"/>
                <w:szCs w:val="18"/>
                <w:color w:val="0000FF"/>
                <w:w w:val="99"/>
              </w:rPr>
              <w:t>12/07/2010</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0000FF"/>
              </w:rPr>
              <w:t>923</w:t>
            </w:r>
            <w:r>
              <w:rPr>
                <w:rFonts w:ascii="Arial" w:cs="Arial" w:eastAsia="Arial" w:hAnsi="Arial"/>
                <w:sz w:val="22"/>
                <w:szCs w:val="22"/>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00" w:type="dxa"/>
            <w:vAlign w:val="bottom"/>
            <w:tcBorders>
              <w:bottom w:val="single" w:sz="8" w:color="2C2C2C"/>
            </w:tcBorders>
          </w:tcPr>
          <w:p>
            <w:pPr>
              <w:jc w:val="center"/>
              <w:ind w:right="1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21,085</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Arial" w:cs="Arial" w:eastAsia="Arial" w:hAnsi="Arial"/>
                <w:sz w:val="18"/>
                <w:szCs w:val="18"/>
                <w:color w:val="0000FF"/>
                <w:w w:val="99"/>
              </w:rPr>
              <w:t>12/07/2010</w:t>
            </w: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12"/>
              <w:spacing w:after="0"/>
              <w:rPr>
                <w:sz w:val="20"/>
                <w:szCs w:val="20"/>
                <w:color w:val="auto"/>
              </w:rPr>
            </w:pPr>
            <w:r>
              <w:rPr>
                <w:rFonts w:ascii="Arial" w:cs="Arial" w:eastAsia="Arial" w:hAnsi="Arial"/>
                <w:sz w:val="18"/>
                <w:szCs w:val="18"/>
                <w:color w:val="0000FF"/>
              </w:rPr>
              <w:t>301</w:t>
            </w:r>
          </w:p>
        </w:tc>
        <w:tc>
          <w:tcPr>
            <w:tcW w:w="6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64.38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20,784</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3"/>
              </w:rPr>
              <w:t>1,988.922</w:t>
            </w:r>
            <w:r>
              <w:rPr>
                <w:rFonts w:ascii="Arial" w:cs="Arial" w:eastAsia="Arial" w:hAnsi="Arial"/>
                <w:sz w:val="22"/>
                <w:szCs w:val="22"/>
                <w:color w:val="008000"/>
                <w:w w:val="83"/>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3"/>
              </w:rPr>
              <w:t>13,038.117</w:t>
            </w:r>
            <w:r>
              <w:rPr>
                <w:rFonts w:ascii="Arial" w:cs="Arial" w:eastAsia="Arial" w:hAnsi="Arial"/>
                <w:sz w:val="22"/>
                <w:szCs w:val="22"/>
                <w:color w:val="008000"/>
                <w:w w:val="83"/>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63.52</w:t>
            </w:r>
          </w:p>
        </w:tc>
        <w:tc>
          <w:tcPr>
            <w:tcW w:w="1140" w:type="dxa"/>
            <w:vAlign w:val="bottom"/>
          </w:tcPr>
          <w:p>
            <w:pPr>
              <w:ind w:left="260"/>
              <w:spacing w:after="0"/>
              <w:rPr>
                <w:sz w:val="20"/>
                <w:szCs w:val="20"/>
                <w:color w:val="auto"/>
              </w:rPr>
            </w:pPr>
            <w:r>
              <w:rPr>
                <w:rFonts w:ascii="Arial" w:cs="Arial" w:eastAsia="Arial" w:hAnsi="Arial"/>
                <w:sz w:val="14"/>
                <w:szCs w:val="14"/>
                <w:color w:val="0000FF"/>
              </w:rPr>
              <w:t>12/08/2010</w:t>
            </w:r>
          </w:p>
        </w:tc>
        <w:tc>
          <w:tcPr>
            <w:tcW w:w="1140" w:type="dxa"/>
            <w:vAlign w:val="bottom"/>
          </w:tcPr>
          <w:p>
            <w:pPr>
              <w:spacing w:after="0"/>
              <w:rPr>
                <w:sz w:val="21"/>
                <w:szCs w:val="21"/>
                <w:color w:val="auto"/>
              </w:rPr>
            </w:pPr>
          </w:p>
        </w:tc>
        <w:tc>
          <w:tcPr>
            <w:tcW w:w="460" w:type="dxa"/>
            <w:vAlign w:val="bottom"/>
          </w:tcPr>
          <w:p>
            <w:pPr>
              <w:ind w:left="160"/>
              <w:spacing w:after="0"/>
              <w:rPr>
                <w:sz w:val="20"/>
                <w:szCs w:val="20"/>
                <w:color w:val="auto"/>
              </w:rPr>
            </w:pPr>
            <w:r>
              <w:rPr>
                <w:rFonts w:ascii="Arial" w:cs="Arial" w:eastAsia="Arial" w:hAnsi="Arial"/>
                <w:sz w:val="14"/>
                <w:szCs w:val="14"/>
                <w:color w:val="0000FF"/>
              </w:rPr>
              <w:t>A</w:t>
            </w:r>
          </w:p>
        </w:tc>
        <w:tc>
          <w:tcPr>
            <w:tcW w:w="44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0000FF"/>
              </w:rPr>
              <w:t>6,500</w:t>
            </w:r>
          </w:p>
        </w:tc>
        <w:tc>
          <w:tcPr>
            <w:tcW w:w="320" w:type="dxa"/>
            <w:vAlign w:val="bottom"/>
          </w:tcPr>
          <w:p>
            <w:pPr>
              <w:spacing w:after="0"/>
              <w:rPr>
                <w:sz w:val="21"/>
                <w:szCs w:val="21"/>
                <w:color w:val="auto"/>
              </w:rPr>
            </w:pPr>
          </w:p>
        </w:tc>
        <w:tc>
          <w:tcPr>
            <w:tcW w:w="800" w:type="dxa"/>
            <w:vAlign w:val="bottom"/>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ind w:left="60"/>
              <w:spacing w:after="0"/>
              <w:rPr>
                <w:sz w:val="20"/>
                <w:szCs w:val="20"/>
                <w:color w:val="auto"/>
              </w:rPr>
            </w:pPr>
            <w:r>
              <w:rPr>
                <w:rFonts w:ascii="Arial" w:cs="Arial" w:eastAsia="Arial" w:hAnsi="Arial"/>
                <w:sz w:val="14"/>
                <w:szCs w:val="14"/>
                <w:color w:val="0000FF"/>
                <w:w w:val="94"/>
              </w:rPr>
              <w:t>12/08/2020</w:t>
            </w:r>
          </w:p>
        </w:tc>
        <w:tc>
          <w:tcPr>
            <w:tcW w:w="660" w:type="dxa"/>
            <w:vAlign w:val="bottom"/>
          </w:tcPr>
          <w:p>
            <w:pPr>
              <w:ind w:left="80"/>
              <w:spacing w:after="0"/>
              <w:rPr>
                <w:sz w:val="20"/>
                <w:szCs w:val="20"/>
                <w:color w:val="auto"/>
              </w:rPr>
            </w:pPr>
            <w:r>
              <w:rPr>
                <w:rFonts w:ascii="Arial" w:cs="Arial" w:eastAsia="Arial" w:hAnsi="Arial"/>
                <w:sz w:val="14"/>
                <w:szCs w:val="14"/>
                <w:color w:val="0000FF"/>
                <w:w w:val="98"/>
              </w:rPr>
              <w:t>Common</w:t>
            </w:r>
          </w:p>
        </w:tc>
        <w:tc>
          <w:tcPr>
            <w:tcW w:w="600" w:type="dxa"/>
            <w:vAlign w:val="bottom"/>
          </w:tcPr>
          <w:p>
            <w:pPr>
              <w:ind w:left="100"/>
              <w:spacing w:after="0"/>
              <w:rPr>
                <w:sz w:val="20"/>
                <w:szCs w:val="20"/>
                <w:color w:val="auto"/>
              </w:rPr>
            </w:pPr>
            <w:r>
              <w:rPr>
                <w:rFonts w:ascii="Arial" w:cs="Arial" w:eastAsia="Arial" w:hAnsi="Arial"/>
                <w:sz w:val="18"/>
                <w:szCs w:val="18"/>
                <w:color w:val="0000FF"/>
              </w:rPr>
              <w:t>6,500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tcPr>
          <w:p>
            <w:pPr>
              <w:ind w:left="300"/>
              <w:spacing w:after="0"/>
              <w:rPr>
                <w:sz w:val="20"/>
                <w:szCs w:val="20"/>
                <w:color w:val="auto"/>
              </w:rPr>
            </w:pPr>
            <w:r>
              <w:rPr>
                <w:rFonts w:ascii="Arial" w:cs="Arial" w:eastAsia="Arial" w:hAnsi="Arial"/>
                <w:sz w:val="14"/>
                <w:szCs w:val="14"/>
                <w:color w:val="0000FF"/>
              </w:rPr>
              <w:t>6,500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0000FF"/>
                <w:w w:val="91"/>
              </w:rPr>
              <w:t>Stock</w:t>
            </w: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5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2008 to Fiscal 2010 Performance Period under The Toro Company Performance Share Plan (the "PSP"), as approved by the registrant's Compensation &amp; Human Resources Committee of its Board of Directors and conditioned upon and subject to confirmation by the registrant's Fiscal 2010 financial results released on December 7, 2010. Performance Share Awards are paid in Shares of Common Stock under the PSP.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13.320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86.893 Performance Share Units acquired by the reporting person under the dividend reinvestment feature of The Toro Company Deferred Compensation Plan for Officers since the date of his last report.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Amy E. Dahl,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12/09/2010</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8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2019-12-16T23:49:12Z</dcterms:created>
  <dcterms:modified xsi:type="dcterms:W3CDTF">2019-12-16T23:49:12Z</dcterms:modified>
</cp:coreProperties>
</file>