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2, 1995</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5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027"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1-8649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41-0580470</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2220" w:space="620"/>
            <w:col w:w="3999"/>
          </w:cols>
          <w:pgMar w:left="240" w:top="1027" w:right="1440" w:bottom="1440" w:gutter="0" w:footer="0" w:header="0"/>
          <w:type w:val="continuous"/>
        </w:sectPr>
      </w:pPr>
    </w:p>
    <w:p>
      <w:pPr>
        <w:spacing w:after="0" w:line="209"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8111 LYNDALE AVENUE SOUTH, BLOOMINGTON, MINNESOTA (Address of principal executive office)</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55420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160" w:space="640"/>
            <w:col w:w="4419"/>
          </w:cols>
          <w:pgMar w:left="240" w:top="1027" w:right="1440" w:bottom="1440"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(612)888-8801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number,including area code)</w:t>
      </w:r>
    </w:p>
    <w:p>
      <w:pPr>
        <w:sectPr>
          <w:pgSz w:w="11900" w:h="16838" w:orient="portrait"/>
          <w:cols w:equalWidth="0" w:num="1">
            <w:col w:w="10219"/>
          </w:cols>
          <w:pgMar w:left="240" w:top="1027"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CHANGE IN FISCAL YEAR</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On November 2, 1995, following receipt of approval from the Internal Revenue Service, The Toro Company determined to change its fiscal year end from July 31 to October 31. The quarter ended October 31, 1995 will become a three month transition period and the Registrant will report on the transition period on Form 10Q.</w:t>
      </w:r>
    </w:p>
    <w:p>
      <w:pPr>
        <w:spacing w:after="0" w:line="209"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Registrant's 1995 Annual Meeting scheduled for December 14, 1995 has been postponed and will be rescheduled for February or March 1996.</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Registrant's press release of November 2, 1995.</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TORO COMPANY</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11/7/95</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By: /s/ J. LAWRENCE MCINTYRE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Vice President, Secretary &amp; General</w:t>
      </w:r>
    </w:p>
    <w:p>
      <w:pPr>
        <w:ind w:left="540"/>
        <w:spacing w:after="0" w:line="238" w:lineRule="auto"/>
        <w:rPr>
          <w:sz w:val="20"/>
          <w:szCs w:val="20"/>
          <w:color w:val="auto"/>
        </w:rPr>
      </w:pPr>
      <w:r>
        <w:rPr>
          <w:rFonts w:ascii="Courier New" w:cs="Courier New" w:eastAsia="Courier New" w:hAnsi="Courier New"/>
          <w:sz w:val="18"/>
          <w:szCs w:val="18"/>
          <w:color w:val="auto"/>
        </w:rPr>
        <w:t>Counsel</w:t>
      </w:r>
    </w:p>
    <w:p>
      <w:pPr>
        <w:spacing w:after="0" w:line="200" w:lineRule="exact"/>
        <w:rPr>
          <w:sz w:val="20"/>
          <w:szCs w:val="20"/>
          <w:color w:val="auto"/>
        </w:rPr>
      </w:pPr>
    </w:p>
    <w:p>
      <w:pPr>
        <w:sectPr>
          <w:pgSz w:w="11900" w:h="16838" w:orient="portrait"/>
          <w:cols w:equalWidth="0" w:num="2">
            <w:col w:w="2860" w:space="720"/>
            <w:col w:w="6639"/>
          </w:cols>
          <w:pgMar w:left="240" w:top="717"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17"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Further Information</w:t>
      </w:r>
    </w:p>
    <w:p>
      <w:pPr>
        <w:spacing w:after="0" w:line="238" w:lineRule="auto"/>
        <w:rPr>
          <w:sz w:val="20"/>
          <w:szCs w:val="20"/>
          <w:color w:val="auto"/>
        </w:rPr>
      </w:pPr>
      <w:r>
        <w:rPr>
          <w:rFonts w:ascii="Courier New" w:cs="Courier New" w:eastAsia="Courier New" w:hAnsi="Courier New"/>
          <w:sz w:val="18"/>
          <w:szCs w:val="18"/>
          <w:color w:val="auto"/>
        </w:rPr>
        <w:t>CONTACT:</w:t>
      </w:r>
    </w:p>
    <w:p>
      <w:pPr>
        <w:spacing w:after="0"/>
        <w:rPr>
          <w:sz w:val="20"/>
          <w:szCs w:val="20"/>
          <w:color w:val="auto"/>
        </w:rPr>
      </w:pPr>
      <w:r>
        <w:rPr>
          <w:rFonts w:ascii="Courier New" w:cs="Courier New" w:eastAsia="Courier New" w:hAnsi="Courier New"/>
          <w:sz w:val="18"/>
          <w:szCs w:val="18"/>
          <w:color w:val="auto"/>
        </w:rPr>
        <w:t>INVESTOR RELATIONS</w:t>
      </w:r>
    </w:p>
    <w:p>
      <w:pPr>
        <w:spacing w:after="0"/>
        <w:tabs>
          <w:tab w:leader="none" w:pos="2840" w:val="left"/>
        </w:tabs>
        <w:rPr>
          <w:sz w:val="20"/>
          <w:szCs w:val="20"/>
          <w:color w:val="auto"/>
        </w:rPr>
      </w:pPr>
      <w:r>
        <w:rPr>
          <w:rFonts w:ascii="Courier New" w:cs="Courier New" w:eastAsia="Courier New" w:hAnsi="Courier New"/>
          <w:sz w:val="18"/>
          <w:szCs w:val="18"/>
          <w:color w:val="auto"/>
        </w:rPr>
        <w:t>Dennis Himan</w:t>
      </w:r>
      <w:r>
        <w:rPr>
          <w:sz w:val="20"/>
          <w:szCs w:val="20"/>
          <w:color w:val="auto"/>
        </w:rPr>
        <w:tab/>
      </w:r>
      <w:r>
        <w:rPr>
          <w:rFonts w:ascii="Courier New" w:cs="Courier New" w:eastAsia="Courier New" w:hAnsi="Courier New"/>
          <w:sz w:val="16"/>
          <w:szCs w:val="16"/>
          <w:color w:val="auto"/>
        </w:rPr>
        <w:t>Stephen D. Keating</w:t>
      </w:r>
    </w:p>
    <w:p>
      <w:pPr>
        <w:spacing w:after="0"/>
        <w:tabs>
          <w:tab w:leader="none" w:pos="2840" w:val="left"/>
        </w:tabs>
        <w:rPr>
          <w:sz w:val="20"/>
          <w:szCs w:val="20"/>
          <w:color w:val="auto"/>
        </w:rPr>
      </w:pPr>
      <w:r>
        <w:rPr>
          <w:rFonts w:ascii="Courier New" w:cs="Courier New" w:eastAsia="Courier New" w:hAnsi="Courier New"/>
          <w:sz w:val="18"/>
          <w:szCs w:val="18"/>
          <w:color w:val="auto"/>
        </w:rPr>
        <w:t>Vice President, Treasurer</w:t>
      </w:r>
      <w:r>
        <w:rPr>
          <w:sz w:val="20"/>
          <w:szCs w:val="20"/>
          <w:color w:val="auto"/>
        </w:rPr>
        <w:tab/>
      </w:r>
      <w:r>
        <w:rPr>
          <w:rFonts w:ascii="Courier New" w:cs="Courier New" w:eastAsia="Courier New" w:hAnsi="Courier New"/>
          <w:sz w:val="16"/>
          <w:szCs w:val="16"/>
          <w:color w:val="auto"/>
        </w:rPr>
        <w:t>Assistant Treasurer</w:t>
      </w:r>
    </w:p>
    <w:p>
      <w:pPr>
        <w:spacing w:after="0"/>
        <w:tabs>
          <w:tab w:leader="none" w:pos="2840" w:val="left"/>
        </w:tabs>
        <w:rPr>
          <w:sz w:val="20"/>
          <w:szCs w:val="20"/>
          <w:color w:val="auto"/>
        </w:rPr>
      </w:pPr>
      <w:r>
        <w:rPr>
          <w:rFonts w:ascii="Courier New" w:cs="Courier New" w:eastAsia="Courier New" w:hAnsi="Courier New"/>
          <w:sz w:val="18"/>
          <w:szCs w:val="18"/>
          <w:color w:val="auto"/>
        </w:rPr>
        <w:t>(612)887-8411</w:t>
      </w:r>
      <w:r>
        <w:rPr>
          <w:sz w:val="20"/>
          <w:szCs w:val="20"/>
          <w:color w:val="auto"/>
        </w:rPr>
        <w:tab/>
      </w:r>
      <w:r>
        <w:rPr>
          <w:rFonts w:ascii="Courier New" w:cs="Courier New" w:eastAsia="Courier New" w:hAnsi="Courier New"/>
          <w:sz w:val="16"/>
          <w:szCs w:val="16"/>
          <w:color w:val="auto"/>
        </w:rPr>
        <w:t>(612)887-8526</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MEDIA RELATIONS Donald O. St. Dennis Director, Public Relations (612)887-8960</w:t>
      </w:r>
    </w:p>
    <w:p>
      <w:pPr>
        <w:spacing w:after="0" w:line="201" w:lineRule="exact"/>
        <w:rPr>
          <w:sz w:val="20"/>
          <w:szCs w:val="20"/>
          <w:color w:val="auto"/>
        </w:rPr>
      </w:pPr>
    </w:p>
    <w:p>
      <w:pPr>
        <w:sectPr>
          <w:pgSz w:w="11900" w:h="16838" w:orient="portrait"/>
          <w:cols w:equalWidth="0" w:num="2">
            <w:col w:w="4860" w:space="620"/>
            <w:col w:w="473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TORO'S FISCAL YEAR CHANGE APPROVED</w:t>
      </w:r>
    </w:p>
    <w:p>
      <w:pPr>
        <w:spacing w:after="0" w:line="207"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BLOOMINGTON, MINN. (Nov. 2, 1995) -- The Toro Company (NYSE: TTC) announced today that it has received approval from the Internal Revenue Service (IRS) to change Toro's fiscal year-end from July 31 to Oct. 31.</w:t>
      </w:r>
    </w:p>
    <w:p>
      <w:pPr>
        <w:spacing w:after="0" w:line="17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Company officials said changing the fiscal year-end to October from July is primarily intended to enhance the planning process of the company.</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company's consumer retail sales are seasonal and heaviest in the late spring and early summer months. The Oct. 31 year-end date will allow the company to plan retail support activities for the next fiscal year with more information on important issues such as inventory management, customer trends and product sales.</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Toro's latest completed quarter ended Oct. 31, 1995 now becomes a transition quarter. Toro's fiscal 1996 began yesterday (Nov. 1, 1995) and will end Oct. 31, 1996. Results of the transition period will be announced by the company in mid-December.</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Toro's annual meeting, originally scheduled for Dec. 14, 1995, has been postponed and will be rescheduled in February or March of 1996.</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Toro Company is a worldwide leader in the manufacturing of outdoor beautification equipment and products for the residential and commercial markets.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2019-12-12T06:38:24Z</dcterms:created>
  <dcterms:modified xsi:type="dcterms:W3CDTF">2019-12-12T06:38:24Z</dcterms:modified>
</cp:coreProperties>
</file>