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ind w:left="1087"/>
        <w:spacing w:after="0"/>
        <w:tabs>
          <w:tab w:leader="none" w:pos="5986"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the Registrant / /</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Preliminary Proxy Statement</w:t>
      </w:r>
    </w:p>
    <w:p>
      <w:pPr>
        <w:spacing w:after="0" w:line="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14a-6(e)(2))</w:t>
      </w:r>
    </w:p>
    <w:p>
      <w:pPr>
        <w:spacing w:after="0" w:line="5" w:lineRule="exact"/>
        <w:rPr>
          <w:sz w:val="24"/>
          <w:szCs w:val="24"/>
          <w:color w:val="auto"/>
        </w:rPr>
      </w:pPr>
    </w:p>
    <w:p>
      <w:pPr>
        <w:ind w:left="367"/>
        <w:spacing w:after="0"/>
        <w:tabs>
          <w:tab w:leader="none" w:pos="806" w:val="left"/>
        </w:tabs>
        <w:rPr>
          <w:sz w:val="20"/>
          <w:szCs w:val="20"/>
          <w:color w:val="auto"/>
        </w:rPr>
      </w:pPr>
      <w:r>
        <w:rPr>
          <w:rFonts w:ascii="Courier New" w:cs="Courier New" w:eastAsia="Courier New" w:hAnsi="Courier New"/>
          <w:sz w:val="15"/>
          <w:szCs w:val="15"/>
          <w:color w:val="auto"/>
        </w:rPr>
        <w:t>/X/</w:t>
        <w:tab/>
        <w:t>Definitive Proxy Statement</w:t>
      </w:r>
    </w:p>
    <w:p>
      <w:pPr>
        <w:spacing w:after="0" w:line="5" w:lineRule="exact"/>
        <w:rPr>
          <w:sz w:val="24"/>
          <w:szCs w:val="24"/>
          <w:color w:val="auto"/>
        </w:rPr>
      </w:pPr>
    </w:p>
    <w:p>
      <w:pPr>
        <w:ind w:left="547" w:hanging="183"/>
        <w:spacing w:after="0"/>
        <w:tabs>
          <w:tab w:leader="none" w:pos="54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547" w:hanging="183"/>
        <w:spacing w:after="0"/>
        <w:tabs>
          <w:tab w:leader="none" w:pos="54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240.14a-11(c) or 240.14a-12</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/X/</w:t>
        <w:tab/>
        <w:t>No fee required</w:t>
      </w:r>
    </w:p>
    <w:p>
      <w:pPr>
        <w:spacing w:after="0" w:line="180" w:lineRule="exact"/>
        <w:rPr>
          <w:sz w:val="24"/>
          <w:szCs w:val="24"/>
          <w:color w:val="auto"/>
        </w:rPr>
      </w:pPr>
    </w:p>
    <w:p>
      <w:pPr>
        <w:ind w:left="447" w:right="4139" w:hanging="447"/>
        <w:spacing w:after="0" w:line="247" w:lineRule="auto"/>
        <w:tabs>
          <w:tab w:leader="none" w:pos="1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right="3219" w:hanging="363"/>
        <w:spacing w:after="0" w:line="247" w:lineRule="auto"/>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179" w:lineRule="exact"/>
        <w:rPr>
          <w:rFonts w:ascii="Courier New" w:cs="Courier New" w:eastAsia="Courier New" w:hAnsi="Courier New"/>
          <w:sz w:val="15"/>
          <w:szCs w:val="15"/>
          <w:color w:val="auto"/>
        </w:rPr>
      </w:pPr>
    </w:p>
    <w:p>
      <w:pPr>
        <w:ind w:left="367" w:right="3039" w:hanging="367"/>
        <w:spacing w:after="0" w:line="246"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27" w:hanging="363"/>
        <w:spacing w:after="0"/>
        <w:tabs>
          <w:tab w:leader="none" w:pos="7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7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09" w:right="1440" w:bottom="1440" w:gutter="0" w:footer="0" w:header="0"/>
        </w:sectPr>
      </w:pPr>
    </w:p>
    <w:bookmarkStart w:id="1" w:name="page2"/>
    <w:bookmarkEnd w:id="1"/>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8111 Lyndale Avenue South, Bloomington, Minnesota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55420-1196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612/888-8801 - Telex 290928 - FAX NBR 887-8258</w:t>
      </w:r>
    </w:p>
    <w:p>
      <w:pPr>
        <w:spacing w:after="0" w:line="180" w:lineRule="exact"/>
        <w:rPr>
          <w:sz w:val="20"/>
          <w:szCs w:val="20"/>
          <w:color w:val="auto"/>
        </w:rPr>
      </w:pPr>
    </w:p>
    <w:p>
      <w:pPr>
        <w:sectPr>
          <w:pgSz w:w="11900" w:h="16838" w:orient="portrait"/>
          <w:cols w:equalWidth="0" w:num="3">
            <w:col w:w="1080" w:space="180"/>
            <w:col w:w="560" w:space="440"/>
            <w:col w:w="7959"/>
          </w:cols>
          <w:pgMar w:left="240" w:top="642" w:right="1440" w:bottom="1440" w:gutter="0" w:footer="0" w:header="0"/>
        </w:sectPr>
      </w:pPr>
    </w:p>
    <w:p>
      <w:pPr>
        <w:ind w:left="900"/>
        <w:spacing w:after="0"/>
        <w:rPr>
          <w:sz w:val="20"/>
          <w:szCs w:val="20"/>
          <w:color w:val="auto"/>
        </w:rPr>
      </w:pPr>
      <w:r>
        <w:rPr>
          <w:rFonts w:ascii="Courier New" w:cs="Courier New" w:eastAsia="Courier New" w:hAnsi="Courier New"/>
          <w:sz w:val="15"/>
          <w:szCs w:val="15"/>
          <w:color w:val="auto"/>
        </w:rPr>
        <w:t>KENDRICK B. MELROSE</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Chairman and CEO</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February 10, 1997</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Dear Stockholder:</w:t>
      </w:r>
    </w:p>
    <w:p>
      <w:pPr>
        <w:spacing w:after="0" w:line="180" w:lineRule="exact"/>
        <w:rPr>
          <w:sz w:val="20"/>
          <w:szCs w:val="20"/>
          <w:color w:val="auto"/>
        </w:rPr>
      </w:pPr>
    </w:p>
    <w:p>
      <w:pPr>
        <w:ind w:left="900" w:right="3859"/>
        <w:spacing w:after="0" w:line="246" w:lineRule="auto"/>
        <w:rPr>
          <w:sz w:val="20"/>
          <w:szCs w:val="20"/>
          <w:color w:val="auto"/>
        </w:rPr>
      </w:pPr>
      <w:r>
        <w:rPr>
          <w:rFonts w:ascii="Courier New" w:cs="Courier New" w:eastAsia="Courier New" w:hAnsi="Courier New"/>
          <w:sz w:val="15"/>
          <w:szCs w:val="15"/>
          <w:color w:val="auto"/>
        </w:rPr>
        <w:t>You are cordially invited to join us for the Toro Annual Meeting of Stockholders, to be held at 3:00 p.m. C.S.T. on Thursday, March 13, 1997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180" w:lineRule="exact"/>
        <w:rPr>
          <w:sz w:val="20"/>
          <w:szCs w:val="20"/>
          <w:color w:val="auto"/>
        </w:rPr>
      </w:pPr>
    </w:p>
    <w:p>
      <w:pPr>
        <w:ind w:left="900" w:right="3859"/>
        <w:spacing w:after="0" w:line="246" w:lineRule="auto"/>
        <w:rPr>
          <w:sz w:val="20"/>
          <w:szCs w:val="20"/>
          <w:color w:val="auto"/>
        </w:rPr>
      </w:pPr>
      <w:r>
        <w:rPr>
          <w:rFonts w:ascii="Courier New" w:cs="Courier New" w:eastAsia="Courier New" w:hAnsi="Courier New"/>
          <w:sz w:val="15"/>
          <w:szCs w:val="15"/>
          <w:color w:val="auto"/>
        </w:rPr>
        <w:t>In addition to Annual Meeting formalities, we plan to report to stockholders generally on the Company, and will be pleased to answer stockholders' questions relating to the Company.</w:t>
      </w:r>
    </w:p>
    <w:p>
      <w:pPr>
        <w:spacing w:after="0" w:line="177" w:lineRule="exact"/>
        <w:rPr>
          <w:sz w:val="20"/>
          <w:szCs w:val="20"/>
          <w:color w:val="auto"/>
        </w:rPr>
      </w:pPr>
    </w:p>
    <w:p>
      <w:pPr>
        <w:ind w:left="900" w:right="3959"/>
        <w:spacing w:after="0" w:line="246" w:lineRule="auto"/>
        <w:rPr>
          <w:sz w:val="20"/>
          <w:szCs w:val="20"/>
          <w:color w:val="auto"/>
        </w:rPr>
      </w:pPr>
      <w:r>
        <w:rPr>
          <w:rFonts w:ascii="Courier New" w:cs="Courier New" w:eastAsia="Courier New" w:hAnsi="Courier New"/>
          <w:sz w:val="15"/>
          <w:szCs w:val="15"/>
          <w:color w:val="auto"/>
        </w:rPr>
        <w:t>As a stockholder of Toro, you have a vested interest in the future of the Company and we therefore hope you plan to attend the Annual Meeting. However, if you will not be able to join us, we urge you to exercise your right as a stockholder and to vote by proxy. For this purpose, please promptly sign, date and return the enclosed proxy card.</w:t>
      </w:r>
    </w:p>
    <w:p>
      <w:pPr>
        <w:spacing w:after="0" w:line="178" w:lineRule="exact"/>
        <w:rPr>
          <w:sz w:val="20"/>
          <w:szCs w:val="20"/>
          <w:color w:val="auto"/>
        </w:rPr>
      </w:pPr>
    </w:p>
    <w:p>
      <w:pPr>
        <w:ind w:left="900" w:right="3859"/>
        <w:spacing w:after="0" w:line="247" w:lineRule="auto"/>
        <w:rPr>
          <w:sz w:val="20"/>
          <w:szCs w:val="20"/>
          <w:color w:val="auto"/>
        </w:rPr>
      </w:pPr>
      <w:r>
        <w:rPr>
          <w:rFonts w:ascii="Courier New" w:cs="Courier New" w:eastAsia="Courier New" w:hAnsi="Courier New"/>
          <w:sz w:val="15"/>
          <w:szCs w:val="15"/>
          <w:color w:val="auto"/>
        </w:rPr>
        <w:t>On behalf of your Toro Board of Directors and management, it is my pleasure to express our appreciation for your continued support during 1997.</w:t>
      </w:r>
    </w:p>
    <w:p>
      <w:pPr>
        <w:spacing w:after="0" w:line="17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Sincerely,</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Kendrick B. Melrose</w:t>
      </w:r>
    </w:p>
    <w:p>
      <w:pPr>
        <w:spacing w:after="0" w:line="180" w:lineRule="exact"/>
        <w:rPr>
          <w:sz w:val="20"/>
          <w:szCs w:val="20"/>
          <w:color w:val="auto"/>
        </w:rPr>
      </w:pPr>
    </w:p>
    <w:p>
      <w:pPr>
        <w:jc w:val="center"/>
        <w:ind w:left="260" w:right="3319"/>
        <w:spacing w:after="0" w:line="247" w:lineRule="auto"/>
        <w:rPr>
          <w:sz w:val="20"/>
          <w:szCs w:val="20"/>
          <w:color w:val="auto"/>
        </w:rPr>
      </w:pPr>
      <w:r>
        <w:rPr>
          <w:rFonts w:ascii="Courier New" w:cs="Courier New" w:eastAsia="Courier New" w:hAnsi="Courier New"/>
          <w:sz w:val="15"/>
          <w:szCs w:val="15"/>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19"/>
          </w:cols>
          <w:pgMar w:left="240" w:top="642" w:right="1440" w:bottom="1440" w:gutter="0" w:footer="0" w:header="0"/>
          <w:type w:val="continuous"/>
        </w:sectPr>
      </w:pPr>
    </w:p>
    <w:bookmarkStart w:id="2" w:name="page3"/>
    <w:bookmarkEnd w:id="2"/>
    <w:p>
      <w:pPr>
        <w:jc w:val="center"/>
        <w:ind w:right="2952"/>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NOTICE OF ANNUAL MEETING</w:t>
      </w:r>
    </w:p>
    <w:p>
      <w:pPr>
        <w:spacing w:after="0" w:line="180"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Notice is hereby given that the Annual Meeting of Stockholders of The Toro Company will be held on Thursday, March 13, 1997 at 3:00 p.m. C.S.T. at the corporate offices of The Toro Company, 8111 Lyndale Avenue South, Bloomington, Minnesota, for the purpose of considering and acting upon the following matters as described in the accompanying Proxy Statement:</w:t>
      </w:r>
    </w:p>
    <w:p>
      <w:pPr>
        <w:spacing w:after="0" w:line="178" w:lineRule="exact"/>
        <w:rPr>
          <w:sz w:val="20"/>
          <w:szCs w:val="20"/>
          <w:color w:val="auto"/>
        </w:rPr>
      </w:pPr>
    </w:p>
    <w:p>
      <w:pPr>
        <w:ind w:left="367" w:hanging="367"/>
        <w:spacing w:after="0"/>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each to serve for a term of three years;</w:t>
      </w:r>
    </w:p>
    <w:p>
      <w:pPr>
        <w:spacing w:after="0" w:line="179"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Continuous Performance Award Plan as described in the Proxy Statement which follows this Notice;</w:t>
      </w:r>
    </w:p>
    <w:p>
      <w:pPr>
        <w:spacing w:after="0" w:line="174"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Annual Management Incentive Plan as described in the Proxy Statement which follows this Notice;</w:t>
      </w:r>
    </w:p>
    <w:p>
      <w:pPr>
        <w:spacing w:after="0" w:line="174" w:lineRule="exact"/>
        <w:rPr>
          <w:rFonts w:ascii="Courier New" w:cs="Courier New" w:eastAsia="Courier New" w:hAnsi="Courier New"/>
          <w:sz w:val="15"/>
          <w:szCs w:val="15"/>
          <w:color w:val="auto"/>
        </w:rPr>
      </w:pPr>
    </w:p>
    <w:p>
      <w:pPr>
        <w:ind w:left="367" w:right="321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selection of auditors for the Company for Fiscal 1997 (the fiscal year ending October 31, 1997); and</w:t>
      </w:r>
    </w:p>
    <w:p>
      <w:pPr>
        <w:spacing w:after="0" w:line="174" w:lineRule="exact"/>
        <w:rPr>
          <w:rFonts w:ascii="Courier New" w:cs="Courier New" w:eastAsia="Courier New" w:hAnsi="Courier New"/>
          <w:sz w:val="15"/>
          <w:szCs w:val="15"/>
          <w:color w:val="auto"/>
        </w:rPr>
      </w:pPr>
    </w:p>
    <w:p>
      <w:pPr>
        <w:ind w:left="367" w:right="349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and any adjournment thereof.</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 list of stockholders entitled to vote at the Annual Meeting will be available at the corporate offices of The Toro Company, 8111 Lyndale Avenue South, Bloomington, Minnesota, commencing February 27, 1997, during ordinary business hours, for examination by any stockholder registered on the Company's Stock Ledger as of the record date, for any purpose germane to the Annual Meeting. The list of stockholders will be available at the Annual Meeting for the same purpose.</w:t>
      </w:r>
    </w:p>
    <w:p>
      <w:pPr>
        <w:spacing w:after="0" w:line="179"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Only stockholders of record on January 13, 1997 will be entitled to vote at the meeting. Since a majority of the outstanding shares of the Company's Common Stock must be represented either in person or by proxy to constitute a quorum for the conduct of business, PLEASE SIGN, DATE AND RETURN THE ENCLOSED PROXY CARD PROMPTLY.</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February 10, 1997</w:t>
      </w:r>
    </w:p>
    <w:p>
      <w:pPr>
        <w:spacing w:after="0" w:line="180" w:lineRule="exact"/>
        <w:rPr>
          <w:sz w:val="20"/>
          <w:szCs w:val="20"/>
          <w:color w:val="auto"/>
        </w:rPr>
      </w:pPr>
    </w:p>
    <w:p>
      <w:pPr>
        <w:jc w:val="center"/>
        <w:ind w:right="-127"/>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jc w:val="center"/>
        <w:ind w:right="232"/>
        <w:spacing w:after="0"/>
        <w:rPr>
          <w:sz w:val="20"/>
          <w:szCs w:val="20"/>
          <w:color w:val="auto"/>
        </w:rPr>
      </w:pPr>
      <w:r>
        <w:rPr>
          <w:rFonts w:ascii="Courier New" w:cs="Courier New" w:eastAsia="Courier New" w:hAnsi="Courier New"/>
          <w:sz w:val="15"/>
          <w:szCs w:val="15"/>
          <w:color w:val="auto"/>
        </w:rPr>
        <w:t>J. LAWRENCE MCINTYRE</w:t>
      </w:r>
    </w:p>
    <w:p>
      <w:pPr>
        <w:spacing w:after="0" w:line="5" w:lineRule="exact"/>
        <w:rPr>
          <w:sz w:val="20"/>
          <w:szCs w:val="20"/>
          <w:color w:val="auto"/>
        </w:rPr>
      </w:pPr>
    </w:p>
    <w:p>
      <w:pPr>
        <w:jc w:val="center"/>
        <w:ind w:right="132"/>
        <w:spacing w:after="0"/>
        <w:rPr>
          <w:sz w:val="20"/>
          <w:szCs w:val="20"/>
          <w:color w:val="auto"/>
        </w:rPr>
      </w:pPr>
      <w:r>
        <w:rPr>
          <w:rFonts w:ascii="Courier New" w:cs="Courier New" w:eastAsia="Courier New" w:hAnsi="Courier New"/>
          <w:sz w:val="15"/>
          <w:szCs w:val="15"/>
          <w:color w:val="auto"/>
        </w:rPr>
        <w:t>Vice President, Secretary and General Counsel</w:t>
      </w:r>
    </w:p>
    <w:p>
      <w:pPr>
        <w:sectPr>
          <w:pgSz w:w="11900" w:h="16838" w:orient="portrait"/>
          <w:cols w:equalWidth="0" w:num="1">
            <w:col w:w="10226"/>
          </w:cols>
          <w:pgMar w:left="233" w:top="468" w:right="1440"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8111 Lyndale Avenue South</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Bloomington, Minnesota 55420-1196</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Thursday, March 13, 1997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February 10, 1997.</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ANNUAL REPORT</w:t>
      </w:r>
    </w:p>
    <w:p>
      <w:pPr>
        <w:spacing w:after="0" w:line="180" w:lineRule="exact"/>
        <w:rPr>
          <w:sz w:val="20"/>
          <w:szCs w:val="20"/>
          <w:color w:val="auto"/>
        </w:rPr>
      </w:pPr>
    </w:p>
    <w:p>
      <w:pPr>
        <w:ind w:right="3219" w:firstLine="545"/>
        <w:spacing w:after="0" w:line="247" w:lineRule="auto"/>
        <w:rPr>
          <w:sz w:val="20"/>
          <w:szCs w:val="20"/>
          <w:color w:val="auto"/>
        </w:rPr>
      </w:pPr>
      <w:r>
        <w:rPr>
          <w:rFonts w:ascii="Courier New" w:cs="Courier New" w:eastAsia="Courier New" w:hAnsi="Courier New"/>
          <w:sz w:val="15"/>
          <w:szCs w:val="15"/>
          <w:color w:val="auto"/>
        </w:rPr>
        <w:t>The Annual Report of the Company for Fiscal 1996 (the fiscal year ended October 31, 1996) including financial statements is enclosed.</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COST AND METHOD OF SOLICITATION</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cost of soliciting proxies will be borne by the Company. Arrangements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made with brokerage houses, custodians, nominees and other fiduciaries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send proxy material to the beneficial owners of the Common Stock, 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 share (the "Common Stock"), and the Company will reimburse them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reasonable out-of-pocket expenses. In addition to solicitation by mail,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employees of the Company, who will receive no compensation for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other than regular employee compensation, may solicit proxies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electronic transmission and personally. The Company has retained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Morrow &amp; Co. to assist in distributing proxy materials and in making mail,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and personal solicitation of proxies from holders of the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fee of such firm is estimated to be $4,500 plus out-of-pocket costs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VOTING RIGHTS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Holders of record of the Common Stock at the close of business on January 13, 1997 (the "Record Date") will be entitled to vote at the Annual Meeting and any adjournment thereof. On that date, the Company had outstanding and entitled to vote 12,125,331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749,472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An abstention will thus be the equivalent of a negative vote.</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183"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8" w:right="1440" w:bottom="1440" w:gutter="0" w:footer="0" w:header="0"/>
        </w:sectPr>
      </w:pPr>
    </w:p>
    <w:bookmarkStart w:id="4" w:name="page5"/>
    <w:bookmarkEnd w:id="4"/>
    <w:p>
      <w:pPr>
        <w:ind w:left="2440"/>
        <w:spacing w:after="0"/>
        <w:rPr>
          <w:sz w:val="20"/>
          <w:szCs w:val="20"/>
          <w:color w:val="auto"/>
        </w:rPr>
      </w:pPr>
      <w:r>
        <w:rPr>
          <w:rFonts w:ascii="Courier New" w:cs="Courier New" w:eastAsia="Courier New" w:hAnsi="Courier New"/>
          <w:sz w:val="15"/>
          <w:szCs w:val="15"/>
          <w:color w:val="auto"/>
        </w:rPr>
        <w:t>PROCEDURE FOR NOMINATIONS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187"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FISCAL YEAR END/TRANSITION PERIOD</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August 1995, the Board of Directors of the Company approved a change in the Company's fiscal year end from July 31 to October 31. The period from August 1, 1995 through October 31, 1995 thereby became a "Transition Period". The disclosures made in this Proxy Statement relate to the fiscal year ended October 31, 1996, the Transition Period and, in some cases, the fiscal years ended July 31, 1995 and 1994.</w:t>
      </w:r>
    </w:p>
    <w:p>
      <w:pPr>
        <w:spacing w:after="0" w:line="178"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PRINCIPAL HOLDERS OF COMPANY STOCK</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following table sets forth information as of January 13, 1997 regarding the beneficial ownership of the Common Stock of the Company by each of the directors and nominees, each of the Chief Executive Officer and the four other most highly compensated executive officers (the "named executive officers"), holders of more than 5% of the Common Stock and by all directors and executive officers as a group.</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AMOUNT AND NATURE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TITLE OF</w:t>
            </w:r>
          </w:p>
        </w:tc>
        <w:tc>
          <w:tcPr>
            <w:tcW w:w="2680" w:type="dxa"/>
            <w:vAlign w:val="bottom"/>
          </w:tcPr>
          <w:p>
            <w:pPr>
              <w:ind w:left="920"/>
              <w:spacing w:after="0"/>
              <w:rPr>
                <w:sz w:val="20"/>
                <w:szCs w:val="20"/>
                <w:color w:val="auto"/>
              </w:rPr>
            </w:pPr>
            <w:r>
              <w:rPr>
                <w:rFonts w:ascii="Courier New" w:cs="Courier New" w:eastAsia="Courier New" w:hAnsi="Courier New"/>
                <w:sz w:val="15"/>
                <w:szCs w:val="15"/>
                <w:color w:val="auto"/>
              </w:rPr>
              <w:t>NAME OF</w:t>
            </w:r>
          </w:p>
        </w:tc>
        <w:tc>
          <w:tcPr>
            <w:tcW w:w="19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OF BENEFICIAL</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OF</w:t>
            </w: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BENEFICIAL OWNER (1)</w:t>
            </w:r>
          </w:p>
        </w:tc>
        <w:tc>
          <w:tcPr>
            <w:tcW w:w="19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OWNERSHIP</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50"/>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Fidelity Management &amp;</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909,000(2)</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7.5%</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Research Company</w:t>
            </w: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82 Devonshire Street</w:t>
            </w: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Boston, MA 02109-3614</w:t>
            </w: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Ronald O. Baukol</w:t>
            </w:r>
          </w:p>
        </w:tc>
        <w:tc>
          <w:tcPr>
            <w:tcW w:w="19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776</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Robert C. Buhrmaster</w:t>
            </w:r>
          </w:p>
        </w:tc>
        <w:tc>
          <w:tcPr>
            <w:tcW w:w="19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1,654</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Janet K. Cooper</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2,087(3)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Calvin R. Hendrix(4)</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7,713(3)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57,846(3)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40,613(3)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1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69,363(3)(5)</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588,563(3)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4.7%</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Alex A. Meyer</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2,804(3)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Robert H. Nassau</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2,025(3)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Dale R. Olseth</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7,418(3)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Edwin H. Wingate</w:t>
            </w:r>
          </w:p>
        </w:tc>
        <w:tc>
          <w:tcPr>
            <w:tcW w:w="1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3,153(3)</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5"/>
        </w:trPr>
        <w:tc>
          <w:tcPr>
            <w:tcW w:w="12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All directors &amp; executive</w:t>
            </w:r>
          </w:p>
        </w:tc>
        <w:tc>
          <w:tcPr>
            <w:tcW w:w="1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919,776(5)(6)</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7.2%</w:t>
            </w: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officers as a group</w:t>
            </w: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12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(17 persons)</w:t>
            </w: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24"/>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5"/>
        </w:trPr>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  Less than</w:t>
            </w:r>
          </w:p>
        </w:tc>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1% of the outstanding shares of Common Stock.</w:t>
            </w:r>
          </w:p>
        </w:tc>
        <w:tc>
          <w:tcPr>
            <w:tcW w:w="760" w:type="dxa"/>
            <w:vAlign w:val="bottom"/>
          </w:tcPr>
          <w:p>
            <w:pPr>
              <w:spacing w:after="0"/>
              <w:rPr>
                <w:sz w:val="15"/>
                <w:szCs w:val="15"/>
                <w:color w:val="auto"/>
              </w:rPr>
            </w:pPr>
          </w:p>
        </w:tc>
      </w:tr>
      <w:tr>
        <w:trPr>
          <w:trHeight w:val="350"/>
        </w:trPr>
        <w:tc>
          <w:tcPr>
            <w:tcW w:w="1260" w:type="dxa"/>
            <w:vAlign w:val="bottom"/>
          </w:tcPr>
          <w:p>
            <w:pPr>
              <w:spacing w:after="0"/>
              <w:rPr>
                <w:sz w:val="24"/>
                <w:szCs w:val="24"/>
                <w:color w:val="auto"/>
              </w:rPr>
            </w:pPr>
          </w:p>
        </w:tc>
        <w:tc>
          <w:tcPr>
            <w:tcW w:w="2680" w:type="dxa"/>
            <w:vAlign w:val="bottom"/>
          </w:tcPr>
          <w:p>
            <w:pPr>
              <w:ind w:left="2280"/>
              <w:spacing w:after="0"/>
              <w:rPr>
                <w:sz w:val="20"/>
                <w:szCs w:val="20"/>
                <w:color w:val="auto"/>
              </w:rPr>
            </w:pPr>
            <w:r>
              <w:rPr>
                <w:rFonts w:ascii="Courier New" w:cs="Courier New" w:eastAsia="Courier New" w:hAnsi="Courier New"/>
                <w:sz w:val="15"/>
                <w:szCs w:val="15"/>
                <w:color w:val="auto"/>
              </w:rPr>
              <w:t>2</w:t>
            </w: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5" w:name="page6"/>
    <w:bookmarkEnd w:id="5"/>
    <w:p>
      <w:pPr>
        <w:ind w:left="367" w:right="2959" w:hanging="367"/>
        <w:spacing w:after="0" w:line="246"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a Form 13G filed by FMR Corp., Fidelity Management &amp; Research Company ("Fidelity"), a subsidiary of FMR Corp. and registered investment advisor, is the beneficial owner of 780,600 of these shares or 6.48% of the outstanding Common Stock. Edward C. Johnson 3d, Chairman of FMR Corp. ("Mr. Johnson"), FMR Corp., through its control of Fidelity, and Fidelity Funds each has sole power to dispose of the 780,600 shares owned by the Funds. Neither FMR Corp. nor Mr. Johnson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("Fidelity Trust"), a wholly-owned subsidiary of FMR Corp. and a bank, is the beneficial owner of 128,400 shares or 1.07% of the outstanding Common Stock as a result of serving as investment manager of institutional accounts. Mr. Johnson and FMR Corp., through its control of Fidelity Trust, have sole dispositive power over these 128,400 shares and sole power to vote or to direct the voting of 119,400 shares, and no power to vote or to direct the voting of 9,000 shares. According to the Form 13G, members of Mr. Johnson's family and trusts for their benefit are deemed to form a controlling group with respect to FMR Corp. This information is as of March 31, 1996, the date of the most recent report on Form 13G received by the Company.</w:t>
      </w:r>
    </w:p>
    <w:p>
      <w:pPr>
        <w:spacing w:after="0" w:line="18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that may be acquired upon exercise of stock options within 60 days and shares allocated under employee benefit plans. Stock options exercisable in 60 days for each of the named directors and executive officers are as follows: Janet K. Cooper 1,000 shares, Alex A. Meyer 1,000 shares, Robert H. Nassau 1,000 shares, Dale R. Olseth 1,000 shares, Edwin H. Wingate 1,000 shares, Kendrick B. Melrose 430,968 shares (including a</w:t>
      </w:r>
    </w:p>
    <w:p>
      <w:pPr>
        <w:spacing w:after="0" w:line="3" w:lineRule="exact"/>
        <w:rPr>
          <w:rFonts w:ascii="Courier New" w:cs="Courier New" w:eastAsia="Courier New" w:hAnsi="Courier New"/>
          <w:sz w:val="15"/>
          <w:szCs w:val="15"/>
          <w:color w:val="auto"/>
        </w:rPr>
      </w:pPr>
    </w:p>
    <w:p>
      <w:pPr>
        <w:ind w:left="3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300,000 share salary replacement option, the final 100,000 shares which became exercisable December 10, 1996), Gerald T. Knight 48,150 shares, J. David McIntosh 39,485 shares, Calvin R. Hendrix no shares, Charles B. Lounsbury 33,991 shares and all other executive officers as a group 82,489 shares.</w:t>
      </w:r>
    </w:p>
    <w:p>
      <w:pPr>
        <w:spacing w:after="0" w:line="177" w:lineRule="exact"/>
        <w:rPr>
          <w:rFonts w:ascii="Courier New" w:cs="Courier New" w:eastAsia="Courier New" w:hAnsi="Courier New"/>
          <w:sz w:val="15"/>
          <w:szCs w:val="15"/>
          <w:color w:val="auto"/>
        </w:rPr>
      </w:pPr>
    </w:p>
    <w:p>
      <w:pPr>
        <w:ind w:left="367" w:right="341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Hendrix resigned as an officer of the Company effective January 15, 1997.</w:t>
      </w:r>
    </w:p>
    <w:p>
      <w:pPr>
        <w:spacing w:after="0" w:line="174" w:lineRule="exact"/>
        <w:rPr>
          <w:rFonts w:ascii="Courier New" w:cs="Courier New" w:eastAsia="Courier New" w:hAnsi="Courier New"/>
          <w:sz w:val="15"/>
          <w:szCs w:val="15"/>
          <w:color w:val="auto"/>
        </w:rPr>
      </w:pPr>
    </w:p>
    <w:p>
      <w:pPr>
        <w:ind w:left="367" w:right="349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434 shares held of record by spouse as custodian for minor children. Mr. McIntosh disclaims beneficial ownership of these shares.</w:t>
      </w:r>
    </w:p>
    <w:p>
      <w:pPr>
        <w:spacing w:after="0" w:line="174" w:lineRule="exact"/>
        <w:rPr>
          <w:rFonts w:ascii="Courier New" w:cs="Courier New" w:eastAsia="Courier New" w:hAnsi="Courier New"/>
          <w:sz w:val="15"/>
          <w:szCs w:val="15"/>
          <w:color w:val="auto"/>
        </w:rPr>
      </w:pPr>
    </w:p>
    <w:p>
      <w:pPr>
        <w:ind w:left="367" w:right="367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2,129 shares held of record by spouses or minor children of executive officers, with respect to which the officer may disclaim beneficial ownership.</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468" w:right="1440" w:bottom="1440" w:gutter="0" w:footer="0" w:header="0"/>
        </w:sectPr>
      </w:pPr>
    </w:p>
    <w:bookmarkStart w:id="6" w:name="page7"/>
    <w:bookmarkEnd w:id="6"/>
    <w:p>
      <w:pPr>
        <w:ind w:left="3080"/>
        <w:spacing w:after="0"/>
        <w:rPr>
          <w:sz w:val="20"/>
          <w:szCs w:val="20"/>
          <w:color w:val="auto"/>
        </w:rPr>
      </w:pPr>
      <w:r>
        <w:rPr>
          <w:rFonts w:ascii="Courier New" w:cs="Courier New" w:eastAsia="Courier New" w:hAnsi="Courier New"/>
          <w:sz w:val="15"/>
          <w:szCs w:val="15"/>
          <w:color w:val="auto"/>
        </w:rPr>
        <w:t>PROPOSAL ONE</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ELECTION OF DIRECTORS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Pursuant to Article VI, Section 1 of the Certificate of Incorporation of the Company, the number of directors is to consist of not less than eight nor more than eleven directors. The maximum and minimum number of directors can be changed only by amendment of the Certificate of Incorporation approved by the affirmative vote of holders of 80% of the outstanding Common Stock of the Company. The Board has currently fixed the number of directors at eight.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Janet K. Cooper, Kendrick B. Melrose and Edwin H. Wingate. The three nominees have consented to serve if elected.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NOMINEES FOR ELECTION TO BOARD OF DIRECTORS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(TERM ENDING AFTER FISCAL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JANET K. COOPER, age 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 since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The Quaker Oats Company, Chicago,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 (foods and beverages). She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previously served as Assistant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March 1990 to July 1992 and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Director-Planning of North American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Foods from September 1989 to March 1990.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elected to the Toro Board in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 is also Chairman of the Audit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a member of the Nominating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Cooper is a director of Midwest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Region Advisory Board of Awkwright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Company.</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KENDRICK B. MELROSE, age 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Toro since December 1987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of Toro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1983. Elected President of Toro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December 1995. Employed by The Toro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since 1970. First elected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 Board in February 1981, Mr.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also Chairman of the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an ex-officio member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Nominating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Melrose is a director of BSI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Donaldson Company,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Jostens, Inc. and The Valspar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468"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EDWIN H. WINGATE, age 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President-Personnel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1980, Dayton Hudson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(retailing).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elected to the Toro Board in 1989,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 is also a member of the Nominating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the Executive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Wingate is a director of Roche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Brothers Supermarkets, Inc., Wellesley,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and Linbeck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MEMBERS OF BOARD OF DIRECTORS CONTINUING IN OFFICE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(TERM ENDING AFTER FISCAL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C. BUHRMASTER, age 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March 1994, Jostens,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(consumer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Served as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 from June 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March 1994, as Executive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from December 1992 to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Served in various capacities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Corning, Inc. for 18 years, serving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of Strategy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Development immediately prior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joining Jostens, Inc. First elected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Toro Board in March 1996, he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a member of the Audit Committee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Buhrmaster is a director of Jostens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Learning Corporation and Marietta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 NASSAU, age 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January 1, 1997, St. Raymond Wood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Holding Limited, Boston,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(wood manufacturing).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1994 to December 1996 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Senior Vice President Ply Gem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Inc., New York, New York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 of the Goldenberg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its wholly-owned 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President and Chief Executive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ficer, Allied Plywood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Concord, Massachusetts, a wholly-owned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Ply-Gem Industries,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(wood distribution and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July 1991 to December 1996. 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elected to the Toro Board in 1988, he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a member of the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and the Nominating Committee.</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468"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MEMBERS OF BOARD OF DIRECTORS CONTINUING IN OFFICE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(TERM ENDING AFTER FISCAL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O. BAUKOL, age 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International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since May 1995, Minnesota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Mining and Manufacturing Company (3M),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Paul, Minnesota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Served as Vice President, Asia Pacific,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 and Latin America from February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to April 1995, as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 Pacific from July 1991 to February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and as Group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Medical Products Group from September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1990 to July 1991. First elected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 Board in December 1995, he is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member of the Audit Committee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Baukol is a director of Graco,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Minnesota Mining and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[PHOTO]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 A. MEYER, age 65.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From January 1986 through April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was Senior Vice President of Amana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Refrigeration, Inc., a subsidiary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Raytheon, Inc., Amana, Iowa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First elected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 Board in 1986, he is also a member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Audit Committee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80" w:lineRule="exact"/>
        <w:rPr>
          <w:sz w:val="20"/>
          <w:szCs w:val="20"/>
          <w:color w:val="auto"/>
        </w:rPr>
      </w:pPr>
    </w:p>
    <w:p>
      <w:pPr>
        <w:sectPr>
          <w:pgSz w:w="11900" w:h="16838" w:orient="portrait"/>
          <w:cols w:equalWidth="0" w:num="2">
            <w:col w:w="1360" w:space="720"/>
            <w:col w:w="813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[PHOTO]</w:t>
            </w:r>
          </w:p>
        </w:tc>
        <w:tc>
          <w:tcPr>
            <w:tcW w:w="41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DALE R. OLSETH, age 66.</w:t>
            </w:r>
          </w:p>
        </w:tc>
      </w:tr>
      <w:tr>
        <w:trPr>
          <w:trHeight w:val="175"/>
        </w:trPr>
        <w:tc>
          <w:tcPr>
            <w:tcW w:w="11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President and</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Chief Executive Officer</w:t>
            </w:r>
          </w:p>
        </w:tc>
      </w:tr>
      <w:tr>
        <w:trPr>
          <w:trHeight w:val="175"/>
        </w:trPr>
        <w:tc>
          <w:tcPr>
            <w:tcW w:w="1180" w:type="dxa"/>
            <w:vAlign w:val="bottom"/>
          </w:tcPr>
          <w:p>
            <w:pPr>
              <w:spacing w:after="0"/>
              <w:rPr>
                <w:sz w:val="15"/>
                <w:szCs w:val="15"/>
                <w:color w:val="auto"/>
              </w:rPr>
            </w:pPr>
          </w:p>
        </w:tc>
        <w:tc>
          <w:tcPr>
            <w:tcW w:w="24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since November 1986,</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rPr>
              <w:t>BSI Corporation</w:t>
            </w:r>
          </w:p>
        </w:tc>
      </w:tr>
      <w:tr>
        <w:trPr>
          <w:trHeight w:val="175"/>
        </w:trPr>
        <w:tc>
          <w:tcPr>
            <w:tcW w:w="1180" w:type="dxa"/>
            <w:vAlign w:val="bottom"/>
          </w:tcPr>
          <w:p>
            <w:pPr>
              <w:spacing w:after="0"/>
              <w:rPr>
                <w:sz w:val="15"/>
                <w:szCs w:val="15"/>
                <w:color w:val="auto"/>
              </w:rPr>
            </w:pPr>
          </w:p>
        </w:tc>
        <w:tc>
          <w:tcPr>
            <w:tcW w:w="24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(formerly Bio-Metric</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rPr>
              <w:t>Systems, Inc.),</w:t>
            </w:r>
          </w:p>
        </w:tc>
      </w:tr>
      <w:tr>
        <w:trPr>
          <w:trHeight w:val="175"/>
        </w:trPr>
        <w:tc>
          <w:tcPr>
            <w:tcW w:w="11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Eden Prairie,</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Minnesota (biotechnology).</w:t>
            </w:r>
          </w:p>
        </w:tc>
      </w:tr>
      <w:tr>
        <w:trPr>
          <w:trHeight w:val="175"/>
        </w:trPr>
        <w:tc>
          <w:tcPr>
            <w:tcW w:w="11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First elected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to the</w:t>
            </w:r>
          </w:p>
        </w:tc>
        <w:tc>
          <w:tcPr>
            <w:tcW w:w="1780" w:type="dxa"/>
            <w:vAlign w:val="bottom"/>
          </w:tcPr>
          <w:p>
            <w:pPr>
              <w:ind w:left="60"/>
              <w:spacing w:after="0"/>
              <w:rPr>
                <w:sz w:val="20"/>
                <w:szCs w:val="20"/>
                <w:color w:val="auto"/>
              </w:rPr>
            </w:pPr>
            <w:r>
              <w:rPr>
                <w:rFonts w:ascii="Courier New" w:cs="Courier New" w:eastAsia="Courier New" w:hAnsi="Courier New"/>
                <w:sz w:val="15"/>
                <w:szCs w:val="15"/>
                <w:color w:val="auto"/>
              </w:rPr>
              <w:t>Toro Board of</w:t>
            </w:r>
          </w:p>
        </w:tc>
      </w:tr>
      <w:tr>
        <w:trPr>
          <w:trHeight w:val="175"/>
        </w:trPr>
        <w:tc>
          <w:tcPr>
            <w:tcW w:w="1180" w:type="dxa"/>
            <w:vAlign w:val="bottom"/>
          </w:tcPr>
          <w:p>
            <w:pPr>
              <w:spacing w:after="0"/>
              <w:rPr>
                <w:sz w:val="15"/>
                <w:szCs w:val="15"/>
                <w:color w:val="auto"/>
              </w:rPr>
            </w:pPr>
          </w:p>
        </w:tc>
        <w:tc>
          <w:tcPr>
            <w:tcW w:w="41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Directors in 1980, he is also Chairman</w:t>
            </w:r>
          </w:p>
        </w:tc>
      </w:tr>
      <w:tr>
        <w:trPr>
          <w:trHeight w:val="175"/>
        </w:trPr>
        <w:tc>
          <w:tcPr>
            <w:tcW w:w="1180" w:type="dxa"/>
            <w:vAlign w:val="bottom"/>
          </w:tcPr>
          <w:p>
            <w:pPr>
              <w:spacing w:after="0"/>
              <w:rPr>
                <w:sz w:val="15"/>
                <w:szCs w:val="15"/>
                <w:color w:val="auto"/>
              </w:rPr>
            </w:pPr>
          </w:p>
        </w:tc>
        <w:tc>
          <w:tcPr>
            <w:tcW w:w="418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of the Compensation Committee and a</w:t>
            </w:r>
          </w:p>
        </w:tc>
      </w:tr>
      <w:tr>
        <w:trPr>
          <w:trHeight w:val="175"/>
        </w:trPr>
        <w:tc>
          <w:tcPr>
            <w:tcW w:w="11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member of the</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Audit Committee and the</w:t>
            </w:r>
          </w:p>
        </w:tc>
      </w:tr>
      <w:tr>
        <w:trPr>
          <w:trHeight w:val="175"/>
        </w:trPr>
        <w:tc>
          <w:tcPr>
            <w:tcW w:w="1180" w:type="dxa"/>
            <w:vAlign w:val="bottom"/>
          </w:tcPr>
          <w:p>
            <w:pPr>
              <w:spacing w:after="0"/>
              <w:rPr>
                <w:sz w:val="15"/>
                <w:szCs w:val="15"/>
                <w:color w:val="auto"/>
              </w:rPr>
            </w:pPr>
          </w:p>
        </w:tc>
        <w:tc>
          <w:tcPr>
            <w:tcW w:w="24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Executive Committee.</w:t>
            </w:r>
          </w:p>
        </w:tc>
        <w:tc>
          <w:tcPr>
            <w:tcW w:w="1780" w:type="dxa"/>
            <w:vAlign w:val="bottom"/>
          </w:tcPr>
          <w:p>
            <w:pPr>
              <w:spacing w:after="0"/>
              <w:rPr>
                <w:sz w:val="15"/>
                <w:szCs w:val="15"/>
                <w:color w:val="auto"/>
              </w:rPr>
            </w:pPr>
          </w:p>
        </w:tc>
      </w:tr>
      <w:tr>
        <w:trPr>
          <w:trHeight w:val="175"/>
        </w:trPr>
        <w:tc>
          <w:tcPr>
            <w:tcW w:w="1180" w:type="dxa"/>
            <w:vAlign w:val="bottom"/>
          </w:tcPr>
          <w:p>
            <w:pPr>
              <w:spacing w:after="0"/>
              <w:rPr>
                <w:sz w:val="15"/>
                <w:szCs w:val="15"/>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Mr. Olseth is</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director of Graco, Inc.</w:t>
            </w:r>
          </w:p>
        </w:tc>
      </w:tr>
    </w:tbl>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COMMITTEES OF THE BOARD. The Board of Directors is responsible for the overall affairs of the Company. Six Board meetings were held during Fiscal 1996 and two Board meetings were held during the Transition Period. With the exception of Mr. Baukol, each incumbent director attended at least 75% of the aggregate total number of meetings of the Board and of all committees on which he or she served, held during Fiscal 1996. With respect to the Transition Period each incumbent director attended at least 75% of the aggregate total number of meetings held of the Board and of all committees on which he or she served. To assist in carrying out its duties, the Board has delegated certain authority to four standing committees: Executive, Audit, Compensation and Nominating.</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8" w:right="1440" w:bottom="1440" w:gutter="0" w:footer="0" w:header="0"/>
          <w:type w:val="continuous"/>
        </w:sectPr>
      </w:pPr>
    </w:p>
    <w:bookmarkStart w:id="9" w:name="page10"/>
    <w:bookmarkEnd w:id="9"/>
    <w:p>
      <w:pPr>
        <w:ind w:right="3039" w:firstLine="545"/>
        <w:spacing w:after="0" w:line="246" w:lineRule="auto"/>
        <w:rPr>
          <w:sz w:val="20"/>
          <w:szCs w:val="20"/>
          <w:color w:val="auto"/>
        </w:rPr>
      </w:pPr>
      <w:r>
        <w:rPr>
          <w:rFonts w:ascii="Courier New" w:cs="Courier New" w:eastAsia="Courier New" w:hAnsi="Courier New"/>
          <w:sz w:val="15"/>
          <w:szCs w:val="15"/>
          <w:color w:val="auto"/>
        </w:rPr>
        <w:t>The Executive Committee's function is to exercise all of the powers and authority of the Board, including the power to declare dividends on the Company's Common Stock, during intervals between meetings of the Board. No meetings of the committee were held during either Fiscal 1996 or the Transition Period.</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Audit Committee, which is comprised of directors elected by the Board from among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or termination of the Company's independent auditors; review of the professional services, proposed fees and independence of such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One meeting of the committee was held during Fiscal 1996 and one meeting was held during the Transition Period.</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One meeting of the committee was held during Fiscal 1996 and one meeting was held during the Transition Period.</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1996 and no meeting was held during the Transition Period.</w:t>
      </w:r>
    </w:p>
    <w:p>
      <w:pPr>
        <w:spacing w:after="0" w:line="186"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BOARD COMPENSATION. Board compensation for outside directors includes a cash annual retainer and meeting fees, in addition to an annual Common Stock grant having a $5,000 market value (valued at the average of the closing prices of Common Stock during the three months prior to award) and a 1,000 share stock option award (with an exercise price per share equal to 100% of the fair market value of one share of Common Stock on the date of grant) pursuant to The Toro Company 1992 Directors Stock Plan. During Fiscal 1996, each outside director was paid an annual retainer of $15,000 plus a fee of $1,000 for each meeting of the Board or a committee attended, except that no more than one committee meeting fee was paid for committee meetings held in a single day. The Company also supplies directors with Company products for their personal use.</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An outside director may elect to receive the annual retainer fee and meeting fees in cash or shares of Common Stock, or a combination of both. Shares issued in lieu of cash may be authorized but unissued Common Stock or shares of Common Stock held in the Company's treasury.</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10" w:name="page11"/>
    <w:bookmarkEnd w:id="10"/>
    <w:p>
      <w:pPr>
        <w:ind w:right="2959" w:firstLine="545"/>
        <w:spacing w:after="0" w:line="246" w:lineRule="auto"/>
        <w:rPr>
          <w:sz w:val="20"/>
          <w:szCs w:val="20"/>
          <w:color w:val="auto"/>
        </w:rPr>
      </w:pPr>
      <w:r>
        <w:rPr>
          <w:rFonts w:ascii="Courier New" w:cs="Courier New" w:eastAsia="Courier New" w:hAnsi="Courier New"/>
          <w:sz w:val="15"/>
          <w:szCs w:val="15"/>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 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18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Under a retirement plan, an outside director who was a member of the Board of 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 Commencing December 1995, the annual payment may not exceed $12,000 annually to any outside director, and payments to new directors will be limited to an amount equal to</w:t>
      </w:r>
    </w:p>
    <w:p>
      <w:pPr>
        <w:spacing w:after="0" w:line="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50% of the amount paid as an annual retainer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80" w:lineRule="exact"/>
        <w:rPr>
          <w:sz w:val="20"/>
          <w:szCs w:val="20"/>
          <w:color w:val="auto"/>
        </w:rPr>
      </w:pPr>
    </w:p>
    <w:p>
      <w:pPr>
        <w:jc w:val="both"/>
        <w:ind w:right="3039" w:firstLine="545"/>
        <w:spacing w:after="0" w:line="247" w:lineRule="auto"/>
        <w:rPr>
          <w:sz w:val="20"/>
          <w:szCs w:val="20"/>
          <w:color w:val="auto"/>
        </w:rPr>
      </w:pPr>
      <w:r>
        <w:rPr>
          <w:rFonts w:ascii="Courier New" w:cs="Courier New" w:eastAsia="Courier New" w:hAnsi="Courier New"/>
          <w:sz w:val="15"/>
          <w:szCs w:val="15"/>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8" w:right="1440" w:bottom="1440" w:gutter="0" w:footer="0" w:header="0"/>
        </w:sectPr>
      </w:pPr>
    </w:p>
    <w:bookmarkStart w:id="11" w:name="page12"/>
    <w:bookmarkEnd w:id="11"/>
    <w:p>
      <w:pPr>
        <w:ind w:left="2447"/>
        <w:spacing w:after="0"/>
        <w:rPr>
          <w:sz w:val="20"/>
          <w:szCs w:val="20"/>
          <w:color w:val="auto"/>
        </w:rPr>
      </w:pPr>
      <w:r>
        <w:rPr>
          <w:rFonts w:ascii="Courier New" w:cs="Courier New" w:eastAsia="Courier New" w:hAnsi="Courier New"/>
          <w:sz w:val="15"/>
          <w:szCs w:val="15"/>
          <w:color w:val="auto"/>
        </w:rPr>
        <w:t>SUMMARY COMPENSATION TABLE</w:t>
      </w:r>
    </w:p>
    <w:p>
      <w:pPr>
        <w:spacing w:after="0" w:line="180" w:lineRule="exact"/>
        <w:rPr>
          <w:sz w:val="20"/>
          <w:szCs w:val="20"/>
          <w:color w:val="auto"/>
        </w:rPr>
      </w:pPr>
    </w:p>
    <w:p>
      <w:pPr>
        <w:ind w:left="7" w:right="4260" w:firstLine="545"/>
        <w:spacing w:after="0" w:line="246" w:lineRule="auto"/>
        <w:rPr>
          <w:sz w:val="20"/>
          <w:szCs w:val="20"/>
          <w:color w:val="auto"/>
        </w:rPr>
      </w:pPr>
      <w:r>
        <w:rPr>
          <w:rFonts w:ascii="Courier New" w:cs="Courier New" w:eastAsia="Courier New" w:hAnsi="Courier New"/>
          <w:sz w:val="15"/>
          <w:szCs w:val="15"/>
          <w:color w:val="auto"/>
        </w:rPr>
        <w:t>The following table sets forth the cash and non-cash compensation paid for services in all capacities to the Company for the Chief Executive Officer and each of its four other highest paid executive officers who were serving as executive officers on October 31, 1996, for the fiscal years ended October 31, 1996, July 31, 1995 and July 31, 1994 and for the three-month Transition Period ended October 31, 1995 ("TP95").</w:t>
      </w:r>
    </w:p>
    <w:p>
      <w:pPr>
        <w:spacing w:after="0" w:line="353"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LONG TERM</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COMPENSATION</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3"/>
              </w:rPr>
              <w:t>--------------------------------------------</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AWARDS</w:t>
            </w: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OTHER ANNUAL</w:t>
            </w:r>
          </w:p>
        </w:tc>
        <w:tc>
          <w:tcPr>
            <w:tcW w:w="2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6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SALARY</w:t>
            </w:r>
          </w:p>
        </w:tc>
        <w:tc>
          <w:tcPr>
            <w:tcW w:w="580" w:type="dxa"/>
            <w:vAlign w:val="bottom"/>
          </w:tcPr>
          <w:p>
            <w:pPr>
              <w:spacing w:after="0"/>
              <w:rPr>
                <w:sz w:val="15"/>
                <w:szCs w:val="15"/>
                <w:color w:val="auto"/>
              </w:rPr>
            </w:pPr>
          </w:p>
        </w:tc>
        <w:tc>
          <w:tcPr>
            <w:tcW w:w="1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BONUS</w:t>
            </w: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COMPENSATION</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800" w:type="dxa"/>
            <w:vAlign w:val="bottom"/>
          </w:tcPr>
          <w:p>
            <w:pPr>
              <w:jc w:val="right"/>
              <w:ind w:right="84"/>
              <w:spacing w:after="0"/>
              <w:rPr>
                <w:sz w:val="20"/>
                <w:szCs w:val="20"/>
                <w:color w:val="auto"/>
              </w:rPr>
            </w:pPr>
            <w:r>
              <w:rPr>
                <w:rFonts w:ascii="Courier New" w:cs="Courier New" w:eastAsia="Courier New" w:hAnsi="Courier New"/>
                <w:sz w:val="15"/>
                <w:szCs w:val="15"/>
                <w:color w:val="auto"/>
                <w:w w:val="98"/>
              </w:rPr>
              <w:t>OPTIONS</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w:t>
            </w:r>
          </w:p>
        </w:tc>
        <w:tc>
          <w:tcPr>
            <w:tcW w:w="13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STOCK($)(3)</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(#)(4)</w:t>
            </w: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2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w w:val="97"/>
              </w:rPr>
              <w:t>438,337(7)</w:t>
            </w: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256,669</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673,373</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20,065</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TP95</w:t>
            </w:r>
          </w:p>
        </w:tc>
        <w:tc>
          <w:tcPr>
            <w:tcW w:w="122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w w:val="97"/>
              </w:rPr>
              <w:t>101,625(7)</w:t>
            </w: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189,938</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643,632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29,028</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&amp; Chief Executive Officer</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2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w w:val="97"/>
              </w:rPr>
              <w:t>380,000(7)</w:t>
            </w: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420,000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1,204,329</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499,993</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50,255</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22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w w:val="97"/>
              </w:rPr>
              <w:t>355,304(7)</w:t>
            </w: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227,652</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123,628</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44,921</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239,550</w:t>
            </w:r>
          </w:p>
        </w:tc>
        <w:tc>
          <w:tcPr>
            <w:tcW w:w="580" w:type="dxa"/>
            <w:vAlign w:val="bottom"/>
          </w:tcPr>
          <w:p>
            <w:pPr>
              <w:spacing w:after="0"/>
              <w:rPr>
                <w:sz w:val="24"/>
                <w:szCs w:val="24"/>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95,820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105,313</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2,446</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Finance &amp;</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TP95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58,656</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38,126</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66,068</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10,893</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Chief Financial Officer</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227,370</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159,159</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34,174</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13,222</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218,463</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87,385</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22,176</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37,385</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215,328</w:t>
            </w:r>
          </w:p>
        </w:tc>
        <w:tc>
          <w:tcPr>
            <w:tcW w:w="580" w:type="dxa"/>
            <w:vAlign w:val="bottom"/>
          </w:tcPr>
          <w:p>
            <w:pPr>
              <w:spacing w:after="0"/>
              <w:rPr>
                <w:sz w:val="24"/>
                <w:szCs w:val="24"/>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83,729</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281,971</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2,026</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Group Vice President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TP95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50,124</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32,581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305,299</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8,238</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195,246</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136,672</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30,702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9,750</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179,976</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89,988</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10,188</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7,982</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213,248</w:t>
            </w:r>
          </w:p>
        </w:tc>
        <w:tc>
          <w:tcPr>
            <w:tcW w:w="580" w:type="dxa"/>
            <w:vAlign w:val="bottom"/>
          </w:tcPr>
          <w:p>
            <w:pPr>
              <w:spacing w:after="0"/>
              <w:rPr>
                <w:sz w:val="24"/>
                <w:szCs w:val="24"/>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83,263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2,084</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&amp; General</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TP95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51,610</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33,547</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31,642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9,443</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Manager, Irrigation Division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201,990</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141,393</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12,655</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11,513</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166,251</w:t>
            </w:r>
          </w:p>
        </w:tc>
        <w:tc>
          <w:tcPr>
            <w:tcW w:w="580" w:type="dxa"/>
            <w:vAlign w:val="bottom"/>
          </w:tcPr>
          <w:p>
            <w:pPr>
              <w:spacing w:after="0"/>
              <w:rPr>
                <w:sz w:val="15"/>
                <w:szCs w:val="15"/>
                <w:color w:val="auto"/>
              </w:rPr>
            </w:pPr>
          </w:p>
        </w:tc>
        <w:tc>
          <w:tcPr>
            <w:tcW w:w="1540" w:type="dxa"/>
            <w:vAlign w:val="bottom"/>
          </w:tcPr>
          <w:p>
            <w:pPr>
              <w:ind w:left="140"/>
              <w:spacing w:after="0"/>
              <w:rPr>
                <w:sz w:val="20"/>
                <w:szCs w:val="20"/>
                <w:color w:val="auto"/>
              </w:rPr>
            </w:pPr>
            <w:r>
              <w:rPr>
                <w:rFonts w:ascii="Courier New" w:cs="Courier New" w:eastAsia="Courier New" w:hAnsi="Courier New"/>
                <w:sz w:val="15"/>
                <w:szCs w:val="15"/>
                <w:color w:val="auto"/>
              </w:rPr>
              <w:t>88,805(9)(10)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210,000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14,030</w:t>
            </w: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223,754</w:t>
            </w:r>
          </w:p>
        </w:tc>
        <w:tc>
          <w:tcPr>
            <w:tcW w:w="580" w:type="dxa"/>
            <w:vAlign w:val="bottom"/>
          </w:tcPr>
          <w:p>
            <w:pPr>
              <w:spacing w:after="0"/>
              <w:rPr>
                <w:sz w:val="24"/>
                <w:szCs w:val="24"/>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68,491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2,123</w:t>
            </w: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Group Vice President</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TP95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52,155</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33,901</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33,696</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9,686</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205,752</w:t>
            </w:r>
          </w:p>
        </w:tc>
        <w:tc>
          <w:tcPr>
            <w:tcW w:w="580" w:type="dxa"/>
            <w:vAlign w:val="bottom"/>
          </w:tcPr>
          <w:p>
            <w:pPr>
              <w:spacing w:after="0"/>
              <w:rPr>
                <w:sz w:val="15"/>
                <w:szCs w:val="15"/>
                <w:color w:val="auto"/>
              </w:rPr>
            </w:pPr>
          </w:p>
        </w:tc>
        <w:tc>
          <w:tcPr>
            <w:tcW w:w="15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128,904</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12,710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11,802</w:t>
            </w:r>
          </w:p>
        </w:tc>
      </w:tr>
      <w:tr>
        <w:trPr>
          <w:trHeight w:val="175"/>
        </w:trPr>
        <w:tc>
          <w:tcPr>
            <w:tcW w:w="47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133,344</w:t>
            </w:r>
          </w:p>
        </w:tc>
        <w:tc>
          <w:tcPr>
            <w:tcW w:w="580" w:type="dxa"/>
            <w:vAlign w:val="bottom"/>
          </w:tcPr>
          <w:p>
            <w:pPr>
              <w:spacing w:after="0"/>
              <w:rPr>
                <w:sz w:val="15"/>
                <w:szCs w:val="15"/>
                <w:color w:val="auto"/>
              </w:rPr>
            </w:pPr>
          </w:p>
        </w:tc>
        <w:tc>
          <w:tcPr>
            <w:tcW w:w="15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76,807(10)</w:t>
            </w:r>
          </w:p>
        </w:tc>
        <w:tc>
          <w:tcPr>
            <w:tcW w:w="13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49,250</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6"/>
              </w:rPr>
              <w:t>13,911</w:t>
            </w:r>
          </w:p>
        </w:tc>
      </w:tr>
      <w:tr>
        <w:trPr>
          <w:trHeight w:val="699"/>
        </w:trPr>
        <w:tc>
          <w:tcPr>
            <w:tcW w:w="47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PAYOUTS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LTIP</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 OTHER</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PAYOUTS</w:t>
            </w:r>
          </w:p>
        </w:tc>
        <w:tc>
          <w:tcPr>
            <w:tcW w:w="260" w:type="dxa"/>
            <w:vAlign w:val="bottom"/>
          </w:tcPr>
          <w:p>
            <w:pPr>
              <w:spacing w:after="0"/>
              <w:rPr>
                <w:sz w:val="15"/>
                <w:szCs w:val="15"/>
                <w:color w:val="auto"/>
              </w:rPr>
            </w:pPr>
          </w:p>
        </w:tc>
        <w:tc>
          <w:tcPr>
            <w:tcW w:w="2500" w:type="dxa"/>
            <w:vAlign w:val="bottom"/>
            <w:gridSpan w:val="3"/>
          </w:tcPr>
          <w:p>
            <w:pPr>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3"/>
          </w:tcPr>
          <w:p>
            <w:pPr>
              <w:jc w:val="right"/>
              <w:ind w:right="114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0"/>
        </w:trPr>
        <w:tc>
          <w:tcPr>
            <w:tcW w:w="472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361,390</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157,106</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Chairman of the Board</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285</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&amp; Chief Executive Officer</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427,964</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139,146</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317,529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100,029</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42,161</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35,786</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Finance &amp;</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Chief Financial Officer</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50,680</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43,350</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38,089</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15,678</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37,878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37,380</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Group Vice President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43,520</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42,461</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31,379</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40,903</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37,407</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11,640</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Vice President &amp; General</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Manager, Irrigation Division</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45,023</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39,381</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33,163</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Group Vice President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45,862</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37,786</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-0-</w:t>
            </w: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16,292</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4" w:lineRule="exact"/>
        <w:rPr>
          <w:sz w:val="20"/>
          <w:szCs w:val="20"/>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367" w:right="4260" w:hanging="276"/>
        <w:spacing w:after="0" w:line="246" w:lineRule="auto"/>
        <w:tabs>
          <w:tab w:leader="none" w:pos="458"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indicated include payments made or deferred at the election of the officer pursuant to the Annual Management Incentive Plan, as in effect for Fiscal 1996, the 1995 Annual Management Incentive Plan and the 1994 Management Recovery Incentive Plan. Bonus amounts paid under the Annual Management Incentive Plan for Fiscal 1996 and the Transition Period are based on an EPS goal. See the Compensation Committee Report. Amounts for the Transition Period reflect bonus awards made in lieu of awards under the Annual Management Incentive Plan and are based on achievement of a target EPS goal established by the Committee. These amounts also include bonus payments for the Transition Period in lieu of an award under the Continuous Performance Award Plan, which amounts are not included under the LTIP Payouts column. See the Compensation Committee Report.</w:t>
      </w:r>
    </w:p>
    <w:p>
      <w:pPr>
        <w:spacing w:after="0" w:line="182" w:lineRule="exact"/>
        <w:rPr>
          <w:rFonts w:ascii="Courier New" w:cs="Courier New" w:eastAsia="Courier New" w:hAnsi="Courier New"/>
          <w:sz w:val="15"/>
          <w:szCs w:val="15"/>
          <w:color w:val="auto"/>
        </w:rPr>
      </w:pPr>
    </w:p>
    <w:p>
      <w:pPr>
        <w:ind w:left="447" w:hanging="356"/>
        <w:spacing w:after="0"/>
        <w:tabs>
          <w:tab w:leader="none" w:pos="44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dollar value of the difference between the fair market value</w:t>
      </w:r>
    </w:p>
    <w:p>
      <w:pPr>
        <w:sectPr>
          <w:pgSz w:w="11900" w:h="16838" w:orient="portrait"/>
          <w:cols w:equalWidth="0" w:num="1">
            <w:col w:w="11527"/>
          </w:cols>
          <w:pgMar w:left="233" w:top="468" w:right="139" w:bottom="0" w:gutter="0" w:footer="0" w:header="0"/>
        </w:sectPr>
      </w:pPr>
    </w:p>
    <w:bookmarkStart w:id="12" w:name="page13"/>
    <w:bookmarkEnd w:id="12"/>
    <w:p>
      <w:pPr>
        <w:ind w:left="276" w:right="2959"/>
        <w:spacing w:after="0" w:line="246" w:lineRule="auto"/>
        <w:rPr>
          <w:sz w:val="20"/>
          <w:szCs w:val="20"/>
          <w:color w:val="auto"/>
        </w:rPr>
      </w:pPr>
      <w:r>
        <w:rPr>
          <w:rFonts w:ascii="Courier New" w:cs="Courier New" w:eastAsia="Courier New" w:hAnsi="Courier New"/>
          <w:sz w:val="15"/>
          <w:szCs w:val="15"/>
          <w:color w:val="auto"/>
        </w:rPr>
        <w:t>and the option exercise price (before payment of applicable income taxes) on stock options exercised. Fair market value is based on the closing price on the New York Stock Exchange as reported in THE WALL STREET JOURNAL on the date of exercise or actual sale price. The value of executive perquisites otherwise reportable as Other Annual Compensation did not exceed $50,000 or 10% of the compensation reported in the table for any named individual.</w:t>
      </w:r>
    </w:p>
    <w:p>
      <w:pPr>
        <w:spacing w:after="0" w:line="178" w:lineRule="exact"/>
        <w:rPr>
          <w:sz w:val="20"/>
          <w:szCs w:val="20"/>
          <w:color w:val="auto"/>
        </w:rPr>
      </w:pPr>
    </w:p>
    <w:p>
      <w:pPr>
        <w:ind w:left="276" w:right="3139" w:hanging="276"/>
        <w:spacing w:after="0" w:line="246" w:lineRule="auto"/>
        <w:tabs>
          <w:tab w:leader="none" w:pos="36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 Succession Incentive Plan which was approved by stockholders in 1994. Those shares vest 15% not later than July 31, 1998, 15% not later than July 31, 1999 and 70% not later than July 31, 2000, but only if Mr. Melrose achieves performance</w:t>
      </w:r>
    </w:p>
    <w:p>
      <w:pPr>
        <w:spacing w:after="0" w:line="180" w:lineRule="exact"/>
        <w:rPr>
          <w:sz w:val="20"/>
          <w:szCs w:val="20"/>
          <w:color w:val="auto"/>
        </w:rPr>
      </w:pPr>
    </w:p>
    <w:p>
      <w:pPr>
        <w:ind w:left="345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5"/>
          </w:cols>
          <w:pgMar w:left="324" w:top="141" w:right="1440" w:bottom="1440" w:gutter="0" w:footer="0" w:header="0"/>
        </w:sectPr>
      </w:pPr>
    </w:p>
    <w:bookmarkStart w:id="13" w:name="page14"/>
    <w:bookmarkEnd w:id="13"/>
    <w:p>
      <w:pPr>
        <w:ind w:left="367" w:right="2959"/>
        <w:spacing w:after="0" w:line="246" w:lineRule="auto"/>
        <w:rPr>
          <w:sz w:val="20"/>
          <w:szCs w:val="20"/>
          <w:color w:val="auto"/>
        </w:rPr>
      </w:pPr>
      <w:r>
        <w:rPr>
          <w:rFonts w:ascii="Courier New" w:cs="Courier New" w:eastAsia="Courier New" w:hAnsi="Courier New"/>
          <w:sz w:val="15"/>
          <w:szCs w:val="15"/>
          <w:color w:val="auto"/>
        </w:rPr>
        <w:t>goals related to planning for and implementing a plan for his succession. Under that plan, the Company also granted Mr. Melrose performance units. See the Compensation Committee Report. The shares had a value of $548,027 at October 31, 1996. Mr. Hendrix was awarded 8,400 shares of Restricted Stock in Fiscal 1994 in connection with his becoming an employee of the Company. Shares were to vest 10% per year over ten years and shares not vested were subject to forfeiture upon termination of employment. The shares had a value of $263,550 at October 31, 1996. Mr. Hendrix resigned from the Company effective January 15, 1997 and consequently forfeited 5,880 shares not vested at that time. Mr. Lounsbury was awarded 2,000 shares of Restricted Stock in Fiscal 1994 in connection with his becoming an employee of the Company, which shares vested in their entirety on November 29, 1995. The shares had a value of $62,750 at October 31, 1996. All shares of restricted stock are held by the Company until performance goals have been achieved or other restrictions lapse. Dividends will be paid, if declared, on all shares of restricted stock reported. Amounts shown in the Summary Compensation Table and in this note are calculated by multiplying the closing price of one share of Common Stock on the New York Stock Exchange as reported in THE WALL STREET JOURNAL on the date of award and on October 31, 1996, times the number of shares awarded or held.</w:t>
      </w:r>
    </w:p>
    <w:p>
      <w:pPr>
        <w:spacing w:after="0" w:line="187" w:lineRule="exact"/>
        <w:rPr>
          <w:sz w:val="20"/>
          <w:szCs w:val="20"/>
          <w:color w:val="auto"/>
        </w:rPr>
      </w:pPr>
    </w:p>
    <w:p>
      <w:pPr>
        <w:ind w:left="367" w:right="3039" w:hanging="276"/>
        <w:spacing w:after="0" w:line="246"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pursuant to the Company's Continuous Performance Award Plan, which are subject to cancellation or reduction in the number of shares covered in the event the Company does not achieve its long-term performance goals. The number of shares covered by each option was reduced with respect to Fiscal 1996, 1995 and 1994. Also includes options granted pursuant to the Company's stock option plans.</w:t>
      </w:r>
    </w:p>
    <w:p>
      <w:pPr>
        <w:spacing w:after="0" w:line="178" w:lineRule="exact"/>
        <w:rPr>
          <w:rFonts w:ascii="Courier New" w:cs="Courier New" w:eastAsia="Courier New" w:hAnsi="Courier New"/>
          <w:sz w:val="15"/>
          <w:szCs w:val="15"/>
          <w:color w:val="auto"/>
        </w:rPr>
      </w:pPr>
    </w:p>
    <w:p>
      <w:pPr>
        <w:ind w:left="367" w:right="2959" w:hanging="276"/>
        <w:spacing w:after="0" w:line="246"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reflect payments made pursuant to the Continuous Performance Award Plan. Based on the Company's ROBE and net income growth performance compared with its peer group of businesses, payments of 70.4% of the maximum possible award amount were paid or deferred with respect to the three year performance period ending with Fiscal 1996. For a more detailed description of the plan and awards, see the Compensation Committee Report and Proposal Two.</w:t>
      </w:r>
    </w:p>
    <w:p>
      <w:pPr>
        <w:spacing w:after="0" w:line="179" w:lineRule="exact"/>
        <w:rPr>
          <w:rFonts w:ascii="Courier New" w:cs="Courier New" w:eastAsia="Courier New" w:hAnsi="Courier New"/>
          <w:sz w:val="15"/>
          <w:szCs w:val="15"/>
          <w:color w:val="auto"/>
        </w:rPr>
      </w:pPr>
    </w:p>
    <w:p>
      <w:pPr>
        <w:ind w:left="367" w:right="2959" w:hanging="276"/>
        <w:spacing w:after="0" w:line="246"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include Company contributions to defined contribution retirement plans and the Company's Matching Stock Plan (which terminated on July 31, 1995 and was replaced by a similar feature in the Company's new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actual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basis, amounts shown for Fiscal 1996 may have been accrued with respect to the prior fiscal year.</w:t>
      </w:r>
    </w:p>
    <w:p>
      <w:pPr>
        <w:spacing w:after="0" w:line="186" w:lineRule="exact"/>
        <w:rPr>
          <w:rFonts w:ascii="Courier New" w:cs="Courier New" w:eastAsia="Courier New" w:hAnsi="Courier New"/>
          <w:sz w:val="15"/>
          <w:szCs w:val="15"/>
          <w:color w:val="auto"/>
        </w:rPr>
      </w:pPr>
    </w:p>
    <w:p>
      <w:pPr>
        <w:ind w:left="367" w:right="3139" w:hanging="276"/>
        <w:spacing w:after="0" w:line="247"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reflects the effect of the $100,000 salary reduction, as discussed in the Compensation Committee Report.</w:t>
      </w:r>
    </w:p>
    <w:p>
      <w:pPr>
        <w:spacing w:after="0" w:line="174" w:lineRule="exact"/>
        <w:rPr>
          <w:rFonts w:ascii="Courier New" w:cs="Courier New" w:eastAsia="Courier New" w:hAnsi="Courier New"/>
          <w:sz w:val="15"/>
          <w:szCs w:val="15"/>
          <w:color w:val="auto"/>
        </w:rPr>
      </w:pPr>
    </w:p>
    <w:p>
      <w:pPr>
        <w:ind w:left="367" w:right="2959" w:hanging="276"/>
        <w:spacing w:after="0" w:line="247"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paid as long-term incentive payments with respect to the Transition Period are included in the amount in the Bonus column. See note (1).</w:t>
      </w:r>
    </w:p>
    <w:p>
      <w:pPr>
        <w:spacing w:after="0" w:line="174" w:lineRule="exact"/>
        <w:rPr>
          <w:rFonts w:ascii="Courier New" w:cs="Courier New" w:eastAsia="Courier New" w:hAnsi="Courier New"/>
          <w:sz w:val="15"/>
          <w:szCs w:val="15"/>
          <w:color w:val="auto"/>
        </w:rPr>
      </w:pPr>
    </w:p>
    <w:p>
      <w:pPr>
        <w:ind w:left="367" w:right="3139" w:hanging="276"/>
        <w:spacing w:after="0" w:line="247"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payment made in connection with Mr. Hendrix becoming employed by the Company.</w:t>
      </w:r>
    </w:p>
    <w:p>
      <w:pPr>
        <w:spacing w:after="0" w:line="174" w:lineRule="exact"/>
        <w:rPr>
          <w:rFonts w:ascii="Courier New" w:cs="Courier New" w:eastAsia="Courier New" w:hAnsi="Courier New"/>
          <w:sz w:val="15"/>
          <w:szCs w:val="15"/>
          <w:color w:val="auto"/>
        </w:rPr>
      </w:pPr>
    </w:p>
    <w:p>
      <w:pPr>
        <w:ind w:left="367" w:right="2959" w:hanging="367"/>
        <w:spacing w:after="0" w:line="247"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Continuous Performance Award Plan payment with respect to one-year transition performance award. Payment is not included under LTIP Payouts column.</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468" w:right="1440" w:bottom="1440" w:gutter="0" w:footer="0" w:header="0"/>
        </w:sectPr>
      </w:pPr>
    </w:p>
    <w:bookmarkStart w:id="14" w:name="page15"/>
    <w:bookmarkEnd w:id="14"/>
    <w:p>
      <w:pPr>
        <w:ind w:right="3039" w:firstLine="545"/>
        <w:spacing w:after="0" w:line="246" w:lineRule="auto"/>
        <w:rPr>
          <w:sz w:val="20"/>
          <w:szCs w:val="20"/>
          <w:color w:val="auto"/>
        </w:rPr>
      </w:pPr>
      <w:r>
        <w:rPr>
          <w:rFonts w:ascii="Courier New" w:cs="Courier New" w:eastAsia="Courier New" w:hAnsi="Courier New"/>
          <w:sz w:val="15"/>
          <w:szCs w:val="15"/>
          <w:color w:val="auto"/>
        </w:rPr>
        <w:t>EMPLOYMENT AGREEMENTS. Each of the executive officers, including those named in the Summary Compensation Table, is a party to a change of control employment agreement adopted in Fiscal 1995 (the "Agreements").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79"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8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Generally, and subject to certain exceptions, a "change in control" is deemed to have occurred if: (i)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(ii) another party becomes the beneficial owner of at least 20% of Toro's outstanding voting stock; or (iii)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82"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If a "change in control" of the Company had occurred at the commencement of the 1996 calendar year (January 1, 1996)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$8,022,762. The Company has also established a trust for the benefit of these officers which, in the event of a threatened or actual change of control, will be funded in an amount equal to the Company's accrued liability related to such Agreements.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15" w:name="page16"/>
    <w:bookmarkEnd w:id="15"/>
    <w:p>
      <w:pPr>
        <w:ind w:left="3007"/>
        <w:spacing w:after="0"/>
        <w:rPr>
          <w:sz w:val="20"/>
          <w:szCs w:val="20"/>
          <w:color w:val="auto"/>
        </w:rPr>
      </w:pPr>
      <w:r>
        <w:rPr>
          <w:rFonts w:ascii="Courier New" w:cs="Courier New" w:eastAsia="Courier New" w:hAnsi="Courier New"/>
          <w:sz w:val="15"/>
          <w:szCs w:val="15"/>
          <w:color w:val="auto"/>
        </w:rPr>
        <w:t>STOCK OPTIONS</w:t>
      </w:r>
    </w:p>
    <w:p>
      <w:pPr>
        <w:spacing w:after="0" w:line="180" w:lineRule="exact"/>
        <w:rPr>
          <w:sz w:val="20"/>
          <w:szCs w:val="20"/>
          <w:color w:val="auto"/>
        </w:rPr>
      </w:pPr>
    </w:p>
    <w:p>
      <w:pPr>
        <w:ind w:left="7" w:right="4180" w:firstLine="545"/>
        <w:spacing w:after="0" w:line="247" w:lineRule="auto"/>
        <w:rPr>
          <w:sz w:val="20"/>
          <w:szCs w:val="20"/>
          <w:color w:val="auto"/>
        </w:rPr>
      </w:pPr>
      <w:r>
        <w:rPr>
          <w:rFonts w:ascii="Courier New" w:cs="Courier New" w:eastAsia="Courier New" w:hAnsi="Courier New"/>
          <w:sz w:val="15"/>
          <w:szCs w:val="15"/>
          <w:color w:val="auto"/>
        </w:rPr>
        <w:t>The following table summarizes options granted under the Company's stock option plans during Fiscal 1996 and the Transition Period.</w:t>
      </w:r>
    </w:p>
    <w:p>
      <w:pPr>
        <w:spacing w:after="0" w:line="17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OPTION GRANTS IN FISCAL 1996 AND TP95</w:t>
      </w:r>
    </w:p>
    <w:p>
      <w:pPr>
        <w:spacing w:after="0" w:line="200" w:lineRule="exact"/>
        <w:rPr>
          <w:sz w:val="20"/>
          <w:szCs w:val="20"/>
          <w:color w:val="auto"/>
        </w:rPr>
      </w:pPr>
    </w:p>
    <w:p>
      <w:pPr>
        <w:spacing w:after="0" w:line="329" w:lineRule="exact"/>
        <w:rPr>
          <w:sz w:val="20"/>
          <w:szCs w:val="20"/>
          <w:color w:val="auto"/>
        </w:rPr>
      </w:pPr>
    </w:p>
    <w:p>
      <w:pPr>
        <w:jc w:val="center"/>
        <w:ind w:right="273"/>
        <w:spacing w:after="0"/>
        <w:rPr>
          <w:sz w:val="20"/>
          <w:szCs w:val="20"/>
          <w:color w:val="auto"/>
        </w:rPr>
      </w:pPr>
      <w:r>
        <w:rPr>
          <w:rFonts w:ascii="Courier New" w:cs="Courier New" w:eastAsia="Courier New" w:hAnsi="Courier New"/>
          <w:sz w:val="15"/>
          <w:szCs w:val="15"/>
          <w:color w:val="auto"/>
        </w:rPr>
        <w:t>INDIVIDUAL GRANTS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PERCENT OF</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w w:val="98"/>
              </w:rPr>
              <w:t>POTENTIAL REALIZABLE</w:t>
            </w: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TOTAL</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VALUE AT ASSUMED</w:t>
            </w: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SHARES</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OPTIONS</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EXERCISE</w:t>
            </w:r>
          </w:p>
        </w:tc>
        <w:tc>
          <w:tcPr>
            <w:tcW w:w="1080" w:type="dxa"/>
            <w:vAlign w:val="bottom"/>
          </w:tcPr>
          <w:p>
            <w:pPr>
              <w:spacing w:after="0"/>
              <w:rPr>
                <w:sz w:val="15"/>
                <w:szCs w:val="15"/>
                <w:color w:val="auto"/>
              </w:rPr>
            </w:pPr>
          </w:p>
        </w:tc>
        <w:tc>
          <w:tcPr>
            <w:tcW w:w="2180" w:type="dxa"/>
            <w:vAlign w:val="bottom"/>
            <w:gridSpan w:val="4"/>
          </w:tcPr>
          <w:p>
            <w:pPr>
              <w:jc w:val="right"/>
              <w:ind w:right="204"/>
              <w:spacing w:after="0"/>
              <w:rPr>
                <w:sz w:val="20"/>
                <w:szCs w:val="20"/>
                <w:color w:val="auto"/>
              </w:rPr>
            </w:pPr>
            <w:r>
              <w:rPr>
                <w:rFonts w:ascii="Courier New" w:cs="Courier New" w:eastAsia="Courier New" w:hAnsi="Courier New"/>
                <w:sz w:val="15"/>
                <w:szCs w:val="15"/>
                <w:color w:val="auto"/>
                <w:w w:val="99"/>
              </w:rPr>
              <w:t>ANNUAL RATES OF STOCK</w:t>
            </w: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UNDERLYING</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GRANTED TO</w:t>
            </w:r>
          </w:p>
        </w:tc>
        <w:tc>
          <w:tcPr>
            <w:tcW w:w="200" w:type="dxa"/>
            <w:vAlign w:val="bottom"/>
          </w:tcPr>
          <w:p>
            <w:pPr>
              <w:spacing w:after="0"/>
              <w:rPr>
                <w:sz w:val="15"/>
                <w:szCs w:val="15"/>
                <w:color w:val="auto"/>
              </w:rPr>
            </w:pPr>
          </w:p>
        </w:tc>
        <w:tc>
          <w:tcPr>
            <w:tcW w:w="1000" w:type="dxa"/>
            <w:vAlign w:val="bottom"/>
          </w:tcPr>
          <w:p>
            <w:pPr>
              <w:jc w:val="center"/>
              <w:ind w:right="384"/>
              <w:spacing w:after="0"/>
              <w:rPr>
                <w:sz w:val="20"/>
                <w:szCs w:val="20"/>
                <w:color w:val="auto"/>
              </w:rPr>
            </w:pPr>
            <w:r>
              <w:rPr>
                <w:rFonts w:ascii="Courier New" w:cs="Courier New" w:eastAsia="Courier New" w:hAnsi="Courier New"/>
                <w:sz w:val="15"/>
                <w:szCs w:val="15"/>
                <w:color w:val="auto"/>
                <w:w w:val="99"/>
              </w:rPr>
              <w:t>OR</w:t>
            </w:r>
          </w:p>
        </w:tc>
        <w:tc>
          <w:tcPr>
            <w:tcW w:w="1080" w:type="dxa"/>
            <w:vAlign w:val="bottom"/>
          </w:tcPr>
          <w:p>
            <w:pPr>
              <w:spacing w:after="0"/>
              <w:rPr>
                <w:sz w:val="15"/>
                <w:szCs w:val="15"/>
                <w:color w:val="auto"/>
              </w:rPr>
            </w:pPr>
          </w:p>
        </w:tc>
        <w:tc>
          <w:tcPr>
            <w:tcW w:w="2180" w:type="dxa"/>
            <w:vAlign w:val="bottom"/>
            <w:gridSpan w:val="4"/>
          </w:tcPr>
          <w:p>
            <w:pPr>
              <w:spacing w:after="0"/>
              <w:rPr>
                <w:sz w:val="20"/>
                <w:szCs w:val="20"/>
                <w:color w:val="auto"/>
              </w:rPr>
            </w:pPr>
            <w:r>
              <w:rPr>
                <w:rFonts w:ascii="Courier New" w:cs="Courier New" w:eastAsia="Courier New" w:hAnsi="Courier New"/>
                <w:sz w:val="15"/>
                <w:szCs w:val="15"/>
                <w:color w:val="auto"/>
              </w:rPr>
              <w:t>PRICE APPRECIATION FOR</w:t>
            </w: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OPTIONS</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EMPLOYEES</w:t>
            </w:r>
          </w:p>
        </w:tc>
        <w:tc>
          <w:tcPr>
            <w:tcW w:w="200" w:type="dxa"/>
            <w:vAlign w:val="bottom"/>
          </w:tcPr>
          <w:p>
            <w:pPr>
              <w:spacing w:after="0"/>
              <w:rPr>
                <w:sz w:val="15"/>
                <w:szCs w:val="15"/>
                <w:color w:val="auto"/>
              </w:rPr>
            </w:pPr>
          </w:p>
        </w:tc>
        <w:tc>
          <w:tcPr>
            <w:tcW w:w="1000" w:type="dxa"/>
            <w:vAlign w:val="bottom"/>
          </w:tcPr>
          <w:p>
            <w:pPr>
              <w:jc w:val="center"/>
              <w:ind w:right="404"/>
              <w:spacing w:after="0"/>
              <w:rPr>
                <w:sz w:val="20"/>
                <w:szCs w:val="20"/>
                <w:color w:val="auto"/>
              </w:rPr>
            </w:pPr>
            <w:r>
              <w:rPr>
                <w:rFonts w:ascii="Courier New" w:cs="Courier New" w:eastAsia="Courier New" w:hAnsi="Courier New"/>
                <w:sz w:val="15"/>
                <w:szCs w:val="15"/>
                <w:color w:val="auto"/>
                <w:w w:val="99"/>
              </w:rPr>
              <w:t>BASE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OPTION TERM</w:t>
            </w:r>
          </w:p>
        </w:tc>
      </w:tr>
      <w:tr>
        <w:trPr>
          <w:trHeight w:val="175"/>
        </w:trPr>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GRANTED</w:t>
            </w:r>
          </w:p>
        </w:tc>
        <w:tc>
          <w:tcPr>
            <w:tcW w:w="1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IN</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PRICE ($</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EXPIRATION</w:t>
            </w:r>
          </w:p>
        </w:tc>
        <w:tc>
          <w:tcPr>
            <w:tcW w:w="1040" w:type="dxa"/>
            <w:vAlign w:val="bottom"/>
            <w:gridSpan w:val="2"/>
          </w:tcPr>
          <w:p>
            <w:pPr>
              <w:spacing w:after="0"/>
              <w:rPr>
                <w:sz w:val="20"/>
                <w:szCs w:val="20"/>
                <w:color w:val="auto"/>
              </w:rPr>
            </w:pPr>
            <w:r>
              <w:rPr>
                <w:rFonts w:ascii="Courier New" w:cs="Courier New" w:eastAsia="Courier New" w:hAnsi="Courier New"/>
                <w:sz w:val="11"/>
                <w:szCs w:val="11"/>
                <w:color w:val="auto"/>
                <w:w w:val="70"/>
              </w:rPr>
              <w:t>----------------------</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THE PERIOD</w:t>
            </w:r>
          </w:p>
        </w:tc>
        <w:tc>
          <w:tcPr>
            <w:tcW w:w="1200" w:type="dxa"/>
            <w:vAlign w:val="bottom"/>
            <w:gridSpan w:val="2"/>
          </w:tcPr>
          <w:p>
            <w:pPr>
              <w:jc w:val="center"/>
              <w:ind w:right="204"/>
              <w:spacing w:after="0"/>
              <w:rPr>
                <w:sz w:val="20"/>
                <w:szCs w:val="20"/>
                <w:color w:val="auto"/>
              </w:rPr>
            </w:pPr>
            <w:r>
              <w:rPr>
                <w:rFonts w:ascii="Courier New" w:cs="Courier New" w:eastAsia="Courier New" w:hAnsi="Courier New"/>
                <w:sz w:val="15"/>
                <w:szCs w:val="15"/>
                <w:color w:val="auto"/>
              </w:rPr>
              <w:t>PER SHARE)</w:t>
            </w: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DATE</w:t>
            </w:r>
          </w:p>
        </w:tc>
        <w:tc>
          <w:tcPr>
            <w:tcW w:w="100" w:type="dxa"/>
            <w:vAlign w:val="bottom"/>
          </w:tcPr>
          <w:p>
            <w:pPr>
              <w:spacing w:after="0"/>
              <w:rPr>
                <w:sz w:val="15"/>
                <w:szCs w:val="15"/>
                <w:color w:val="auto"/>
              </w:rPr>
            </w:pP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5"/>
              </w:rPr>
              <w:t>5%$ (2)</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10%$ (2)</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18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20,065(3)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41.14%</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29.796</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3/16/99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78,651</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$ 179,970</w:t>
            </w:r>
          </w:p>
        </w:tc>
      </w:tr>
      <w:tr>
        <w:trPr>
          <w:trHeight w:val="175"/>
        </w:trPr>
        <w:tc>
          <w:tcPr>
            <w:tcW w:w="3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TP95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29,028</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11.32%</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29.00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8/15/00</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$ 232,576</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$ 513,934</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2,446(3)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5.02%</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29.796</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3/16/99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21,939</w:t>
            </w:r>
          </w:p>
        </w:tc>
      </w:tr>
      <w:tr>
        <w:trPr>
          <w:trHeight w:val="175"/>
        </w:trPr>
        <w:tc>
          <w:tcPr>
            <w:tcW w:w="3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TP95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10,893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4.25%</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29.00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8/15/00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87,276</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$ 192,858</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2,026(3)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4.15%</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29.796</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3/16/99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7,941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18,171</w:t>
            </w:r>
          </w:p>
        </w:tc>
      </w:tr>
      <w:tr>
        <w:trPr>
          <w:trHeight w:val="175"/>
        </w:trPr>
        <w:tc>
          <w:tcPr>
            <w:tcW w:w="3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TP95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8,238</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3.21%</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29.00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8/15/00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66,003</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$ 145,851</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2,084(3)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4.27%</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29.796</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3/16/99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8,168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18,692</w:t>
            </w:r>
          </w:p>
        </w:tc>
      </w:tr>
      <w:tr>
        <w:trPr>
          <w:trHeight w:val="175"/>
        </w:trPr>
        <w:tc>
          <w:tcPr>
            <w:tcW w:w="3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TP95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9,443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3.68%</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29.00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8/15/00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75,658</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$ 167,186</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2,123(3)</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4.35%</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29.796</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3/16/99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8,321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19,041</w:t>
            </w:r>
          </w:p>
        </w:tc>
      </w:tr>
      <w:tr>
        <w:trPr>
          <w:trHeight w:val="175"/>
        </w:trPr>
        <w:tc>
          <w:tcPr>
            <w:tcW w:w="3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TP95</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9,686</w:t>
            </w:r>
          </w:p>
        </w:tc>
        <w:tc>
          <w:tcPr>
            <w:tcW w:w="1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3.78%</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29.00</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8/15/00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77,605</w:t>
            </w:r>
          </w:p>
        </w:tc>
        <w:tc>
          <w:tcPr>
            <w:tcW w:w="1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$ 177,488</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4000" w:hanging="367"/>
        <w:spacing w:after="0" w:line="246"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are granted pursuant to the 1989 Stock Option Plan and the 1993 Stock Option Plan (the "plans"). The plans are administered by the Committee which selects employees to whom options are granted. The exercise price of each incentive and nonqualified stock option is equal to 100% of the fair market value of the Common Stock on the date of grant, except for performance-based stock options, such as those granted in connection with the Continuous Performance Award Plan, for which the exercise price is an average and on the date of grant could be higher or lower than fair market value. The options are not transferable except by will or the laws of descent and distribution. An option granted under any of the plans, except those granted in connection with the Continuous Performance Award Plan, may be exercised immediately after the date of grant in whole or in part from time to time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185" w:lineRule="exact"/>
        <w:rPr>
          <w:rFonts w:ascii="Courier New" w:cs="Courier New" w:eastAsia="Courier New" w:hAnsi="Courier New"/>
          <w:sz w:val="15"/>
          <w:szCs w:val="15"/>
          <w:color w:val="auto"/>
        </w:rPr>
      </w:pPr>
    </w:p>
    <w:p>
      <w:pPr>
        <w:ind w:left="367" w:right="4080" w:hanging="367"/>
        <w:spacing w:after="0" w:line="246"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the Securities and Exchange Commission (SEC)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the future value of a stock option at the time of grant.</w:t>
      </w:r>
    </w:p>
    <w:p>
      <w:pPr>
        <w:spacing w:after="0" w:line="178" w:lineRule="exact"/>
        <w:rPr>
          <w:rFonts w:ascii="Courier New" w:cs="Courier New" w:eastAsia="Courier New" w:hAnsi="Courier New"/>
          <w:sz w:val="15"/>
          <w:szCs w:val="15"/>
          <w:color w:val="auto"/>
        </w:rPr>
      </w:pPr>
    </w:p>
    <w:p>
      <w:pPr>
        <w:ind w:left="367" w:right="4260" w:hanging="367"/>
        <w:spacing w:after="0" w:line="246" w:lineRule="auto"/>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subject to reduction and option subject to expiration if performance goals are not achieved under the Continuous Performance Award Plan. Expected to become exercisable in December 1998, after the Company first makes a public announcement of its earnings for Fiscal 1997.</w:t>
      </w:r>
    </w:p>
    <w:p>
      <w:pPr>
        <w:spacing w:after="0" w:line="2" w:lineRule="exact"/>
        <w:rPr>
          <w:rFonts w:ascii="Courier New" w:cs="Courier New" w:eastAsia="Courier New" w:hAnsi="Courier New"/>
          <w:sz w:val="15"/>
          <w:szCs w:val="15"/>
          <w:color w:val="auto"/>
        </w:rPr>
      </w:pPr>
    </w:p>
    <w:p>
      <w:pPr>
        <w:ind w:left="367" w:right="4720"/>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will be 90 days later. For more information, see the Compensation Committee Report and Proposal Two.</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267"/>
          </w:cols>
          <w:pgMar w:left="233" w:top="468" w:right="399" w:bottom="1440" w:gutter="0" w:footer="0" w:header="0"/>
        </w:sectPr>
      </w:pPr>
    </w:p>
    <w:bookmarkStart w:id="16" w:name="page17"/>
    <w:bookmarkEnd w:id="16"/>
    <w:p>
      <w:pPr>
        <w:ind w:left="7" w:right="3280" w:firstLine="545"/>
        <w:spacing w:after="0" w:line="246" w:lineRule="auto"/>
        <w:rPr>
          <w:sz w:val="20"/>
          <w:szCs w:val="20"/>
          <w:color w:val="auto"/>
        </w:rPr>
      </w:pPr>
      <w:r>
        <w:rPr>
          <w:rFonts w:ascii="Courier New" w:cs="Courier New" w:eastAsia="Courier New" w:hAnsi="Courier New"/>
          <w:sz w:val="15"/>
          <w:szCs w:val="15"/>
          <w:color w:val="auto"/>
        </w:rPr>
        <w:t>The following table summarizes stock options exercised by the named executive officers during Fiscal 1996 and the Transition Period and the total number of options held by each listed individual as of the end of each of Fiscal 1996 and the Transition Period.</w:t>
      </w:r>
    </w:p>
    <w:p>
      <w:pPr>
        <w:spacing w:after="0" w:line="177" w:lineRule="exact"/>
        <w:rPr>
          <w:sz w:val="20"/>
          <w:szCs w:val="20"/>
          <w:color w:val="auto"/>
        </w:rPr>
      </w:pPr>
    </w:p>
    <w:p>
      <w:pPr>
        <w:jc w:val="center"/>
        <w:ind w:right="3353"/>
        <w:spacing w:after="0"/>
        <w:rPr>
          <w:sz w:val="20"/>
          <w:szCs w:val="20"/>
          <w:color w:val="auto"/>
        </w:rPr>
      </w:pPr>
      <w:r>
        <w:rPr>
          <w:rFonts w:ascii="Courier New" w:cs="Courier New" w:eastAsia="Courier New" w:hAnsi="Courier New"/>
          <w:sz w:val="15"/>
          <w:szCs w:val="15"/>
          <w:color w:val="auto"/>
        </w:rPr>
        <w:t>AGGREGATED OPTION EXERCISES IN FISCAL 1996 AND TP95</w:t>
      </w:r>
    </w:p>
    <w:p>
      <w:pPr>
        <w:spacing w:after="0" w:line="5" w:lineRule="exact"/>
        <w:rPr>
          <w:sz w:val="20"/>
          <w:szCs w:val="20"/>
          <w:color w:val="auto"/>
        </w:rPr>
      </w:pPr>
    </w:p>
    <w:p>
      <w:pPr>
        <w:jc w:val="center"/>
        <w:ind w:right="3353"/>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SECURITIES</w:t>
            </w: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5"/>
        </w:trPr>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UNDERLYING UNEXERCISED</w:t>
            </w:r>
          </w:p>
        </w:tc>
        <w:tc>
          <w:tcPr>
            <w:tcW w:w="25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w:t>
            </w:r>
          </w:p>
        </w:tc>
        <w:tc>
          <w:tcPr>
            <w:tcW w:w="25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IN-THE-MONEY OPTIONS AT</w:t>
            </w:r>
          </w:p>
        </w:tc>
      </w:tr>
      <w:tr>
        <w:trPr>
          <w:trHeight w:val="175"/>
        </w:trPr>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spacing w:after="0"/>
              <w:rPr>
                <w:sz w:val="15"/>
                <w:szCs w:val="15"/>
                <w:color w:val="auto"/>
              </w:rPr>
            </w:pPr>
          </w:p>
        </w:tc>
        <w:tc>
          <w:tcPr>
            <w:tcW w:w="2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FISCAL PERIOD END (#)</w:t>
            </w:r>
          </w:p>
        </w:tc>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FISCAL PERIOD END ($)(1)</w:t>
            </w:r>
          </w:p>
        </w:tc>
      </w:tr>
      <w:tr>
        <w:trPr>
          <w:trHeight w:val="175"/>
        </w:trPr>
        <w:tc>
          <w:tcPr>
            <w:tcW w:w="2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ACQUIRED ON</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VALUE</w:t>
            </w:r>
          </w:p>
        </w:tc>
        <w:tc>
          <w:tcPr>
            <w:tcW w:w="26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EXERCISE (#)</w:t>
            </w:r>
          </w:p>
        </w:tc>
        <w:tc>
          <w:tcPr>
            <w:tcW w:w="2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REALIZED ($) EXERCISABLE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UNEXERCISABLE</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8540" w:type="dxa"/>
            <w:vAlign w:val="bottom"/>
            <w:gridSpan w:val="7"/>
          </w:tcPr>
          <w:p>
            <w:pPr>
              <w:ind w:left="180"/>
              <w:spacing w:after="0"/>
              <w:rPr>
                <w:sz w:val="20"/>
                <w:szCs w:val="20"/>
                <w:color w:val="auto"/>
              </w:rPr>
            </w:pPr>
            <w:r>
              <w:rPr>
                <w:rFonts w:ascii="Courier New" w:cs="Courier New" w:eastAsia="Courier New" w:hAnsi="Courier New"/>
                <w:sz w:val="15"/>
                <w:szCs w:val="15"/>
                <w:color w:val="auto"/>
              </w:rPr>
              <w:t>---------  -------------  -----------  -----------  -------------  -----------  ------------</w:t>
            </w:r>
          </w:p>
        </w:tc>
      </w:tr>
      <w:tr>
        <w:trPr>
          <w:trHeight w:val="524"/>
        </w:trPr>
        <w:tc>
          <w:tcPr>
            <w:tcW w:w="200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29,310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673,373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309,280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168,665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4,463,157</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2,190,202(2)</w:t>
            </w:r>
          </w:p>
        </w:tc>
      </w:tr>
      <w:tr>
        <w:trPr>
          <w:trHeight w:val="175"/>
        </w:trPr>
        <w:tc>
          <w:tcPr>
            <w:tcW w:w="20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TP95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35,387</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643,632</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209,562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277,628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2,764,486</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3,199,519(2)</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8,425</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105,313</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37,950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8,238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422,369</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63,087(2)</w:t>
            </w:r>
          </w:p>
        </w:tc>
      </w:tr>
      <w:tr>
        <w:trPr>
          <w:trHeight w:val="175"/>
        </w:trPr>
        <w:tc>
          <w:tcPr>
            <w:tcW w:w="20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TP95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3,693</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66,068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35,482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373,089</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44,745(2)</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14,358</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281,971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30,182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280,261</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50,771(2)</w:t>
            </w:r>
          </w:p>
        </w:tc>
      </w:tr>
      <w:tr>
        <w:trPr>
          <w:trHeight w:val="175"/>
        </w:trPr>
        <w:tc>
          <w:tcPr>
            <w:tcW w:w="20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TP95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17,142</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305,299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36,302</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12,913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417,811</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35,884(2)</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24,901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7,239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142,352</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56,047(2)</w:t>
            </w:r>
          </w:p>
        </w:tc>
      </w:tr>
      <w:tr>
        <w:trPr>
          <w:trHeight w:val="175"/>
        </w:trPr>
        <w:tc>
          <w:tcPr>
            <w:tcW w:w="20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TP95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2,434</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31,642</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15,458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14,598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81,280</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39,869(2)</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1996</w:t>
            </w:r>
          </w:p>
        </w:tc>
        <w:tc>
          <w:tcPr>
            <w:tcW w:w="14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25,541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7,403</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144,603</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57,408(2)</w:t>
            </w:r>
          </w:p>
        </w:tc>
      </w:tr>
      <w:tr>
        <w:trPr>
          <w:trHeight w:val="175"/>
        </w:trPr>
        <w:tc>
          <w:tcPr>
            <w:tcW w:w="20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TP95</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33,696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15,855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14,966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81,961</w:t>
            </w:r>
          </w:p>
        </w:tc>
        <w:tc>
          <w:tcPr>
            <w:tcW w:w="13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40,855(2)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360" w:hanging="367"/>
        <w:spacing w:after="0" w:line="246"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less option exercise price before payment of applicable income taxes. Market value based on October 31, 1996 and October 31, 1995 closing prices on the New York Stock Exchange as reported in The Wall Street Journal.</w:t>
      </w:r>
    </w:p>
    <w:p>
      <w:pPr>
        <w:spacing w:after="0" w:line="177" w:lineRule="exact"/>
        <w:rPr>
          <w:rFonts w:ascii="Courier New" w:cs="Courier New" w:eastAsia="Courier New" w:hAnsi="Courier New"/>
          <w:sz w:val="15"/>
          <w:szCs w:val="15"/>
          <w:color w:val="auto"/>
        </w:rPr>
      </w:pPr>
    </w:p>
    <w:p>
      <w:pPr>
        <w:jc w:val="both"/>
        <w:ind w:left="367" w:right="3360" w:hanging="367"/>
        <w:spacing w:after="0" w:line="24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subject to reduction in number of shares and expiration if performance goals are not achieved under Continuous Performance Award Plan.</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547"/>
          </w:cols>
          <w:pgMar w:left="233" w:top="468" w:right="1119" w:bottom="1440" w:gutter="0" w:footer="0" w:header="0"/>
        </w:sectPr>
      </w:pPr>
    </w:p>
    <w:bookmarkStart w:id="17" w:name="page18"/>
    <w:bookmarkEnd w:id="17"/>
    <w:p>
      <w:pPr>
        <w:ind w:left="2187"/>
        <w:spacing w:after="0"/>
        <w:rPr>
          <w:sz w:val="20"/>
          <w:szCs w:val="20"/>
          <w:color w:val="auto"/>
        </w:rPr>
      </w:pPr>
      <w:r>
        <w:rPr>
          <w:rFonts w:ascii="Courier New" w:cs="Courier New" w:eastAsia="Courier New" w:hAnsi="Courier New"/>
          <w:sz w:val="15"/>
          <w:szCs w:val="15"/>
          <w:color w:val="auto"/>
        </w:rPr>
        <w:t>LONG-TERM INCENTIVE COMPENSATION</w:t>
      </w:r>
    </w:p>
    <w:p>
      <w:pPr>
        <w:spacing w:after="0" w:line="180" w:lineRule="exact"/>
        <w:rPr>
          <w:sz w:val="20"/>
          <w:szCs w:val="20"/>
          <w:color w:val="auto"/>
        </w:rPr>
      </w:pPr>
    </w:p>
    <w:p>
      <w:pPr>
        <w:ind w:left="7" w:right="3720" w:firstLine="545"/>
        <w:spacing w:after="0" w:line="246" w:lineRule="auto"/>
        <w:rPr>
          <w:sz w:val="20"/>
          <w:szCs w:val="20"/>
          <w:color w:val="auto"/>
        </w:rPr>
      </w:pPr>
      <w:r>
        <w:rPr>
          <w:rFonts w:ascii="Courier New" w:cs="Courier New" w:eastAsia="Courier New" w:hAnsi="Courier New"/>
          <w:sz w:val="15"/>
          <w:szCs w:val="15"/>
          <w:color w:val="auto"/>
        </w:rPr>
        <w:t>The following table summarizes all awards of long-term incentive compensation made under the Company's Continuous Performance Award Plan to the named individuals during Fiscal 1996. Amounts paid pursuant to the Continuous Performance Award Plan during Fiscal 1996 are set forth in the Summary Compensation Table which appears elsewhere in this Proxy Statement.</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40" w:type="dxa"/>
            <w:vAlign w:val="bottom"/>
            <w:gridSpan w:val="3"/>
          </w:tcPr>
          <w:p>
            <w:pPr>
              <w:jc w:val="center"/>
              <w:ind w:right="104"/>
              <w:spacing w:after="0"/>
              <w:rPr>
                <w:sz w:val="20"/>
                <w:szCs w:val="20"/>
                <w:color w:val="auto"/>
              </w:rPr>
            </w:pPr>
            <w:r>
              <w:rPr>
                <w:rFonts w:ascii="Courier New" w:cs="Courier New" w:eastAsia="Courier New" w:hAnsi="Courier New"/>
                <w:sz w:val="15"/>
                <w:szCs w:val="15"/>
                <w:color w:val="auto"/>
              </w:rPr>
              <w:t>ESTIMATED FUTURE PAYOUTS</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PERFORMANCE OR</w:t>
            </w:r>
          </w:p>
        </w:tc>
        <w:tc>
          <w:tcPr>
            <w:tcW w:w="10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UNDER NON-STOCK</w:t>
            </w: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OTHER PERIOD</w:t>
            </w:r>
          </w:p>
        </w:tc>
        <w:tc>
          <w:tcPr>
            <w:tcW w:w="3440" w:type="dxa"/>
            <w:vAlign w:val="bottom"/>
            <w:gridSpan w:val="3"/>
          </w:tcPr>
          <w:p>
            <w:pPr>
              <w:jc w:val="center"/>
              <w:ind w:right="4"/>
              <w:spacing w:after="0"/>
              <w:rPr>
                <w:sz w:val="20"/>
                <w:szCs w:val="20"/>
                <w:color w:val="auto"/>
              </w:rPr>
            </w:pPr>
            <w:r>
              <w:rPr>
                <w:rFonts w:ascii="Courier New" w:cs="Courier New" w:eastAsia="Courier New" w:hAnsi="Courier New"/>
                <w:sz w:val="15"/>
                <w:szCs w:val="15"/>
                <w:color w:val="auto"/>
              </w:rPr>
              <w:t>PRICE-BASED PLANS (3)</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UNTIL</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NUMBER OF SHARES, UNITS OR</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MATURATION OR</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w w:val="98"/>
              </w:rPr>
              <w:t>THRESHOLD</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TARGET</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MAXIMUM</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rPr>
              <w:t>OTHER RIGHTS (#)</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PAYOUT</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 OR #)</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 OR #)</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 OR #)</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73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  --------------  -----------  ---------  -----------</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Kendrick B. Melrose</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 Award(1)</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3 fiscal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10,830</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$ 405,620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$ 565,955</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years(2)</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Option (20,065 shares)</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Gerald T. Knight</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 Award(1)</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3 fiscal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1,263</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7,321</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66,026</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years(2)</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Option(2,446 shares)</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J. David McIntosh</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 Award(1)</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3 fiscal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1,306</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48,915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68,250</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years(2)</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Option (2,026 shares)</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Calvin R. Hendrix</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 Award(1)(4)</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3 fiscal</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years(2)</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Option (2,084 shares)</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Charles B. Lounsbury</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1 Award(1)</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3 fiscal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1,306</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48,915</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68,250</w:t>
            </w: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years(2)</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440" w:type="dxa"/>
            <w:vAlign w:val="bottom"/>
          </w:tcPr>
          <w:p>
            <w:pPr>
              <w:spacing w:after="0"/>
              <w:rPr>
                <w:sz w:val="15"/>
                <w:szCs w:val="15"/>
                <w:color w:val="auto"/>
              </w:rPr>
            </w:pP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Option (2,123 shares)</w:t>
            </w:r>
          </w:p>
        </w:tc>
        <w:tc>
          <w:tcPr>
            <w:tcW w:w="1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540"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is the right to receive designated target percentages of annual salary at the end of the three year performance period if the Company achieves financial performance objectives based on return on beginning stockholders equity and net income growth compared with rankings of the Company's peer group of competitors, as established by the Compensation Committee pursuant to the Continuous Performance Award Plan. The value of an award is based on a participant's base compensation estimated to be paid during the last fiscal year of an award term (three years, except for transition awards), multiplied by an individual participation factor determined by the Committee within a range set by the plan, which is intended to reflect the participant's ability to implement policy decisions which influence the financial results of the Company or its divisions or subsidiaries. Each award recipient also receives an option to purchase the number of shares of the Company's Common Stock shown, if performance goals are achieved. See the Compensation Committee Report and Proposal Two for additional information on the Continuous Performance Award Plan.</w:t>
      </w:r>
    </w:p>
    <w:p>
      <w:pPr>
        <w:spacing w:after="0" w:line="184"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three year performance period includes Fiscal 1996, 1997 and 1998.</w:t>
      </w:r>
    </w:p>
    <w:p>
      <w:pPr>
        <w:spacing w:after="0" w:line="179" w:lineRule="exact"/>
        <w:rPr>
          <w:rFonts w:ascii="Courier New" w:cs="Courier New" w:eastAsia="Courier New" w:hAnsi="Courier New"/>
          <w:sz w:val="15"/>
          <w:szCs w:val="15"/>
          <w:color w:val="auto"/>
        </w:rPr>
      </w:pPr>
    </w:p>
    <w:p>
      <w:pPr>
        <w:ind w:left="367" w:right="4180"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pursuant to the Continuous Performance Award Plan based on estimated Fiscal 1998 salaries.</w:t>
      </w:r>
    </w:p>
    <w:p>
      <w:pPr>
        <w:spacing w:after="0" w:line="174" w:lineRule="exact"/>
        <w:rPr>
          <w:rFonts w:ascii="Courier New" w:cs="Courier New" w:eastAsia="Courier New" w:hAnsi="Courier New"/>
          <w:sz w:val="15"/>
          <w:szCs w:val="15"/>
          <w:color w:val="auto"/>
        </w:rPr>
      </w:pPr>
    </w:p>
    <w:p>
      <w:pPr>
        <w:ind w:left="367" w:right="4260"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Hendrix resigned from the Company effective January 15, 1997 and consequently forfeited this award and related option.</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807"/>
          </w:cols>
          <w:pgMar w:left="233" w:top="468" w:right="859" w:bottom="1440" w:gutter="0" w:footer="0" w:header="0"/>
        </w:sectPr>
      </w:pPr>
    </w:p>
    <w:bookmarkStart w:id="18" w:name="page19"/>
    <w:bookmarkEnd w:id="18"/>
    <w:p>
      <w:pPr>
        <w:ind w:left="2820"/>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following graph depicts total cumulative stockholder return (assuming reinvestment of dividends) of the Company's Common Stock, the S&amp;P 500 Index and an industry peer index for the preceding five fiscal years commencing with Fiscal 1992. The industry peer index is based on the Fortune 500 Industrial and Farm Equipment Index, which is comprised of the companies listed below.</w:t>
      </w:r>
    </w:p>
    <w:p>
      <w:pPr>
        <w:spacing w:after="0" w:line="178"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COMPARISON OF FIVE YEAR TOTAL RETURN AMONG</w:t>
      </w:r>
    </w:p>
    <w:p>
      <w:pPr>
        <w:spacing w:after="0" w:line="5"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THE TORO COMPANY, S&amp;P 500, AND PEER GROUP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1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THE TORO CO</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S&amp;P 500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PEER GROUP</w:t>
            </w:r>
          </w:p>
        </w:tc>
      </w:tr>
      <w:tr>
        <w:trPr>
          <w:trHeight w:val="350"/>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1991</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1992</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1993</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1994</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1995</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175"/>
        </w:trPr>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4"/>
              </w:rPr>
              <w:t>1996</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bl>
    <w:p>
      <w:pPr>
        <w:spacing w:after="0" w:line="354" w:lineRule="exact"/>
        <w:rPr>
          <w:sz w:val="20"/>
          <w:szCs w:val="20"/>
          <w:color w:val="auto"/>
        </w:rPr>
      </w:pPr>
    </w:p>
    <w:p>
      <w:pPr>
        <w:ind w:left="440" w:right="3139" w:firstLine="364"/>
        <w:spacing w:after="0" w:line="247" w:lineRule="auto"/>
        <w:rPr>
          <w:sz w:val="20"/>
          <w:szCs w:val="20"/>
          <w:color w:val="auto"/>
        </w:rPr>
      </w:pPr>
      <w:r>
        <w:rPr>
          <w:rFonts w:ascii="Courier New" w:cs="Courier New" w:eastAsia="Courier New" w:hAnsi="Courier New"/>
          <w:sz w:val="15"/>
          <w:szCs w:val="15"/>
          <w:color w:val="auto"/>
        </w:rPr>
        <w:t>This graph assumes $100 invested on November 1, 1991 in the Company's Common Stock, the S&amp;P 500 Index and the peer group index.</w:t>
      </w:r>
    </w:p>
    <w:p>
      <w:pPr>
        <w:spacing w:after="0" w:line="17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The peer group includes: York International, Briggs &amp; Stratton, Stewart</w:t>
      </w:r>
    </w:p>
    <w:p>
      <w:pPr>
        <w:spacing w:after="0" w:line="5" w:lineRule="exact"/>
        <w:rPr>
          <w:sz w:val="20"/>
          <w:szCs w:val="20"/>
          <w:color w:val="auto"/>
        </w:rPr>
      </w:pPr>
    </w:p>
    <w:p>
      <w:pPr>
        <w:ind w:left="440" w:right="2959" w:firstLine="8"/>
        <w:spacing w:after="0" w:line="246" w:lineRule="auto"/>
        <w:tabs>
          <w:tab w:leader="none" w:pos="62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Stevenson Services, Dover Corp., Cummins Engine, Cincinnati Milacron Inc., Harnischfeger Industries Inc., Crane Co., Tecumseh Products Co., Ingersoll-Rand Co., Nacco Industries, Parker-Hannifin Corp., Terex Corp., Dresser Industries Inc., Trinova Corp., Deere &amp; Co., Timken Co., Baker-Hughes Inc., Caterpillar Inc., The Black &amp; Decker Corporation, American Standard, Western Atlas Inc., Agco Corporation, Kennametal Inc., Lincoln Electric, Teleflex, Detroit Diesel and Case Corporation as well as the Company. Pentair Corp., Figgie International, Outboard Marine Corp., IMO Industries Inc., Tenneco Inc. and Actava Group Inc. were removed from the Industrial and Farm Group Index in 1996 and Case Corporation was added.</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Neither the Compensation Committee Report nor this Performance Graph shall be deemed to be "soliciting material" or to be filed with the SEC or subject to Regulation 14A or 14C under the Securities Exchange Act of 1934, or to the liabilities of Section 18 of that Act.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8"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For Fiscal 1996, the members of the Compensation Committee all were outside members of the Board, and included Messrs. Olseth, Chairman, Baukol, Meyer and Nassau. Although Mr. Melrose is not a member of the Committee, he attends the meetings for the purpose of providing continuity and detailed information about employees and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Company.</w:t>
      </w:r>
    </w:p>
    <w:p>
      <w:pPr>
        <w:spacing w:after="0" w:line="181"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COMPENSATION COMMITTEE REPORT</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Compensation Committee is responsible for establishing policies and administering the compensation plans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 Some of these companies are in the Company's peer group index for the Performance Graph on page 15 (29 companies comprising the Fortune 500 Industrial and Farm Equipment Group). However, the Company relies on a broader group of companies for comparative analysis of executive compensation because the Committee believes that the Company's competitors for executive talent are more varied than its business peer group.</w:t>
      </w:r>
    </w:p>
    <w:p>
      <w:pPr>
        <w:spacing w:after="0" w:line="182"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While the policies of the Company are designed to compensate executive officers for personal performance, a substantial portion of annual compensation, especially that of the Chief Executive Officer, is designed to align the financial interests of the executive officers with those of the Company stockholders, by making certain components of compensation contingent upon the financial performance of the Company. The Company's compensation program for executive officers as well as other key management employees continues to be composed of both cash and equity-based compensation. Cash compensation consists of base salary, an annual incentive bonus under the Annual Management Incentive Plan and long-term incentive compensation under the Continuous Performance Award Plan. Equity-based compensation in the form of stock options constitutes an additional component of long-term incentive 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Base salaries for executive officers, including the Chief Executive Officer, are initially established and thereafter are reviewed at least annually by the Committee. Based on independent evaluation by professional compensation consulting firms retained by the Company, a base salary range for each executive position is established, reflecting average base salaries for similar positions in businesses with revenues comparable to those of the Company. A base salary for each executive is set within that market range by considering the experience and individual performance of the executive. For Fiscal 1996 and the Transition Period, base salaries for executive officers were within the middle one-third of the market range.</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Mr. Melrose's salary with respect to Fiscal 1996 was set at $438,337,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the same method used in establishing other executive officers' base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salary, but reflecting a $100,000 reduction agreed on by the Committee and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Melrose in Fiscal 1992 to increase the "at risk" portion of Mr. Melrose's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Mr. Melrose's base salary was reduced in a total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at a rate of $100,000 per calendar year through 1996, in exchange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he was granted a ten year salary replacement option to purchase 300,000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the Company's Common Stock. The final one-third of the ten year option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 in December 1996. The purpose of the option is to encourage Mr. Melrose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focus his attention 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8" w:right="1440" w:bottom="1440" w:gutter="0" w:footer="0" w:header="0"/>
        </w:sectPr>
      </w:pPr>
    </w:p>
    <w:bookmarkStart w:id="20" w:name="page21"/>
    <w:bookmarkEnd w:id="20"/>
    <w:p>
      <w:pPr>
        <w:ind w:right="2959"/>
        <w:spacing w:after="0" w:line="247" w:lineRule="auto"/>
        <w:rPr>
          <w:sz w:val="20"/>
          <w:szCs w:val="20"/>
          <w:color w:val="auto"/>
        </w:rPr>
      </w:pPr>
      <w:r>
        <w:rPr>
          <w:rFonts w:ascii="Courier New" w:cs="Courier New" w:eastAsia="Courier New" w:hAnsi="Courier New"/>
          <w:sz w:val="15"/>
          <w:szCs w:val="15"/>
          <w:color w:val="auto"/>
        </w:rPr>
        <w:t>increasing stockholder value. For the purpose of calculating incentive compensation, Mr. Melrose's base salary was not reduced. His base salary for the Transition Period also reflected the salary reduction on a prorated basis.</w:t>
      </w:r>
    </w:p>
    <w:p>
      <w:pPr>
        <w:spacing w:after="0" w:line="174" w:lineRule="exact"/>
        <w:rPr>
          <w:sz w:val="20"/>
          <w:szCs w:val="20"/>
          <w:color w:val="auto"/>
        </w:rPr>
      </w:pPr>
    </w:p>
    <w:p>
      <w:pPr>
        <w:jc w:val="both"/>
        <w:ind w:right="3419" w:firstLine="545"/>
        <w:spacing w:after="0" w:line="247" w:lineRule="auto"/>
        <w:rPr>
          <w:sz w:val="20"/>
          <w:szCs w:val="20"/>
          <w:color w:val="auto"/>
        </w:rPr>
      </w:pPr>
      <w:r>
        <w:rPr>
          <w:rFonts w:ascii="Courier New" w:cs="Courier New" w:eastAsia="Courier New" w:hAnsi="Courier New"/>
          <w:sz w:val="15"/>
          <w:szCs w:val="15"/>
          <w:color w:val="auto"/>
        </w:rPr>
        <w:t>The Committee conducts a performance evaluation of Mr. Melrose on an annual basis. The other named executive officers receive evaluations by Mr. Melrose, which are used by the Committee in establishing base salaries.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COMPENSATION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An executive of the Company will earn total compensation that is market competitive only if incentive compensation is earned. In order for an executive to earn incentive compensation sufficient to bring total compensation to average market levels, Company financial performance targets must be achieved. If targets are exceeded incentive compensation can result in above market level compensation.</w:t>
      </w:r>
    </w:p>
    <w:p>
      <w:pPr>
        <w:spacing w:after="0" w:line="178"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incentive components of compensation are intended to encourage achievement of both short-term and long-term objectives. Short-term performance is evaluated using performance goal criteria selected annually by the Committee from among those authorized in the Annual Management Incentive Plan as approved by stockholders. Long-term performance has traditionally been evaluated by reference to the Company's return on beginning equity ("ROBE") on a relative basis compared with the performance of the peer group over a three year period. In Fiscal 1996, net income growth was added to ROBE as a measure of long-term performance for awards granted in November of 1995 with respect to the performance award term including Fiscal 1996, 1997 and 1998. In November 1996 the Committee approved the modification of the long-term performance goals to eliminate net income growth, and the Board is seeking the approval of stockholders for the amendment. See Proposal Two.</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For Fiscal 1996, 59% of Mr. Melrose's total cash compensation was comprised of incentive payments under the Company's short-term and long-term plans. If the Company had not met any of its performance goals and Mr. Melrose had received no incentive payments, his total cash compensation (including the $100,000 salary reduction) would have equaled only 44% of average market levels for total cash compensation paid to chief executive officers in businesses with revenues comparable to the Company's.</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ANNUAL CASH INCENTIVE COMPENSATION. Under the Company's stockholder-approved Annual Management Incentive Plan, executive officers and other key employees are eligible to receive an annual cash bonus based on a percentage of base salary. The target amount of each award is determined by the executive officer's position, the Company's achievement of performance goals and, for certain participant's, division performance. If performance goals are exceeded, award amounts increase up to a pre-established maximum, but if goals are not met, awards are reduced or not paid at all. For instance, no awards were paid for Fiscal 1991 or 1992. Proposed participants in the Annual Management Incentive Plan are recommended by management and selected by the Committee.</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Under the Annual Management Incentive Plan as in effect for Fiscal 1996, the Compensation Committee established an earnings per share ("EPS") performance goal as the basis for a target award amount, and a ROANA goal as the basis for payment of higher award amounts. Because the Company met the EPS goal but did not exceed the ROANA goal, a bonus in an amount equal to an executive's target award was paid. If the ROANA goal had been exceeded, a bonus amount of up to 175% of the target amount could have been paid. If the EPS had been below a minimum level established by the Committee, no bonus would have been paid. In considering and certifying achievement of performance goals for Fiscal 1996, the Committee eliminated the dilutive effect on EPS of acquisitions which had not been planned at the beginning of the Company's fiscal year. An additional performance goal applicable to division participants was based on division controllable profit contribution ("CPC"). If this goal was achieved, the award payment would be increased by up to 25% of the target amount (up to a maximum of 175% of the target), but if the goal was not achieved, the award payment amount could be reduced by up to 40% of the target. For Fiscal</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8" w:right="1440" w:bottom="1440" w:gutter="0" w:footer="0" w:header="0"/>
        </w:sectPr>
      </w:pPr>
    </w:p>
    <w:bookmarkStart w:id="21" w:name="page22"/>
    <w:bookmarkEnd w:id="21"/>
    <w:p>
      <w:pPr>
        <w:ind w:right="2959"/>
        <w:spacing w:after="0" w:line="246" w:lineRule="auto"/>
        <w:rPr>
          <w:sz w:val="20"/>
          <w:szCs w:val="20"/>
          <w:color w:val="auto"/>
        </w:rPr>
      </w:pPr>
      <w:r>
        <w:rPr>
          <w:rFonts w:ascii="Courier New" w:cs="Courier New" w:eastAsia="Courier New" w:hAnsi="Courier New"/>
          <w:sz w:val="15"/>
          <w:szCs w:val="15"/>
          <w:color w:val="auto"/>
        </w:rPr>
        <w:t>1996, some divisions achieved the CPC goal and others did not, which resulted in award payments made to division participants ranging from slightly more than the target amounts to substantially reduced payments. The Committee also has the discretion to reduce award payments made to division general managers, including certain named executive officers, by up to 10% in the event division performance is below Committee expectations, judged with respect to supplemental division performance goals specified in the plan. The Committee exercised this discretion with respect to Fiscal 1996.</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An executive's target award amount is based on a percentage of base salary, 50% for Mr. Melrose and 40% for the other named executive officers. The percentage is based on the executive's salary grade and job position and not on individual factors.</w:t>
      </w:r>
    </w:p>
    <w:p>
      <w:pPr>
        <w:spacing w:after="0" w:line="177"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The Committee has adopted amendments to the Annual Management Incentive Plan, which are being submitted to stockholders for approval in Proposal Three of this Proxy Statement. The amendments add two additional performance goal criteria for Committee use in establishing Annual Performance Awards and modifying participation factors.</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Committee established a performance goal based on EPS as the basis for payment of a bonus with respect to the Transition Period, with the opportunity for an increased payment only if EPS exceeded a designated amount. If EPS had been lower than a preestablished amount, no award payment would have been made. Target award amounts were based on participation factors established under the Annual Management Incentive Plan, applied to Transition Period base compensation. Because EPS was achieved within the target range, award amounts were paid at the target level, without increase or reduction, and Mr. Melrose received a bonus equal to 50% of his Transition Period earned base compensation.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LONG-TERM INCENTIVE COMPENSATION. Under the Continuous Performance Award Plan as in effect for the three year period ending with Fiscal 1996, performance awards could be earned by eligible executive officers if the Company achieved a financial goal based on average ROBE for the three year award term, as established by the Committee, and if the relative rank of the Company's average ROBE achieved compared favorably with ROBE rankings of all companies in the Company's peer group described above. The additional performance goal of net income growth was added with respect to Fiscal 1996 only, as approved by stockholders. The maximum value of a performance award (100%) could be earned only if the Company achieved performance goals that ranked among the top 25% of companies in the peer group. The amount of an award payment is reduced proportionately the lower the Company's performance ranks compared with the peer group, and no award is paid if the Company does not rank in the top 75%.</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If the Company's performance goals are achieved, the amount of an individual participant's award payment is determined based on the individual's participation factor, which is a percentage of base salary ranging from 25% to 100% established by the Committee based on the individual's position and level of responsibility. Mr. Melrose participates in the plan at a factor of 1.0 (one times base salary), which means that if the Company's ROBE and net income growth, weighted in accordance with the Committee's formula, rank in the top 25% of companies in the peer group, Mr. Melrose would receive a long-term incentive payment equal to his base salary during the last fiscal year of the award, as estimated in advance by the Committee.</w:t>
      </w:r>
    </w:p>
    <w:p>
      <w:pPr>
        <w:spacing w:after="0" w:line="181"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In Fiscal 1996, the Company's three year average ROBE performance ranked at the 57th percentile level among its peer group and its net income growth for Fiscal 1996 ranked at the 39th percentile, so that the amount of awards was</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70.4% of the potential maximum for each named executive officer, including Mr. Melrose. In Fiscal 1996, 34% of Mr. Melrose's cash compensation was comprised of payments pursuant to the Continuous Performance Award Plan. This award is reflected in the Summary Compensation Table.</w:t>
      </w:r>
    </w:p>
    <w:p>
      <w:pPr>
        <w:spacing w:after="0" w:line="177" w:lineRule="exact"/>
        <w:rPr>
          <w:sz w:val="20"/>
          <w:szCs w:val="20"/>
          <w:color w:val="auto"/>
        </w:rPr>
      </w:pPr>
    </w:p>
    <w:p>
      <w:pPr>
        <w:jc w:val="both"/>
        <w:ind w:right="3319" w:firstLine="545"/>
        <w:spacing w:after="0" w:line="247" w:lineRule="auto"/>
        <w:rPr>
          <w:sz w:val="20"/>
          <w:szCs w:val="20"/>
          <w:color w:val="auto"/>
        </w:rPr>
      </w:pPr>
      <w:r>
        <w:rPr>
          <w:rFonts w:ascii="Courier New" w:cs="Courier New" w:eastAsia="Courier New" w:hAnsi="Courier New"/>
          <w:sz w:val="15"/>
          <w:szCs w:val="15"/>
          <w:color w:val="auto"/>
        </w:rPr>
        <w:t>With respect to the Transition Period, the Committee used the same EPS performance goal established in connection with the Transition Period annual bonus described above, as the basis for a bonus in lieu</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8" w:right="1440" w:bottom="1440" w:gutter="0" w:footer="0" w:header="0"/>
        </w:sectPr>
      </w:pPr>
    </w:p>
    <w:bookmarkStart w:id="22" w:name="page23"/>
    <w:bookmarkEnd w:id="22"/>
    <w:p>
      <w:pPr>
        <w:ind w:right="2959"/>
        <w:spacing w:after="0" w:line="246" w:lineRule="auto"/>
        <w:rPr>
          <w:sz w:val="20"/>
          <w:szCs w:val="20"/>
          <w:color w:val="auto"/>
        </w:rPr>
      </w:pPr>
      <w:r>
        <w:rPr>
          <w:rFonts w:ascii="Courier New" w:cs="Courier New" w:eastAsia="Courier New" w:hAnsi="Courier New"/>
          <w:sz w:val="15"/>
          <w:szCs w:val="15"/>
          <w:color w:val="auto"/>
        </w:rPr>
        <w:t>of an award under the Continuous Performance Award Plan. The amount of this bonus was determined by applying the individual participation factors otherwise applicable to plan participants under the Continuous Performance Award Plan to base compensation for the Transition Period. If EPS had been lower than a preestablished amount, no bonus in lieu of the usual Continuous Performance Award Plan bonus would have been paid. If the EPS goal had been exceeded, however, the amount of this bonus would not have been increased. Because the EPS target was achieved, Mr. Melrose received a bonus equal to 100% of his Transition Period earned base compensation.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Under a Continuous Performance Award Plan formula, the Committee also grants to each participant a nonqualified stock option to purchase shares of Common Stock. If performance goals for the related performance award are not achieved, the number of shares subject to the option is reduced in accordance with the formula applicable to reduction of the Performance Award. The option is exercisable for only 90 days, following the Company's release of its earnings for the last year of the award term. Payment of the option exercise price is intended to be facilitated by the incentive compensation payments made near the time the option becomes exercisable. One of the purposes of this option is to encourage stock ownership by executive officers of the Company. No such options were awarded with respect to the Transition Period. Options related to the award payment made with respect to the three year period ended with Fiscal 1996 were reduced by 29.6%.</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In Fiscal 1995, a special committee of the Committee recommended, and the Board and stockholders approved, a special incentive compensation plan for Mr. Melrose, to encourage him to remain with the Company until his 60th birthday on July 31, 2000, while assuring the timely development and election of his successor as chief executive officer of the Company. Under the Chief Executive Officer Succession Incentive Agreement, on July 31, 1995, Mr. Melrose was awarded 17,467 shares of Common Stock and Common Stock performance units having a fair market value of $500,000, subject to forfeiture or reduction in the event performance goals related to the development and implementation of a senior management succession plan and chief executive officer succession plan are not met by target dates beginning in Fiscal 1997 and continuing through July 31, 2000. During Fiscal 1996, the Committee met with the Board, including Mr. Melrose, to discuss the status of development of the succession plan, including considering the advice of an executive search consultant. The Committee noted that press reports had suggested that Mr. Melrose would be required to retire from employment with the Company not later than July 31, 2000 in connection with the election of a successor under the Plan. The agreement with Mr. Melrose does not require that he retire from employment with the Company at any particular date, and therefore the Committee recommended to the Board, and the Board agreed, that the understanding regarding Mr. Melrose's retirement be made clear that Mr. Melrose is not required to retire on July 31, 2000. The Board has advised the Committee that it wishes to proceed with an orderly transition of top management of the Company as Mr. Melrose nears retirement age.</w:t>
      </w:r>
    </w:p>
    <w:p>
      <w:pPr>
        <w:spacing w:after="0" w:line="18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STOCK OPTION PLANS. In addition to options granted in connection with the Continuous Performance Award Plan, the Committee makes stock option grants pursuant to the Company's stock option plans. Options are granted to all key management employees, including Mr. Melrose and the named executive officers, in amounts determined based on annual base salary, salary grade and the fair market value of the Common Stock on the date of grant. Except for performance-based options granted in connection with the Continuous Performance Award Plan, all options granted under the stock option plans have exercise prices that are equal to fair market value at the date of grant. In Fiscal 1996 and the Transition Period, Mr. Melrose was granted options to purchase a total of 49,093 shares pursuant to the plans.</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SECTION 162(M). Under Section 162(m) of the Code, no deduction by a publicly-held corporation is allowed for remuneration paid to certain highly compensated employees to the extent that the amount of such remuneration for a taxable year for such individual exceeds $1,000,000. Section 162(m) provides for the exclusion of performance-based compensation from remuneration that is otherwise subject to the deduction limitation. It is generally the policy of the Company that the components of executive compensation that are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8" w:right="1440" w:bottom="1440" w:gutter="0" w:footer="0" w:header="0"/>
        </w:sectPr>
      </w:pPr>
    </w:p>
    <w:bookmarkStart w:id="23" w:name="page24"/>
    <w:bookmarkEnd w:id="23"/>
    <w:p>
      <w:pPr>
        <w:ind w:right="2959"/>
        <w:spacing w:after="0" w:line="246" w:lineRule="auto"/>
        <w:rPr>
          <w:sz w:val="20"/>
          <w:szCs w:val="20"/>
          <w:color w:val="auto"/>
        </w:rPr>
      </w:pPr>
      <w:r>
        <w:rPr>
          <w:rFonts w:ascii="Courier New" w:cs="Courier New" w:eastAsia="Courier New" w:hAnsi="Courier New"/>
          <w:sz w:val="15"/>
          <w:szCs w:val="15"/>
          <w:color w:val="auto"/>
        </w:rPr>
        <w:t>inherently performance-based should qualify for the exclusion from the deduction limitation under Section 162(m). The Committee believes that the annual incentive awards, stock options and long-term incentive awards described above currently qualify for the exclusion. The Committee also believes that while tax deductibility is an important factor, it is not the sole factor to be considered in setting executive compensation policy, and accordingly reserves the right, in appropriate circumstances, to pay amounts, in addition to base salary, which might not be deductible.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Certain components of the incentive plan for the Transition Period resulting from the Company's change in fiscal year end were not submitted to stockholders. The Company anticipates that neither Transition Period incentive payments nor the remaining components of individual executive compensation during the Transition Period for each highly compensated employee should cause non-deductible compensation to exceed the Section 162(m) limitation for any such employee, and should therefore qualify for deductibility.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INCENTIVE PLANS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All of the recommendations of the Committee with respect to compensation attributable to Fiscal 1996 were approved and adopted by the Board of Directors. In accordance with the Company's past practice under Section 16 of the Exchange Act and practice under Section 162(m), decisions regarding the grant of stock options and certain other awards continue to be made by the Committee and reported to the Board.</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Dale R. Olseth, Chairman</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Ronald O. Baukol</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Alex A. Meyer</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Robert H. Nassau</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8" w:right="1440" w:bottom="1440" w:gutter="0" w:footer="0" w:header="0"/>
        </w:sectPr>
      </w:pPr>
    </w:p>
    <w:bookmarkStart w:id="24" w:name="page25"/>
    <w:bookmarkEnd w:id="24"/>
    <w:p>
      <w:pPr>
        <w:jc w:val="center"/>
        <w:ind w:right="2959"/>
        <w:spacing w:after="0"/>
        <w:rPr>
          <w:sz w:val="20"/>
          <w:szCs w:val="20"/>
          <w:color w:val="auto"/>
        </w:rPr>
      </w:pPr>
      <w:r>
        <w:rPr>
          <w:rFonts w:ascii="Courier New" w:cs="Courier New" w:eastAsia="Courier New" w:hAnsi="Courier New"/>
          <w:sz w:val="15"/>
          <w:szCs w:val="15"/>
          <w:color w:val="auto"/>
        </w:rPr>
        <w:t>PROPOSAL TWO</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AMENDMENTS TO THE CONTINUOUS PERFORMANCE AWARD PLAN</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stockholders are being asked to consider and vote upon a proposal to amend the Continuous Performance Award Plan ("Performance Award Plan") (i) to modify the financial performance goals upon which awards may be based to eliminate net income growth as a performance measure, (ii) to establish a participation factor (the percentage of base salary utilized to determine the value of a participant's award) for Group Vice Presidents at .50 and (iii) to increase the participation factor for the Chief Financial Officer and other officers. Stockholder approval is sought to attempt to ensure that incentive bonus payments made under the Performance Award Plan continue to qualify as performance-based compensation for purposes of Section 162(m) of the Code. The plan was first adopted by the Board and approved by stockholders in 1991. The Board of Directors adopted amendments to the Performance Award Plan on November 19, 1996, subject to stockholder approval.</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purpose of the Performance Award Plan is to provide an incentive to members of management of the Company who are primarily responsible for the management, growth and sound development of the business of the Company and its divisions and subsidiaries, to achieve the Company's long-term financial objectives, by making cash awards based on achievement of long-term performance goals ("Performance Awards").</w:t>
      </w:r>
    </w:p>
    <w:p>
      <w:pPr>
        <w:spacing w:after="0" w:line="178"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If stockholder approval is not received, the Compensation Committee will reconsider the amendments to the Performance Award Plan as they apply to compensation that may be paid to any person referred to in Section 162(m) and the plan will continue in effect as to such persons, as previously approved by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PERFORMANCE AWARD PLAN</w:t>
      </w:r>
    </w:p>
    <w:p>
      <w:pPr>
        <w:spacing w:after="0" w:line="180"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The following summary description of material terms of the Performance Award Plan, as amended, is subject to the specific provisions contained in the Performance Award Plan, a copy of which is Exhibit A of this Proxy Statement. Defined terms have the meanings set forth in the Performance Award Plan.</w:t>
      </w:r>
    </w:p>
    <w:p>
      <w:pPr>
        <w:spacing w:after="0" w:line="177"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ELIGIBILITY AND ADMINISTRATION. Performance Awards may be made to any employee who has primary responsibility for and directly influences achievement of long-term financial results of the Company. Approximately 10 individuals currently receive Awards under the plan. The Performance Award Plan is administered by the Compensation Committee, which has the power to select employees to whom Performance Awards are made, to determine the terms of the Performance Awards, to prescribe rules and regulations relating to the Performance Award Plan and to construe and otherwise implement the Performance Award Plan.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AWARD TERM. Performance Awards are generally granted for a term of three fiscal years commencing on the first day of the first year of the term and are payable only at the conclusion of the term. For the purpose of bringing a person who has not previously participated in the Performance Award Plan into the three year award cycle of the Performance Award Plan, the Committee may grant a one year or two year transition award, so that a Performance Award will be payable, if earned, at the end of each fiscal year of an individual's participation. The Committee may grant successive three year awards to any participant, and may grant partial year awards to new participants. A Performance Award may not be granted to a person who is covered by Section 162(m) later than 90 days after the commencement of the period of service to which the Performance Award relates or, under certain circumstances, after more than 25% of the period of service has elapsed.</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8" w:right="1440" w:bottom="1440" w:gutter="0" w:footer="0" w:header="0"/>
        </w:sectPr>
      </w:pPr>
    </w:p>
    <w:bookmarkStart w:id="25" w:name="page26"/>
    <w:bookmarkEnd w:id="25"/>
    <w:p>
      <w:pPr>
        <w:ind w:right="2959" w:firstLine="545"/>
        <w:spacing w:after="0" w:line="246" w:lineRule="auto"/>
        <w:rPr>
          <w:sz w:val="20"/>
          <w:szCs w:val="20"/>
          <w:color w:val="auto"/>
        </w:rPr>
      </w:pPr>
      <w:r>
        <w:rPr>
          <w:rFonts w:ascii="Courier New" w:cs="Courier New" w:eastAsia="Courier New" w:hAnsi="Courier New"/>
          <w:sz w:val="15"/>
          <w:szCs w:val="15"/>
          <w:color w:val="auto"/>
        </w:rPr>
        <w:t>AWARD VALUE AND PARTICIPATION FACTORS. The value of a Performance Award is based on a Participant's actual base compensation paid during the last fiscal year of an Award Term, multiplied by an individual participation factor either set in the plan or determined by the Committee within a range established by the plan, which is intended to reflect the participant's ability to implement policy decisions which influence the financial results of the Company, or of its divisions or subsidiaries, and the participant's relative seniority within management. For any participant who is a person referred to in Section 162(m), the maximum dollar amount that may be paid under a Performance Award must be fixed at the time of grant. Participation factors, as amended, are 1.0 (or 100% of base compensation) for the Chief Executive Officer, .75 for the President and Chief Operating Officer, if one should be elected, .50 for the Group Vice Presidents and the Chief Financial Officer and .25 to .35 for other officers, including other named executive officers.</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PERFORMANCE GOALS. As amended, the Performance Award Plan provides that a Performance Award will be earned only if the Company achieves a financial performance goal based upon ROBE, as established by the Committee with respect to each Performance Award. The Committee amended the plan to eliminate net income growth compared to the peer group as a financial performance goal because the measure was too sensitive to extraordinary circumstances affecting companies in the peer group, leading to volatile results. The maximum value of a Performance Award ("Award Maximum") is earned if the Company achieves a ROBE that ranks on a percentile basis among the highest 75% of comparable earnings for corporations in the Industrial and Farm Equipment Group of the Fortune 500 (as reported for the calendar year ended during the applicable fiscal year of the Company). If the Company's ROBE ranks between the 75th and 50th percentile, the Award Payout will be reduced pro rata on a straight-line basis from 100% at the 75th percentile to two-thirds of the Award Maximum at the 50th percentile. If the Company's ROBE ranks between the 50th and 25th percentile, the Award Payout will be reduced further on a straight-line basis to zero at the 25th percentile, and at or below that level, no Award Payout will be made. No Award Payout may be earned by or paid to a participant during the first six months of any Award Term.</w:t>
      </w:r>
    </w:p>
    <w:p>
      <w:pPr>
        <w:spacing w:after="0" w:line="186" w:lineRule="exact"/>
        <w:rPr>
          <w:sz w:val="20"/>
          <w:szCs w:val="20"/>
          <w:color w:val="auto"/>
        </w:rPr>
      </w:pPr>
    </w:p>
    <w:p>
      <w:pPr>
        <w:ind w:right="2959" w:firstLine="545"/>
        <w:spacing w:after="0" w:line="247" w:lineRule="auto"/>
        <w:rPr>
          <w:sz w:val="20"/>
          <w:szCs w:val="20"/>
          <w:color w:val="auto"/>
        </w:rPr>
      </w:pPr>
      <w:r>
        <w:rPr>
          <w:rFonts w:ascii="Courier New" w:cs="Courier New" w:eastAsia="Courier New" w:hAnsi="Courier New"/>
          <w:sz w:val="15"/>
          <w:szCs w:val="15"/>
          <w:color w:val="auto"/>
        </w:rPr>
        <w:t>MAXIMUM AWARD. The maximum dollar amount that may be paid to a participant with respect to any Performance Award is $1,500,000.</w:t>
      </w:r>
    </w:p>
    <w:p>
      <w:pPr>
        <w:spacing w:after="0" w:line="17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PAYMENT. Before any payment is made under the plan, the Committee must certify in writing that the Performance Goal justifying the payment has been met. Award payments are made only in cash and the Performance Award Plan contemplates payment within a reasonable time following the end of any Award Term. A participant can elect to defer compensation under the Performance Award Plan in accordance with any cash deferred compensation plan of the Company in effect at the time.</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CHANGE OF CONTROL. Each Performance Award provides that in the event of a threatened or actual change of control of the Company (as defined in the Performance Award Plan) during the final six months of a one year Performance Award or after the first full year of the Award Term of any other Performance Award, the award will become immediately payable and the calculation of the amount to be paid will be based on the ROBE of the Company for the fiscal period then most recently ended.</w:t>
      </w:r>
    </w:p>
    <w:p>
      <w:pPr>
        <w:spacing w:after="0" w:line="179"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MISCELLANEOUS. A Performance Award may not be transferred. A participant may receive payment pursuant to an award only while an employee and only if continuously employed since the date of grant of the Performance Award, except that in the event of death, disability or retirement, an Award Payout, if otherwise earned, will be made with respect to the portion of the applicable Award Term completed at the date of such event. In addition, in the event of involuntary termination of employment of a participant during the Award Term, for reasons other than death, disability or retirement, an Award Payout will be made with respect to the portion of the applicable Award Term completed at the date of such event, and the payment will be based on the ROBE of the Company for the fiscal period then most recently ended and the most recent Fortune 500 publication then available.</w:t>
      </w:r>
    </w:p>
    <w:p>
      <w:pPr>
        <w:spacing w:after="0" w:line="1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8" w:right="1440" w:bottom="1440" w:gutter="0" w:footer="0" w:header="0"/>
        </w:sectPr>
      </w:pPr>
    </w:p>
    <w:bookmarkStart w:id="26" w:name="page27"/>
    <w:bookmarkEnd w:id="26"/>
    <w:p>
      <w:pPr>
        <w:ind w:right="2959" w:firstLine="545"/>
        <w:spacing w:after="0" w:line="246" w:lineRule="auto"/>
        <w:rPr>
          <w:sz w:val="20"/>
          <w:szCs w:val="20"/>
          <w:color w:val="auto"/>
        </w:rPr>
      </w:pPr>
      <w:r>
        <w:rPr>
          <w:rFonts w:ascii="Courier New" w:cs="Courier New" w:eastAsia="Courier New" w:hAnsi="Courier New"/>
          <w:sz w:val="15"/>
          <w:szCs w:val="15"/>
          <w:color w:val="auto"/>
        </w:rPr>
        <w:t>STOCK OPTIONS. At the time of granting a Performance Award, the Committee will also grant to each participant a nonqualified stock option to purchase shares of Common Stock under the Company's then effective stock option plan, on terms and conditions permitted under such stock option plan. The number of shares to be covered by each stock option will be determined as follows: (i) the estimated base compensation of the participant for the first fiscal year of the Award Term will be multiplied by (ii) the participation factor applicable to the participant and the result will be multiplied by (iii) either 1.0 for a one year Award Term, 1.05 for a two year Award Term or 1.1 for a three year Award Term, and the result will be divided by (iv) the fair market value of one share of Common Stock, calculated by taking the average of the closing prices of the Common Stock for the three months prior to the date of grant. However, if the Company's ROBE performance as compared with other corporations comprising the Industrial and Farm Equipment Group of the Fortune 500 ranks below the 75th percentile, the number of shares subject to the option will be reduced on a formula basis as provided in the Performance Award Plan and becomes zero at or below the 25th percentile.</w:t>
      </w:r>
    </w:p>
    <w:p>
      <w:pPr>
        <w:spacing w:after="0" w:line="185"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calculation of whether the ROBE performance goal has been achieved will be made and certified by the Committee promptly after the end of each fiscal year. Provided the Committee has done so, the option will become exercisable on the date the Company releases to the public its earnings for the prior fiscal year, and will remain exercisable until 90 days thereafter. In the event of a threatened or actual Change of Control of the Company, each option will become immediately exercisable in the full option amount, unless otherwise not permitted under the Company's then effective stock option plan or federal securities laws.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PLAN AMENDMENT AND TERMINATION. The Committee may, in its sole discretion, amend, suspend or terminate the Performance Award Plan at any time, with or without advance notice to plan participants, provided that no amendment to the Plan will be effective that would increase the maximum amount that may be paid to a plan participant, that would change the financial performance goal or that would modify the requirements as to eligibility for participation, unless the stockholders of the Company approve such change in accordance with the requirements of Section 162(m).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benefits or amounts that will be received by or allocated to the Chief Executive Officer, the named executive officers, executive officers and officers who are not executive officers under the Performance Award Plan are not presently determinable. Amounts received by Mr. Melrose and the named executive officers during the last fiscal year are set forth in the Summary Compensation Table on page 9 and the Long-Term Incentive Compensation Table on page 14. Amounts received by or allocated to the executive officers as a group, as of October 31, 1996, equaled $641,854. Amounts received by or allocated to all employees, including all officers who were not executive officers, as a group, as of October 31, 1996, equaled $673,573. No payments under this plan were made for the Transition Period. Directors who are not executive officers and employees of the Company do not receive benefits under the Performance Award Plan. Subject to the limitations imposed by Section 162(m), the Committee may amend the Performance Award Plan so that the allocation of benefits may be altered and costs may be increased.</w:t>
      </w:r>
    </w:p>
    <w:p>
      <w:pPr>
        <w:spacing w:after="0" w:line="184"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VOTE REQUIRED. THE AFFIRMATIVE VOTE OF A MAJORITY OF SHARES OF COMMON STOCK PRESENT IN PERSON OR REPRESENTED BY PROXY AT THE ANNUAL MEETING IS REQUIRED FOR THE ADOPTION OF ITEM 2. ALL PROXIES WILL BE VOTED FOR ITEM 2 UNLESS A CONTRARY CHOICE IS INDICATED.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8" w:right="1440" w:bottom="1440" w:gutter="0" w:footer="0" w:header="0"/>
        </w:sectPr>
      </w:pPr>
    </w:p>
    <w:bookmarkStart w:id="27" w:name="page28"/>
    <w:bookmarkEnd w:id="27"/>
    <w:p>
      <w:pPr>
        <w:jc w:val="center"/>
        <w:ind w:right="2959"/>
        <w:spacing w:after="0"/>
        <w:rPr>
          <w:sz w:val="20"/>
          <w:szCs w:val="20"/>
          <w:color w:val="auto"/>
        </w:rPr>
      </w:pPr>
      <w:r>
        <w:rPr>
          <w:rFonts w:ascii="Courier New" w:cs="Courier New" w:eastAsia="Courier New" w:hAnsi="Courier New"/>
          <w:sz w:val="15"/>
          <w:szCs w:val="15"/>
          <w:color w:val="auto"/>
        </w:rPr>
        <w:t>PROPOSAL THREE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AMENDMENTS TO THE ANNUAL MANAGEMENT INCENTIVE PLAN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stockholders are being asked to consider and vote upon a proposal to amend the Annual Management Incentive Plan (the "Annual Plan") (i) to add economic value added and division profit adjustment to the permissable financial performance goals upon which awards may be based and (ii) to eliminate fixed participation factors (percentages of base salary utilized to determine the value of a participant's award) for appointed officers and director level employees and to establish a range from 25% to 40% for participation factors for those employees.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183"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177" w:lineRule="exact"/>
        <w:rPr>
          <w:sz w:val="20"/>
          <w:szCs w:val="20"/>
          <w:color w:val="auto"/>
        </w:rPr>
      </w:pPr>
    </w:p>
    <w:p>
      <w:pPr>
        <w:ind w:right="3419" w:firstLine="545"/>
        <w:spacing w:after="0" w:line="246" w:lineRule="auto"/>
        <w:rPr>
          <w:sz w:val="20"/>
          <w:szCs w:val="20"/>
          <w:color w:val="auto"/>
        </w:rPr>
      </w:pPr>
      <w:r>
        <w:rPr>
          <w:rFonts w:ascii="Courier New" w:cs="Courier New" w:eastAsia="Courier New" w:hAnsi="Courier New"/>
          <w:sz w:val="15"/>
          <w:szCs w:val="15"/>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ANNUAL PLAN</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177"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78"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8" w:right="1440" w:bottom="1440" w:gutter="0" w:footer="0" w:header="0"/>
        </w:sectPr>
      </w:pPr>
    </w:p>
    <w:bookmarkStart w:id="28" w:name="page29"/>
    <w:bookmarkEnd w:id="28"/>
    <w:p>
      <w:pPr>
        <w:ind w:right="2959"/>
        <w:spacing w:after="0" w:line="246" w:lineRule="auto"/>
        <w:rPr>
          <w:sz w:val="20"/>
          <w:szCs w:val="20"/>
          <w:color w:val="auto"/>
        </w:rPr>
      </w:pPr>
      <w:r>
        <w:rPr>
          <w:rFonts w:ascii="Courier New" w:cs="Courier New" w:eastAsia="Courier New" w:hAnsi="Courier New"/>
          <w:sz w:val="15"/>
          <w:szCs w:val="15"/>
          <w:color w:val="auto"/>
        </w:rPr>
        <w:t>exceeded by an amount specified by the Committee. At the time Annual Performance Awards are made, the Committee may decrease Target Payouts by up to 40% or increase Maximum Payouts by up to 25% but not above 175%, for division vice presidents and managers to reflect division specific Performance Goals. The Committee has the discretion to reduce by up to 10% amounts that would otherwise be paid to a division vice president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183"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184"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MAXIMUM AWARD. To comply with Code limitations, the maximum amount a Plan Participant may be paid under an Annual Performance Award with respect to any fiscal year is $1,500,000.</w:t>
      </w:r>
    </w:p>
    <w:p>
      <w:pPr>
        <w:spacing w:after="0" w:line="174"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178"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180" w:lineRule="exact"/>
        <w:rPr>
          <w:sz w:val="20"/>
          <w:szCs w:val="20"/>
          <w:color w:val="auto"/>
        </w:rPr>
      </w:pPr>
    </w:p>
    <w:p>
      <w:pPr>
        <w:ind w:right="3039" w:firstLine="545"/>
        <w:spacing w:after="0" w:line="247" w:lineRule="auto"/>
        <w:rPr>
          <w:sz w:val="20"/>
          <w:szCs w:val="20"/>
          <w:color w:val="auto"/>
        </w:rPr>
      </w:pPr>
      <w:r>
        <w:rPr>
          <w:rFonts w:ascii="Courier New" w:cs="Courier New" w:eastAsia="Courier New" w:hAnsi="Courier New"/>
          <w:sz w:val="15"/>
          <w:szCs w:val="15"/>
          <w:color w:val="auto"/>
        </w:rPr>
        <w:t>EFFECTIVE DATE OF THE PLAN. The Annual Plan first became effective on August 15, 1995. Any amendment to the Annual Plan will be effective on the date established by the Committee, subject to stockholder approval.</w:t>
      </w:r>
    </w:p>
    <w:p>
      <w:pPr>
        <w:spacing w:after="0" w:line="174" w:lineRule="exact"/>
        <w:rPr>
          <w:sz w:val="20"/>
          <w:szCs w:val="20"/>
          <w:color w:val="auto"/>
        </w:rPr>
      </w:pPr>
    </w:p>
    <w:p>
      <w:pPr>
        <w:ind w:right="3499" w:firstLine="545"/>
        <w:spacing w:after="0" w:line="247" w:lineRule="auto"/>
        <w:rPr>
          <w:sz w:val="20"/>
          <w:szCs w:val="20"/>
          <w:color w:val="auto"/>
        </w:rPr>
      </w:pPr>
      <w:r>
        <w:rPr>
          <w:rFonts w:ascii="Courier New" w:cs="Courier New" w:eastAsia="Courier New" w:hAnsi="Courier New"/>
          <w:sz w:val="15"/>
          <w:szCs w:val="15"/>
          <w:color w:val="auto"/>
        </w:rPr>
        <w:t>PLAN BENEFITS. The benefits or amounts that will be received by or allocated to the Chief Executive Officer, the named executive officers and executive officers and officers who are not executive officers under</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8" w:right="1440" w:bottom="1440" w:gutter="0" w:footer="0" w:header="0"/>
        </w:sectPr>
      </w:pPr>
    </w:p>
    <w:bookmarkStart w:id="29" w:name="page30"/>
    <w:bookmarkEnd w:id="29"/>
    <w:p>
      <w:pPr>
        <w:ind w:right="2959"/>
        <w:spacing w:after="0" w:line="246" w:lineRule="auto"/>
        <w:rPr>
          <w:sz w:val="20"/>
          <w:szCs w:val="20"/>
          <w:color w:val="auto"/>
        </w:rPr>
      </w:pPr>
      <w:r>
        <w:rPr>
          <w:rFonts w:ascii="Courier New" w:cs="Courier New" w:eastAsia="Courier New" w:hAnsi="Courier New"/>
          <w:sz w:val="15"/>
          <w:szCs w:val="15"/>
          <w:color w:val="auto"/>
        </w:rPr>
        <w:t>the Annual Plan as amended are not presently determinable. Amounts received by Mr. Melrose and the named executive officers during the last fiscal year are set forth in the Summary Compensation Table on page 9.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 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81"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SELECTION OF INDEPENDENT AUDITORS</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177" w:lineRule="exact"/>
        <w:rPr>
          <w:sz w:val="20"/>
          <w:szCs w:val="20"/>
          <w:color w:val="auto"/>
        </w:rPr>
      </w:pPr>
    </w:p>
    <w:p>
      <w:pPr>
        <w:jc w:val="both"/>
        <w:ind w:right="2959" w:firstLine="545"/>
        <w:spacing w:after="0" w:line="247" w:lineRule="auto"/>
        <w:rPr>
          <w:sz w:val="20"/>
          <w:szCs w:val="20"/>
          <w:color w:val="auto"/>
        </w:rPr>
      </w:pPr>
      <w:r>
        <w:rPr>
          <w:rFonts w:ascii="Courier New" w:cs="Courier New" w:eastAsia="Courier New" w:hAnsi="Courier New"/>
          <w:sz w:val="15"/>
          <w:szCs w:val="15"/>
          <w:color w:val="auto"/>
        </w:rPr>
        <w:t>A representative of KPMG Peat Marwick LLP is expected to be present at the Annual Meeting with the opportunity to make a statement if so desired, and to be available to respond to appropriate questions.</w:t>
      </w:r>
    </w:p>
    <w:p>
      <w:pPr>
        <w:spacing w:after="0" w:line="174" w:lineRule="exact"/>
        <w:rPr>
          <w:sz w:val="20"/>
          <w:szCs w:val="20"/>
          <w:color w:val="auto"/>
        </w:rPr>
      </w:pPr>
    </w:p>
    <w:p>
      <w:pPr>
        <w:ind w:right="3139" w:firstLine="545"/>
        <w:spacing w:after="0" w:line="246" w:lineRule="auto"/>
        <w:rPr>
          <w:sz w:val="20"/>
          <w:szCs w:val="20"/>
          <w:color w:val="auto"/>
        </w:rPr>
      </w:pPr>
      <w:r>
        <w:rPr>
          <w:rFonts w:ascii="Courier New" w:cs="Courier New" w:eastAsia="Courier New" w:hAnsi="Courier New"/>
          <w:sz w:val="15"/>
          <w:szCs w:val="15"/>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4 UNLESS A CONTRARY CHOICE IS INDICATED.</w:t>
      </w:r>
    </w:p>
    <w:p>
      <w:pPr>
        <w:spacing w:after="0" w:line="178"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STOCKHOLDER PROPOSALS FOR 1998 ANNUAL MEETING</w:t>
      </w:r>
    </w:p>
    <w:p>
      <w:pPr>
        <w:spacing w:after="0" w:line="180" w:lineRule="exact"/>
        <w:rPr>
          <w:sz w:val="20"/>
          <w:szCs w:val="20"/>
          <w:color w:val="auto"/>
        </w:rPr>
      </w:pPr>
    </w:p>
    <w:p>
      <w:pPr>
        <w:ind w:right="3039" w:firstLine="545"/>
        <w:spacing w:after="0" w:line="246" w:lineRule="auto"/>
        <w:rPr>
          <w:sz w:val="20"/>
          <w:szCs w:val="20"/>
          <w:color w:val="auto"/>
        </w:rPr>
      </w:pPr>
      <w:r>
        <w:rPr>
          <w:rFonts w:ascii="Courier New" w:cs="Courier New" w:eastAsia="Courier New" w:hAnsi="Courier New"/>
          <w:sz w:val="15"/>
          <w:szCs w:val="15"/>
          <w:color w:val="auto"/>
        </w:rPr>
        <w:t>The 1998 Annual Meeting of Stockholders is expected to be held on March 12, 1998. Unless the date of the 1998 Annual Meeting is changed, a stockholder proposal must be received by the Secretary of the Company no later than the close of business on October 13, 1997, in order to be included in the Company's Proxy Statement for the 1998 Annual Meeting. Procedures for nominations by a stockholder of a person for election as a director at the 1998 Annual Meeting, or any other meeting, are described on page 2.</w:t>
      </w:r>
    </w:p>
    <w:p>
      <w:pPr>
        <w:spacing w:after="0" w:line="179"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8" w:right="1440" w:bottom="1440" w:gutter="0" w:footer="0" w:header="0"/>
        </w:sectPr>
      </w:pPr>
    </w:p>
    <w:bookmarkStart w:id="30" w:name="page31"/>
    <w:bookmarkEnd w:id="30"/>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2959" w:firstLine="545"/>
        <w:spacing w:after="0" w:line="246" w:lineRule="auto"/>
        <w:rPr>
          <w:sz w:val="20"/>
          <w:szCs w:val="20"/>
          <w:color w:val="auto"/>
        </w:rPr>
      </w:pPr>
      <w:r>
        <w:rPr>
          <w:rFonts w:ascii="Courier New" w:cs="Courier New" w:eastAsia="Courier New" w:hAnsi="Courier New"/>
          <w:sz w:val="15"/>
          <w:szCs w:val="15"/>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pacing w:after="0" w:line="178"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5"/>
          <w:szCs w:val="15"/>
          <w:color w:val="auto"/>
        </w:rPr>
        <w:t>Dated: February 10, 1997</w:t>
      </w:r>
      <w:r>
        <w:rPr>
          <w:sz w:val="20"/>
          <w:szCs w:val="20"/>
          <w:color w:val="auto"/>
        </w:rPr>
        <w:tab/>
      </w: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J. LAWRENCE MCINTYRE</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Vice President, Secretary and General</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5"/>
          <w:szCs w:val="15"/>
          <w:color w:val="auto"/>
        </w:rPr>
        <w:t>Counsel</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8" w:right="1440" w:bottom="1440" w:gutter="0" w:footer="0" w:header="0"/>
        </w:sectPr>
      </w:pPr>
    </w:p>
    <w:bookmarkStart w:id="31" w:name="page32"/>
    <w:bookmarkEnd w:id="31"/>
    <w:p>
      <w:pPr>
        <w:jc w:val="right"/>
        <w:ind w:right="29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CONTINUOUS PERFORMANCE AWARD PLAN</w:t>
      </w:r>
    </w:p>
    <w:p>
      <w:pPr>
        <w:spacing w:after="0" w:line="180" w:lineRule="exact"/>
        <w:rPr>
          <w:sz w:val="20"/>
          <w:szCs w:val="20"/>
          <w:color w:val="auto"/>
        </w:rPr>
      </w:pPr>
    </w:p>
    <w:p>
      <w:pPr>
        <w:ind w:left="367" w:right="29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78"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83"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79"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77"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will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8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6"/>
          </w:cols>
          <w:pgMar w:left="233" w:top="468" w:right="1440" w:bottom="1440" w:gutter="0" w:footer="0" w:header="0"/>
        </w:sectPr>
      </w:pPr>
    </w:p>
    <w:bookmarkStart w:id="32" w:name="page33"/>
    <w:bookmarkEnd w:id="32"/>
    <w:p>
      <w:pPr>
        <w:ind w:left="260" w:right="2959"/>
        <w:spacing w:after="0" w:line="246" w:lineRule="auto"/>
        <w:rPr>
          <w:sz w:val="20"/>
          <w:szCs w:val="20"/>
          <w:color w:val="auto"/>
        </w:rPr>
      </w:pPr>
      <w:r>
        <w:rPr>
          <w:rFonts w:ascii="Courier New" w:cs="Courier New" w:eastAsia="Courier New" w:hAnsi="Courier New"/>
          <w:sz w:val="15"/>
          <w:szCs w:val="15"/>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178" w:lineRule="exact"/>
        <w:rPr>
          <w:sz w:val="20"/>
          <w:szCs w:val="20"/>
          <w:color w:val="auto"/>
        </w:rPr>
      </w:pPr>
    </w:p>
    <w:p>
      <w:pPr>
        <w:jc w:val="both"/>
        <w:ind w:left="260" w:right="2959" w:hanging="259"/>
        <w:spacing w:after="0" w:line="247" w:lineRule="auto"/>
        <w:tabs>
          <w:tab w:leader="none" w:pos="240" w:val="left"/>
        </w:tabs>
        <w:rPr>
          <w:sz w:val="20"/>
          <w:szCs w:val="20"/>
          <w:color w:val="auto"/>
        </w:rPr>
      </w:pPr>
      <w:r>
        <w:rPr>
          <w:rFonts w:ascii="Courier New" w:cs="Courier New" w:eastAsia="Courier New" w:hAnsi="Courier New"/>
          <w:sz w:val="15"/>
          <w:szCs w:val="15"/>
          <w:color w:val="auto"/>
        </w:rPr>
        <w:t>b.</w:t>
        <w:tab/>
        <w:t>DATE OF GRANT. Except as otherwise permitted under this Plan, Performance Awards, whether one year, two year or three year awards, shall be granted as of the date which marks the first day of any Award Term.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BASIS OF AWARD.</w:t>
      </w:r>
    </w:p>
    <w:p>
      <w:pPr>
        <w:spacing w:after="0" w:line="180" w:lineRule="exact"/>
        <w:rPr>
          <w:sz w:val="20"/>
          <w:szCs w:val="20"/>
          <w:color w:val="auto"/>
        </w:rPr>
      </w:pPr>
    </w:p>
    <w:p>
      <w:pPr>
        <w:ind w:left="820" w:right="2959" w:hanging="551"/>
        <w:spacing w:after="0" w:line="246" w:lineRule="auto"/>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which is intended to reflect the Participant's ability to influence the financial results of the Company or of its divisions or subsidiaries and the Participant's relative seniority within management.</w:t>
      </w:r>
    </w:p>
    <w:p>
      <w:pPr>
        <w:spacing w:after="0" w:line="182" w:lineRule="exact"/>
        <w:rPr>
          <w:rFonts w:ascii="Courier New" w:cs="Courier New" w:eastAsia="Courier New" w:hAnsi="Courier New"/>
          <w:sz w:val="15"/>
          <w:szCs w:val="15"/>
          <w:color w:val="auto"/>
        </w:rPr>
      </w:pPr>
    </w:p>
    <w:p>
      <w:pPr>
        <w:ind w:left="8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Performance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183" w:lineRule="exact"/>
        <w:rPr>
          <w:rFonts w:ascii="Courier New" w:cs="Courier New" w:eastAsia="Courier New" w:hAnsi="Courier New"/>
          <w:sz w:val="15"/>
          <w:szCs w:val="15"/>
          <w:color w:val="auto"/>
        </w:rPr>
      </w:pPr>
    </w:p>
    <w:p>
      <w:pPr>
        <w:ind w:left="820" w:right="2959" w:hanging="551"/>
        <w:spacing w:after="0" w:line="246" w:lineRule="auto"/>
        <w:tabs>
          <w:tab w:leader="none" w:pos="8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84" w:lineRule="exact"/>
        <w:rPr>
          <w:rFonts w:ascii="Courier New" w:cs="Courier New" w:eastAsia="Courier New" w:hAnsi="Courier New"/>
          <w:sz w:val="15"/>
          <w:szCs w:val="15"/>
          <w:color w:val="auto"/>
        </w:rPr>
      </w:pPr>
    </w:p>
    <w:p>
      <w:pPr>
        <w:ind w:left="8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9859"/>
          </w:cols>
          <w:pgMar w:left="600" w:top="468" w:right="1440" w:bottom="1440" w:gutter="0" w:footer="0" w:header="0"/>
        </w:sectPr>
      </w:pPr>
    </w:p>
    <w:bookmarkStart w:id="33" w:name="page34"/>
    <w:bookmarkEnd w:id="33"/>
    <w:p>
      <w:pPr>
        <w:ind w:left="3"/>
        <w:spacing w:after="0"/>
        <w:rPr>
          <w:sz w:val="20"/>
          <w:szCs w:val="20"/>
          <w:color w:val="auto"/>
        </w:rPr>
      </w:pPr>
      <w:r>
        <w:rPr>
          <w:rFonts w:ascii="Courier New" w:cs="Courier New" w:eastAsia="Courier New" w:hAnsi="Courier New"/>
          <w:sz w:val="15"/>
          <w:szCs w:val="15"/>
          <w:color w:val="auto"/>
        </w:rPr>
        <w:t>d. CALCULATION OF AWARD PAYMENT.</w:t>
      </w:r>
    </w:p>
    <w:p>
      <w:pPr>
        <w:spacing w:after="0" w:line="180" w:lineRule="exact"/>
        <w:rPr>
          <w:sz w:val="20"/>
          <w:szCs w:val="20"/>
          <w:color w:val="auto"/>
        </w:rPr>
      </w:pPr>
    </w:p>
    <w:p>
      <w:pPr>
        <w:ind w:left="823" w:right="2959" w:hanging="551"/>
        <w:spacing w:after="0" w:line="246" w:lineRule="auto"/>
        <w:tabs>
          <w:tab w:leader="none" w:pos="82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189" w:lineRule="exact"/>
        <w:rPr>
          <w:rFonts w:ascii="Courier New" w:cs="Courier New" w:eastAsia="Courier New" w:hAnsi="Courier New"/>
          <w:sz w:val="15"/>
          <w:szCs w:val="15"/>
          <w:color w:val="auto"/>
        </w:rPr>
      </w:pPr>
    </w:p>
    <w:p>
      <w:pPr>
        <w:ind w:left="823" w:right="2959" w:hanging="551"/>
        <w:spacing w:after="0" w:line="246" w:lineRule="auto"/>
        <w:tabs>
          <w:tab w:leader="none" w:pos="82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subparagraph i of this subparagraph 4.d., any individual who has participated in the Plan for less than a full fiscal year during a one year Award Term shall receive a payment only for that portion of the fiscal year during which the individual was a Participant (expressed as a percentage and based on a 360 day year).</w:t>
      </w:r>
    </w:p>
    <w:p>
      <w:pPr>
        <w:spacing w:after="0" w:line="178" w:lineRule="exact"/>
        <w:rPr>
          <w:rFonts w:ascii="Courier New" w:cs="Courier New" w:eastAsia="Courier New" w:hAnsi="Courier New"/>
          <w:sz w:val="15"/>
          <w:szCs w:val="15"/>
          <w:color w:val="auto"/>
        </w:rPr>
      </w:pPr>
    </w:p>
    <w:p>
      <w:pPr>
        <w:ind w:left="263" w:right="3039" w:hanging="263"/>
        <w:spacing w:after="0" w:line="246" w:lineRule="auto"/>
        <w:tabs>
          <w:tab w:leader="none" w:pos="26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PAYMENT. Notwithstanding any other provision of this Plan, the maximum dollar amount a Participant may be paid under a Performance Award with respect to any Award Term is $1,500,000. The Committee may in its discretion, decrease this maximum, but may not under any circumstances increase this maximum.</w:t>
      </w:r>
    </w:p>
    <w:p>
      <w:pPr>
        <w:spacing w:after="0" w:line="177" w:lineRule="exact"/>
        <w:rPr>
          <w:rFonts w:ascii="Courier New" w:cs="Courier New" w:eastAsia="Courier New" w:hAnsi="Courier New"/>
          <w:sz w:val="15"/>
          <w:szCs w:val="15"/>
          <w:color w:val="auto"/>
        </w:rPr>
      </w:pPr>
    </w:p>
    <w:p>
      <w:pPr>
        <w:ind w:left="263" w:right="3139" w:hanging="263"/>
        <w:spacing w:after="0" w:line="246" w:lineRule="auto"/>
        <w:tabs>
          <w:tab w:leader="none" w:pos="26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Before any payment is made under the Plan, the Committee must certify in writing that the Performance Goal justifying the payment has been met. Subject to the provisions of subparagraph 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179" w:lineRule="exact"/>
        <w:rPr>
          <w:rFonts w:ascii="Courier New" w:cs="Courier New" w:eastAsia="Courier New" w:hAnsi="Courier New"/>
          <w:sz w:val="15"/>
          <w:szCs w:val="15"/>
          <w:color w:val="auto"/>
        </w:rPr>
      </w:pPr>
    </w:p>
    <w:p>
      <w:pPr>
        <w:ind w:left="263" w:right="2959" w:hanging="263"/>
        <w:spacing w:after="0" w:line="246" w:lineRule="auto"/>
        <w:tabs>
          <w:tab w:leader="none" w:pos="26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Each Performance Award shall provide that in the event of a threatened or actual Change of Control of the Company after one full year of any multiple year Award Term, or during the final six months of a one year Award Term, any such Performance Award shall become immediately payable and the calculation of the amount payable shall be based on the ROBE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w:t>
      </w:r>
    </w:p>
    <w:p>
      <w:pPr>
        <w:spacing w:after="0" w:line="6" w:lineRule="exact"/>
        <w:rPr>
          <w:rFonts w:ascii="Courier New" w:cs="Courier New" w:eastAsia="Courier New" w:hAnsi="Courier New"/>
          <w:sz w:val="15"/>
          <w:szCs w:val="15"/>
          <w:color w:val="auto"/>
        </w:rPr>
      </w:pPr>
    </w:p>
    <w:p>
      <w:pPr>
        <w:ind w:left="263"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w:t>
      </w:r>
    </w:p>
    <w:p>
      <w:pPr>
        <w:spacing w:after="0" w:line="178" w:lineRule="exact"/>
        <w:rPr>
          <w:sz w:val="20"/>
          <w:szCs w:val="20"/>
          <w:color w:val="auto"/>
        </w:rPr>
      </w:pPr>
    </w:p>
    <w:p>
      <w:pPr>
        <w:ind w:left="3083"/>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862"/>
          </w:cols>
          <w:pgMar w:left="597" w:top="468" w:right="1440" w:bottom="1440" w:gutter="0" w:footer="0" w:header="0"/>
        </w:sectPr>
      </w:pPr>
    </w:p>
    <w:bookmarkStart w:id="34" w:name="page35"/>
    <w:bookmarkEnd w:id="34"/>
    <w:p>
      <w:pPr>
        <w:ind w:left="627" w:right="3319"/>
        <w:spacing w:after="0" w:line="246" w:lineRule="auto"/>
        <w:rPr>
          <w:sz w:val="20"/>
          <w:szCs w:val="20"/>
          <w:color w:val="auto"/>
        </w:rPr>
      </w:pPr>
      <w:r>
        <w:rPr>
          <w:rFonts w:ascii="Courier New" w:cs="Courier New" w:eastAsia="Courier New" w:hAnsi="Courier New"/>
          <w:sz w:val="15"/>
          <w:szCs w:val="15"/>
          <w:color w:val="auto"/>
        </w:rPr>
        <w:t>thereof, that causes the persons who were directors of the Company immediately before such Change of Control to cease to constitute a majority of the Board of Directors of the Company or any parent of or successor to the Company.</w:t>
      </w:r>
    </w:p>
    <w:p>
      <w:pPr>
        <w:spacing w:after="0" w:line="177" w:lineRule="exact"/>
        <w:rPr>
          <w:sz w:val="20"/>
          <w:szCs w:val="20"/>
          <w:color w:val="auto"/>
        </w:rPr>
      </w:pPr>
    </w:p>
    <w:p>
      <w:pPr>
        <w:ind w:left="627" w:right="2959" w:hanging="259"/>
        <w:spacing w:after="0" w:line="246" w:lineRule="auto"/>
        <w:tabs>
          <w:tab w:leader="none" w:pos="606" w:val="left"/>
        </w:tabs>
        <w:rPr>
          <w:sz w:val="20"/>
          <w:szCs w:val="20"/>
          <w:color w:val="auto"/>
        </w:rPr>
      </w:pPr>
      <w:r>
        <w:rPr>
          <w:rFonts w:ascii="Courier New" w:cs="Courier New" w:eastAsia="Courier New" w:hAnsi="Courier New"/>
          <w:sz w:val="15"/>
          <w:szCs w:val="15"/>
          <w:color w:val="auto"/>
        </w:rPr>
        <w:t>h.</w:t>
        <w:tab/>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78" w:lineRule="exact"/>
        <w:rPr>
          <w:sz w:val="20"/>
          <w:szCs w:val="20"/>
          <w:color w:val="auto"/>
        </w:rPr>
      </w:pPr>
    </w:p>
    <w:p>
      <w:pPr>
        <w:ind w:left="1187" w:right="3039" w:hanging="551"/>
        <w:spacing w:after="0" w:line="246" w:lineRule="auto"/>
        <w:tabs>
          <w:tab w:leader="none" w:pos="118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 4.d. and 4.e., notwithstanding the earlier occurrence of such event.</w:t>
      </w:r>
    </w:p>
    <w:p>
      <w:pPr>
        <w:spacing w:after="0" w:line="179" w:lineRule="exact"/>
        <w:rPr>
          <w:rFonts w:ascii="Courier New" w:cs="Courier New" w:eastAsia="Courier New" w:hAnsi="Courier New"/>
          <w:sz w:val="15"/>
          <w:szCs w:val="15"/>
          <w:color w:val="auto"/>
        </w:rPr>
      </w:pPr>
    </w:p>
    <w:p>
      <w:pPr>
        <w:ind w:left="1187" w:right="2959" w:hanging="551"/>
        <w:spacing w:after="0" w:line="246" w:lineRule="auto"/>
        <w:tabs>
          <w:tab w:leader="none" w:pos="118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involuntary termination of employment of a Participant, during the Award Term, for reasons other than death, disability or retirement, an Award Payout shall be made, if otherwise earned in accordance with subparagraph 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180"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79" w:lineRule="exact"/>
        <w:rPr>
          <w:rFonts w:ascii="Courier New" w:cs="Courier New" w:eastAsia="Courier New" w:hAnsi="Courier New"/>
          <w:sz w:val="15"/>
          <w:szCs w:val="15"/>
          <w:color w:val="auto"/>
        </w:rPr>
      </w:pPr>
    </w:p>
    <w:p>
      <w:pPr>
        <w:ind w:left="627" w:right="3679" w:hanging="263"/>
        <w:spacing w:after="0" w:line="247" w:lineRule="auto"/>
        <w:tabs>
          <w:tab w:leader="none" w:pos="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granted one option with respect to each Performance Award.</w:t>
      </w:r>
    </w:p>
    <w:p>
      <w:pPr>
        <w:spacing w:after="0" w:line="174"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181"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w:t>
      </w:r>
    </w:p>
    <w:p>
      <w:pPr>
        <w:spacing w:after="0" w:line="18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6"/>
          </w:cols>
          <w:pgMar w:left="233" w:top="468" w:right="1440" w:bottom="1440" w:gutter="0" w:footer="0" w:header="0"/>
        </w:sectPr>
      </w:pPr>
    </w:p>
    <w:bookmarkStart w:id="35" w:name="page36"/>
    <w:bookmarkEnd w:id="35"/>
    <w:p>
      <w:pPr>
        <w:ind w:left="627" w:right="3039"/>
        <w:spacing w:after="0" w:line="246" w:lineRule="auto"/>
        <w:rPr>
          <w:sz w:val="20"/>
          <w:szCs w:val="20"/>
          <w:color w:val="auto"/>
        </w:rPr>
      </w:pPr>
      <w:r>
        <w:rPr>
          <w:rFonts w:ascii="Courier New" w:cs="Courier New" w:eastAsia="Courier New" w:hAnsi="Courier New"/>
          <w:sz w:val="15"/>
          <w:szCs w:val="15"/>
          <w:color w:val="auto"/>
        </w:rPr>
        <w:t>the option shall expire automatically. The calculation required by this subparagraph shall be made and certified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178" w:lineRule="exact"/>
        <w:rPr>
          <w:sz w:val="20"/>
          <w:szCs w:val="20"/>
          <w:color w:val="auto"/>
        </w:rPr>
      </w:pPr>
    </w:p>
    <w:p>
      <w:pPr>
        <w:ind w:left="627" w:right="3039" w:hanging="259"/>
        <w:spacing w:after="0" w:line="246" w:lineRule="auto"/>
        <w:tabs>
          <w:tab w:leader="none" w:pos="606" w:val="left"/>
        </w:tabs>
        <w:rPr>
          <w:sz w:val="20"/>
          <w:szCs w:val="20"/>
          <w:color w:val="auto"/>
        </w:rPr>
      </w:pPr>
      <w:r>
        <w:rPr>
          <w:rFonts w:ascii="Courier New" w:cs="Courier New" w:eastAsia="Courier New" w:hAnsi="Courier New"/>
          <w:sz w:val="15"/>
          <w:szCs w:val="15"/>
          <w:color w:val="auto"/>
        </w:rPr>
        <w:t>d.</w:t>
        <w:tab/>
        <w:t>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80" w:lineRule="exact"/>
        <w:rPr>
          <w:sz w:val="20"/>
          <w:szCs w:val="20"/>
          <w:color w:val="auto"/>
        </w:rPr>
      </w:pPr>
    </w:p>
    <w:p>
      <w:pPr>
        <w:ind w:left="627" w:right="2959" w:hanging="259"/>
        <w:spacing w:after="0" w:line="246" w:lineRule="auto"/>
        <w:tabs>
          <w:tab w:leader="none" w:pos="606" w:val="left"/>
        </w:tabs>
        <w:rPr>
          <w:sz w:val="20"/>
          <w:szCs w:val="20"/>
          <w:color w:val="auto"/>
        </w:rPr>
      </w:pPr>
      <w:r>
        <w:rPr>
          <w:rFonts w:ascii="Courier New" w:cs="Courier New" w:eastAsia="Courier New" w:hAnsi="Courier New"/>
          <w:sz w:val="15"/>
          <w:szCs w:val="15"/>
          <w:color w:val="auto"/>
        </w:rPr>
        <w:t>e.</w:t>
        <w:tab/>
        <w:t>An option granted with respect to any Performance Award, or the portion thereof which remains after application of subparagraph 5.c. above, shall become exercisable on the date the Company's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5.c. shall not be applicable.</w:t>
      </w:r>
    </w:p>
    <w:p>
      <w:pPr>
        <w:spacing w:after="0" w:line="180" w:lineRule="exact"/>
        <w:rPr>
          <w:sz w:val="20"/>
          <w:szCs w:val="20"/>
          <w:color w:val="auto"/>
        </w:rPr>
      </w:pPr>
    </w:p>
    <w:p>
      <w:pPr>
        <w:ind w:left="627" w:right="2959" w:hanging="259"/>
        <w:spacing w:after="0" w:line="246" w:lineRule="auto"/>
        <w:tabs>
          <w:tab w:leader="none" w:pos="606" w:val="left"/>
        </w:tabs>
        <w:rPr>
          <w:sz w:val="20"/>
          <w:szCs w:val="20"/>
          <w:color w:val="auto"/>
        </w:rPr>
      </w:pPr>
      <w:r>
        <w:rPr>
          <w:rFonts w:ascii="Courier New" w:cs="Courier New" w:eastAsia="Courier New" w:hAnsi="Courier New"/>
          <w:sz w:val="15"/>
          <w:szCs w:val="15"/>
          <w:color w:val="auto"/>
        </w:rPr>
        <w:t>f.</w:t>
        <w:tab/>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178" w:lineRule="exact"/>
        <w:rPr>
          <w:sz w:val="20"/>
          <w:szCs w:val="20"/>
          <w:color w:val="auto"/>
        </w:rPr>
      </w:pPr>
    </w:p>
    <w:p>
      <w:pPr>
        <w:ind w:left="367" w:right="2959" w:hanging="367"/>
        <w:spacing w:after="0" w:line="246"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paragraph</w:t>
      </w:r>
    </w:p>
    <w:p>
      <w:pPr>
        <w:spacing w:after="0" w:line="2" w:lineRule="exact"/>
        <w:rPr>
          <w:rFonts w:ascii="Courier New" w:cs="Courier New" w:eastAsia="Courier New" w:hAnsi="Courier New"/>
          <w:sz w:val="15"/>
          <w:szCs w:val="15"/>
          <w:color w:val="auto"/>
        </w:rPr>
      </w:pPr>
    </w:p>
    <w:p>
      <w:pPr>
        <w:ind w:left="36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4.e. to a Participant who is a person referred to in Section 162(m), which would change the Performance Goal applicable to a Participant who is a person referred to in Section 162(m) for payment of awards stated under 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paragraph 4.c.i.</w:t>
      </w:r>
    </w:p>
    <w:p>
      <w:pPr>
        <w:spacing w:after="0" w:line="180" w:lineRule="exact"/>
        <w:rPr>
          <w:rFonts w:ascii="Courier New" w:cs="Courier New" w:eastAsia="Courier New" w:hAnsi="Courier New"/>
          <w:sz w:val="15"/>
          <w:szCs w:val="15"/>
          <w:color w:val="auto"/>
        </w:rPr>
      </w:pPr>
    </w:p>
    <w:p>
      <w:pPr>
        <w:ind w:left="367" w:right="2959" w:hanging="367"/>
        <w:spacing w:after="0" w:line="247"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shall be construed, administered and governed in all respects under and by the applicable laws of the State of Delaware.</w:t>
      </w:r>
    </w:p>
    <w:p>
      <w:pPr>
        <w:spacing w:after="0" w:line="174"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177" w:lineRule="exact"/>
        <w:rPr>
          <w:sz w:val="20"/>
          <w:szCs w:val="20"/>
          <w:color w:val="auto"/>
        </w:rPr>
      </w:pPr>
    </w:p>
    <w:p>
      <w:pPr>
        <w:ind w:left="367" w:right="2959"/>
        <w:spacing w:after="0" w:line="247" w:lineRule="auto"/>
        <w:rPr>
          <w:sz w:val="20"/>
          <w:szCs w:val="20"/>
          <w:color w:val="auto"/>
        </w:rPr>
      </w:pPr>
      <w:r>
        <w:rPr>
          <w:rFonts w:ascii="Courier New" w:cs="Courier New" w:eastAsia="Courier New" w:hAnsi="Courier New"/>
          <w:sz w:val="15"/>
          <w:szCs w:val="15"/>
          <w:color w:val="auto"/>
        </w:rPr>
        <w:t>As amended by the Compensation Committee and Board of Directors November 19, 1996, subject to stockholder approval.</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26"/>
          </w:cols>
          <w:pgMar w:left="233" w:top="468" w:right="1440" w:bottom="1440" w:gutter="0" w:footer="0" w:header="0"/>
        </w:sectPr>
      </w:pPr>
    </w:p>
    <w:bookmarkStart w:id="36" w:name="page37"/>
    <w:bookmarkEnd w:id="36"/>
    <w:p>
      <w:pPr>
        <w:jc w:val="right"/>
        <w:ind w:right="2959"/>
        <w:spacing w:after="0"/>
        <w:rPr>
          <w:sz w:val="20"/>
          <w:szCs w:val="20"/>
          <w:color w:val="auto"/>
        </w:rPr>
      </w:pPr>
      <w:r>
        <w:rPr>
          <w:rFonts w:ascii="Courier New" w:cs="Courier New" w:eastAsia="Courier New" w:hAnsi="Courier New"/>
          <w:sz w:val="15"/>
          <w:szCs w:val="15"/>
          <w:color w:val="auto"/>
        </w:rPr>
        <w:t>EXHIBIT B</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ANNUAL MANAGEMENT INCENTIVE PLAN</w:t>
      </w:r>
    </w:p>
    <w:p>
      <w:pPr>
        <w:spacing w:after="0" w:line="180" w:lineRule="exact"/>
        <w:rPr>
          <w:sz w:val="20"/>
          <w:szCs w:val="20"/>
          <w:color w:val="auto"/>
        </w:rPr>
      </w:pPr>
    </w:p>
    <w:p>
      <w:pPr>
        <w:ind w:left="367" w:right="2959" w:hanging="367"/>
        <w:spacing w:after="0" w:line="246"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PURPOSE. The purpose of The Toro Company Annual Management Incentive Plan (the "Plan") is to provide an annual incentive to reinforce achievement of the performance goals of The Toro Company (the "Company"); to link a significant portion of a participating employee's annual compensation to the achievement by the Company, and in certain cases, a division, of performance goals; and to attract, motivate and retain key employees on a competitive basis by making awards based on achievement of performance goals for each fiscal year of the Company ("Annual Performance Awards").</w:t>
      </w:r>
    </w:p>
    <w:p>
      <w:pPr>
        <w:spacing w:after="0" w:line="179"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employees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employees may be selected as participants after the first 90 days of a fiscal year.</w:t>
      </w:r>
    </w:p>
    <w:p>
      <w:pPr>
        <w:spacing w:after="0" w:line="18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AMOUNTS.</w:t>
      </w:r>
    </w:p>
    <w:p>
      <w:pPr>
        <w:spacing w:after="0" w:line="179"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PAYOUT. The target amount that may be paid with respect to an Annual Performance Award (the "Target Payout") shall be determined by the Compensation Committee and shall be based on a percentage of a Plan Participant's actual annual base salary ("Participation Factor"), within the range established by this subparagraph, and subject to adjustment as provided in subparagraph 4.b.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w:t>
      </w:r>
    </w:p>
    <w:p>
      <w:pPr>
        <w:spacing w:after="0" w:line="183"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PAYOUT. The Committee may also establish a maximum potential payout level (the "Maximum Payout") with respect to an Annual Performance Award of up to 175% of the Target Payout in the event Performance Goal targets are exceeded by an amount established by the Committee at the time Performance Goals are established. The Committee may establish curves or other measurements for prorating the amount of payout for achievement of Performance Goals at less than the Target Payout or Maximum Payout.</w:t>
      </w:r>
    </w:p>
    <w:p>
      <w:pPr>
        <w:spacing w:after="0" w:line="179"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PAYOUT. At the time an Annual Performance Award is made, the Committee may decrease the Target Payout by up to 40% or increase the Maximum Payout by up to 25% for division Plan Participants but not above 75%, to reflect division specific Performance Goals.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6"/>
          </w:cols>
          <w:pgMar w:left="233" w:top="468" w:right="1440" w:bottom="1440" w:gutter="0" w:footer="0" w:header="0"/>
        </w:sectPr>
      </w:pPr>
    </w:p>
    <w:bookmarkStart w:id="37" w:name="page38"/>
    <w:bookmarkEnd w:id="37"/>
    <w:p>
      <w:pPr>
        <w:ind w:left="627" w:right="2959" w:hanging="259"/>
        <w:spacing w:after="0" w:line="246" w:lineRule="auto"/>
        <w:tabs>
          <w:tab w:leader="none" w:pos="606" w:val="left"/>
        </w:tabs>
        <w:rPr>
          <w:sz w:val="20"/>
          <w:szCs w:val="20"/>
          <w:color w:val="auto"/>
        </w:rPr>
      </w:pPr>
      <w:r>
        <w:rPr>
          <w:rFonts w:ascii="Courier New" w:cs="Courier New" w:eastAsia="Courier New" w:hAnsi="Courier New"/>
          <w:sz w:val="15"/>
          <w:szCs w:val="15"/>
          <w:color w:val="auto"/>
        </w:rPr>
        <w:t>d.</w:t>
        <w:tab/>
        <w:t>SECTION 162(M) MAXIMUM. With respect to any Plan Participant who is or may become a person referred to in Section 162(m), the maximum dollar amount that may be paid under an Annual Performance Award shall be set at the time the Committee grants the award and establishes the Performance Goals (as defined in subparagraph 4.a.) under the award.</w:t>
      </w:r>
    </w:p>
    <w:p>
      <w:pPr>
        <w:spacing w:after="0" w:line="178" w:lineRule="exact"/>
        <w:rPr>
          <w:sz w:val="20"/>
          <w:szCs w:val="20"/>
          <w:color w:val="auto"/>
        </w:rPr>
      </w:pPr>
    </w:p>
    <w:p>
      <w:pPr>
        <w:ind w:left="367" w:hanging="367"/>
        <w:spacing w:after="0"/>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179" w:lineRule="exact"/>
        <w:rPr>
          <w:rFonts w:ascii="Courier New" w:cs="Courier New" w:eastAsia="Courier New" w:hAnsi="Courier New"/>
          <w:sz w:val="15"/>
          <w:szCs w:val="15"/>
          <w:color w:val="auto"/>
        </w:rPr>
      </w:pPr>
    </w:p>
    <w:p>
      <w:pPr>
        <w:ind w:left="627" w:right="2959" w:hanging="263"/>
        <w:spacing w:after="0" w:line="246" w:lineRule="auto"/>
        <w:tabs>
          <w:tab w:leader="none" w:pos="62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The Target Amount of an Annual Performance Award shall be paid to a Plan Participant only if the Company achieves Performance Goals, based on the criteria set forth in paragraph (4.b.)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80" w:lineRule="exact"/>
        <w:rPr>
          <w:rFonts w:ascii="Courier New" w:cs="Courier New" w:eastAsia="Courier New" w:hAnsi="Courier New"/>
          <w:sz w:val="15"/>
          <w:szCs w:val="15"/>
          <w:color w:val="auto"/>
        </w:rPr>
      </w:pPr>
    </w:p>
    <w:p>
      <w:pPr>
        <w:ind w:left="627" w:right="3039" w:hanging="263"/>
        <w:spacing w:after="0" w:line="246" w:lineRule="auto"/>
        <w:tabs>
          <w:tab w:leader="none" w:pos="62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Performance Goals for division vice presidents and managers that may be established under subparagraph 4.a. may be based on division specific operating performance goals including revenue growth, sustained earnings, product warranty experience, product recalls or inventory levels. Each Performance Goal is to be specifically defined by the Compensation Committee on a Company basis or division basis and/or in comparison with peer group performance.</w:t>
      </w:r>
    </w:p>
    <w:p>
      <w:pPr>
        <w:spacing w:after="0" w:line="182"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PAYMENT. Notwithstanding any other provision of this Plan, the maximum dollar amount a Plan Participant may be paid under an Annual Performance Award with respect to any fiscal year is $1,500,000. The Committee may, in its discretion, decrease this maximum, but may not, under any circumstances, increase this maximum.</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8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Awards shall not be assignable or transferable.</w:t>
      </w:r>
    </w:p>
    <w:p>
      <w:pPr>
        <w:spacing w:after="0" w:line="179"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to administer the Plan; establish policies under the Plan; amend the Plan, subject to the provisions of paragraph 11; interpret provisions of the Plan; select Plan Participants; establish Performance Goals; make Annual Performance Awards; or terminate the Plan, in its sole discretion. The Committee may delegate certain of these activities and all</w:t>
      </w:r>
    </w:p>
    <w:p>
      <w:pPr>
        <w:spacing w:after="0" w:line="17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6"/>
          </w:cols>
          <w:pgMar w:left="233" w:top="468" w:right="1440" w:bottom="1440" w:gutter="0" w:footer="0" w:header="0"/>
        </w:sectPr>
      </w:pPr>
    </w:p>
    <w:bookmarkStart w:id="38" w:name="page39"/>
    <w:bookmarkEnd w:id="38"/>
    <w:p>
      <w:pPr>
        <w:ind w:left="367" w:right="2959"/>
        <w:spacing w:after="0" w:line="246" w:lineRule="auto"/>
        <w:rPr>
          <w:sz w:val="20"/>
          <w:szCs w:val="20"/>
          <w:color w:val="auto"/>
        </w:rPr>
      </w:pPr>
      <w:r>
        <w:rPr>
          <w:rFonts w:ascii="Courier New" w:cs="Courier New" w:eastAsia="Courier New" w:hAnsi="Courier New"/>
          <w:sz w:val="15"/>
          <w:szCs w:val="15"/>
          <w:color w:val="auto"/>
        </w:rPr>
        <w:t>decisions not required to be exercised by it under Section 162(m), as it solely determines. All decisions of the Committee shall be final and binding upon all parties including the Company, its stockholders and Plan Participants.</w:t>
      </w:r>
    </w:p>
    <w:p>
      <w:pPr>
        <w:spacing w:after="0" w:line="177" w:lineRule="exact"/>
        <w:rPr>
          <w:sz w:val="20"/>
          <w:szCs w:val="20"/>
          <w:color w:val="auto"/>
        </w:rPr>
      </w:pPr>
    </w:p>
    <w:p>
      <w:pPr>
        <w:ind w:left="367" w:right="2959" w:hanging="367"/>
        <w:spacing w:after="0" w:line="247"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shall be construed, administered and governed in all respects under and by the applicable laws of the State of Delaware.</w:t>
      </w:r>
    </w:p>
    <w:p>
      <w:pPr>
        <w:spacing w:after="0" w:line="174"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be Plan be amended to permit the Committee to increase an award payment in contravention of the requirements of paragraph 5.</w:t>
      </w:r>
    </w:p>
    <w:p>
      <w:pPr>
        <w:spacing w:after="0" w:line="182"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11.</w:t>
      </w:r>
    </w:p>
    <w:p>
      <w:pPr>
        <w:spacing w:after="0" w:line="177"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As amended by the Compensation Committee and Board of Directors, January 20, 1997, to be effective as of November 1, 1996, subject to stockholder approval.</w:t>
      </w:r>
    </w:p>
    <w:p>
      <w:pPr>
        <w:spacing w:after="0" w:line="17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26"/>
          </w:cols>
          <w:pgMar w:left="233" w:top="468" w:right="1440" w:bottom="1440" w:gutter="0" w:footer="0" w:header="0"/>
        </w:sectPr>
      </w:pPr>
    </w:p>
    <w:bookmarkStart w:id="39" w:name="page40"/>
    <w:bookmarkEnd w:id="39"/>
    <w:p>
      <w:pPr>
        <w:jc w:val="center"/>
        <w:ind w:right="2599"/>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ANNUAL MEETING</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8111 Lyndale Avenue South</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Bloomington, Minnesota 55420</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MARCH 13, 1997</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3:00 P.M. CENTRAL STANDARD TIME</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Please detach here</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pacing w:after="0" w:line="18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Please detach here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Election</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 / / FOR all nominees listed</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 / WITHHOLD AUTHORITY</w:t>
            </w:r>
          </w:p>
        </w:tc>
      </w:t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40" w:type="dxa"/>
            <w:vAlign w:val="bottom"/>
            <w:gridSpan w:val="3"/>
          </w:tcPr>
          <w:p>
            <w:pPr>
              <w:ind w:left="1600"/>
              <w:spacing w:after="0"/>
              <w:rPr>
                <w:sz w:val="20"/>
                <w:szCs w:val="20"/>
                <w:color w:val="auto"/>
              </w:rPr>
            </w:pPr>
            <w:r>
              <w:rPr>
                <w:rFonts w:ascii="Courier New" w:cs="Courier New" w:eastAsia="Courier New" w:hAnsi="Courier New"/>
                <w:sz w:val="15"/>
                <w:szCs w:val="15"/>
                <w:color w:val="auto"/>
              </w:rPr>
              <w:t>below (except as marked to</w:t>
            </w:r>
          </w:p>
        </w:tc>
      </w:t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80" w:type="dxa"/>
            <w:vAlign w:val="bottom"/>
            <w:gridSpan w:val="2"/>
          </w:tcPr>
          <w:p>
            <w:pPr>
              <w:ind w:left="1600"/>
              <w:spacing w:after="0"/>
              <w:rPr>
                <w:sz w:val="20"/>
                <w:szCs w:val="20"/>
                <w:color w:val="auto"/>
              </w:rPr>
            </w:pPr>
            <w:r>
              <w:rPr>
                <w:rFonts w:ascii="Courier New" w:cs="Courier New" w:eastAsia="Courier New" w:hAnsi="Courier New"/>
                <w:sz w:val="15"/>
                <w:szCs w:val="15"/>
                <w:color w:val="auto"/>
              </w:rPr>
              <w:t>the contrary below)</w:t>
            </w:r>
          </w:p>
        </w:tc>
        <w:tc>
          <w:tcPr>
            <w:tcW w:w="2360" w:type="dxa"/>
            <w:vAlign w:val="bottom"/>
          </w:tcPr>
          <w:p>
            <w:pPr>
              <w:spacing w:after="0"/>
              <w:rPr>
                <w:sz w:val="15"/>
                <w:szCs w:val="15"/>
                <w:color w:val="auto"/>
              </w:rPr>
            </w:pPr>
          </w:p>
        </w:tc>
      </w:tr>
      <w:tr>
        <w:trPr>
          <w:trHeight w:val="350"/>
        </w:trPr>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Janet K. Cooper   Kendrick B. Melrose</w:t>
            </w:r>
          </w:p>
        </w:tc>
        <w:tc>
          <w:tcPr>
            <w:tcW w:w="2360" w:type="dxa"/>
            <w:vAlign w:val="bottom"/>
          </w:tcPr>
          <w:p>
            <w:pPr>
              <w:jc w:val="right"/>
              <w:ind w:right="824"/>
              <w:spacing w:after="0"/>
              <w:rPr>
                <w:sz w:val="20"/>
                <w:szCs w:val="20"/>
                <w:color w:val="auto"/>
              </w:rPr>
            </w:pPr>
            <w:r>
              <w:rPr>
                <w:rFonts w:ascii="Courier New" w:cs="Courier New" w:eastAsia="Courier New" w:hAnsi="Courier New"/>
                <w:sz w:val="15"/>
                <w:szCs w:val="15"/>
                <w:color w:val="auto"/>
                <w:w w:val="99"/>
              </w:rPr>
              <w:t>Edwin H. Wingate</w:t>
            </w:r>
          </w:p>
        </w:tc>
      </w:tr>
      <w:tr>
        <w:trPr>
          <w:trHeight w:val="350"/>
        </w:trPr>
        <w:tc>
          <w:tcPr>
            <w:tcW w:w="7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(INSTRUCTION: TO WITHHOLD AUTHORITY TO VOTE FOR ONE OR MORE INDIVIDUAL NOMINEES,</w:t>
            </w:r>
          </w:p>
        </w:tc>
      </w:tr>
      <w:tr>
        <w:trPr>
          <w:trHeight w:val="175"/>
        </w:trPr>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STRIKE A LINE</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THROUGH THE NOMINEE'S NAME.)</w:t>
            </w:r>
          </w:p>
        </w:tc>
        <w:tc>
          <w:tcPr>
            <w:tcW w:w="2360" w:type="dxa"/>
            <w:vAlign w:val="bottom"/>
          </w:tcPr>
          <w:p>
            <w:pPr>
              <w:spacing w:after="0"/>
              <w:rPr>
                <w:sz w:val="15"/>
                <w:szCs w:val="15"/>
                <w:color w:val="auto"/>
              </w:rPr>
            </w:pPr>
          </w:p>
        </w:tc>
      </w:tr>
      <w:tr>
        <w:trPr>
          <w:trHeight w:val="35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Approval</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Amendment of Continuous Performance Award Plan</w:t>
            </w:r>
          </w:p>
        </w:tc>
      </w:t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ind w:left="1500"/>
              <w:spacing w:after="0"/>
              <w:rPr>
                <w:sz w:val="20"/>
                <w:szCs w:val="20"/>
                <w:color w:val="auto"/>
              </w:rPr>
            </w:pPr>
            <w:r>
              <w:rPr>
                <w:rFonts w:ascii="Courier New" w:cs="Courier New" w:eastAsia="Courier New" w:hAnsi="Courier New"/>
                <w:sz w:val="15"/>
                <w:szCs w:val="15"/>
                <w:color w:val="auto"/>
              </w:rPr>
              <w:t>FOR / /</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AGAINST / /</w:t>
            </w:r>
          </w:p>
        </w:tc>
        <w:tc>
          <w:tcPr>
            <w:tcW w:w="236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ABSTAIN / /</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Approval</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Amendment of Annual Management Incentive Plan</w:t>
            </w:r>
          </w:p>
        </w:tc>
      </w:t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ind w:left="1500"/>
              <w:spacing w:after="0"/>
              <w:rPr>
                <w:sz w:val="20"/>
                <w:szCs w:val="20"/>
                <w:color w:val="auto"/>
              </w:rPr>
            </w:pPr>
            <w:r>
              <w:rPr>
                <w:rFonts w:ascii="Courier New" w:cs="Courier New" w:eastAsia="Courier New" w:hAnsi="Courier New"/>
                <w:sz w:val="15"/>
                <w:szCs w:val="15"/>
                <w:color w:val="auto"/>
              </w:rPr>
              <w:t>FOR / /</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AGAINST / /</w:t>
            </w:r>
          </w:p>
        </w:tc>
        <w:tc>
          <w:tcPr>
            <w:tcW w:w="236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ABSTAIN / /</w:t>
            </w:r>
          </w:p>
        </w:tc>
      </w:tr>
      <w:tr>
        <w:trPr>
          <w:trHeight w:val="175"/>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Approval</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Selection of Independent Auditors</w:t>
            </w:r>
          </w:p>
        </w:tc>
        <w:tc>
          <w:tcPr>
            <w:tcW w:w="2360" w:type="dxa"/>
            <w:vAlign w:val="bottom"/>
          </w:tcPr>
          <w:p>
            <w:pPr>
              <w:spacing w:after="0"/>
              <w:rPr>
                <w:sz w:val="15"/>
                <w:szCs w:val="15"/>
                <w:color w:val="auto"/>
              </w:rPr>
            </w:pPr>
          </w:p>
        </w:tc>
      </w:tr>
      <w:tr>
        <w:trPr>
          <w:trHeight w:val="175"/>
        </w:trPr>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ind w:left="1500"/>
              <w:spacing w:after="0"/>
              <w:rPr>
                <w:sz w:val="20"/>
                <w:szCs w:val="20"/>
                <w:color w:val="auto"/>
              </w:rPr>
            </w:pPr>
            <w:r>
              <w:rPr>
                <w:rFonts w:ascii="Courier New" w:cs="Courier New" w:eastAsia="Courier New" w:hAnsi="Courier New"/>
                <w:sz w:val="15"/>
                <w:szCs w:val="15"/>
                <w:color w:val="auto"/>
              </w:rPr>
              <w:t>FOR / /</w:t>
            </w: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rPr>
              <w:t>AGAINST / /</w:t>
            </w:r>
          </w:p>
        </w:tc>
        <w:tc>
          <w:tcPr>
            <w:tcW w:w="236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ABSTAIN / /</w:t>
            </w:r>
          </w:p>
        </w:tc>
      </w:tr>
    </w:tbl>
    <w:p>
      <w:pPr>
        <w:spacing w:after="0" w:line="5" w:lineRule="exact"/>
        <w:rPr>
          <w:sz w:val="20"/>
          <w:szCs w:val="20"/>
          <w:color w:val="auto"/>
        </w:rPr>
      </w:pPr>
    </w:p>
    <w:p>
      <w:pPr>
        <w:ind w:left="440" w:right="2959" w:hanging="265"/>
        <w:spacing w:after="0" w:line="247"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such other matters as may properly come before the meeting or any adjournments thereof.</w:t>
      </w:r>
    </w:p>
    <w:p>
      <w:pPr>
        <w:spacing w:after="0" w:line="17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TORO INV. &amp; SVGS. PLAN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PLYMOUTH 401(K) PLAN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REGISTERED STOCK</w:t>
      </w:r>
    </w:p>
    <w:p>
      <w:pPr>
        <w:spacing w:after="0" w:line="354"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000"/>
        <w:spacing w:after="0"/>
        <w:tabs>
          <w:tab w:leader="none" w:pos="68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180"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This Proxy Card must be Signed</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Exactly as Name Appears thereon</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When shares are held by joint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tenants, both should sign. When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signing as attorney, executor,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administrator, trustee or guardian,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please give full title as such. If a</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corporation, please sign in full</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corporate name by president or other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authorized officer. If a</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partnership, please sign in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partnership name by authorized</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person.</w:t>
      </w:r>
    </w:p>
    <w:p>
      <w:pPr>
        <w:spacing w:after="0" w:line="180"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PLEASE MARK, SIGN, DATE AND RETURN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THE PROXY CARD USING THE ENCLOSED</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ENVELOPE.</w:t>
      </w:r>
    </w:p>
    <w:p>
      <w:pPr>
        <w:sectPr>
          <w:pgSz w:w="11900" w:h="16838" w:orient="portrait"/>
          <w:cols w:equalWidth="0" w:num="1">
            <w:col w:w="10219"/>
          </w:cols>
          <w:pgMar w:left="240" w:top="8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THE TORO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8111 LYNDALE AVENUE SOUTH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 55420-1196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PROXY IS SOLICITED ON BEHALF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BOARD OF DIRECTORS</w:t>
      </w:r>
    </w:p>
    <w:p>
      <w:pPr>
        <w:spacing w:after="0" w:line="180" w:lineRule="exact"/>
        <w:rPr>
          <w:sz w:val="20"/>
          <w:szCs w:val="20"/>
          <w:color w:val="auto"/>
        </w:rPr>
      </w:pPr>
    </w:p>
    <w:p>
      <w:pPr>
        <w:sectPr>
          <w:pgSz w:w="11900" w:h="16838" w:orient="portrait"/>
          <w:cols w:equalWidth="0" w:num="2">
            <w:col w:w="3280" w:space="720"/>
            <w:col w:w="6219"/>
          </w:cols>
          <w:pgMar w:left="240" w:top="817" w:right="1440" w:bottom="1440" w:gutter="0" w:footer="0" w:header="0"/>
        </w:sectPr>
      </w:pPr>
    </w:p>
    <w:p>
      <w:pPr>
        <w:ind w:right="3219"/>
        <w:spacing w:after="0" w:line="246" w:lineRule="auto"/>
        <w:rPr>
          <w:sz w:val="20"/>
          <w:szCs w:val="20"/>
          <w:color w:val="auto"/>
        </w:rPr>
      </w:pPr>
      <w:r>
        <w:rPr>
          <w:rFonts w:ascii="Courier New" w:cs="Courier New" w:eastAsia="Courier New" w:hAnsi="Courier New"/>
          <w:sz w:val="15"/>
          <w:szCs w:val="15"/>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13th day of March, 1997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81"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35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SEE REVERSE SIDE</w:t>
      </w:r>
    </w:p>
    <w:sectPr>
      <w:pgSz w:w="11900" w:h="16838" w:orient="portrait"/>
      <w:cols w:equalWidth="0" w:num="1">
        <w:col w:w="10219"/>
      </w:cols>
      <w:pgMar w:left="240" w:top="8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lvl w:ilvl="1">
      <w:lvlJc w:val="left"/>
      <w:lvlText w:val="(%2)"/>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amp;"/>
      <w:numFmt w:val="bullet"/>
      <w:start w:val="1"/>
    </w:lvl>
  </w:abstractNum>
  <w:abstractNum w:abstractNumId="12">
    <w:nsid w:val="431BD7B7"/>
    <w:multiLevelType w:val="hybridMultilevel"/>
    <w:lvl w:ilvl="0">
      <w:lvlJc w:val="left"/>
      <w:lvlText w:val="%1."/>
      <w:numFmt w:val="decimal"/>
      <w:start w:val="1"/>
    </w:lvl>
    <w:lvl w:ilvl="1">
      <w:lvlJc w:val="left"/>
      <w:lvlText w:val="%2."/>
      <w:numFmt w:val="lowerLetter"/>
      <w:start w:val="1"/>
    </w:lvl>
  </w:abstractNum>
  <w:abstractNum w:abstractNumId="13">
    <w:nsid w:val="3F2DBA31"/>
    <w:multiLevelType w:val="hybridMultilevel"/>
    <w:lvl w:ilvl="0">
      <w:lvlJc w:val="left"/>
      <w:lvlText w:val="%1."/>
      <w:numFmt w:val="lowerRoman"/>
      <w:start w:val="1"/>
    </w:lvl>
  </w:abstractNum>
  <w:abstractNum w:abstractNumId="14">
    <w:nsid w:val="7C83E458"/>
    <w:multiLevelType w:val="hybridMultilevel"/>
    <w:lvl w:ilvl="0">
      <w:lvlJc w:val="left"/>
      <w:lvlText w:val="%1"/>
      <w:numFmt w:val="lowerLetter"/>
      <w:start w:val="1"/>
    </w:lvl>
    <w:lvl w:ilvl="1">
      <w:lvlJc w:val="left"/>
      <w:lvlText w:val="%2."/>
      <w:numFmt w:val="lowerRoman"/>
      <w:start w:val="1"/>
    </w:lvl>
  </w:abstractNum>
  <w:abstractNum w:abstractNumId="15">
    <w:nsid w:val="257130A3"/>
    <w:multiLevelType w:val="hybridMultilevel"/>
    <w:lvl w:ilvl="0">
      <w:lvlJc w:val="left"/>
      <w:lvlText w:val="%1."/>
      <w:numFmt w:val="lowerLetter"/>
      <w:start w:val="5"/>
    </w:lvl>
    <w:lvl w:ilvl="1">
      <w:lvlJc w:val="left"/>
      <w:lvlText w:val="%2"/>
      <w:numFmt w:val="lowerRoman"/>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436C612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628C895D"/>
    <w:multiLevelType w:val="hybridMultilevel"/>
    <w:lvl w:ilvl="0">
      <w:lvlJc w:val="left"/>
      <w:lvlText w:val="%1."/>
      <w:numFmt w:val="decimal"/>
      <w:start w:val="6"/>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4"/>
    </w:lvl>
    <w:lvl w:ilvl="1">
      <w:lvlJc w:val="left"/>
      <w:lvlText w:val="%2."/>
      <w:numFmt w:val="lowerLetter"/>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2019-12-13T13:37:54Z</dcterms:created>
  <dcterms:modified xsi:type="dcterms:W3CDTF">2019-12-13T13:37:54Z</dcterms:modified>
</cp:coreProperties>
</file>