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354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3544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972"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DRAZAN MICHAEL D</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12/04/2014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63"/>
        <w:spacing w:after="0"/>
        <w:rPr>
          <w:sz w:val="20"/>
          <w:szCs w:val="20"/>
          <w:color w:val="auto"/>
        </w:rPr>
      </w:pPr>
      <w:r>
        <w:rPr>
          <w:rFonts w:ascii="Arial" w:cs="Arial" w:eastAsia="Arial" w:hAnsi="Arial"/>
          <w:sz w:val="18"/>
          <w:szCs w:val="18"/>
          <w:color w:val="0000FF"/>
        </w:rPr>
        <w:t>VP, Global Micro Irrigation</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972"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680" w:type="dxa"/>
            <w:vAlign w:val="bottom"/>
          </w:tcPr>
          <w:p>
            <w:pPr>
              <w:jc w:val="right"/>
              <w:ind w:right="282"/>
              <w:spacing w:after="0"/>
              <w:rPr>
                <w:sz w:val="20"/>
                <w:szCs w:val="20"/>
                <w:color w:val="auto"/>
              </w:rPr>
            </w:pPr>
            <w:r>
              <w:rPr>
                <w:rFonts w:ascii="Arial" w:cs="Arial" w:eastAsia="Arial" w:hAnsi="Arial"/>
                <w:sz w:val="18"/>
                <w:szCs w:val="18"/>
                <w:color w:val="0000FF"/>
              </w:rPr>
              <w:t>55420-1196</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972"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34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8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20" w:type="dxa"/>
            <w:vAlign w:val="bottom"/>
            <w:gridSpan w:val="2"/>
          </w:tcPr>
          <w:p>
            <w:pPr>
              <w:ind w:left="58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w w:val="95"/>
              </w:rPr>
              <w:t>if any</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48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8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3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4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60" w:type="dxa"/>
            <w:vAlign w:val="bottom"/>
            <w:gridSpan w:val="4"/>
            <w:vMerge w:val="restart"/>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2"/>
          </w:tcPr>
          <w:p>
            <w:pPr>
              <w:ind w:left="680"/>
              <w:spacing w:after="0"/>
              <w:rPr>
                <w:sz w:val="20"/>
                <w:szCs w:val="20"/>
                <w:color w:val="auto"/>
              </w:rPr>
            </w:pPr>
            <w:r>
              <w:rPr>
                <w:rFonts w:ascii="Arial" w:cs="Arial" w:eastAsia="Arial" w:hAnsi="Arial"/>
                <w:sz w:val="18"/>
                <w:szCs w:val="18"/>
                <w:color w:val="0000FF"/>
              </w:rPr>
              <w:t>12/04/2014</w:t>
            </w:r>
          </w:p>
        </w:tc>
        <w:tc>
          <w:tcPr>
            <w:tcW w:w="4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6,127</w:t>
            </w:r>
            <w:r>
              <w:rPr>
                <w:rFonts w:ascii="Arial" w:cs="Arial" w:eastAsia="Arial" w:hAnsi="Arial"/>
                <w:sz w:val="22"/>
                <w:szCs w:val="22"/>
                <w:color w:val="008000"/>
                <w:vertAlign w:val="superscript"/>
              </w:rPr>
              <w:t>(1)</w:t>
            </w:r>
          </w:p>
        </w:tc>
        <w:tc>
          <w:tcPr>
            <w:tcW w:w="66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A</w:t>
            </w:r>
          </w:p>
        </w:tc>
        <w:tc>
          <w:tcPr>
            <w:tcW w:w="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right="12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4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7"/>
              </w:rPr>
              <w:t>60,401</w:t>
            </w:r>
          </w:p>
        </w:tc>
        <w:tc>
          <w:tcPr>
            <w:tcW w:w="3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29"/>
              <w:spacing w:after="0"/>
              <w:rPr>
                <w:sz w:val="20"/>
                <w:szCs w:val="20"/>
                <w:color w:val="auto"/>
              </w:rPr>
            </w:pPr>
            <w:r>
              <w:rPr>
                <w:rFonts w:ascii="Arial" w:cs="Arial" w:eastAsia="Arial" w:hAnsi="Arial"/>
                <w:sz w:val="18"/>
                <w:szCs w:val="18"/>
                <w:color w:val="0000FF"/>
                <w:w w:val="91"/>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620" w:type="dxa"/>
            <w:vAlign w:val="bottom"/>
            <w:gridSpan w:val="2"/>
          </w:tcPr>
          <w:p>
            <w:pPr>
              <w:ind w:left="680"/>
              <w:spacing w:after="0"/>
              <w:rPr>
                <w:sz w:val="20"/>
                <w:szCs w:val="20"/>
                <w:color w:val="auto"/>
              </w:rPr>
            </w:pPr>
            <w:r>
              <w:rPr>
                <w:rFonts w:ascii="Arial" w:cs="Arial" w:eastAsia="Arial" w:hAnsi="Arial"/>
                <w:sz w:val="18"/>
                <w:szCs w:val="18"/>
                <w:color w:val="0000FF"/>
              </w:rPr>
              <w:t>12/04/2014</w:t>
            </w:r>
          </w:p>
        </w:tc>
        <w:tc>
          <w:tcPr>
            <w:tcW w:w="4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80" w:type="dxa"/>
            <w:vAlign w:val="bottom"/>
          </w:tcPr>
          <w:p>
            <w:pPr>
              <w:ind w:left="180"/>
              <w:spacing w:after="0"/>
              <w:rPr>
                <w:sz w:val="20"/>
                <w:szCs w:val="20"/>
                <w:color w:val="auto"/>
              </w:rPr>
            </w:pPr>
            <w:r>
              <w:rPr>
                <w:rFonts w:ascii="Arial" w:cs="Arial" w:eastAsia="Arial" w:hAnsi="Arial"/>
                <w:sz w:val="14"/>
                <w:szCs w:val="14"/>
                <w:color w:val="0000FF"/>
              </w:rPr>
              <w:t>F</w:t>
            </w:r>
          </w:p>
        </w:tc>
        <w:tc>
          <w:tcPr>
            <w:tcW w:w="760" w:type="dxa"/>
            <w:vAlign w:val="bottom"/>
          </w:tcPr>
          <w:p>
            <w:pPr>
              <w:jc w:val="right"/>
              <w:ind w:right="52"/>
              <w:spacing w:after="0"/>
              <w:rPr>
                <w:sz w:val="20"/>
                <w:szCs w:val="20"/>
                <w:color w:val="auto"/>
              </w:rPr>
            </w:pPr>
            <w:r>
              <w:rPr>
                <w:rFonts w:ascii="Arial" w:cs="Arial" w:eastAsia="Arial" w:hAnsi="Arial"/>
                <w:sz w:val="18"/>
                <w:szCs w:val="18"/>
                <w:color w:val="0000FF"/>
              </w:rPr>
              <w:t>2,059</w:t>
            </w:r>
          </w:p>
        </w:tc>
        <w:tc>
          <w:tcPr>
            <w:tcW w:w="660" w:type="dxa"/>
            <w:vAlign w:val="bottom"/>
          </w:tcPr>
          <w:p>
            <w:pPr>
              <w:ind w:left="280"/>
              <w:spacing w:after="0"/>
              <w:rPr>
                <w:sz w:val="20"/>
                <w:szCs w:val="20"/>
                <w:color w:val="auto"/>
              </w:rPr>
            </w:pPr>
            <w:r>
              <w:rPr>
                <w:rFonts w:ascii="Arial" w:cs="Arial" w:eastAsia="Arial" w:hAnsi="Arial"/>
                <w:sz w:val="18"/>
                <w:szCs w:val="18"/>
                <w:color w:val="0000FF"/>
              </w:rPr>
              <w:t>D</w:t>
            </w:r>
          </w:p>
        </w:tc>
        <w:tc>
          <w:tcPr>
            <w:tcW w:w="20" w:type="dxa"/>
            <w:vAlign w:val="bottom"/>
          </w:tcPr>
          <w:p>
            <w:pPr>
              <w:spacing w:after="0"/>
              <w:rPr>
                <w:sz w:val="23"/>
                <w:szCs w:val="23"/>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64.97</w:t>
            </w:r>
          </w:p>
        </w:tc>
        <w:tc>
          <w:tcPr>
            <w:tcW w:w="4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color w:val="0000FF"/>
                <w:w w:val="87"/>
              </w:rPr>
              <w:t>58,342</w:t>
            </w:r>
          </w:p>
        </w:tc>
        <w:tc>
          <w:tcPr>
            <w:tcW w:w="320" w:type="dxa"/>
            <w:vAlign w:val="bottom"/>
          </w:tcPr>
          <w:p>
            <w:pPr>
              <w:spacing w:after="0"/>
              <w:rPr>
                <w:sz w:val="23"/>
                <w:szCs w:val="23"/>
                <w:color w:val="auto"/>
              </w:rPr>
            </w:pPr>
          </w:p>
        </w:tc>
        <w:tc>
          <w:tcPr>
            <w:tcW w:w="600" w:type="dxa"/>
            <w:vAlign w:val="bottom"/>
          </w:tcPr>
          <w:p>
            <w:pPr>
              <w:jc w:val="center"/>
              <w:ind w:right="329"/>
              <w:spacing w:after="0"/>
              <w:rPr>
                <w:sz w:val="20"/>
                <w:szCs w:val="20"/>
                <w:color w:val="auto"/>
              </w:rPr>
            </w:pPr>
            <w:r>
              <w:rPr>
                <w:rFonts w:ascii="Arial" w:cs="Arial" w:eastAsia="Arial" w:hAnsi="Arial"/>
                <w:sz w:val="18"/>
                <w:szCs w:val="18"/>
                <w:color w:val="0000FF"/>
                <w:w w:val="91"/>
              </w:rPr>
              <w:t>D</w:t>
            </w: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The Toro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20" w:type="dxa"/>
            <w:vAlign w:val="bottom"/>
            <w:gridSpan w:val="2"/>
          </w:tcPr>
          <w:p>
            <w:pPr>
              <w:jc w:val="center"/>
              <w:spacing w:after="0" w:line="217" w:lineRule="exact"/>
              <w:rPr>
                <w:sz w:val="20"/>
                <w:szCs w:val="20"/>
                <w:color w:val="auto"/>
              </w:rPr>
            </w:pPr>
            <w:r>
              <w:rPr>
                <w:rFonts w:ascii="Arial" w:cs="Arial" w:eastAsia="Arial" w:hAnsi="Arial"/>
                <w:sz w:val="18"/>
                <w:szCs w:val="18"/>
                <w:color w:val="0000FF"/>
                <w:w w:val="85"/>
              </w:rPr>
              <w:t>4,549.492</w:t>
            </w:r>
            <w:r>
              <w:rPr>
                <w:rFonts w:ascii="Arial" w:cs="Arial" w:eastAsia="Arial" w:hAnsi="Arial"/>
                <w:sz w:val="22"/>
                <w:szCs w:val="22"/>
                <w:color w:val="008000"/>
                <w:w w:val="85"/>
                <w:vertAlign w:val="superscript"/>
              </w:rPr>
              <w:t>(2)</w:t>
            </w:r>
          </w:p>
        </w:tc>
        <w:tc>
          <w:tcPr>
            <w:tcW w:w="320" w:type="dxa"/>
            <w:vAlign w:val="bottom"/>
          </w:tcPr>
          <w:p>
            <w:pPr>
              <w:spacing w:after="0"/>
              <w:rPr>
                <w:sz w:val="18"/>
                <w:szCs w:val="18"/>
                <w:color w:val="auto"/>
              </w:rPr>
            </w:pPr>
          </w:p>
        </w:tc>
        <w:tc>
          <w:tcPr>
            <w:tcW w:w="600" w:type="dxa"/>
            <w:vAlign w:val="bottom"/>
          </w:tcPr>
          <w:p>
            <w:pPr>
              <w:jc w:val="center"/>
              <w:ind w:right="309"/>
              <w:spacing w:after="0"/>
              <w:rPr>
                <w:sz w:val="20"/>
                <w:szCs w:val="20"/>
                <w:color w:val="auto"/>
              </w:rPr>
            </w:pPr>
            <w:r>
              <w:rPr>
                <w:rFonts w:ascii="Arial" w:cs="Arial" w:eastAsia="Arial" w:hAnsi="Arial"/>
                <w:sz w:val="18"/>
                <w:szCs w:val="18"/>
                <w:color w:val="0000FF"/>
              </w:rPr>
              <w:t>I</w:t>
            </w: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Investment,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Savings &amp;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ESOP</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680" w:type="dxa"/>
            <w:vAlign w:val="bottom"/>
            <w:tcBorders>
              <w:bottom w:val="single" w:sz="8" w:color="2C2C2C"/>
            </w:tcBorders>
            <w:gridSpan w:val="3"/>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26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Performance Share Units</w:t>
            </w:r>
          </w:p>
        </w:tc>
        <w:tc>
          <w:tcPr>
            <w:tcW w:w="11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5"/>
              </w:rPr>
              <w:t>27,420.81</w:t>
            </w:r>
            <w:r>
              <w:rPr>
                <w:rFonts w:ascii="Arial" w:cs="Arial" w:eastAsia="Arial" w:hAnsi="Arial"/>
                <w:sz w:val="22"/>
                <w:szCs w:val="22"/>
                <w:color w:val="008000"/>
                <w:w w:val="85"/>
                <w:vertAlign w:val="superscript"/>
              </w:rPr>
              <w:t>(3)</w:t>
            </w:r>
          </w:p>
        </w:tc>
        <w:tc>
          <w:tcPr>
            <w:tcW w:w="3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29"/>
              <w:spacing w:after="0"/>
              <w:rPr>
                <w:sz w:val="20"/>
                <w:szCs w:val="20"/>
                <w:color w:val="auto"/>
              </w:rPr>
            </w:pPr>
            <w:r>
              <w:rPr>
                <w:rFonts w:ascii="Arial" w:cs="Arial" w:eastAsia="Arial" w:hAnsi="Arial"/>
                <w:sz w:val="18"/>
                <w:szCs w:val="18"/>
                <w:color w:val="0000FF"/>
                <w:w w:val="91"/>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3"/>
          </w:tcPr>
          <w:p>
            <w:pPr>
              <w:ind w:left="10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48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20" w:type="dxa"/>
            <w:vAlign w:val="bottom"/>
            <w:gridSpan w:val="11"/>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7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8. Price of</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5"/>
                <w:szCs w:val="15"/>
                <w:color w:val="auto"/>
              </w:rPr>
            </w:pP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2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5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9"/>
              </w:rPr>
              <w:t>Amount of</w:t>
            </w: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tcPr>
          <w:p>
            <w:pPr>
              <w:spacing w:after="0"/>
              <w:rPr>
                <w:sz w:val="11"/>
                <w:szCs w:val="11"/>
                <w:color w:val="auto"/>
              </w:rPr>
            </w:pPr>
          </w:p>
        </w:tc>
        <w:tc>
          <w:tcPr>
            <w:tcW w:w="4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(Instr. 3 and 4)</w:t>
            </w:r>
          </w:p>
        </w:tc>
        <w:tc>
          <w:tcPr>
            <w:tcW w:w="74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2"/>
              </w:rPr>
              <w:t>(Instr. 4)</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4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7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420" w:type="dxa"/>
            <w:vAlign w:val="bottom"/>
          </w:tcPr>
          <w:p>
            <w:pPr>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20" w:type="dxa"/>
            <w:vAlign w:val="bottom"/>
          </w:tcPr>
          <w:p>
            <w:pPr>
              <w:spacing w:after="0"/>
              <w:rPr>
                <w:sz w:val="13"/>
                <w:szCs w:val="13"/>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7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Non-</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Qualified</w:t>
            </w:r>
          </w:p>
        </w:tc>
        <w:tc>
          <w:tcPr>
            <w:tcW w:w="82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62.75</w:t>
            </w:r>
          </w:p>
        </w:tc>
        <w:tc>
          <w:tcPr>
            <w:tcW w:w="1140" w:type="dxa"/>
            <w:vAlign w:val="bottom"/>
            <w:vMerge w:val="restart"/>
          </w:tcPr>
          <w:p>
            <w:pPr>
              <w:ind w:left="260"/>
              <w:spacing w:after="0"/>
              <w:rPr>
                <w:sz w:val="20"/>
                <w:szCs w:val="20"/>
                <w:color w:val="auto"/>
              </w:rPr>
            </w:pPr>
            <w:r>
              <w:rPr>
                <w:rFonts w:ascii="Arial" w:cs="Arial" w:eastAsia="Arial" w:hAnsi="Arial"/>
                <w:sz w:val="14"/>
                <w:szCs w:val="14"/>
                <w:color w:val="0000FF"/>
              </w:rPr>
              <w:t>12/05/2014</w:t>
            </w:r>
          </w:p>
        </w:tc>
        <w:tc>
          <w:tcPr>
            <w:tcW w:w="1140" w:type="dxa"/>
            <w:vAlign w:val="bottom"/>
          </w:tcPr>
          <w:p>
            <w:pPr>
              <w:spacing w:after="0"/>
              <w:rPr>
                <w:sz w:val="12"/>
                <w:szCs w:val="12"/>
                <w:color w:val="auto"/>
              </w:rPr>
            </w:pPr>
          </w:p>
        </w:tc>
        <w:tc>
          <w:tcPr>
            <w:tcW w:w="480" w:type="dxa"/>
            <w:vAlign w:val="bottom"/>
            <w:vMerge w:val="restart"/>
          </w:tcPr>
          <w:p>
            <w:pPr>
              <w:ind w:left="160"/>
              <w:spacing w:after="0"/>
              <w:rPr>
                <w:sz w:val="20"/>
                <w:szCs w:val="20"/>
                <w:color w:val="auto"/>
              </w:rPr>
            </w:pPr>
            <w:r>
              <w:rPr>
                <w:rFonts w:ascii="Arial" w:cs="Arial" w:eastAsia="Arial" w:hAnsi="Arial"/>
                <w:sz w:val="14"/>
                <w:szCs w:val="14"/>
                <w:color w:val="0000FF"/>
              </w:rPr>
              <w:t>A</w:t>
            </w:r>
          </w:p>
        </w:tc>
        <w:tc>
          <w:tcPr>
            <w:tcW w:w="420" w:type="dxa"/>
            <w:vAlign w:val="bottom"/>
          </w:tcPr>
          <w:p>
            <w:pPr>
              <w:spacing w:after="0"/>
              <w:rPr>
                <w:sz w:val="12"/>
                <w:szCs w:val="12"/>
                <w:color w:val="auto"/>
              </w:rPr>
            </w:pPr>
          </w:p>
        </w:tc>
        <w:tc>
          <w:tcPr>
            <w:tcW w:w="420" w:type="dxa"/>
            <w:vAlign w:val="bottom"/>
            <w:vMerge w:val="restart"/>
          </w:tcPr>
          <w:p>
            <w:pPr>
              <w:ind w:left="20"/>
              <w:spacing w:after="0"/>
              <w:rPr>
                <w:sz w:val="20"/>
                <w:szCs w:val="20"/>
                <w:color w:val="auto"/>
              </w:rPr>
            </w:pPr>
            <w:r>
              <w:rPr>
                <w:rFonts w:ascii="Arial" w:cs="Arial" w:eastAsia="Arial" w:hAnsi="Arial"/>
                <w:sz w:val="14"/>
                <w:szCs w:val="14"/>
                <w:color w:val="0000FF"/>
              </w:rPr>
              <w:t>6,100</w:t>
            </w:r>
          </w:p>
        </w:tc>
        <w:tc>
          <w:tcPr>
            <w:tcW w:w="340" w:type="dxa"/>
            <w:vAlign w:val="bottom"/>
          </w:tcPr>
          <w:p>
            <w:pPr>
              <w:spacing w:after="0"/>
              <w:rPr>
                <w:sz w:val="12"/>
                <w:szCs w:val="12"/>
                <w:color w:val="auto"/>
              </w:rPr>
            </w:pPr>
          </w:p>
        </w:tc>
        <w:tc>
          <w:tcPr>
            <w:tcW w:w="780" w:type="dxa"/>
            <w:vAlign w:val="bottom"/>
            <w:vMerge w:val="restart"/>
          </w:tcPr>
          <w:p>
            <w:pPr>
              <w:ind w:left="280"/>
              <w:spacing w:after="0"/>
              <w:rPr>
                <w:sz w:val="20"/>
                <w:szCs w:val="20"/>
                <w:color w:val="auto"/>
              </w:rPr>
            </w:pPr>
            <w:r>
              <w:rPr>
                <w:rFonts w:ascii="Arial" w:cs="Arial" w:eastAsia="Arial" w:hAnsi="Arial"/>
                <w:sz w:val="11"/>
                <w:szCs w:val="11"/>
                <w:color w:val="008000"/>
              </w:rPr>
              <w:t>(4)</w:t>
            </w:r>
          </w:p>
        </w:tc>
        <w:tc>
          <w:tcPr>
            <w:tcW w:w="760" w:type="dxa"/>
            <w:vAlign w:val="bottom"/>
            <w:vMerge w:val="restart"/>
          </w:tcPr>
          <w:p>
            <w:pPr>
              <w:ind w:left="60"/>
              <w:spacing w:after="0"/>
              <w:rPr>
                <w:sz w:val="20"/>
                <w:szCs w:val="20"/>
                <w:color w:val="auto"/>
              </w:rPr>
            </w:pPr>
            <w:r>
              <w:rPr>
                <w:rFonts w:ascii="Arial" w:cs="Arial" w:eastAsia="Arial" w:hAnsi="Arial"/>
                <w:sz w:val="14"/>
                <w:szCs w:val="14"/>
                <w:color w:val="0000FF"/>
                <w:w w:val="96"/>
              </w:rPr>
              <w:t>12/05/2024</w:t>
            </w:r>
          </w:p>
        </w:tc>
        <w:tc>
          <w:tcPr>
            <w:tcW w:w="660" w:type="dxa"/>
            <w:vAlign w:val="bottom"/>
          </w:tcPr>
          <w:p>
            <w:pPr>
              <w:ind w:left="60"/>
              <w:spacing w:after="0" w:line="149" w:lineRule="exact"/>
              <w:rPr>
                <w:sz w:val="20"/>
                <w:szCs w:val="20"/>
                <w:color w:val="auto"/>
              </w:rPr>
            </w:pPr>
            <w:r>
              <w:rPr>
                <w:rFonts w:ascii="Arial" w:cs="Arial" w:eastAsia="Arial" w:hAnsi="Arial"/>
                <w:sz w:val="14"/>
                <w:szCs w:val="14"/>
                <w:color w:val="0000FF"/>
              </w:rPr>
              <w:t>Common</w:t>
            </w:r>
          </w:p>
        </w:tc>
        <w:tc>
          <w:tcPr>
            <w:tcW w:w="20" w:type="dxa"/>
            <w:vAlign w:val="bottom"/>
          </w:tcPr>
          <w:p>
            <w:pPr>
              <w:spacing w:after="0"/>
              <w:rPr>
                <w:sz w:val="12"/>
                <w:szCs w:val="12"/>
                <w:color w:val="auto"/>
              </w:rPr>
            </w:pPr>
          </w:p>
        </w:tc>
        <w:tc>
          <w:tcPr>
            <w:tcW w:w="560" w:type="dxa"/>
            <w:vAlign w:val="bottom"/>
            <w:vMerge w:val="restart"/>
          </w:tcPr>
          <w:p>
            <w:pPr>
              <w:jc w:val="right"/>
              <w:ind w:right="49"/>
              <w:spacing w:after="0"/>
              <w:rPr>
                <w:sz w:val="20"/>
                <w:szCs w:val="20"/>
                <w:color w:val="auto"/>
              </w:rPr>
            </w:pPr>
            <w:r>
              <w:rPr>
                <w:rFonts w:ascii="Arial" w:cs="Arial" w:eastAsia="Arial" w:hAnsi="Arial"/>
                <w:sz w:val="18"/>
                <w:szCs w:val="18"/>
                <w:color w:val="0000FF"/>
                <w:w w:val="93"/>
              </w:rPr>
              <w:t>6,100</w:t>
            </w:r>
          </w:p>
        </w:tc>
        <w:tc>
          <w:tcPr>
            <w:tcW w:w="40" w:type="dxa"/>
            <w:vAlign w:val="bottom"/>
          </w:tcPr>
          <w:p>
            <w:pPr>
              <w:spacing w:after="0"/>
              <w:rPr>
                <w:sz w:val="12"/>
                <w:szCs w:val="12"/>
                <w:color w:val="auto"/>
              </w:rPr>
            </w:pPr>
          </w:p>
        </w:tc>
        <w:tc>
          <w:tcPr>
            <w:tcW w:w="74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00" w:type="dxa"/>
            <w:vAlign w:val="bottom"/>
            <w:gridSpan w:val="2"/>
            <w:vMerge w:val="restart"/>
          </w:tcPr>
          <w:p>
            <w:pPr>
              <w:ind w:left="280"/>
              <w:spacing w:after="0"/>
              <w:rPr>
                <w:sz w:val="20"/>
                <w:szCs w:val="20"/>
                <w:color w:val="auto"/>
              </w:rPr>
            </w:pPr>
            <w:r>
              <w:rPr>
                <w:rFonts w:ascii="Arial" w:cs="Arial" w:eastAsia="Arial" w:hAnsi="Arial"/>
                <w:sz w:val="14"/>
                <w:szCs w:val="14"/>
                <w:color w:val="0000FF"/>
              </w:rPr>
              <w:t>6,100</w:t>
            </w:r>
          </w:p>
        </w:tc>
        <w:tc>
          <w:tcPr>
            <w:tcW w:w="600" w:type="dxa"/>
            <w:vAlign w:val="bottom"/>
            <w:vMerge w:val="restart"/>
          </w:tcPr>
          <w:p>
            <w:pPr>
              <w:ind w:left="460"/>
              <w:spacing w:after="0"/>
              <w:rPr>
                <w:sz w:val="20"/>
                <w:szCs w:val="20"/>
                <w:color w:val="auto"/>
              </w:rPr>
            </w:pPr>
            <w:r>
              <w:rPr>
                <w:rFonts w:ascii="Arial" w:cs="Arial" w:eastAsia="Arial" w:hAnsi="Arial"/>
                <w:sz w:val="14"/>
                <w:szCs w:val="14"/>
                <w:color w:val="0000FF"/>
              </w:rPr>
              <w:t>D</w:t>
            </w: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660" w:type="dxa"/>
            <w:vAlign w:val="bottom"/>
            <w:vMerge w:val="restart"/>
          </w:tcPr>
          <w:p>
            <w:pPr>
              <w:ind w:left="140"/>
              <w:spacing w:after="0"/>
              <w:rPr>
                <w:sz w:val="20"/>
                <w:szCs w:val="20"/>
                <w:color w:val="auto"/>
              </w:rPr>
            </w:pPr>
            <w:r>
              <w:rPr>
                <w:rFonts w:ascii="Arial" w:cs="Arial" w:eastAsia="Arial" w:hAnsi="Arial"/>
                <w:sz w:val="14"/>
                <w:szCs w:val="14"/>
                <w:color w:val="0000FF"/>
              </w:rPr>
              <w:t>Stock</w:t>
            </w:r>
          </w:p>
        </w:tc>
        <w:tc>
          <w:tcPr>
            <w:tcW w:w="2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Option</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jc w:val="both"/>
        <w:ind w:left="40" w:right="460" w:firstLine="9"/>
        <w:spacing w:after="0" w:line="28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the payout of a Performance Share Award for the Fiscal 2012 to Fiscal 2014 Performance Period under The Toro Company 2010 Equity and Incentive Plan, as amended (the "2010 Plan"), as approved by the registrant's Compensation &amp; Human Resources Committee of its Board of Directors on December 2, 2014, and which was conditioned upon and subject to confirmation by the registrant's Fiscal 2014 financial results that were released on December 4, 2014. Performance Share Awards are paid in shares of common stock under the 2010 Plan.</w:t>
      </w:r>
    </w:p>
    <w:p>
      <w:pPr>
        <w:spacing w:after="0" w:line="2" w:lineRule="exact"/>
        <w:rPr>
          <w:rFonts w:ascii="Arial" w:cs="Arial" w:eastAsia="Arial" w:hAnsi="Arial"/>
          <w:sz w:val="12"/>
          <w:szCs w:val="12"/>
          <w:color w:val="008000"/>
        </w:rPr>
      </w:pPr>
    </w:p>
    <w:p>
      <w:pPr>
        <w:ind w:left="40" w:right="38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the following shares of common stock acquired by the reporting person since the date of his last report: 43.917 net shares acquired under the dividend reinvestment feature of The Toro Company Investment, Savings &amp; ESOP (IS&amp;ESOP) less quarterly non-discretionary administrative fees; and 58.661 shares acquired through issuer annual investment fund contributions to the IS&amp;ESOP.</w:t>
      </w:r>
    </w:p>
    <w:p>
      <w:pPr>
        <w:ind w:left="40" w:right="3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271.123 performance share units acquired by the reporting person since the date of his last report under the dividend reinvestment feature of The Toro Company Deferred Compensation Plan for Officers.</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option vests in three equal annual installments commencing on the first anniversary of the date of grant.</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Nancy A. McGrath,</w:t>
            </w:r>
          </w:p>
        </w:tc>
        <w:tc>
          <w:tcPr>
            <w:tcW w:w="50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12/08/2014</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972"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09370"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2019-12-17T03:24:18Z</dcterms:created>
  <dcterms:modified xsi:type="dcterms:W3CDTF">2019-12-17T03:24:18Z</dcterms:modified>
</cp:coreProperties>
</file>