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59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90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BUHRMASTER ROBERT 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02/27/2018</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rPr>
              <w:t>13,348</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8.445</w:t>
            </w: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44,430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02/27/2018</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13,348</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64.354</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31,082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18,083.124</w:t>
            </w:r>
            <w:r>
              <w:rPr>
                <w:rFonts w:ascii="Arial" w:cs="Arial" w:eastAsia="Arial" w:hAnsi="Arial"/>
                <w:sz w:val="22"/>
                <w:szCs w:val="22"/>
                <w:color w:val="008000"/>
                <w:w w:val="89"/>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8.445</w:t>
            </w:r>
          </w:p>
        </w:tc>
        <w:tc>
          <w:tcPr>
            <w:tcW w:w="1020" w:type="dxa"/>
            <w:vAlign w:val="bottom"/>
          </w:tcPr>
          <w:p>
            <w:pPr>
              <w:jc w:val="right"/>
              <w:ind w:right="138"/>
              <w:spacing w:after="0"/>
              <w:rPr>
                <w:sz w:val="20"/>
                <w:szCs w:val="20"/>
                <w:color w:val="auto"/>
              </w:rPr>
            </w:pPr>
            <w:r>
              <w:rPr>
                <w:rFonts w:ascii="Arial" w:cs="Arial" w:eastAsia="Arial" w:hAnsi="Arial"/>
                <w:sz w:val="13"/>
                <w:szCs w:val="13"/>
                <w:color w:val="0000FF"/>
              </w:rPr>
              <w:t>02/27/2018</w:t>
            </w:r>
          </w:p>
        </w:tc>
        <w:tc>
          <w:tcPr>
            <w:tcW w:w="118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13,348</w:t>
            </w:r>
          </w:p>
        </w:tc>
        <w:tc>
          <w:tcPr>
            <w:tcW w:w="800" w:type="dxa"/>
            <w:vAlign w:val="bottom"/>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11/03/2018</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13,348</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$64.34 to $64.42,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54.617 common stock units acquired by the reporting person since the date of his last report under the dividend reinvestment feature of The Toro Company Deferred Compensation Plan for Non-Employee Directors.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3,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03/01/2018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2019-12-23T21:15:07Z</dcterms:created>
  <dcterms:modified xsi:type="dcterms:W3CDTF">2019-12-23T21:15:07Z</dcterms:modified>
</cp:coreProperties>
</file>