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February 23, 2006</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February 23, 2006, The Toro Company announced its earnings for the three months ended February 3, 2006.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855345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February 23,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0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w w:val="86"/>
              </w:rPr>
              <w:t>Registrant's Press Release dated February 23, 2006 (furnished herewith).</w:t>
            </w:r>
          </w:p>
        </w:tc>
      </w:tr>
    </w:tbl>
    <w:p>
      <w:pPr>
        <w:sectPr>
          <w:pgSz w:w="11900" w:h="16838" w:orient="portrait"/>
          <w:cols w:equalWidth="0" w:num="1">
            <w:col w:w="10219"/>
          </w:cols>
          <w:pgMar w:left="240" w:top="12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18"/>
          <w:szCs w:val="18"/>
          <w:b w:val="1"/>
          <w:bCs w:val="1"/>
          <w:color w:val="auto"/>
        </w:rPr>
        <w:t>The Toro Company</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ind w:left="400" w:hanging="10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952/888-8801 • FAX 952/887-8258</w:t>
      </w:r>
    </w:p>
    <w:p>
      <w:pPr>
        <w:spacing w:after="0" w:line="8" w:lineRule="exact"/>
        <w:rPr>
          <w:rFonts w:ascii="Arial" w:cs="Arial" w:eastAsia="Arial" w:hAnsi="Arial"/>
          <w:sz w:val="18"/>
          <w:szCs w:val="18"/>
          <w:color w:val="auto"/>
        </w:rPr>
      </w:pPr>
    </w:p>
    <w:p>
      <w:pPr>
        <w:ind w:left="300" w:right="9480"/>
        <w:spacing w:after="0" w:line="239" w:lineRule="auto"/>
        <w:rPr>
          <w:rFonts w:ascii="Arial" w:cs="Arial" w:eastAsia="Arial" w:hAnsi="Arial"/>
          <w:sz w:val="18"/>
          <w:szCs w:val="18"/>
          <w:color w:val="auto"/>
        </w:rPr>
      </w:pPr>
      <w:r>
        <w:rPr>
          <w:rFonts w:ascii="Arial" w:cs="Arial" w:eastAsia="Arial" w:hAnsi="Arial"/>
          <w:sz w:val="20"/>
          <w:szCs w:val="20"/>
          <w:color w:val="auto"/>
        </w:rPr>
        <w:t>Investor Relations Stephen P. Wolfe Vice President, CFO (952) 887-8076 John Wright</w:t>
      </w:r>
    </w:p>
    <w:p>
      <w:pPr>
        <w:spacing w:after="0" w:line="2" w:lineRule="exact"/>
        <w:rPr>
          <w:rFonts w:ascii="Arial" w:cs="Arial" w:eastAsia="Arial" w:hAnsi="Arial"/>
          <w:sz w:val="18"/>
          <w:szCs w:val="18"/>
          <w:color w:val="auto"/>
        </w:rPr>
      </w:pPr>
    </w:p>
    <w:p>
      <w:pPr>
        <w:ind w:left="300" w:right="8920"/>
        <w:spacing w:after="0" w:line="252" w:lineRule="auto"/>
        <w:rPr>
          <w:rFonts w:ascii="Arial" w:cs="Arial" w:eastAsia="Arial" w:hAnsi="Arial"/>
          <w:sz w:val="18"/>
          <w:szCs w:val="18"/>
          <w:color w:val="auto"/>
        </w:rPr>
      </w:pPr>
      <w:r>
        <w:rPr>
          <w:rFonts w:ascii="Arial" w:cs="Arial" w:eastAsia="Arial" w:hAnsi="Arial"/>
          <w:sz w:val="19"/>
          <w:szCs w:val="19"/>
          <w:color w:val="auto"/>
        </w:rPr>
        <w:t>Director, Investor Relations (952) 887-8865</w:t>
      </w:r>
    </w:p>
    <w:p>
      <w:pPr>
        <w:ind w:left="300" w:right="9820"/>
        <w:spacing w:after="0" w:line="266" w:lineRule="auto"/>
        <w:rPr>
          <w:rFonts w:ascii="Arial" w:cs="Arial" w:eastAsia="Arial" w:hAnsi="Arial"/>
          <w:sz w:val="18"/>
          <w:szCs w:val="18"/>
          <w:color w:val="auto"/>
        </w:rPr>
      </w:pPr>
      <w:r>
        <w:rPr>
          <w:rFonts w:ascii="Arial" w:cs="Arial" w:eastAsia="Arial" w:hAnsi="Arial"/>
          <w:sz w:val="18"/>
          <w:szCs w:val="18"/>
          <w:color w:val="auto"/>
        </w:rPr>
        <w:t>Media Relations Connie Kotke</w:t>
      </w:r>
    </w:p>
    <w:p>
      <w:pPr>
        <w:ind w:left="300" w:right="9400"/>
        <w:spacing w:after="0" w:line="267" w:lineRule="auto"/>
        <w:rPr>
          <w:rFonts w:ascii="Arial" w:cs="Arial" w:eastAsia="Arial" w:hAnsi="Arial"/>
          <w:sz w:val="18"/>
          <w:szCs w:val="18"/>
          <w:color w:val="auto"/>
        </w:rPr>
      </w:pPr>
      <w:r>
        <w:rPr>
          <w:rFonts w:ascii="Arial" w:cs="Arial" w:eastAsia="Arial" w:hAnsi="Arial"/>
          <w:sz w:val="18"/>
          <w:szCs w:val="18"/>
          <w:color w:val="auto"/>
        </w:rPr>
        <w:t>Toro Media Relations (952) 887-8984 www, pr@toro.com</w:t>
      </w:r>
    </w:p>
    <w:p>
      <w:pPr>
        <w:ind w:left="300" w:right="9180"/>
        <w:spacing w:after="0" w:line="321" w:lineRule="auto"/>
        <w:rPr>
          <w:rFonts w:ascii="Arial" w:cs="Arial" w:eastAsia="Arial" w:hAnsi="Arial"/>
          <w:sz w:val="18"/>
          <w:szCs w:val="18"/>
          <w:color w:val="auto"/>
        </w:rPr>
      </w:pPr>
      <w:r>
        <w:rPr>
          <w:rFonts w:ascii="Arial" w:cs="Arial" w:eastAsia="Arial" w:hAnsi="Arial"/>
          <w:sz w:val="16"/>
          <w:szCs w:val="16"/>
          <w:color w:val="auto"/>
        </w:rPr>
        <w:t>Web Site www.thetorocompany.com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TORO REPORTS RECORD FIRST QUARTER NET SALES AND EARNINGS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Net Earnings Per Diluted Share Up 39.1%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LIVE CONFERENCE CALL</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23, 10:00 a.m. 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www.thetorocompany.com/invest</w:t>
      </w:r>
    </w:p>
    <w:p>
      <w:pPr>
        <w:spacing w:after="0" w:line="16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BLOOMINGTON, Minn. (Feb. 23, 2006) – The Toro Company (NYSE: TTC) today reported net earnings of $14.3 million, or $0.32 per diluted share, on net sales of $369.6 million for its fiscal 2006 first quarter ended February 3, 2006. In the comparable fiscal 2005 period, Toro reported net earnings of</w:t>
      </w:r>
    </w:p>
    <w:p>
      <w:pPr>
        <w:ind w:right="20"/>
        <w:spacing w:after="0" w:line="250" w:lineRule="auto"/>
        <w:rPr>
          <w:sz w:val="20"/>
          <w:szCs w:val="20"/>
          <w:color w:val="auto"/>
        </w:rPr>
      </w:pPr>
      <w:r>
        <w:rPr>
          <w:rFonts w:ascii="Arial" w:cs="Arial" w:eastAsia="Arial" w:hAnsi="Arial"/>
          <w:sz w:val="18"/>
          <w:szCs w:val="18"/>
          <w:color w:val="auto"/>
        </w:rPr>
        <w:t>$11.2 million, or $0.23 per diluted share, on net sales of $346.9 million. Earnings per share for the 2005 period have been adjusted to reflect the effects of a 2-for-1 stock split which was effective March 28, 2005.</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Michael J. Hoffman, The Toro Company’s president and chief executive officer, said the company’s first quarter performance benefited from strong sales growth in international markets and from the company’s continued focus on profitability improvement. “With our solid first quarter results, we are well positioned to meet our sales and earnings growth goals for fiscal 2006,” said Hoffman.</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international business posted a healthy sales increase, primarily from its core markets, as well as strong contributions from Hayter, Ltd., which the company acquired in February 2005. Compared to the fiscal 2005 first quarter, international sales grew 33.9 percent. “The increase in international sales results from a strategic focus on expanding that part of our business in order to realize more growth opportunities for Toro and to better balance our overall portfolio,” said Hoffman.</w:t>
      </w:r>
    </w:p>
    <w:p>
      <w:pPr>
        <w:spacing w:after="0" w:line="151"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SEGMENT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Segment data are provided in the table following the “Condensed Consolidated Statements of Earnings.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Segment sales for the fiscal 2006 first quarter totaled $253.6 million, up 3.4 percent compared with the fiscal 2005 first quarter. Revenue growth in the quarter was due to increased sales in the international business resulting from the strong acceptance of new equipment and irrigation products worldwide. Segment earnings for the fiscal 2006 first quarter totaled $41.7 million, up 7.2 percent from $38.9 million in the fiscal 2005 first quarter.</w:t>
      </w:r>
    </w:p>
    <w:p>
      <w:pPr>
        <w:spacing w:after="0" w:line="146" w:lineRule="exact"/>
        <w:rPr>
          <w:sz w:val="20"/>
          <w:szCs w:val="20"/>
          <w:color w:val="auto"/>
        </w:rPr>
      </w:pPr>
    </w:p>
    <w:p>
      <w:pPr>
        <w:ind w:right="120" w:firstLine="114"/>
        <w:spacing w:after="0" w:line="264" w:lineRule="auto"/>
        <w:rPr>
          <w:sz w:val="20"/>
          <w:szCs w:val="20"/>
          <w:color w:val="auto"/>
        </w:rPr>
      </w:pPr>
      <w:r>
        <w:rPr>
          <w:rFonts w:ascii="Arial" w:cs="Arial" w:eastAsia="Arial" w:hAnsi="Arial"/>
          <w:sz w:val="18"/>
          <w:szCs w:val="18"/>
          <w:color w:val="auto"/>
        </w:rPr>
        <w:t>Hoffman said Toro is encouraged by the generally optimistic outlook of customers attending the annual Golf Industry Show in Atlanta, GA. “Our industry-leading maintenance equipment and irrigation systems, strengthened by innovative new offerings introduced at the show, help course operators improve productivity, manage water use more effectively and keep courses in top playing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189" w:lineRule="exact"/>
        <w:rPr>
          <w:sz w:val="20"/>
          <w:szCs w:val="20"/>
          <w:color w:val="auto"/>
        </w:rPr>
      </w:pPr>
    </w:p>
    <w:p>
      <w:pPr>
        <w:ind w:right="460" w:firstLine="114"/>
        <w:spacing w:after="0" w:line="308" w:lineRule="auto"/>
        <w:rPr>
          <w:sz w:val="20"/>
          <w:szCs w:val="20"/>
          <w:color w:val="auto"/>
        </w:rPr>
      </w:pPr>
      <w:r>
        <w:rPr>
          <w:rFonts w:ascii="Arial" w:cs="Arial" w:eastAsia="Arial" w:hAnsi="Arial"/>
          <w:sz w:val="17"/>
          <w:szCs w:val="17"/>
          <w:color w:val="auto"/>
        </w:rPr>
        <w:t>Segment sales for the fiscal 2006 first quarter totaled $108.2 million, up 12.8 percent compared with the fiscal 2005 first quarter. Growth in residential international sales accounted for the revenue increase, including contributions from Hayter and strong sales of riding products.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Segment earnings for the fiscal 2006 first quarter totaled $5.1 million, up 16.1 percent from $4.4 million in the first quarter of fiscal 2005.</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REVIEW OF OPERATIONS</w:t>
      </w:r>
    </w:p>
    <w:p>
      <w:pPr>
        <w:spacing w:after="0" w:line="247" w:lineRule="exact"/>
        <w:rPr>
          <w:sz w:val="20"/>
          <w:szCs w:val="20"/>
          <w:color w:val="auto"/>
        </w:rPr>
      </w:pPr>
    </w:p>
    <w:p>
      <w:pPr>
        <w:ind w:right="420" w:firstLine="114"/>
        <w:spacing w:after="0" w:line="277" w:lineRule="auto"/>
        <w:rPr>
          <w:sz w:val="20"/>
          <w:szCs w:val="20"/>
          <w:color w:val="auto"/>
        </w:rPr>
      </w:pPr>
      <w:r>
        <w:rPr>
          <w:rFonts w:ascii="Arial" w:cs="Arial" w:eastAsia="Arial" w:hAnsi="Arial"/>
          <w:sz w:val="18"/>
          <w:szCs w:val="18"/>
          <w:color w:val="auto"/>
        </w:rPr>
        <w:t>Gross margin for the fiscal 2006 first quarter was 35.7 percent compared with 35.1 percent in the same period the previous year. The improvement was primarily the result of continued focus on profitability and slower growth in commodity costs.</w:t>
      </w:r>
    </w:p>
    <w:p>
      <w:pPr>
        <w:spacing w:after="0" w:line="197" w:lineRule="exact"/>
        <w:rPr>
          <w:sz w:val="20"/>
          <w:szCs w:val="20"/>
          <w:color w:val="auto"/>
        </w:rPr>
      </w:pPr>
    </w:p>
    <w:p>
      <w:pPr>
        <w:ind w:right="340" w:firstLine="114"/>
        <w:spacing w:after="0" w:line="277" w:lineRule="auto"/>
        <w:rPr>
          <w:sz w:val="20"/>
          <w:szCs w:val="20"/>
          <w:color w:val="auto"/>
        </w:rPr>
      </w:pPr>
      <w:r>
        <w:rPr>
          <w:rFonts w:ascii="Arial" w:cs="Arial" w:eastAsia="Arial" w:hAnsi="Arial"/>
          <w:sz w:val="18"/>
          <w:szCs w:val="18"/>
          <w:color w:val="auto"/>
        </w:rPr>
        <w:t>SG&amp;A expenses as a percentage of net sales declined to 29 percent in the fiscal 2006 first quarter from 29.5 percent in the comparable 2005 period. The decline resulted primarily from lower administrative expenses.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 for the fiscal 2006 first quarter totaled $4.2 million compared with $3.8 million in the fiscal 2005 first quarter.</w:t>
      </w:r>
    </w:p>
    <w:p>
      <w:pPr>
        <w:spacing w:after="0" w:line="185" w:lineRule="exact"/>
        <w:rPr>
          <w:sz w:val="20"/>
          <w:szCs w:val="20"/>
          <w:color w:val="auto"/>
        </w:rPr>
      </w:pPr>
    </w:p>
    <w:p>
      <w:pPr>
        <w:ind w:firstLine="114"/>
        <w:spacing w:after="0" w:line="277" w:lineRule="auto"/>
        <w:rPr>
          <w:sz w:val="20"/>
          <w:szCs w:val="20"/>
          <w:color w:val="auto"/>
        </w:rPr>
      </w:pPr>
      <w:r>
        <w:rPr>
          <w:rFonts w:ascii="Arial" w:cs="Arial" w:eastAsia="Arial" w:hAnsi="Arial"/>
          <w:sz w:val="18"/>
          <w:szCs w:val="18"/>
          <w:color w:val="auto"/>
        </w:rPr>
        <w:t>Accounts receivable at the end of the fiscal 2006 first quarter totaled $313.2 million, essentially flat on a 6.6 percent increase in consolidated first quarter net sales.</w:t>
      </w:r>
    </w:p>
    <w:p>
      <w:pPr>
        <w:spacing w:after="0" w:line="143" w:lineRule="exact"/>
        <w:rPr>
          <w:sz w:val="20"/>
          <w:szCs w:val="20"/>
          <w:color w:val="auto"/>
        </w:rPr>
      </w:pPr>
    </w:p>
    <w:p>
      <w:pPr>
        <w:ind w:right="100" w:firstLine="114"/>
        <w:spacing w:after="0" w:line="277" w:lineRule="auto"/>
        <w:rPr>
          <w:sz w:val="20"/>
          <w:szCs w:val="20"/>
          <w:color w:val="auto"/>
        </w:rPr>
      </w:pPr>
      <w:r>
        <w:rPr>
          <w:rFonts w:ascii="Arial" w:cs="Arial" w:eastAsia="Arial" w:hAnsi="Arial"/>
          <w:sz w:val="18"/>
          <w:szCs w:val="18"/>
          <w:color w:val="auto"/>
        </w:rPr>
        <w:t>Net inventories at the end of the fiscal 2006 first quarter totaled $295.7 million, up $19.3 million compared with the end of the fiscal 2005 first quarter. The majority of the increase was due to the Hayter acquisition completed in the second quarter of fiscal 2005.</w:t>
      </w:r>
    </w:p>
    <w:p>
      <w:pPr>
        <w:sectPr>
          <w:pgSz w:w="11900" w:h="16838" w:orient="portrait"/>
          <w:cols w:equalWidth="0" w:num="1">
            <w:col w:w="11420"/>
          </w:cols>
          <w:pgMar w:left="240" w:top="337" w:right="239" w:bottom="0" w:gutter="0" w:footer="0" w:header="0"/>
        </w:sectPr>
      </w:pPr>
    </w:p>
    <w:bookmarkStart w:id="5" w:name="page6"/>
    <w:bookmarkEnd w:id="5"/>
    <w:p>
      <w:pPr>
        <w:spacing w:after="0"/>
        <w:rPr>
          <w:sz w:val="20"/>
          <w:szCs w:val="20"/>
          <w:color w:val="auto"/>
        </w:rPr>
      </w:pPr>
      <w:r>
        <w:rPr>
          <w:rFonts w:ascii="Arial" w:cs="Arial" w:eastAsia="Arial" w:hAnsi="Arial"/>
          <w:sz w:val="23"/>
          <w:szCs w:val="23"/>
          <w:b w:val="1"/>
          <w:bCs w:val="1"/>
          <w:i w:val="1"/>
          <w:iCs w:val="1"/>
          <w:color w:val="auto"/>
        </w:rPr>
        <w:t>BUSINESS OUTLOOK</w:t>
      </w:r>
    </w:p>
    <w:p>
      <w:pPr>
        <w:spacing w:after="0" w:line="247" w:lineRule="exact"/>
        <w:rPr>
          <w:sz w:val="20"/>
          <w:szCs w:val="20"/>
          <w:color w:val="auto"/>
        </w:rPr>
      </w:pPr>
    </w:p>
    <w:p>
      <w:pPr>
        <w:ind w:right="60" w:firstLine="114"/>
        <w:spacing w:after="0" w:line="297" w:lineRule="auto"/>
        <w:rPr>
          <w:sz w:val="20"/>
          <w:szCs w:val="20"/>
          <w:color w:val="auto"/>
        </w:rPr>
      </w:pPr>
      <w:r>
        <w:rPr>
          <w:rFonts w:ascii="Arial" w:cs="Arial" w:eastAsia="Arial" w:hAnsi="Arial"/>
          <w:sz w:val="16"/>
          <w:szCs w:val="16"/>
          <w:color w:val="auto"/>
        </w:rPr>
        <w:t>“We are off to a good start in the new fiscal year,” said Hoffman. “Overall, we currently believe conditions in our core markets will be more favorable in 2006 than they were last year. With innovative new products across multiple categories now entering the market, we are well positioned to benefit from share and overall market growth. In addition, we are expanding our brand presence at retail through strategies such as the launch of a new line of lawn and garden tractors and we continue to benefit from our focus on international growth. These growth initiatives are complemented by ongoing profit improvement initiatives, including further adoption of lean and no waste principles throughout our company and continued emphasis on containing costs and expenses.”</w:t>
      </w:r>
    </w:p>
    <w:p>
      <w:pPr>
        <w:spacing w:after="0" w:line="185" w:lineRule="exact"/>
        <w:rPr>
          <w:sz w:val="20"/>
          <w:szCs w:val="20"/>
          <w:color w:val="auto"/>
        </w:rPr>
      </w:pPr>
    </w:p>
    <w:p>
      <w:pPr>
        <w:ind w:right="40" w:firstLine="114"/>
        <w:spacing w:after="0" w:line="264" w:lineRule="auto"/>
        <w:rPr>
          <w:sz w:val="20"/>
          <w:szCs w:val="20"/>
          <w:color w:val="auto"/>
        </w:rPr>
      </w:pPr>
      <w:r>
        <w:rPr>
          <w:rFonts w:ascii="Arial" w:cs="Arial" w:eastAsia="Arial" w:hAnsi="Arial"/>
          <w:sz w:val="18"/>
          <w:szCs w:val="18"/>
          <w:color w:val="auto"/>
        </w:rPr>
        <w:t>The Company reaffirmed its outlook for the remainder of fiscal 2006 and expects to achieve earnings per share growth of 12 to 15 percent on sales growth of 8 percent. This assumes that no widespread extremes in economic and environmental factors will impact the company’s key selling seasons, which are still ahead.</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its stand alone fiscal 2006 second quarter, Toro expects to report net earnings per diluted share of $1.42 to $1.48.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Toro Company will conduct a conference call and webcast for investors beginning at</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10:00 a.m. Central Time (CST) on February 23, 2006. The webcast will be available at </w:t>
      </w:r>
      <w:r>
        <w:rPr>
          <w:rFonts w:ascii="Arial" w:cs="Arial" w:eastAsia="Arial" w:hAnsi="Arial"/>
          <w:sz w:val="18"/>
          <w:szCs w:val="18"/>
          <w:i w:val="1"/>
          <w:iCs w:val="1"/>
          <w:u w:val="single" w:color="auto"/>
          <w:color w:val="auto"/>
        </w:rPr>
        <w:t>www.streetevents.com</w:t>
      </w:r>
      <w:r>
        <w:rPr>
          <w:rFonts w:ascii="Arial" w:cs="Arial" w:eastAsia="Arial" w:hAnsi="Arial"/>
          <w:sz w:val="18"/>
          <w:szCs w:val="18"/>
          <w:color w:val="auto"/>
        </w:rPr>
        <w:t xml:space="preserve"> or at </w:t>
      </w:r>
      <w:r>
        <w:rPr>
          <w:rFonts w:ascii="Arial" w:cs="Arial" w:eastAsia="Arial" w:hAnsi="Arial"/>
          <w:sz w:val="18"/>
          <w:szCs w:val="18"/>
          <w:i w:val="1"/>
          <w:iCs w:val="1"/>
          <w:u w:val="single" w:color="auto"/>
          <w:color w:val="auto"/>
        </w:rPr>
        <w:t>www.thetorocompany.com/invest</w:t>
      </w:r>
      <w:r>
        <w:rPr>
          <w:rFonts w:ascii="Arial" w:cs="Arial" w:eastAsia="Arial" w:hAnsi="Arial"/>
          <w:sz w:val="18"/>
          <w:szCs w:val="18"/>
          <w:color w:val="auto"/>
        </w:rPr>
        <w:t>. Webcast participants will need to complete a brief registration form and should allocate extra time before the webcast begins to register and, if necessary, download and install audio software.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19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2006; our ability to successfully integrate acquisitions and manage alliances; ability of management to manage around unplanned events; unforeseen product quality problems in the development and production of new and existing products; fluctuations in the cost and availability of raw materials, including steel and other commodities; rising cost of transportation; level of growth in the golf market; increased dependence on The Home Depot as a customer for the residential segment; reduced government spending for grounds maintenance equipment due to reduced tax revenue and tighter government budgets; increased 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3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(Financial tables follow)</w:t>
      </w:r>
    </w:p>
    <w:p>
      <w:pPr>
        <w:spacing w:after="0" w:line="18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Statements of Earnings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shares in thousands, except per-share data)</w:t>
      </w:r>
    </w:p>
    <w:p>
      <w:pPr>
        <w:spacing w:after="0" w:line="40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5"/>
        </w:trPr>
        <w:tc>
          <w:tcPr>
            <w:tcW w:w="7520" w:type="dxa"/>
            <w:vAlign w:val="bottom"/>
          </w:tcPr>
          <w:p>
            <w:pPr>
              <w:spacing w:after="0"/>
              <w:rPr>
                <w:sz w:val="16"/>
                <w:szCs w:val="16"/>
                <w:color w:val="auto"/>
              </w:rPr>
            </w:pPr>
          </w:p>
        </w:tc>
        <w:tc>
          <w:tcPr>
            <w:tcW w:w="1420" w:type="dxa"/>
            <w:vAlign w:val="bottom"/>
            <w:gridSpan w:val="3"/>
          </w:tcPr>
          <w:p>
            <w:pPr>
              <w:jc w:val="right"/>
              <w:ind w:right="300"/>
              <w:spacing w:after="0" w:line="195" w:lineRule="exact"/>
              <w:rPr>
                <w:sz w:val="20"/>
                <w:szCs w:val="20"/>
                <w:color w:val="auto"/>
              </w:rPr>
            </w:pPr>
            <w:r>
              <w:rPr>
                <w:rFonts w:ascii="Arial" w:cs="Arial" w:eastAsia="Arial" w:hAnsi="Arial"/>
                <w:sz w:val="18"/>
                <w:szCs w:val="18"/>
                <w:color w:val="auto"/>
              </w:rPr>
              <w:t>February 3,</w:t>
            </w:r>
          </w:p>
        </w:tc>
        <w:tc>
          <w:tcPr>
            <w:tcW w:w="500" w:type="dxa"/>
            <w:vAlign w:val="bottom"/>
          </w:tcPr>
          <w:p>
            <w:pPr>
              <w:spacing w:after="0"/>
              <w:rPr>
                <w:sz w:val="16"/>
                <w:szCs w:val="16"/>
                <w:color w:val="auto"/>
              </w:rPr>
            </w:pPr>
          </w:p>
        </w:tc>
        <w:tc>
          <w:tcPr>
            <w:tcW w:w="1400" w:type="dxa"/>
            <w:vAlign w:val="bottom"/>
            <w:gridSpan w:val="3"/>
          </w:tcPr>
          <w:p>
            <w:pPr>
              <w:jc w:val="right"/>
              <w:ind w:right="300"/>
              <w:spacing w:after="0" w:line="195" w:lineRule="exact"/>
              <w:rPr>
                <w:sz w:val="20"/>
                <w:szCs w:val="20"/>
                <w:color w:val="auto"/>
              </w:rPr>
            </w:pPr>
            <w:r>
              <w:rPr>
                <w:rFonts w:ascii="Arial" w:cs="Arial" w:eastAsia="Arial" w:hAnsi="Arial"/>
                <w:sz w:val="18"/>
                <w:szCs w:val="18"/>
                <w:color w:val="auto"/>
              </w:rPr>
              <w:t>January 28,</w:t>
            </w:r>
          </w:p>
        </w:tc>
        <w:tc>
          <w:tcPr>
            <w:tcW w:w="0" w:type="dxa"/>
            <w:vAlign w:val="bottom"/>
          </w:tcPr>
          <w:p>
            <w:pPr>
              <w:spacing w:after="0"/>
              <w:rPr>
                <w:sz w:val="1"/>
                <w:szCs w:val="1"/>
                <w:color w:val="auto"/>
              </w:rPr>
            </w:pPr>
          </w:p>
        </w:tc>
      </w:tr>
      <w:tr>
        <w:trPr>
          <w:trHeight w:val="230"/>
        </w:trPr>
        <w:tc>
          <w:tcPr>
            <w:tcW w:w="75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2006</w:t>
            </w:r>
          </w:p>
        </w:tc>
        <w:tc>
          <w:tcPr>
            <w:tcW w:w="42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2005</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20" w:type="dxa"/>
            <w:vAlign w:val="bottom"/>
            <w:vMerge w:val="continue"/>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6"/>
              </w:rPr>
              <w:t>369,640</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6"/>
              </w:rPr>
              <w:t>346,913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131,874</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121,663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Gross profit percent</w:t>
            </w:r>
          </w:p>
        </w:tc>
        <w:tc>
          <w:tcPr>
            <w:tcW w:w="4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35.7%</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107,205</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102,239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24,669</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(4,243)</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21,312</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16,805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4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4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4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 Basic</w:t>
            </w: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43,608</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46,136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Dilutive</w:t>
            </w: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44,959</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47,758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March 28, 2005.</w:t>
      </w:r>
    </w:p>
    <w:p>
      <w:pPr>
        <w:spacing w:after="0" w:line="18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Segment Data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400"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ind w:left="6060"/>
        <w:spacing w:after="0"/>
        <w:tabs>
          <w:tab w:leader="none" w:pos="9300" w:val="left"/>
        </w:tabs>
        <w:rPr>
          <w:sz w:val="20"/>
          <w:szCs w:val="20"/>
          <w:color w:val="auto"/>
        </w:rPr>
      </w:pPr>
      <w:r>
        <w:rPr>
          <w:rFonts w:ascii="Arial" w:cs="Arial" w:eastAsia="Arial" w:hAnsi="Arial"/>
          <w:sz w:val="18"/>
          <w:szCs w:val="18"/>
          <w:color w:val="auto"/>
        </w:rPr>
        <w:t>February 3,</w:t>
      </w:r>
      <w:r>
        <w:rPr>
          <w:sz w:val="20"/>
          <w:szCs w:val="20"/>
          <w:color w:val="auto"/>
        </w:rPr>
        <w:tab/>
      </w:r>
      <w:r>
        <w:rPr>
          <w:rFonts w:ascii="Arial" w:cs="Arial" w:eastAsia="Arial" w:hAnsi="Arial"/>
          <w:sz w:val="16"/>
          <w:szCs w:val="16"/>
          <w:color w:val="auto"/>
        </w:rPr>
        <w:t>January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-130810</wp:posOffset>
            </wp:positionV>
            <wp:extent cx="3841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ectPr>
          <w:pgSz w:w="11900" w:h="16838" w:orient="portrait"/>
          <w:cols w:equalWidth="0" w:num="1">
            <w:col w:w="11400"/>
          </w:cols>
          <w:pgMar w:left="240" w:top="114" w:right="25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Segment Net Sales</w:t>
            </w:r>
          </w:p>
        </w:tc>
        <w:tc>
          <w:tcPr>
            <w:tcW w:w="2060" w:type="dxa"/>
            <w:vAlign w:val="bottom"/>
            <w:gridSpan w:val="5"/>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3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Professional</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top w:val="single" w:sz="8" w:color="auto"/>
            </w:tcBorders>
            <w:gridSpan w:val="4"/>
          </w:tcPr>
          <w:p>
            <w:pPr>
              <w:jc w:val="right"/>
              <w:ind w:right="20"/>
              <w:spacing w:after="0" w:line="195" w:lineRule="exact"/>
              <w:rPr>
                <w:sz w:val="20"/>
                <w:szCs w:val="20"/>
                <w:color w:val="auto"/>
              </w:rPr>
            </w:pPr>
            <w:r>
              <w:rPr>
                <w:rFonts w:ascii="Arial" w:cs="Arial" w:eastAsia="Arial" w:hAnsi="Arial"/>
                <w:sz w:val="18"/>
                <w:szCs w:val="18"/>
                <w:color w:val="auto"/>
              </w:rPr>
              <w:t>$253,605</w:t>
            </w: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$245,230</w:t>
            </w: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180" w:type="dxa"/>
            <w:vAlign w:val="bottom"/>
            <w:gridSpan w:val="6"/>
          </w:tcPr>
          <w:p>
            <w:pPr>
              <w:jc w:val="right"/>
              <w:ind w:right="20"/>
              <w:spacing w:after="0"/>
              <w:rPr>
                <w:sz w:val="20"/>
                <w:szCs w:val="20"/>
                <w:color w:val="auto"/>
              </w:rPr>
            </w:pPr>
            <w:r>
              <w:rPr>
                <w:rFonts w:ascii="Arial" w:cs="Arial" w:eastAsia="Arial" w:hAnsi="Arial"/>
                <w:sz w:val="18"/>
                <w:szCs w:val="18"/>
                <w:color w:val="auto"/>
              </w:rPr>
              <w:t>108,185</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6"/>
          </w:tcPr>
          <w:p>
            <w:pPr>
              <w:jc w:val="right"/>
              <w:spacing w:after="0"/>
              <w:rPr>
                <w:sz w:val="20"/>
                <w:szCs w:val="20"/>
                <w:color w:val="auto"/>
              </w:rPr>
            </w:pPr>
            <w:r>
              <w:rPr>
                <w:rFonts w:ascii="Arial" w:cs="Arial" w:eastAsia="Arial" w:hAnsi="Arial"/>
                <w:sz w:val="18"/>
                <w:szCs w:val="18"/>
                <w:color w:val="auto"/>
              </w:rPr>
              <w:t>95,876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180" w:type="dxa"/>
            <w:vAlign w:val="bottom"/>
            <w:gridSpan w:val="6"/>
          </w:tcPr>
          <w:p>
            <w:pPr>
              <w:jc w:val="right"/>
              <w:ind w:right="20"/>
              <w:spacing w:after="0"/>
              <w:rPr>
                <w:sz w:val="20"/>
                <w:szCs w:val="20"/>
                <w:color w:val="auto"/>
              </w:rPr>
            </w:pPr>
            <w:r>
              <w:rPr>
                <w:rFonts w:ascii="Arial" w:cs="Arial" w:eastAsia="Arial" w:hAnsi="Arial"/>
                <w:sz w:val="18"/>
                <w:szCs w:val="18"/>
                <w:color w:val="auto"/>
              </w:rPr>
              <w:t>7,850</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6"/>
          </w:tcPr>
          <w:p>
            <w:pPr>
              <w:jc w:val="right"/>
              <w:spacing w:after="0"/>
              <w:rPr>
                <w:sz w:val="20"/>
                <w:szCs w:val="20"/>
                <w:color w:val="auto"/>
              </w:rPr>
            </w:pPr>
            <w:r>
              <w:rPr>
                <w:rFonts w:ascii="Arial" w:cs="Arial" w:eastAsia="Arial" w:hAnsi="Arial"/>
                <w:sz w:val="18"/>
                <w:szCs w:val="18"/>
                <w:color w:val="auto"/>
              </w:rPr>
              <w:t>5,807</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369,640</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346,913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180" w:type="dxa"/>
            <w:vAlign w:val="bottom"/>
            <w:gridSpan w:val="6"/>
          </w:tcPr>
          <w:p>
            <w:pPr>
              <w:jc w:val="right"/>
              <w:ind w:right="80"/>
              <w:spacing w:after="0"/>
              <w:rPr>
                <w:sz w:val="20"/>
                <w:szCs w:val="20"/>
                <w:color w:val="auto"/>
              </w:rPr>
            </w:pPr>
            <w:r>
              <w:rPr>
                <w:rFonts w:ascii="Arial" w:cs="Arial" w:eastAsia="Arial" w:hAnsi="Arial"/>
                <w:sz w:val="18"/>
                <w:szCs w:val="18"/>
                <w:color w:val="auto"/>
              </w:rPr>
              <w:t>$120,059</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6"/>
          </w:tcPr>
          <w:p>
            <w:pPr>
              <w:jc w:val="right"/>
              <w:ind w:right="20"/>
              <w:spacing w:after="0"/>
              <w:rPr>
                <w:sz w:val="20"/>
                <w:szCs w:val="20"/>
                <w:color w:val="auto"/>
              </w:rPr>
            </w:pPr>
            <w:r>
              <w:rPr>
                <w:rFonts w:ascii="Arial" w:cs="Arial" w:eastAsia="Arial" w:hAnsi="Arial"/>
                <w:sz w:val="18"/>
                <w:szCs w:val="18"/>
                <w:color w:val="auto"/>
              </w:rPr>
              <w:t>$ 89,653</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4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5"/>
            <w:vMerge w:val="restart"/>
          </w:tcPr>
          <w:p>
            <w:pPr>
              <w:jc w:val="right"/>
              <w:ind w:right="1020"/>
              <w:spacing w:after="0"/>
              <w:rPr>
                <w:sz w:val="20"/>
                <w:szCs w:val="20"/>
                <w:color w:val="auto"/>
              </w:rPr>
            </w:pPr>
            <w:r>
              <w:rPr>
                <w:rFonts w:ascii="Arial" w:cs="Arial" w:eastAsia="Arial" w:hAnsi="Arial"/>
                <w:sz w:val="18"/>
                <w:szCs w:val="18"/>
                <w:color w:val="auto"/>
              </w:rPr>
              <w:t>January 28,</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5"/>
          </w:tcPr>
          <w:p>
            <w:pPr>
              <w:jc w:val="center"/>
              <w:ind w:right="200"/>
              <w:spacing w:after="0" w:line="195" w:lineRule="exact"/>
              <w:rPr>
                <w:sz w:val="20"/>
                <w:szCs w:val="20"/>
                <w:color w:val="auto"/>
              </w:rPr>
            </w:pPr>
            <w:r>
              <w:rPr>
                <w:rFonts w:ascii="Arial" w:cs="Arial" w:eastAsia="Arial" w:hAnsi="Arial"/>
                <w:sz w:val="18"/>
                <w:szCs w:val="18"/>
                <w:color w:val="auto"/>
                <w:w w:val="91"/>
              </w:rPr>
              <w:t>February 3,</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Borders>
              <w:top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Segment Earnings (Loss) Before Income Taxes</w:t>
            </w:r>
          </w:p>
        </w:tc>
        <w:tc>
          <w:tcPr>
            <w:tcW w:w="2060" w:type="dxa"/>
            <w:vAlign w:val="bottom"/>
            <w:gridSpan w:val="5"/>
          </w:tcPr>
          <w:p>
            <w:pPr>
              <w:jc w:val="right"/>
              <w:ind w:right="3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5"/>
          </w:tcPr>
          <w:p>
            <w:pPr>
              <w:jc w:val="right"/>
              <w:ind w:right="10"/>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$ 41,660</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$ 38,865</w:t>
            </w:r>
          </w:p>
        </w:tc>
        <w:tc>
          <w:tcPr>
            <w:tcW w:w="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060" w:type="dxa"/>
            <w:vAlign w:val="bottom"/>
            <w:gridSpan w:val="5"/>
          </w:tcPr>
          <w:p>
            <w:pPr>
              <w:jc w:val="right"/>
              <w:spacing w:after="0"/>
              <w:rPr>
                <w:sz w:val="20"/>
                <w:szCs w:val="20"/>
                <w:color w:val="auto"/>
              </w:rPr>
            </w:pPr>
            <w:r>
              <w:rPr>
                <w:rFonts w:ascii="Arial" w:cs="Arial" w:eastAsia="Arial" w:hAnsi="Arial"/>
                <w:sz w:val="18"/>
                <w:szCs w:val="18"/>
                <w:color w:val="auto"/>
              </w:rPr>
              <w:t>5,149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4,434</w:t>
            </w: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180" w:type="dxa"/>
            <w:vAlign w:val="bottom"/>
            <w:gridSpan w:val="6"/>
          </w:tcPr>
          <w:p>
            <w:pPr>
              <w:jc w:val="right"/>
              <w:ind w:right="80"/>
              <w:spacing w:after="0"/>
              <w:rPr>
                <w:sz w:val="20"/>
                <w:szCs w:val="20"/>
                <w:color w:val="auto"/>
              </w:rPr>
            </w:pPr>
            <w:r>
              <w:rPr>
                <w:rFonts w:ascii="Arial" w:cs="Arial" w:eastAsia="Arial" w:hAnsi="Arial"/>
                <w:sz w:val="18"/>
                <w:szCs w:val="18"/>
                <w:color w:val="auto"/>
              </w:rPr>
              <w:t>(25,497)</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7"/>
          </w:tcPr>
          <w:p>
            <w:pPr>
              <w:jc w:val="right"/>
              <w:ind w:right="1080"/>
              <w:spacing w:after="0"/>
              <w:rPr>
                <w:sz w:val="20"/>
                <w:szCs w:val="20"/>
                <w:color w:val="auto"/>
              </w:rPr>
            </w:pPr>
            <w:r>
              <w:rPr>
                <w:rFonts w:ascii="Arial" w:cs="Arial" w:eastAsia="Arial" w:hAnsi="Arial"/>
                <w:sz w:val="18"/>
                <w:szCs w:val="18"/>
                <w:color w:val="auto"/>
              </w:rPr>
              <w:t>(26,494)</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21,312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16,805</w:t>
            </w: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TORO COMPANY AND SUBSIDIARIES</w:t>
      </w:r>
    </w:p>
    <w:p>
      <w:pPr>
        <w:spacing w:after="0" w:line="18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Condensed Consolidated Balance Sheets (Unaudited)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360" w:type="dxa"/>
            <w:vAlign w:val="bottom"/>
            <w:gridSpan w:val="3"/>
          </w:tcPr>
          <w:p>
            <w:pPr>
              <w:ind w:left="260"/>
              <w:spacing w:after="0"/>
              <w:rPr>
                <w:sz w:val="20"/>
                <w:szCs w:val="20"/>
                <w:color w:val="auto"/>
              </w:rPr>
            </w:pPr>
            <w:r>
              <w:rPr>
                <w:rFonts w:ascii="Arial" w:cs="Arial" w:eastAsia="Arial" w:hAnsi="Arial"/>
                <w:sz w:val="18"/>
                <w:szCs w:val="18"/>
                <w:color w:val="auto"/>
              </w:rPr>
              <w:t>February 3,</w:t>
            </w:r>
          </w:p>
        </w:tc>
        <w:tc>
          <w:tcPr>
            <w:tcW w:w="480" w:type="dxa"/>
            <w:vAlign w:val="bottom"/>
          </w:tcPr>
          <w:p>
            <w:pPr>
              <w:spacing w:after="0"/>
              <w:rPr>
                <w:sz w:val="18"/>
                <w:szCs w:val="18"/>
                <w:color w:val="auto"/>
              </w:rPr>
            </w:pPr>
          </w:p>
        </w:tc>
        <w:tc>
          <w:tcPr>
            <w:tcW w:w="1360" w:type="dxa"/>
            <w:vAlign w:val="bottom"/>
            <w:gridSpan w:val="3"/>
          </w:tcPr>
          <w:p>
            <w:pPr>
              <w:ind w:left="260"/>
              <w:spacing w:after="0"/>
              <w:rPr>
                <w:sz w:val="20"/>
                <w:szCs w:val="20"/>
                <w:color w:val="auto"/>
              </w:rPr>
            </w:pPr>
            <w:r>
              <w:rPr>
                <w:rFonts w:ascii="Arial" w:cs="Arial" w:eastAsia="Arial" w:hAnsi="Arial"/>
                <w:sz w:val="18"/>
                <w:szCs w:val="18"/>
                <w:color w:val="auto"/>
              </w:rPr>
              <w:t>January 28,</w:t>
            </w:r>
          </w:p>
        </w:tc>
        <w:tc>
          <w:tcPr>
            <w:tcW w:w="0" w:type="dxa"/>
            <w:vAlign w:val="bottom"/>
          </w:tcPr>
          <w:p>
            <w:pPr>
              <w:spacing w:after="0"/>
              <w:rPr>
                <w:sz w:val="1"/>
                <w:szCs w:val="1"/>
                <w:color w:val="auto"/>
              </w:rPr>
            </w:pPr>
          </w:p>
        </w:tc>
      </w:tr>
      <w:tr>
        <w:trPr>
          <w:trHeight w:val="230"/>
        </w:trPr>
        <w:tc>
          <w:tcPr>
            <w:tcW w:w="76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44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19,744</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7,467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313,157</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312,984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295,687</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276,364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18,049</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14,756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70,251</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716,888</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666,233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165,078</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160,718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Goodwill and other assets, net</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98,493</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101,629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980,459</w:t>
            </w:r>
          </w:p>
        </w:tc>
        <w:tc>
          <w:tcPr>
            <w:tcW w:w="4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928,580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Short-term debt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51,900</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62,162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95,213</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90,459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256,605</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235,683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403,753</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388,349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175,000</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175,035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Long-term deferred income taxes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Deferred revenue and other long-term liabilities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9,423</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391,411</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353,193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980,459</w:t>
            </w:r>
          </w:p>
        </w:tc>
        <w:tc>
          <w:tcPr>
            <w:tcW w:w="4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928,580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TORO COMPANY AND SUBSIDIARIES</w:t>
      </w:r>
    </w:p>
    <w:p>
      <w:pPr>
        <w:spacing w:after="0" w:line="18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(Dollars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5"/>
        </w:trPr>
        <w:tc>
          <w:tcPr>
            <w:tcW w:w="7480" w:type="dxa"/>
            <w:vAlign w:val="bottom"/>
          </w:tcPr>
          <w:p>
            <w:pPr>
              <w:spacing w:after="0"/>
              <w:rPr>
                <w:sz w:val="16"/>
                <w:szCs w:val="16"/>
                <w:color w:val="auto"/>
              </w:rPr>
            </w:pPr>
          </w:p>
        </w:tc>
        <w:tc>
          <w:tcPr>
            <w:tcW w:w="1540" w:type="dxa"/>
            <w:vAlign w:val="bottom"/>
            <w:gridSpan w:val="3"/>
          </w:tcPr>
          <w:p>
            <w:pPr>
              <w:jc w:val="right"/>
              <w:ind w:right="280"/>
              <w:spacing w:after="0" w:line="195" w:lineRule="exact"/>
              <w:rPr>
                <w:sz w:val="20"/>
                <w:szCs w:val="20"/>
                <w:color w:val="auto"/>
              </w:rPr>
            </w:pPr>
            <w:r>
              <w:rPr>
                <w:rFonts w:ascii="Arial" w:cs="Arial" w:eastAsia="Arial" w:hAnsi="Arial"/>
                <w:sz w:val="18"/>
                <w:szCs w:val="18"/>
                <w:color w:val="auto"/>
              </w:rPr>
              <w:t>February 3,</w:t>
            </w:r>
          </w:p>
        </w:tc>
        <w:tc>
          <w:tcPr>
            <w:tcW w:w="300" w:type="dxa"/>
            <w:vAlign w:val="bottom"/>
          </w:tcPr>
          <w:p>
            <w:pPr>
              <w:spacing w:after="0"/>
              <w:rPr>
                <w:sz w:val="16"/>
                <w:szCs w:val="16"/>
                <w:color w:val="auto"/>
              </w:rPr>
            </w:pPr>
          </w:p>
        </w:tc>
        <w:tc>
          <w:tcPr>
            <w:tcW w:w="1520" w:type="dxa"/>
            <w:vAlign w:val="bottom"/>
            <w:gridSpan w:val="3"/>
          </w:tcPr>
          <w:p>
            <w:pPr>
              <w:jc w:val="right"/>
              <w:ind w:right="280"/>
              <w:spacing w:after="0" w:line="195" w:lineRule="exact"/>
              <w:rPr>
                <w:sz w:val="20"/>
                <w:szCs w:val="20"/>
                <w:color w:val="auto"/>
              </w:rPr>
            </w:pPr>
            <w:r>
              <w:rPr>
                <w:rFonts w:ascii="Arial" w:cs="Arial" w:eastAsia="Arial" w:hAnsi="Arial"/>
                <w:sz w:val="18"/>
                <w:szCs w:val="18"/>
                <w:color w:val="auto"/>
              </w:rPr>
              <w:t>January 28,</w:t>
            </w:r>
          </w:p>
        </w:tc>
        <w:tc>
          <w:tcPr>
            <w:tcW w:w="0" w:type="dxa"/>
            <w:vAlign w:val="bottom"/>
          </w:tcPr>
          <w:p>
            <w:pPr>
              <w:spacing w:after="0"/>
              <w:rPr>
                <w:sz w:val="1"/>
                <w:szCs w:val="1"/>
                <w:color w:val="auto"/>
              </w:rPr>
            </w:pPr>
          </w:p>
        </w:tc>
      </w:tr>
      <w:tr>
        <w:trPr>
          <w:trHeight w:val="230"/>
        </w:trPr>
        <w:tc>
          <w:tcPr>
            <w:tcW w:w="74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5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2005</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480" w:type="dxa"/>
            <w:vAlign w:val="bottom"/>
            <w:vMerge w:val="continue"/>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earnings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$ 14,279</w:t>
            </w:r>
          </w:p>
        </w:tc>
        <w:tc>
          <w:tcPr>
            <w:tcW w:w="5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$ 11,176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Equity losses from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5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Provision for depreciation and amortization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10,534</w:t>
            </w:r>
          </w:p>
        </w:tc>
        <w:tc>
          <w:tcPr>
            <w:tcW w:w="5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9,429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Gain on disposal of property, plant, and equipment</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(29)</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2,510</w:t>
            </w:r>
          </w:p>
        </w:tc>
        <w:tc>
          <w:tcPr>
            <w:tcW w:w="5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2,498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Arial" w:cs="Arial" w:eastAsia="Arial" w:hAnsi="Arial"/>
                <w:sz w:val="18"/>
                <w:szCs w:val="18"/>
                <w:color w:val="auto"/>
              </w:rPr>
              <w:t>Increase in deferred income taxes</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(11,679)</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(17,599)</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(28,371)</w:t>
            </w: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(60,085)</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(53,832)</w:t>
            </w:r>
          </w:p>
        </w:tc>
        <w:tc>
          <w:tcPr>
            <w:tcW w:w="0" w:type="dxa"/>
            <w:vAlign w:val="bottom"/>
          </w:tcPr>
          <w:p>
            <w:pPr>
              <w:spacing w:after="0"/>
              <w:rPr>
                <w:sz w:val="1"/>
                <w:szCs w:val="1"/>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Prepaid expenses and other assets</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(2,270)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2,877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10,652</w:t>
            </w:r>
          </w:p>
        </w:tc>
        <w:tc>
          <w:tcPr>
            <w:tcW w:w="5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3,123</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(53,328</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720" w:type="dxa"/>
            <w:vAlign w:val="bottom"/>
            <w:gridSpan w:val="2"/>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(54,778</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(8,026)</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Proceeds from asset disposals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5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2,191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Decrease (increase) in other assets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3,118</w:t>
            </w:r>
          </w:p>
        </w:tc>
        <w:tc>
          <w:tcPr>
            <w:tcW w:w="540" w:type="dxa"/>
            <w:vAlign w:val="bottom"/>
          </w:tcPr>
          <w:p>
            <w:pPr>
              <w:spacing w:after="0"/>
              <w:rPr>
                <w:sz w:val="18"/>
                <w:szCs w:val="18"/>
                <w:color w:val="auto"/>
              </w:rPr>
            </w:pP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Proceeds from sale of a business</w:t>
            </w:r>
          </w:p>
        </w:tc>
        <w:tc>
          <w:tcPr>
            <w:tcW w:w="4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765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(4,782)</w:t>
            </w:r>
          </w:p>
        </w:tc>
        <w:tc>
          <w:tcPr>
            <w:tcW w:w="1820" w:type="dxa"/>
            <w:vAlign w:val="bottom"/>
            <w:gridSpan w:val="4"/>
          </w:tcPr>
          <w:p>
            <w:pPr>
              <w:jc w:val="right"/>
              <w:ind w:right="400"/>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40"/>
          </w:cols>
          <w:pgMar w:left="540" w:top="125" w:right="5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Increase in short-term debt</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51,575</w:t>
            </w:r>
          </w:p>
        </w:tc>
        <w:tc>
          <w:tcPr>
            <w:tcW w:w="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61,023</w:t>
            </w:r>
          </w:p>
        </w:tc>
        <w:tc>
          <w:tcPr>
            <w:tcW w:w="6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3060" w:type="dxa"/>
            <w:vAlign w:val="bottom"/>
            <w:gridSpan w:val="3"/>
          </w:tcPr>
          <w:p>
            <w:pPr>
              <w:jc w:val="right"/>
              <w:ind w:right="560"/>
              <w:spacing w:after="0"/>
              <w:rPr>
                <w:sz w:val="20"/>
                <w:szCs w:val="20"/>
                <w:color w:val="auto"/>
              </w:rPr>
            </w:pPr>
            <w:r>
              <w:rPr>
                <w:rFonts w:ascii="Arial" w:cs="Arial" w:eastAsia="Arial" w:hAnsi="Arial"/>
                <w:sz w:val="18"/>
                <w:szCs w:val="18"/>
                <w:color w:val="auto"/>
              </w:rPr>
              <w:t>(11)</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Excess tax benefits from share-based arrangements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12,275</w:t>
            </w:r>
          </w:p>
        </w:tc>
        <w:tc>
          <w:tcPr>
            <w:tcW w:w="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6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4,101</w:t>
            </w:r>
          </w:p>
        </w:tc>
        <w:tc>
          <w:tcPr>
            <w:tcW w:w="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Purchases of Toro common stock</w:t>
            </w:r>
          </w:p>
        </w:tc>
        <w:tc>
          <w:tcPr>
            <w:tcW w:w="3060" w:type="dxa"/>
            <w:vAlign w:val="bottom"/>
            <w:gridSpan w:val="3"/>
          </w:tcPr>
          <w:p>
            <w:pPr>
              <w:jc w:val="right"/>
              <w:ind w:right="560"/>
              <w:spacing w:after="0"/>
              <w:rPr>
                <w:sz w:val="20"/>
                <w:szCs w:val="20"/>
                <w:color w:val="auto"/>
              </w:rPr>
            </w:pPr>
            <w:r>
              <w:rPr>
                <w:rFonts w:ascii="Arial" w:cs="Arial" w:eastAsia="Arial" w:hAnsi="Arial"/>
                <w:sz w:val="18"/>
                <w:szCs w:val="18"/>
                <w:color w:val="auto"/>
              </w:rPr>
              <w:t>(27,587)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(83,763)</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Dividends paid on Toro common stock</w:t>
            </w:r>
          </w:p>
        </w:tc>
        <w:tc>
          <w:tcPr>
            <w:tcW w:w="3060" w:type="dxa"/>
            <w:vAlign w:val="bottom"/>
            <w:gridSpan w:val="3"/>
          </w:tcPr>
          <w:p>
            <w:pPr>
              <w:jc w:val="right"/>
              <w:ind w:right="560"/>
              <w:spacing w:after="0"/>
              <w:rPr>
                <w:sz w:val="20"/>
                <w:szCs w:val="20"/>
                <w:color w:val="auto"/>
              </w:rPr>
            </w:pPr>
            <w:r>
              <w:rPr>
                <w:rFonts w:ascii="Arial" w:cs="Arial" w:eastAsia="Arial" w:hAnsi="Arial"/>
                <w:sz w:val="18"/>
                <w:szCs w:val="18"/>
                <w:color w:val="auto"/>
              </w:rPr>
              <w:t>(3,923)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(2,793)</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36,430</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(20,885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8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(21,658)</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(83,289)</w:t>
            </w:r>
          </w:p>
        </w:tc>
        <w:tc>
          <w:tcPr>
            <w:tcW w:w="60" w:type="dxa"/>
            <w:vAlign w:val="bottom"/>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41,402</w:t>
            </w:r>
          </w:p>
        </w:tc>
        <w:tc>
          <w:tcPr>
            <w:tcW w:w="6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90,756</w:t>
            </w:r>
          </w:p>
        </w:tc>
        <w:tc>
          <w:tcPr>
            <w:tcW w:w="60" w:type="dxa"/>
            <w:vAlign w:val="bottom"/>
          </w:tcPr>
          <w:p>
            <w:pPr>
              <w:spacing w:after="0"/>
              <w:rPr>
                <w:sz w:val="20"/>
                <w:szCs w:val="20"/>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19,744</w:t>
            </w: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6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360"/>
      </w:cols>
      <w:pgMar w:left="540" w:top="12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2019-12-13T13:42:06Z</dcterms:created>
  <dcterms:modified xsi:type="dcterms:W3CDTF">2019-12-13T13:42:06Z</dcterms:modified>
</cp:coreProperties>
</file>