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3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142" w:lineRule="exact"/>
        <w:rPr>
          <w:sz w:val="24"/>
          <w:szCs w:val="24"/>
          <w:color w:val="auto"/>
        </w:rPr>
      </w:pPr>
    </w:p>
    <w:p>
      <w:pPr>
        <w:ind w:left="3220"/>
        <w:spacing w:after="0"/>
        <w:rPr>
          <w:sz w:val="20"/>
          <w:szCs w:val="20"/>
          <w:color w:val="auto"/>
        </w:rPr>
      </w:pPr>
      <w:r>
        <w:rPr>
          <w:rFonts w:ascii="Arial" w:cs="Arial" w:eastAsia="Arial" w:hAnsi="Arial"/>
          <w:sz w:val="32"/>
          <w:szCs w:val="32"/>
          <w:b w:val="1"/>
          <w:bCs w:val="1"/>
          <w:color w:val="auto"/>
        </w:rPr>
        <w:t>SCHEDULE 14A INFORMATION</w:t>
      </w:r>
    </w:p>
    <w:p>
      <w:pPr>
        <w:spacing w:after="0" w:line="160" w:lineRule="exact"/>
        <w:rPr>
          <w:sz w:val="24"/>
          <w:szCs w:val="24"/>
          <w:color w:val="auto"/>
        </w:rPr>
      </w:pPr>
    </w:p>
    <w:p>
      <w:pPr>
        <w:ind w:left="3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6"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Securities Exchange Act of 1934</w:t>
      </w:r>
    </w:p>
    <w:p>
      <w:pPr>
        <w:ind w:left="4700"/>
        <w:spacing w:after="0"/>
        <w:rPr>
          <w:sz w:val="20"/>
          <w:szCs w:val="20"/>
          <w:color w:val="auto"/>
        </w:rPr>
      </w:pPr>
      <w:r>
        <w:rPr>
          <w:rFonts w:ascii="Arial" w:cs="Arial" w:eastAsia="Arial" w:hAnsi="Arial"/>
          <w:sz w:val="22"/>
          <w:szCs w:val="22"/>
          <w:b w:val="1"/>
          <w:bCs w:val="1"/>
          <w:color w:val="auto"/>
        </w:rPr>
        <w:t>(Amendment No. )</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71"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58" w:lineRule="exact"/>
        <w:rPr>
          <w:sz w:val="24"/>
          <w:szCs w:val="24"/>
          <w:color w:val="auto"/>
        </w:rPr>
      </w:pPr>
    </w:p>
    <w:p>
      <w:pPr>
        <w:ind w:left="460" w:hanging="434"/>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54" w:lineRule="exact"/>
        <w:rPr>
          <w:sz w:val="24"/>
          <w:szCs w:val="24"/>
          <w:color w:val="auto"/>
        </w:rPr>
      </w:pPr>
    </w:p>
    <w:p>
      <w:pPr>
        <w:ind w:left="3680"/>
        <w:spacing w:after="0"/>
        <w:rPr>
          <w:sz w:val="20"/>
          <w:szCs w:val="20"/>
          <w:color w:val="auto"/>
        </w:rPr>
      </w:pPr>
      <w:r>
        <w:rPr>
          <w:rFonts w:ascii="Arial" w:cs="Arial" w:eastAsia="Arial" w:hAnsi="Arial"/>
          <w:sz w:val="43"/>
          <w:szCs w:val="43"/>
          <w:b w:val="1"/>
          <w:bCs w:val="1"/>
          <w:color w:val="auto"/>
        </w:rPr>
        <w:t>The Toro Company</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5"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32" w:lineRule="exact"/>
        <w:rPr>
          <w:sz w:val="24"/>
          <w:szCs w:val="24"/>
          <w:color w:val="auto"/>
        </w:rPr>
      </w:pPr>
    </w:p>
    <w:p>
      <w:pPr>
        <w:ind w:left="600" w:hanging="574"/>
        <w:spacing w:after="0"/>
        <w:tabs>
          <w:tab w:leader="none" w:pos="6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6" w:lineRule="exact"/>
        <w:rPr>
          <w:sz w:val="24"/>
          <w:szCs w:val="24"/>
          <w:color w:val="auto"/>
        </w:rPr>
      </w:pPr>
    </w:p>
    <w:p>
      <w:pPr>
        <w:ind w:left="600" w:hanging="574"/>
        <w:spacing w:after="0"/>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49" w:lineRule="exact"/>
        <w:rPr>
          <w:rFonts w:ascii="MS PGothic" w:cs="MS PGothic" w:eastAsia="MS PGothic" w:hAnsi="MS PGothic"/>
          <w:sz w:val="18"/>
          <w:szCs w:val="18"/>
          <w:color w:val="auto"/>
        </w:rPr>
      </w:pPr>
    </w:p>
    <w:p>
      <w:pPr>
        <w:ind w:left="600" w:hanging="574"/>
        <w:spacing w:after="0"/>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1047115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Arial" w:cs="Arial" w:eastAsia="Arial" w:hAnsi="Arial"/>
          <w:sz w:val="71"/>
          <w:szCs w:val="71"/>
          <w:b w:val="1"/>
          <w:bCs w:val="1"/>
          <w:color w:val="C00000"/>
        </w:rPr>
        <w:t>The Toro Company</w:t>
      </w:r>
    </w:p>
    <w:p>
      <w:pPr>
        <w:spacing w:after="0" w:line="66" w:lineRule="exact"/>
        <w:rPr>
          <w:sz w:val="20"/>
          <w:szCs w:val="20"/>
          <w:color w:val="auto"/>
        </w:rPr>
      </w:pPr>
    </w:p>
    <w:p>
      <w:pPr>
        <w:ind w:right="4859"/>
        <w:spacing w:after="0" w:line="257" w:lineRule="auto"/>
        <w:rPr>
          <w:sz w:val="20"/>
          <w:szCs w:val="20"/>
          <w:color w:val="auto"/>
        </w:rPr>
      </w:pPr>
      <w:r>
        <w:rPr>
          <w:rFonts w:ascii="Arial" w:cs="Arial" w:eastAsia="Arial" w:hAnsi="Arial"/>
          <w:sz w:val="46"/>
          <w:szCs w:val="46"/>
          <w:color w:val="auto"/>
        </w:rPr>
        <w:t>NOTICE OF 2024 ANNUAL MEETING AND</w:t>
      </w:r>
    </w:p>
    <w:p>
      <w:pPr>
        <w:spacing w:after="0" w:line="4" w:lineRule="exact"/>
        <w:rPr>
          <w:sz w:val="20"/>
          <w:szCs w:val="20"/>
          <w:color w:val="auto"/>
        </w:rPr>
      </w:pPr>
    </w:p>
    <w:p>
      <w:pPr>
        <w:spacing w:after="0"/>
        <w:rPr>
          <w:sz w:val="20"/>
          <w:szCs w:val="20"/>
          <w:color w:val="auto"/>
        </w:rPr>
      </w:pPr>
      <w:r>
        <w:rPr>
          <w:rFonts w:ascii="Arial" w:cs="Arial" w:eastAsia="Arial" w:hAnsi="Arial"/>
          <w:sz w:val="65"/>
          <w:szCs w:val="65"/>
          <w:color w:val="auto"/>
        </w:rPr>
        <w:t>PROXY STATEMENT</w:t>
      </w:r>
    </w:p>
    <w:p>
      <w:pPr>
        <w:spacing w:after="0" w:line="334" w:lineRule="exact"/>
        <w:rPr>
          <w:sz w:val="20"/>
          <w:szCs w:val="20"/>
          <w:color w:val="auto"/>
        </w:rPr>
      </w:pPr>
    </w:p>
    <w:p>
      <w:pPr>
        <w:spacing w:after="0"/>
        <w:rPr>
          <w:sz w:val="20"/>
          <w:szCs w:val="20"/>
          <w:color w:val="auto"/>
        </w:rPr>
      </w:pPr>
      <w:r>
        <w:rPr>
          <w:rFonts w:ascii="Arial" w:cs="Arial" w:eastAsia="Arial" w:hAnsi="Arial"/>
          <w:sz w:val="43"/>
          <w:szCs w:val="43"/>
          <w:color w:val="auto"/>
        </w:rPr>
        <w:t>FOR MARCH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3085465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1452245</wp:posOffset>
            </wp:positionV>
            <wp:extent cx="5760720" cy="746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0720" cy="746125"/>
                    </a:xfrm>
                    <a:prstGeom prst="rect">
                      <a:avLst/>
                    </a:prstGeom>
                    <a:noFill/>
                  </pic:spPr>
                </pic:pic>
              </a:graphicData>
            </a:graphic>
          </wp:anchor>
        </w:drawing>
      </w:r>
    </w:p>
    <w:p>
      <w:pPr>
        <w:sectPr>
          <w:pgSz w:w="11900" w:h="16838" w:orient="portrait"/>
          <w:cols w:equalWidth="0" w:num="1">
            <w:col w:w="10139"/>
          </w:cols>
          <w:pgMar w:left="320" w:top="1074"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4114800" cy="1071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411480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C00000"/>
        </w:rPr>
        <w:t>Worldwide Headquarters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8111 Lyndale Avenue South</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Bloomington, MN 55420-1196</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952-888-8801</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February 6, 2024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194"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On behalf of The Toro Company Board of Directors and management team, we are pleased to invite you to join us for The Toro Company 2024 Annual Meeting of Shareholders to be held virtually on Tuesday, March 19, 2024, at 2:00 p.m., Central Daylight Time.</w:t>
      </w:r>
    </w:p>
    <w:p>
      <w:pPr>
        <w:spacing w:after="0" w:line="167" w:lineRule="exact"/>
        <w:rPr>
          <w:sz w:val="20"/>
          <w:szCs w:val="20"/>
          <w:color w:val="auto"/>
        </w:rPr>
      </w:pPr>
    </w:p>
    <w:p>
      <w:pPr>
        <w:jc w:val="both"/>
        <w:ind w:right="40" w:firstLine="324"/>
        <w:spacing w:after="0" w:line="253" w:lineRule="auto"/>
        <w:rPr>
          <w:sz w:val="20"/>
          <w:szCs w:val="20"/>
          <w:color w:val="auto"/>
        </w:rPr>
      </w:pPr>
      <w:r>
        <w:rPr>
          <w:rFonts w:ascii="Arial" w:cs="Arial" w:eastAsia="Arial" w:hAnsi="Arial"/>
          <w:sz w:val="18"/>
          <w:szCs w:val="18"/>
          <w:color w:val="auto"/>
        </w:rPr>
        <w:t>Details about the annual meeting, nominees for election to the Board of Directors and other matters to be acted on at the annual meeting are presented in the notice and proxy statement that follow. Information regarding attending the virtual annual meeting can be found on page 1 of the proxy statement.</w:t>
      </w:r>
    </w:p>
    <w:p>
      <w:pPr>
        <w:spacing w:after="0" w:line="182" w:lineRule="exact"/>
        <w:rPr>
          <w:sz w:val="20"/>
          <w:szCs w:val="20"/>
          <w:color w:val="auto"/>
        </w:rPr>
      </w:pPr>
    </w:p>
    <w:p>
      <w:pPr>
        <w:jc w:val="both"/>
        <w:ind w:right="180" w:firstLine="324"/>
        <w:spacing w:after="0" w:line="253"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you hold. Accordingly, please exercise your right to vote by following the instructions for voting contained in the Notice Regarding the Availability of Proxy Materials or the paper or electronic copy of our proxy materials you received for the meeting.</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Thank you for your continued support of our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234440"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Richard M. Olson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CEO</w:t>
      </w:r>
    </w:p>
    <w:p>
      <w:pPr>
        <w:spacing w:after="0" w:line="194" w:lineRule="exact"/>
        <w:rPr>
          <w:sz w:val="20"/>
          <w:szCs w:val="20"/>
          <w:color w:val="auto"/>
        </w:rPr>
      </w:pPr>
    </w:p>
    <w:p>
      <w:pPr>
        <w:jc w:val="center"/>
        <w:spacing w:after="0" w:line="246" w:lineRule="auto"/>
        <w:rPr>
          <w:sz w:val="20"/>
          <w:szCs w:val="20"/>
          <w:color w:val="auto"/>
        </w:rPr>
      </w:pPr>
      <w:r>
        <w:rPr>
          <w:rFonts w:ascii="Arial" w:cs="Arial" w:eastAsia="Arial" w:hAnsi="Arial"/>
          <w:sz w:val="18"/>
          <w:szCs w:val="18"/>
          <w:b w:val="1"/>
          <w:bCs w:val="1"/>
          <w:color w:val="C00000"/>
        </w:rPr>
        <w:t>You can help us make a difference by eliminating paper proxy mailings. With your consent, we will provide all future proxy materials electronically. Instructions for consenting to electronic delivery can be found on your proxy card or at www.proxyvote.com. Your consent to receive shareholder materials electronically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00000"/>
        </w:rPr>
        <w:t>will remain in effect until canceled.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[THIS PAGE INTENTIONALLY LEFT BLANK]</w:t>
      </w:r>
    </w:p>
    <w:p>
      <w:pPr>
        <w:sectPr>
          <w:pgSz w:w="11900" w:h="16838" w:orient="portrait"/>
          <w:cols w:equalWidth="0" w:num="1">
            <w:col w:w="9019"/>
          </w:cols>
          <w:pgMar w:left="1440" w:top="13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63" w:right="1440"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4114800" cy="1071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411480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NOTICE OF 2024 ANNUAL MEETING OF SHAREHOLDERS</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20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740" w:type="dxa"/>
            <w:vAlign w:val="bottom"/>
            <w:gridSpan w:val="2"/>
          </w:tcPr>
          <w:p>
            <w:pPr>
              <w:ind w:left="400"/>
              <w:spacing w:after="0"/>
              <w:rPr>
                <w:sz w:val="20"/>
                <w:szCs w:val="20"/>
                <w:color w:val="auto"/>
              </w:rPr>
            </w:pPr>
            <w:r>
              <w:rPr>
                <w:rFonts w:ascii="Arial" w:cs="Arial" w:eastAsia="Arial" w:hAnsi="Arial"/>
                <w:sz w:val="18"/>
                <w:szCs w:val="18"/>
                <w:b w:val="1"/>
                <w:bCs w:val="1"/>
                <w:color w:val="C00000"/>
              </w:rPr>
              <w:t>Tuesday, March 19, 2024</w:t>
            </w:r>
          </w:p>
        </w:tc>
      </w:tr>
      <w:tr>
        <w:trPr>
          <w:trHeight w:val="256"/>
        </w:trPr>
        <w:tc>
          <w:tcPr>
            <w:tcW w:w="120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740" w:type="dxa"/>
            <w:vAlign w:val="bottom"/>
            <w:gridSpan w:val="2"/>
          </w:tcPr>
          <w:p>
            <w:pPr>
              <w:ind w:left="400"/>
              <w:spacing w:after="0"/>
              <w:rPr>
                <w:sz w:val="20"/>
                <w:szCs w:val="20"/>
                <w:color w:val="auto"/>
              </w:rPr>
            </w:pPr>
            <w:r>
              <w:rPr>
                <w:rFonts w:ascii="Arial" w:cs="Arial" w:eastAsia="Arial" w:hAnsi="Arial"/>
                <w:sz w:val="18"/>
                <w:szCs w:val="18"/>
                <w:b w:val="1"/>
                <w:bCs w:val="1"/>
                <w:color w:val="C00000"/>
              </w:rPr>
              <w:t>2:00 p.m., Central Daylight Time</w:t>
            </w:r>
          </w:p>
        </w:tc>
      </w:tr>
      <w:tr>
        <w:trPr>
          <w:trHeight w:val="311"/>
        </w:trPr>
        <w:tc>
          <w:tcPr>
            <w:tcW w:w="120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9740" w:type="dxa"/>
            <w:vAlign w:val="bottom"/>
            <w:gridSpan w:val="2"/>
          </w:tcPr>
          <w:p>
            <w:pPr>
              <w:ind w:left="400"/>
              <w:spacing w:after="0"/>
              <w:rPr>
                <w:sz w:val="20"/>
                <w:szCs w:val="20"/>
                <w:color w:val="auto"/>
              </w:rPr>
            </w:pPr>
            <w:r>
              <w:rPr>
                <w:rFonts w:ascii="Arial" w:cs="Arial" w:eastAsia="Arial" w:hAnsi="Arial"/>
                <w:sz w:val="18"/>
                <w:szCs w:val="18"/>
                <w:b w:val="1"/>
                <w:bCs w:val="1"/>
                <w:color w:val="C00000"/>
              </w:rPr>
              <w:t>Virtual</w:t>
            </w:r>
          </w:p>
        </w:tc>
      </w:tr>
      <w:tr>
        <w:trPr>
          <w:trHeight w:val="249"/>
        </w:trPr>
        <w:tc>
          <w:tcPr>
            <w:tcW w:w="1200" w:type="dxa"/>
            <w:vAlign w:val="bottom"/>
          </w:tcPr>
          <w:p>
            <w:pPr>
              <w:spacing w:after="0"/>
              <w:rPr>
                <w:sz w:val="21"/>
                <w:szCs w:val="21"/>
                <w:color w:val="auto"/>
              </w:rPr>
            </w:pPr>
          </w:p>
        </w:tc>
        <w:tc>
          <w:tcPr>
            <w:tcW w:w="9740" w:type="dxa"/>
            <w:vAlign w:val="bottom"/>
            <w:gridSpan w:val="2"/>
          </w:tcPr>
          <w:p>
            <w:pPr>
              <w:ind w:left="400"/>
              <w:spacing w:after="0"/>
              <w:rPr>
                <w:sz w:val="20"/>
                <w:szCs w:val="20"/>
                <w:color w:val="auto"/>
              </w:rPr>
            </w:pPr>
            <w:r>
              <w:rPr>
                <w:rFonts w:ascii="Arial" w:cs="Arial" w:eastAsia="Arial" w:hAnsi="Arial"/>
                <w:sz w:val="18"/>
                <w:szCs w:val="18"/>
                <w:color w:val="C00000"/>
              </w:rPr>
              <w:t>www.virtualshareholdermeeting.com/TTC2024</w:t>
            </w:r>
          </w:p>
        </w:tc>
      </w:tr>
      <w:tr>
        <w:trPr>
          <w:trHeight w:val="814"/>
        </w:trPr>
        <w:tc>
          <w:tcPr>
            <w:tcW w:w="1200" w:type="dxa"/>
            <w:vAlign w:val="bottom"/>
          </w:tcPr>
          <w:p>
            <w:pPr>
              <w:spacing w:after="0"/>
              <w:rPr>
                <w:sz w:val="20"/>
                <w:szCs w:val="20"/>
                <w:color w:val="auto"/>
              </w:rPr>
            </w:pPr>
            <w:r>
              <w:rPr>
                <w:rFonts w:ascii="Arial" w:cs="Arial" w:eastAsia="Arial" w:hAnsi="Arial"/>
                <w:sz w:val="18"/>
                <w:szCs w:val="18"/>
                <w:b w:val="1"/>
                <w:bCs w:val="1"/>
                <w:color w:val="auto"/>
              </w:rPr>
              <w:t>Agenda:</w:t>
            </w:r>
          </w:p>
        </w:tc>
        <w:tc>
          <w:tcPr>
            <w:tcW w:w="580" w:type="dxa"/>
            <w:vAlign w:val="bottom"/>
          </w:tcPr>
          <w:p>
            <w:pPr>
              <w:ind w:left="400"/>
              <w:spacing w:after="0"/>
              <w:rPr>
                <w:sz w:val="20"/>
                <w:szCs w:val="20"/>
                <w:color w:val="auto"/>
              </w:rPr>
            </w:pPr>
            <w:r>
              <w:rPr>
                <w:rFonts w:ascii="Arial" w:cs="Arial" w:eastAsia="Arial" w:hAnsi="Arial"/>
                <w:sz w:val="18"/>
                <w:szCs w:val="18"/>
                <w:color w:val="C00000"/>
              </w:rPr>
              <w:t>1.</w:t>
            </w:r>
          </w:p>
        </w:tc>
        <w:tc>
          <w:tcPr>
            <w:tcW w:w="9160" w:type="dxa"/>
            <w:vAlign w:val="bottom"/>
          </w:tcPr>
          <w:p>
            <w:pPr>
              <w:ind w:left="20"/>
              <w:spacing w:after="0"/>
              <w:rPr>
                <w:sz w:val="20"/>
                <w:szCs w:val="20"/>
                <w:color w:val="auto"/>
              </w:rPr>
            </w:pPr>
            <w:r>
              <w:rPr>
                <w:rFonts w:ascii="Arial" w:cs="Arial" w:eastAsia="Arial" w:hAnsi="Arial"/>
                <w:sz w:val="18"/>
                <w:szCs w:val="18"/>
                <w:color w:val="auto"/>
              </w:rPr>
              <w:t>To elect as directors the two nominees named in the proxy statement, each to serve for a term of three years</w:t>
            </w:r>
          </w:p>
        </w:tc>
      </w:tr>
      <w:tr>
        <w:trPr>
          <w:trHeight w:val="239"/>
        </w:trPr>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ending at the 2027 Annual Meeting of Shareholders;</w:t>
            </w:r>
          </w:p>
        </w:tc>
      </w:tr>
      <w:tr>
        <w:trPr>
          <w:trHeight w:val="301"/>
        </w:trPr>
        <w:tc>
          <w:tcPr>
            <w:tcW w:w="1200" w:type="dxa"/>
            <w:vAlign w:val="bottom"/>
          </w:tcPr>
          <w:p>
            <w:pPr>
              <w:spacing w:after="0"/>
              <w:rPr>
                <w:sz w:val="24"/>
                <w:szCs w:val="24"/>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C00000"/>
              </w:rPr>
              <w:t>2.</w:t>
            </w:r>
          </w:p>
        </w:tc>
        <w:tc>
          <w:tcPr>
            <w:tcW w:w="9160" w:type="dxa"/>
            <w:vAlign w:val="bottom"/>
          </w:tcPr>
          <w:p>
            <w:pPr>
              <w:ind w:left="20"/>
              <w:spacing w:after="0"/>
              <w:rPr>
                <w:sz w:val="20"/>
                <w:szCs w:val="20"/>
                <w:color w:val="auto"/>
              </w:rPr>
            </w:pPr>
            <w:r>
              <w:rPr>
                <w:rFonts w:ascii="Arial" w:cs="Arial" w:eastAsia="Arial" w:hAnsi="Arial"/>
                <w:sz w:val="18"/>
                <w:szCs w:val="18"/>
                <w:color w:val="auto"/>
              </w:rPr>
              <w:t>To ratify the selection of KPMG LLP as our independent registered public accounting firm for our fiscal year ending</w:t>
            </w:r>
          </w:p>
        </w:tc>
      </w:tr>
      <w:tr>
        <w:trPr>
          <w:trHeight w:val="239"/>
        </w:trPr>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October 31, 2024;</w:t>
            </w:r>
          </w:p>
        </w:tc>
      </w:tr>
      <w:tr>
        <w:trPr>
          <w:trHeight w:val="337"/>
        </w:trPr>
        <w:tc>
          <w:tcPr>
            <w:tcW w:w="1200" w:type="dxa"/>
            <w:vAlign w:val="bottom"/>
          </w:tcPr>
          <w:p>
            <w:pPr>
              <w:spacing w:after="0"/>
              <w:rPr>
                <w:sz w:val="24"/>
                <w:szCs w:val="24"/>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C00000"/>
              </w:rPr>
              <w:t>3.</w:t>
            </w:r>
          </w:p>
        </w:tc>
        <w:tc>
          <w:tcPr>
            <w:tcW w:w="9160" w:type="dxa"/>
            <w:vAlign w:val="bottom"/>
          </w:tcPr>
          <w:p>
            <w:pPr>
              <w:ind w:left="20"/>
              <w:spacing w:after="0"/>
              <w:rPr>
                <w:sz w:val="20"/>
                <w:szCs w:val="20"/>
                <w:color w:val="auto"/>
              </w:rPr>
            </w:pPr>
            <w:r>
              <w:rPr>
                <w:rFonts w:ascii="Arial" w:cs="Arial" w:eastAsia="Arial" w:hAnsi="Arial"/>
                <w:sz w:val="18"/>
                <w:szCs w:val="18"/>
                <w:color w:val="auto"/>
              </w:rPr>
              <w:t>To approve, on an advisory basis, our executive compensation; and</w:t>
            </w:r>
          </w:p>
        </w:tc>
      </w:tr>
      <w:tr>
        <w:trPr>
          <w:trHeight w:val="301"/>
        </w:trPr>
        <w:tc>
          <w:tcPr>
            <w:tcW w:w="1200" w:type="dxa"/>
            <w:vAlign w:val="bottom"/>
          </w:tcPr>
          <w:p>
            <w:pPr>
              <w:spacing w:after="0"/>
              <w:rPr>
                <w:sz w:val="24"/>
                <w:szCs w:val="24"/>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C00000"/>
              </w:rPr>
              <w:t>4.</w:t>
            </w:r>
          </w:p>
        </w:tc>
        <w:tc>
          <w:tcPr>
            <w:tcW w:w="9160" w:type="dxa"/>
            <w:vAlign w:val="bottom"/>
          </w:tcPr>
          <w:p>
            <w:pPr>
              <w:ind w:left="20"/>
              <w:spacing w:after="0"/>
              <w:rPr>
                <w:sz w:val="20"/>
                <w:szCs w:val="20"/>
                <w:color w:val="auto"/>
              </w:rPr>
            </w:pPr>
            <w:r>
              <w:rPr>
                <w:rFonts w:ascii="Arial" w:cs="Arial" w:eastAsia="Arial" w:hAnsi="Arial"/>
                <w:sz w:val="18"/>
                <w:szCs w:val="18"/>
                <w:color w:val="auto"/>
                <w:w w:val="99"/>
              </w:rPr>
              <w:t>To transact any other business properly brought before the annual meeting or any adjournment or postponement of</w:t>
            </w:r>
          </w:p>
        </w:tc>
      </w:tr>
      <w:tr>
        <w:trPr>
          <w:trHeight w:val="239"/>
        </w:trPr>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the annual meeting.</w:t>
            </w:r>
          </w:p>
        </w:tc>
      </w:tr>
    </w:tbl>
    <w:p>
      <w:pPr>
        <w:spacing w:after="0" w:line="207"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We currently are not aware of any other business to be brought before the annual meeting. Shareholders of record at the close of business on January 22, 2024, the record date, will be entitled to vote at the annual meeting or at any adjournment or postponement of the annual meeting. A shareholder list will be made available at our principal executive offices during ordinary business hours beginning March 8, 2024, for examination by any shareholder registered on our stock ledger as of the record date for any purpose germane to the annual meeting and will be open for examination by any shareholder electronically during the annual meeting at www.virtualshareholdermeeting.com/TTC2024 when you enter your 16-Digit Control Number.</w:t>
      </w:r>
    </w:p>
    <w:p>
      <w:pPr>
        <w:spacing w:after="0" w:line="67" w:lineRule="exact"/>
        <w:rPr>
          <w:sz w:val="20"/>
          <w:szCs w:val="20"/>
          <w:color w:val="auto"/>
        </w:rPr>
      </w:pPr>
    </w:p>
    <w:p>
      <w:pPr>
        <w:ind w:right="100" w:firstLine="324"/>
        <w:spacing w:after="0" w:line="247" w:lineRule="auto"/>
        <w:rPr>
          <w:sz w:val="20"/>
          <w:szCs w:val="20"/>
          <w:color w:val="auto"/>
        </w:rPr>
      </w:pPr>
      <w:r>
        <w:rPr>
          <w:rFonts w:ascii="Arial" w:cs="Arial" w:eastAsia="Arial" w:hAnsi="Arial"/>
          <w:sz w:val="18"/>
          <w:szCs w:val="18"/>
          <w:color w:val="auto"/>
        </w:rPr>
        <w:t>Your vote is important. A majority of the outstanding shares of our common stock must be present either by attending the virtual meeting or by proxy to constitute a quorum for the conduct of business. Please promptly vote your shares by following the instructions for voting contained in the Notice Regarding the Availability of Proxy Materials or, if you received a paper or electronic version of our proxy materials, by completing, signing, dating and returning your proxy card or by Internet, telephone or mobile device voting as described on your proxy card.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February 6, 2024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1474470" cy="47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Joanna M. Totsky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Corporate Secretary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 w:name="page6"/>
    <w:bookmarkEnd w:id="5"/>
    <w:p>
      <w:pPr>
        <w:jc w:val="center"/>
        <w:ind w:right="-219"/>
        <w:spacing w:after="0"/>
        <w:rPr>
          <w:sz w:val="20"/>
          <w:szCs w:val="20"/>
          <w:color w:val="auto"/>
        </w:rPr>
      </w:pPr>
      <w:r>
        <w:rPr>
          <w:rFonts w:ascii="Arial" w:cs="Arial" w:eastAsia="Arial" w:hAnsi="Arial"/>
          <w:sz w:val="20"/>
          <w:szCs w:val="20"/>
          <w:b w:val="1"/>
          <w:bCs w:val="1"/>
          <w:color w:val="auto"/>
        </w:rPr>
        <w:t>TABLE OF CONTENTS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360" w:type="dxa"/>
            <w:vAlign w:val="bottom"/>
          </w:tcPr>
          <w:p>
            <w:pPr>
              <w:spacing w:after="0"/>
              <w:rPr>
                <w:sz w:val="20"/>
                <w:szCs w:val="20"/>
                <w:color w:val="auto"/>
              </w:rPr>
            </w:pPr>
            <w:r>
              <w:rPr>
                <w:rFonts w:ascii="Arial" w:cs="Arial" w:eastAsia="Arial" w:hAnsi="Arial"/>
                <w:sz w:val="18"/>
                <w:szCs w:val="18"/>
                <w:color w:val="BF2115"/>
              </w:rPr>
              <w:t>LETTER TO SHAREHOLDERS</w:t>
            </w:r>
          </w:p>
        </w:tc>
        <w:tc>
          <w:tcPr>
            <w:tcW w:w="62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56"/>
        </w:trPr>
        <w:tc>
          <w:tcPr>
            <w:tcW w:w="10360" w:type="dxa"/>
            <w:vAlign w:val="bottom"/>
          </w:tcPr>
          <w:p>
            <w:pPr>
              <w:spacing w:after="0"/>
              <w:rPr>
                <w:sz w:val="20"/>
                <w:szCs w:val="20"/>
                <w:color w:val="auto"/>
              </w:rPr>
            </w:pPr>
            <w:r>
              <w:rPr>
                <w:rFonts w:ascii="Arial" w:cs="Arial" w:eastAsia="Arial" w:hAnsi="Arial"/>
                <w:sz w:val="18"/>
                <w:szCs w:val="18"/>
                <w:color w:val="BF2115"/>
              </w:rPr>
              <w:t>NOTICE OF 2024 ANNUAL MEETING OF SHAREHOLDERS</w:t>
            </w:r>
          </w:p>
        </w:tc>
        <w:tc>
          <w:tcPr>
            <w:tcW w:w="620" w:type="dxa"/>
            <w:vAlign w:val="bottom"/>
          </w:tcPr>
          <w:p>
            <w:pPr>
              <w:jc w:val="right"/>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57"/>
        </w:trPr>
        <w:tc>
          <w:tcPr>
            <w:tcW w:w="10360" w:type="dxa"/>
            <w:vAlign w:val="bottom"/>
          </w:tcPr>
          <w:p>
            <w:pPr>
              <w:spacing w:after="0"/>
              <w:rPr>
                <w:sz w:val="20"/>
                <w:szCs w:val="20"/>
                <w:color w:val="auto"/>
              </w:rPr>
            </w:pPr>
            <w:r>
              <w:rPr>
                <w:rFonts w:ascii="Arial" w:cs="Arial" w:eastAsia="Arial" w:hAnsi="Arial"/>
                <w:sz w:val="18"/>
                <w:szCs w:val="18"/>
                <w:color w:val="BF2115"/>
              </w:rPr>
              <w:t>THE TORO COMPANY HIGHLIGHTS AND PROXY STATEMENT EXECUTIVE SUMMARY</w:t>
            </w:r>
          </w:p>
        </w:tc>
        <w:tc>
          <w:tcPr>
            <w:tcW w:w="620" w:type="dxa"/>
            <w:vAlign w:val="bottom"/>
          </w:tcPr>
          <w:p>
            <w:pPr>
              <w:jc w:val="right"/>
              <w:spacing w:after="0"/>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257"/>
        </w:trPr>
        <w:tc>
          <w:tcPr>
            <w:tcW w:w="10360" w:type="dxa"/>
            <w:vAlign w:val="bottom"/>
          </w:tcPr>
          <w:p>
            <w:pPr>
              <w:ind w:left="340"/>
              <w:spacing w:after="0"/>
              <w:rPr>
                <w:sz w:val="20"/>
                <w:szCs w:val="20"/>
                <w:color w:val="auto"/>
              </w:rPr>
            </w:pPr>
            <w:r>
              <w:rPr>
                <w:rFonts w:ascii="Arial" w:cs="Arial" w:eastAsia="Arial" w:hAnsi="Arial"/>
                <w:sz w:val="18"/>
                <w:szCs w:val="18"/>
                <w:color w:val="auto"/>
              </w:rPr>
              <w:t>Business Overview</w:t>
            </w:r>
          </w:p>
        </w:tc>
        <w:tc>
          <w:tcPr>
            <w:tcW w:w="620" w:type="dxa"/>
            <w:vAlign w:val="bottom"/>
          </w:tcPr>
          <w:p>
            <w:pPr>
              <w:jc w:val="right"/>
              <w:spacing w:after="0"/>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257"/>
        </w:trPr>
        <w:tc>
          <w:tcPr>
            <w:tcW w:w="10360" w:type="dxa"/>
            <w:vAlign w:val="bottom"/>
          </w:tcPr>
          <w:p>
            <w:pPr>
              <w:ind w:left="340"/>
              <w:spacing w:after="0"/>
              <w:rPr>
                <w:sz w:val="20"/>
                <w:szCs w:val="20"/>
                <w:color w:val="auto"/>
              </w:rPr>
            </w:pPr>
            <w:r>
              <w:rPr>
                <w:rFonts w:ascii="Arial" w:cs="Arial" w:eastAsia="Arial" w:hAnsi="Arial"/>
                <w:sz w:val="18"/>
                <w:szCs w:val="18"/>
                <w:color w:val="auto"/>
              </w:rPr>
              <w:t>Highlights of Our Financial, Operational and Strategic Achievements for Fiscal 2023</w:t>
            </w:r>
          </w:p>
        </w:tc>
        <w:tc>
          <w:tcPr>
            <w:tcW w:w="620" w:type="dxa"/>
            <w:vAlign w:val="bottom"/>
          </w:tcPr>
          <w:p>
            <w:pPr>
              <w:jc w:val="right"/>
              <w:spacing w:after="0"/>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256"/>
        </w:trPr>
        <w:tc>
          <w:tcPr>
            <w:tcW w:w="10360" w:type="dxa"/>
            <w:vAlign w:val="bottom"/>
          </w:tcPr>
          <w:p>
            <w:pPr>
              <w:ind w:left="340"/>
              <w:spacing w:after="0"/>
              <w:rPr>
                <w:sz w:val="20"/>
                <w:szCs w:val="20"/>
                <w:color w:val="auto"/>
              </w:rPr>
            </w:pPr>
            <w:r>
              <w:rPr>
                <w:rFonts w:ascii="Arial" w:cs="Arial" w:eastAsia="Arial" w:hAnsi="Arial"/>
                <w:sz w:val="18"/>
                <w:szCs w:val="18"/>
                <w:color w:val="auto"/>
              </w:rPr>
              <w:t>The Toro Company's Commitment to Sustainability</w:t>
            </w:r>
          </w:p>
        </w:tc>
        <w:tc>
          <w:tcPr>
            <w:tcW w:w="620" w:type="dxa"/>
            <w:vAlign w:val="bottom"/>
          </w:tcPr>
          <w:p>
            <w:pPr>
              <w:jc w:val="right"/>
              <w:spacing w:after="0"/>
              <w:rPr>
                <w:sz w:val="20"/>
                <w:szCs w:val="20"/>
                <w:color w:val="auto"/>
              </w:rPr>
            </w:pPr>
            <w:r>
              <w:rPr>
                <w:rFonts w:ascii="Arial" w:cs="Arial" w:eastAsia="Arial" w:hAnsi="Arial"/>
                <w:sz w:val="18"/>
                <w:szCs w:val="18"/>
                <w:color w:val="auto"/>
              </w:rPr>
              <w:t>viii</w:t>
            </w:r>
          </w:p>
        </w:tc>
        <w:tc>
          <w:tcPr>
            <w:tcW w:w="0" w:type="dxa"/>
            <w:vAlign w:val="bottom"/>
          </w:tcPr>
          <w:p>
            <w:pPr>
              <w:spacing w:after="0"/>
              <w:rPr>
                <w:sz w:val="1"/>
                <w:szCs w:val="1"/>
                <w:color w:val="auto"/>
              </w:rPr>
            </w:pPr>
          </w:p>
        </w:tc>
      </w:tr>
      <w:tr>
        <w:trPr>
          <w:trHeight w:val="257"/>
        </w:trPr>
        <w:tc>
          <w:tcPr>
            <w:tcW w:w="10360" w:type="dxa"/>
            <w:vAlign w:val="bottom"/>
          </w:tcPr>
          <w:p>
            <w:pPr>
              <w:ind w:left="340"/>
              <w:spacing w:after="0"/>
              <w:rPr>
                <w:sz w:val="20"/>
                <w:szCs w:val="20"/>
                <w:color w:val="auto"/>
              </w:rPr>
            </w:pPr>
            <w:r>
              <w:rPr>
                <w:rFonts w:ascii="Arial" w:cs="Arial" w:eastAsia="Arial" w:hAnsi="Arial"/>
                <w:sz w:val="18"/>
                <w:szCs w:val="18"/>
                <w:color w:val="auto"/>
              </w:rPr>
              <w:t>2024 Annual Meeting of Shareholders</w:t>
            </w:r>
          </w:p>
        </w:tc>
        <w:tc>
          <w:tcPr>
            <w:tcW w:w="620" w:type="dxa"/>
            <w:vAlign w:val="bottom"/>
          </w:tcPr>
          <w:p>
            <w:pPr>
              <w:jc w:val="right"/>
              <w:spacing w:after="0"/>
              <w:rPr>
                <w:sz w:val="20"/>
                <w:szCs w:val="20"/>
                <w:color w:val="auto"/>
              </w:rPr>
            </w:pPr>
            <w:r>
              <w:rPr>
                <w:rFonts w:ascii="Arial" w:cs="Arial" w:eastAsia="Arial" w:hAnsi="Arial"/>
                <w:sz w:val="18"/>
                <w:szCs w:val="18"/>
                <w:color w:val="auto"/>
              </w:rPr>
              <w:t>viii</w:t>
            </w:r>
          </w:p>
        </w:tc>
        <w:tc>
          <w:tcPr>
            <w:tcW w:w="0" w:type="dxa"/>
            <w:vAlign w:val="bottom"/>
          </w:tcPr>
          <w:p>
            <w:pPr>
              <w:spacing w:after="0"/>
              <w:rPr>
                <w:sz w:val="1"/>
                <w:szCs w:val="1"/>
                <w:color w:val="auto"/>
              </w:rPr>
            </w:pPr>
          </w:p>
        </w:tc>
      </w:tr>
      <w:tr>
        <w:trPr>
          <w:trHeight w:val="257"/>
        </w:trPr>
        <w:tc>
          <w:tcPr>
            <w:tcW w:w="10360" w:type="dxa"/>
            <w:vAlign w:val="bottom"/>
          </w:tcPr>
          <w:p>
            <w:pPr>
              <w:ind w:left="340"/>
              <w:spacing w:after="0"/>
              <w:rPr>
                <w:sz w:val="20"/>
                <w:szCs w:val="20"/>
                <w:color w:val="auto"/>
              </w:rPr>
            </w:pPr>
            <w:r>
              <w:rPr>
                <w:rFonts w:ascii="Arial" w:cs="Arial" w:eastAsia="Arial" w:hAnsi="Arial"/>
                <w:sz w:val="18"/>
                <w:szCs w:val="18"/>
                <w:color w:val="auto"/>
              </w:rPr>
              <w:t>Meeting Agenda, Voting Matters and Recommendations</w:t>
            </w:r>
          </w:p>
        </w:tc>
        <w:tc>
          <w:tcPr>
            <w:tcW w:w="620" w:type="dxa"/>
            <w:vAlign w:val="bottom"/>
          </w:tcPr>
          <w:p>
            <w:pPr>
              <w:jc w:val="right"/>
              <w:spacing w:after="0"/>
              <w:rPr>
                <w:sz w:val="20"/>
                <w:szCs w:val="20"/>
                <w:color w:val="auto"/>
              </w:rPr>
            </w:pPr>
            <w:r>
              <w:rPr>
                <w:rFonts w:ascii="Arial" w:cs="Arial" w:eastAsia="Arial" w:hAnsi="Arial"/>
                <w:sz w:val="18"/>
                <w:szCs w:val="18"/>
                <w:color w:val="auto"/>
              </w:rPr>
              <w:t>ix</w:t>
            </w:r>
          </w:p>
        </w:tc>
        <w:tc>
          <w:tcPr>
            <w:tcW w:w="0" w:type="dxa"/>
            <w:vAlign w:val="bottom"/>
          </w:tcPr>
          <w:p>
            <w:pPr>
              <w:spacing w:after="0"/>
              <w:rPr>
                <w:sz w:val="1"/>
                <w:szCs w:val="1"/>
                <w:color w:val="auto"/>
              </w:rPr>
            </w:pPr>
          </w:p>
        </w:tc>
      </w:tr>
      <w:tr>
        <w:trPr>
          <w:trHeight w:val="257"/>
        </w:trPr>
        <w:tc>
          <w:tcPr>
            <w:tcW w:w="10360" w:type="dxa"/>
            <w:vAlign w:val="bottom"/>
          </w:tcPr>
          <w:p>
            <w:pPr>
              <w:ind w:left="340"/>
              <w:spacing w:after="0"/>
              <w:rPr>
                <w:sz w:val="20"/>
                <w:szCs w:val="20"/>
                <w:color w:val="auto"/>
              </w:rPr>
            </w:pPr>
            <w:r>
              <w:rPr>
                <w:rFonts w:ascii="Arial" w:cs="Arial" w:eastAsia="Arial" w:hAnsi="Arial"/>
                <w:sz w:val="18"/>
                <w:szCs w:val="18"/>
                <w:color w:val="auto"/>
              </w:rPr>
              <w:t>How to Cast Your Vote</w:t>
            </w:r>
          </w:p>
        </w:tc>
        <w:tc>
          <w:tcPr>
            <w:tcW w:w="620" w:type="dxa"/>
            <w:vAlign w:val="bottom"/>
          </w:tcPr>
          <w:p>
            <w:pPr>
              <w:jc w:val="right"/>
              <w:spacing w:after="0"/>
              <w:rPr>
                <w:sz w:val="20"/>
                <w:szCs w:val="20"/>
                <w:color w:val="auto"/>
              </w:rPr>
            </w:pPr>
            <w:r>
              <w:rPr>
                <w:rFonts w:ascii="Arial" w:cs="Arial" w:eastAsia="Arial" w:hAnsi="Arial"/>
                <w:sz w:val="18"/>
                <w:szCs w:val="18"/>
                <w:color w:val="auto"/>
              </w:rPr>
              <w:t>ix</w:t>
            </w:r>
          </w:p>
        </w:tc>
        <w:tc>
          <w:tcPr>
            <w:tcW w:w="0" w:type="dxa"/>
            <w:vAlign w:val="bottom"/>
          </w:tcPr>
          <w:p>
            <w:pPr>
              <w:spacing w:after="0"/>
              <w:rPr>
                <w:sz w:val="1"/>
                <w:szCs w:val="1"/>
                <w:color w:val="auto"/>
              </w:rPr>
            </w:pPr>
          </w:p>
        </w:tc>
      </w:tr>
      <w:tr>
        <w:trPr>
          <w:trHeight w:val="243"/>
        </w:trPr>
        <w:tc>
          <w:tcPr>
            <w:tcW w:w="10360" w:type="dxa"/>
            <w:vAlign w:val="bottom"/>
          </w:tcPr>
          <w:p>
            <w:pPr>
              <w:ind w:left="340"/>
              <w:spacing w:after="0"/>
              <w:rPr>
                <w:sz w:val="20"/>
                <w:szCs w:val="20"/>
                <w:color w:val="auto"/>
              </w:rPr>
            </w:pPr>
            <w:r>
              <w:rPr>
                <w:rFonts w:ascii="Arial" w:cs="Arial" w:eastAsia="Arial" w:hAnsi="Arial"/>
                <w:sz w:val="18"/>
                <w:szCs w:val="18"/>
                <w:color w:val="auto"/>
              </w:rPr>
              <w:t>Corporate Governance Highlights</w:t>
            </w:r>
          </w:p>
        </w:tc>
        <w:tc>
          <w:tcPr>
            <w:tcW w:w="620" w:type="dxa"/>
            <w:vAlign w:val="bottom"/>
          </w:tcPr>
          <w:p>
            <w:pPr>
              <w:jc w:val="right"/>
              <w:spacing w:after="0"/>
              <w:rPr>
                <w:sz w:val="20"/>
                <w:szCs w:val="20"/>
                <w:color w:val="auto"/>
              </w:rPr>
            </w:pPr>
            <w:r>
              <w:rPr>
                <w:rFonts w:ascii="Arial" w:cs="Arial" w:eastAsia="Arial" w:hAnsi="Arial"/>
                <w:sz w:val="18"/>
                <w:szCs w:val="18"/>
                <w:color w:val="auto"/>
              </w:rPr>
              <w:t>ix</w:t>
            </w:r>
          </w:p>
        </w:tc>
        <w:tc>
          <w:tcPr>
            <w:tcW w:w="0" w:type="dxa"/>
            <w:vAlign w:val="bottom"/>
          </w:tcPr>
          <w:p>
            <w:pPr>
              <w:spacing w:after="0"/>
              <w:rPr>
                <w:sz w:val="1"/>
                <w:szCs w:val="1"/>
                <w:color w:val="auto"/>
              </w:rPr>
            </w:pPr>
          </w:p>
        </w:tc>
      </w:tr>
      <w:tr>
        <w:trPr>
          <w:trHeight w:val="270"/>
        </w:trPr>
        <w:tc>
          <w:tcPr>
            <w:tcW w:w="10360" w:type="dxa"/>
            <w:vAlign w:val="bottom"/>
          </w:tcPr>
          <w:p>
            <w:pPr>
              <w:ind w:left="340"/>
              <w:spacing w:after="0"/>
              <w:rPr>
                <w:sz w:val="20"/>
                <w:szCs w:val="20"/>
                <w:color w:val="auto"/>
              </w:rPr>
            </w:pPr>
            <w:r>
              <w:rPr>
                <w:rFonts w:ascii="Arial" w:cs="Arial" w:eastAsia="Arial" w:hAnsi="Arial"/>
                <w:sz w:val="18"/>
                <w:szCs w:val="18"/>
                <w:color w:val="auto"/>
              </w:rPr>
              <w:t>Information About our Board of Directors</w:t>
            </w:r>
          </w:p>
        </w:tc>
        <w:tc>
          <w:tcPr>
            <w:tcW w:w="62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7"/>
        </w:trPr>
        <w:tc>
          <w:tcPr>
            <w:tcW w:w="10360" w:type="dxa"/>
            <w:vAlign w:val="bottom"/>
          </w:tcPr>
          <w:p>
            <w:pPr>
              <w:ind w:left="340"/>
              <w:spacing w:after="0"/>
              <w:rPr>
                <w:sz w:val="20"/>
                <w:szCs w:val="20"/>
                <w:color w:val="auto"/>
              </w:rPr>
            </w:pPr>
            <w:r>
              <w:rPr>
                <w:rFonts w:ascii="Arial" w:cs="Arial" w:eastAsia="Arial" w:hAnsi="Arial"/>
                <w:sz w:val="18"/>
                <w:szCs w:val="18"/>
                <w:color w:val="auto"/>
              </w:rPr>
              <w:t>Executive Compensation</w:t>
            </w:r>
          </w:p>
        </w:tc>
        <w:tc>
          <w:tcPr>
            <w:tcW w:w="620" w:type="dxa"/>
            <w:vAlign w:val="bottom"/>
          </w:tcPr>
          <w:p>
            <w:pPr>
              <w:jc w:val="right"/>
              <w:spacing w:after="0"/>
              <w:rPr>
                <w:sz w:val="20"/>
                <w:szCs w:val="20"/>
                <w:color w:val="auto"/>
              </w:rPr>
            </w:pPr>
            <w:r>
              <w:rPr>
                <w:rFonts w:ascii="Arial" w:cs="Arial" w:eastAsia="Arial" w:hAnsi="Arial"/>
                <w:sz w:val="18"/>
                <w:szCs w:val="18"/>
                <w:color w:val="auto"/>
              </w:rPr>
              <w:t>xi</w:t>
            </w:r>
          </w:p>
        </w:tc>
        <w:tc>
          <w:tcPr>
            <w:tcW w:w="0" w:type="dxa"/>
            <w:vAlign w:val="bottom"/>
          </w:tcPr>
          <w:p>
            <w:pPr>
              <w:spacing w:after="0"/>
              <w:rPr>
                <w:sz w:val="1"/>
                <w:szCs w:val="1"/>
                <w:color w:val="auto"/>
              </w:rPr>
            </w:pPr>
          </w:p>
        </w:tc>
      </w:tr>
      <w:tr>
        <w:trPr>
          <w:trHeight w:val="257"/>
        </w:trPr>
        <w:tc>
          <w:tcPr>
            <w:tcW w:w="10360" w:type="dxa"/>
            <w:vAlign w:val="bottom"/>
          </w:tcPr>
          <w:p>
            <w:pPr>
              <w:ind w:left="340"/>
              <w:spacing w:after="0"/>
              <w:rPr>
                <w:sz w:val="20"/>
                <w:szCs w:val="20"/>
                <w:color w:val="auto"/>
              </w:rPr>
            </w:pPr>
            <w:r>
              <w:rPr>
                <w:rFonts w:ascii="Arial" w:cs="Arial" w:eastAsia="Arial" w:hAnsi="Arial"/>
                <w:sz w:val="18"/>
                <w:szCs w:val="18"/>
                <w:color w:val="auto"/>
              </w:rPr>
              <w:t>Fiscal 2023 Executive Compensation Summary</w:t>
            </w:r>
          </w:p>
        </w:tc>
        <w:tc>
          <w:tcPr>
            <w:tcW w:w="620" w:type="dxa"/>
            <w:vAlign w:val="bottom"/>
          </w:tcPr>
          <w:p>
            <w:pPr>
              <w:jc w:val="right"/>
              <w:spacing w:after="0"/>
              <w:rPr>
                <w:sz w:val="20"/>
                <w:szCs w:val="20"/>
                <w:color w:val="auto"/>
              </w:rPr>
            </w:pPr>
            <w:r>
              <w:rPr>
                <w:rFonts w:ascii="Arial" w:cs="Arial" w:eastAsia="Arial" w:hAnsi="Arial"/>
                <w:sz w:val="18"/>
                <w:szCs w:val="18"/>
                <w:color w:val="auto"/>
              </w:rPr>
              <w:t>xi</w:t>
            </w:r>
          </w:p>
        </w:tc>
        <w:tc>
          <w:tcPr>
            <w:tcW w:w="0" w:type="dxa"/>
            <w:vAlign w:val="bottom"/>
          </w:tcPr>
          <w:p>
            <w:pPr>
              <w:spacing w:after="0"/>
              <w:rPr>
                <w:sz w:val="1"/>
                <w:szCs w:val="1"/>
                <w:color w:val="auto"/>
              </w:rPr>
            </w:pPr>
          </w:p>
        </w:tc>
      </w:tr>
      <w:tr>
        <w:trPr>
          <w:trHeight w:val="257"/>
        </w:trPr>
        <w:tc>
          <w:tcPr>
            <w:tcW w:w="10360" w:type="dxa"/>
            <w:vAlign w:val="bottom"/>
          </w:tcPr>
          <w:p>
            <w:pPr>
              <w:spacing w:after="0"/>
              <w:rPr>
                <w:sz w:val="20"/>
                <w:szCs w:val="20"/>
                <w:color w:val="auto"/>
              </w:rPr>
            </w:pPr>
            <w:r>
              <w:rPr>
                <w:rFonts w:ascii="Arial" w:cs="Arial" w:eastAsia="Arial" w:hAnsi="Arial"/>
                <w:sz w:val="18"/>
                <w:szCs w:val="18"/>
                <w:color w:val="BF2115"/>
              </w:rPr>
              <w:t>PROXY STATEMENT</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7"/>
        </w:trPr>
        <w:tc>
          <w:tcPr>
            <w:tcW w:w="10360" w:type="dxa"/>
            <w:vAlign w:val="bottom"/>
          </w:tcPr>
          <w:p>
            <w:pPr>
              <w:spacing w:after="0"/>
              <w:rPr>
                <w:sz w:val="20"/>
                <w:szCs w:val="20"/>
                <w:color w:val="auto"/>
              </w:rPr>
            </w:pPr>
            <w:r>
              <w:rPr>
                <w:rFonts w:ascii="Arial" w:cs="Arial" w:eastAsia="Arial" w:hAnsi="Arial"/>
                <w:sz w:val="18"/>
                <w:szCs w:val="18"/>
                <w:color w:val="BF2115"/>
              </w:rPr>
              <w:t>GENERAL INFORMATION ABOUT THE 2024 ANNUAL MEETING AND VOTING</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1"/>
        </w:trPr>
        <w:tc>
          <w:tcPr>
            <w:tcW w:w="10360" w:type="dxa"/>
            <w:vAlign w:val="bottom"/>
          </w:tcPr>
          <w:p>
            <w:pPr>
              <w:ind w:left="340"/>
              <w:spacing w:after="0" w:line="181" w:lineRule="exact"/>
              <w:rPr>
                <w:sz w:val="20"/>
                <w:szCs w:val="20"/>
                <w:color w:val="auto"/>
              </w:rPr>
            </w:pPr>
            <w:r>
              <w:rPr>
                <w:rFonts w:ascii="Arial" w:cs="Arial" w:eastAsia="Arial" w:hAnsi="Arial"/>
                <w:sz w:val="18"/>
                <w:szCs w:val="18"/>
                <w:color w:val="auto"/>
              </w:rPr>
              <w:t>Important Notice Regarding the Availability of Proxy Materials for the Shareholder Meeting to Be Held on Tuesday, March</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9"/>
        </w:trPr>
        <w:tc>
          <w:tcPr>
            <w:tcW w:w="10360" w:type="dxa"/>
            <w:vAlign w:val="bottom"/>
          </w:tcPr>
          <w:p>
            <w:pPr>
              <w:ind w:left="500"/>
              <w:spacing w:after="0"/>
              <w:rPr>
                <w:sz w:val="20"/>
                <w:szCs w:val="20"/>
                <w:color w:val="auto"/>
              </w:rPr>
            </w:pPr>
            <w:r>
              <w:rPr>
                <w:rFonts w:ascii="Arial" w:cs="Arial" w:eastAsia="Arial" w:hAnsi="Arial"/>
                <w:sz w:val="18"/>
                <w:szCs w:val="18"/>
                <w:color w:val="auto"/>
              </w:rPr>
              <w:t>19, 2024</w:t>
            </w: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0360" w:type="dxa"/>
            <w:vAlign w:val="bottom"/>
          </w:tcPr>
          <w:p>
            <w:pPr>
              <w:ind w:left="340"/>
              <w:spacing w:after="0"/>
              <w:rPr>
                <w:sz w:val="20"/>
                <w:szCs w:val="20"/>
                <w:color w:val="auto"/>
              </w:rPr>
            </w:pPr>
            <w:r>
              <w:rPr>
                <w:rFonts w:ascii="Arial" w:cs="Arial" w:eastAsia="Arial" w:hAnsi="Arial"/>
                <w:sz w:val="18"/>
                <w:szCs w:val="18"/>
                <w:color w:val="auto"/>
              </w:rPr>
              <w:t>When and Where Will the Annual Meeting Be Held?</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10360" w:type="dxa"/>
            <w:vAlign w:val="bottom"/>
          </w:tcPr>
          <w:p>
            <w:pPr>
              <w:ind w:left="340"/>
              <w:spacing w:after="0"/>
              <w:rPr>
                <w:sz w:val="20"/>
                <w:szCs w:val="20"/>
                <w:color w:val="auto"/>
              </w:rPr>
            </w:pPr>
            <w:r>
              <w:rPr>
                <w:rFonts w:ascii="Arial" w:cs="Arial" w:eastAsia="Arial" w:hAnsi="Arial"/>
                <w:sz w:val="18"/>
                <w:szCs w:val="18"/>
                <w:color w:val="auto"/>
              </w:rPr>
              <w:t>How Can I Attend the Virtual Annual Meeting?</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10360" w:type="dxa"/>
            <w:vAlign w:val="bottom"/>
          </w:tcPr>
          <w:p>
            <w:pPr>
              <w:ind w:left="340"/>
              <w:spacing w:after="0"/>
              <w:rPr>
                <w:sz w:val="20"/>
                <w:szCs w:val="20"/>
                <w:color w:val="auto"/>
              </w:rPr>
            </w:pPr>
            <w:r>
              <w:rPr>
                <w:rFonts w:ascii="Arial" w:cs="Arial" w:eastAsia="Arial" w:hAnsi="Arial"/>
                <w:sz w:val="18"/>
                <w:szCs w:val="18"/>
                <w:color w:val="auto"/>
              </w:rPr>
              <w:t>What Are the Purposes of the Annual Meeting?</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6"/>
        </w:trPr>
        <w:tc>
          <w:tcPr>
            <w:tcW w:w="10360" w:type="dxa"/>
            <w:vAlign w:val="bottom"/>
          </w:tcPr>
          <w:p>
            <w:pPr>
              <w:ind w:left="340"/>
              <w:spacing w:after="0"/>
              <w:rPr>
                <w:sz w:val="20"/>
                <w:szCs w:val="20"/>
                <w:color w:val="auto"/>
              </w:rPr>
            </w:pPr>
            <w:r>
              <w:rPr>
                <w:rFonts w:ascii="Arial" w:cs="Arial" w:eastAsia="Arial" w:hAnsi="Arial"/>
                <w:sz w:val="18"/>
                <w:szCs w:val="18"/>
                <w:color w:val="auto"/>
              </w:rPr>
              <w:t>Are There Any Matters To Be Voted On at the Annual Meeting that Are Not Included in this Proxy Statement?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10360" w:type="dxa"/>
            <w:vAlign w:val="bottom"/>
          </w:tcPr>
          <w:p>
            <w:pPr>
              <w:ind w:left="340"/>
              <w:spacing w:after="0"/>
              <w:rPr>
                <w:sz w:val="20"/>
                <w:szCs w:val="20"/>
                <w:color w:val="auto"/>
              </w:rPr>
            </w:pPr>
            <w:r>
              <w:rPr>
                <w:rFonts w:ascii="Arial" w:cs="Arial" w:eastAsia="Arial" w:hAnsi="Arial"/>
                <w:sz w:val="18"/>
                <w:szCs w:val="18"/>
                <w:color w:val="auto"/>
              </w:rPr>
              <w:t>Who Is Entitled to Vote and How Many Shares Must Be Present to Hold the Annual Meeting?</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6"/>
        </w:trPr>
        <w:tc>
          <w:tcPr>
            <w:tcW w:w="10360" w:type="dxa"/>
            <w:vAlign w:val="bottom"/>
          </w:tcPr>
          <w:p>
            <w:pPr>
              <w:ind w:left="340"/>
              <w:spacing w:after="0"/>
              <w:rPr>
                <w:sz w:val="20"/>
                <w:szCs w:val="20"/>
                <w:color w:val="auto"/>
              </w:rPr>
            </w:pPr>
            <w:r>
              <w:rPr>
                <w:rFonts w:ascii="Arial" w:cs="Arial" w:eastAsia="Arial" w:hAnsi="Arial"/>
                <w:sz w:val="18"/>
                <w:szCs w:val="18"/>
                <w:color w:val="auto"/>
              </w:rPr>
              <w:t>How Do I Vote My Shares?</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10360" w:type="dxa"/>
            <w:vAlign w:val="bottom"/>
          </w:tcPr>
          <w:p>
            <w:pPr>
              <w:ind w:left="340"/>
              <w:spacing w:after="0"/>
              <w:rPr>
                <w:sz w:val="20"/>
                <w:szCs w:val="20"/>
                <w:color w:val="auto"/>
              </w:rPr>
            </w:pPr>
            <w:r>
              <w:rPr>
                <w:rFonts w:ascii="Arial" w:cs="Arial" w:eastAsia="Arial" w:hAnsi="Arial"/>
                <w:sz w:val="18"/>
                <w:szCs w:val="18"/>
                <w:color w:val="auto"/>
              </w:rPr>
              <w:t>How Does the Board Recommend that I Vote and What Vote is Required for Each Proposal?</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10360" w:type="dxa"/>
            <w:vAlign w:val="bottom"/>
          </w:tcPr>
          <w:p>
            <w:pPr>
              <w:ind w:left="340"/>
              <w:spacing w:after="0"/>
              <w:rPr>
                <w:sz w:val="20"/>
                <w:szCs w:val="20"/>
                <w:color w:val="auto"/>
              </w:rPr>
            </w:pPr>
            <w:r>
              <w:rPr>
                <w:rFonts w:ascii="Arial" w:cs="Arial" w:eastAsia="Arial" w:hAnsi="Arial"/>
                <w:sz w:val="18"/>
                <w:szCs w:val="18"/>
                <w:color w:val="auto"/>
              </w:rPr>
              <w:t>How Will My Shares Be Voted?</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6"/>
        </w:trPr>
        <w:tc>
          <w:tcPr>
            <w:tcW w:w="10360" w:type="dxa"/>
            <w:vAlign w:val="bottom"/>
          </w:tcPr>
          <w:p>
            <w:pPr>
              <w:ind w:left="340"/>
              <w:spacing w:after="0"/>
              <w:rPr>
                <w:sz w:val="20"/>
                <w:szCs w:val="20"/>
                <w:color w:val="auto"/>
              </w:rPr>
            </w:pPr>
            <w:r>
              <w:rPr>
                <w:rFonts w:ascii="Arial" w:cs="Arial" w:eastAsia="Arial" w:hAnsi="Arial"/>
                <w:sz w:val="18"/>
                <w:szCs w:val="18"/>
                <w:color w:val="auto"/>
              </w:rPr>
              <w:t>What Does It Mean If I Receive More Than One Notice or Set of Proxy Materials?</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10360" w:type="dxa"/>
            <w:vAlign w:val="bottom"/>
          </w:tcPr>
          <w:p>
            <w:pPr>
              <w:ind w:left="340"/>
              <w:spacing w:after="0"/>
              <w:rPr>
                <w:sz w:val="20"/>
                <w:szCs w:val="20"/>
                <w:color w:val="auto"/>
              </w:rPr>
            </w:pPr>
            <w:r>
              <w:rPr>
                <w:rFonts w:ascii="Arial" w:cs="Arial" w:eastAsia="Arial" w:hAnsi="Arial"/>
                <w:sz w:val="18"/>
                <w:szCs w:val="18"/>
                <w:color w:val="auto"/>
              </w:rPr>
              <w:t>How Can I Revoke or Change My Vote?</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6"/>
        </w:trPr>
        <w:tc>
          <w:tcPr>
            <w:tcW w:w="10360" w:type="dxa"/>
            <w:vAlign w:val="bottom"/>
          </w:tcPr>
          <w:p>
            <w:pPr>
              <w:ind w:left="340"/>
              <w:spacing w:after="0"/>
              <w:rPr>
                <w:sz w:val="20"/>
                <w:szCs w:val="20"/>
                <w:color w:val="auto"/>
              </w:rPr>
            </w:pPr>
            <w:r>
              <w:rPr>
                <w:rFonts w:ascii="Arial" w:cs="Arial" w:eastAsia="Arial" w:hAnsi="Arial"/>
                <w:sz w:val="18"/>
                <w:szCs w:val="18"/>
                <w:color w:val="auto"/>
              </w:rPr>
              <w:t>Who Will Count the Votes?</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10360" w:type="dxa"/>
            <w:vAlign w:val="bottom"/>
          </w:tcPr>
          <w:p>
            <w:pPr>
              <w:ind w:left="340"/>
              <w:spacing w:after="0"/>
              <w:rPr>
                <w:sz w:val="20"/>
                <w:szCs w:val="20"/>
                <w:color w:val="auto"/>
              </w:rPr>
            </w:pPr>
            <w:r>
              <w:rPr>
                <w:rFonts w:ascii="Arial" w:cs="Arial" w:eastAsia="Arial" w:hAnsi="Arial"/>
                <w:sz w:val="18"/>
                <w:szCs w:val="18"/>
                <w:color w:val="auto"/>
              </w:rPr>
              <w:t>How Will Business Be Conducted at the Annual Meeting?</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6"/>
        </w:trPr>
        <w:tc>
          <w:tcPr>
            <w:tcW w:w="10360" w:type="dxa"/>
            <w:vAlign w:val="bottom"/>
          </w:tcPr>
          <w:p>
            <w:pPr>
              <w:ind w:left="340"/>
              <w:spacing w:after="0"/>
              <w:rPr>
                <w:sz w:val="20"/>
                <w:szCs w:val="20"/>
                <w:color w:val="auto"/>
              </w:rPr>
            </w:pPr>
            <w:r>
              <w:rPr>
                <w:rFonts w:ascii="Arial" w:cs="Arial" w:eastAsia="Arial" w:hAnsi="Arial"/>
                <w:sz w:val="18"/>
                <w:szCs w:val="18"/>
                <w:color w:val="auto"/>
              </w:rPr>
              <w:t>How Can I Ask Questions In Advance of and During the Annual Meeting?</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0360" w:type="dxa"/>
            <w:vAlign w:val="bottom"/>
          </w:tcPr>
          <w:p>
            <w:pPr>
              <w:spacing w:after="0"/>
              <w:rPr>
                <w:sz w:val="20"/>
                <w:szCs w:val="20"/>
                <w:color w:val="auto"/>
              </w:rPr>
            </w:pPr>
            <w:r>
              <w:rPr>
                <w:rFonts w:ascii="Arial" w:cs="Arial" w:eastAsia="Arial" w:hAnsi="Arial"/>
                <w:sz w:val="18"/>
                <w:szCs w:val="18"/>
                <w:color w:val="BF2115"/>
              </w:rPr>
              <w:t>PROPOSAL ONE—ELECTION OF DIRECTORS</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0"/>
        </w:trPr>
        <w:tc>
          <w:tcPr>
            <w:tcW w:w="10360" w:type="dxa"/>
            <w:vAlign w:val="bottom"/>
          </w:tcPr>
          <w:p>
            <w:pPr>
              <w:ind w:left="300"/>
              <w:spacing w:after="0"/>
              <w:rPr>
                <w:sz w:val="20"/>
                <w:szCs w:val="20"/>
                <w:color w:val="auto"/>
              </w:rPr>
            </w:pPr>
            <w:r>
              <w:rPr>
                <w:rFonts w:ascii="Arial" w:cs="Arial" w:eastAsia="Arial" w:hAnsi="Arial"/>
                <w:sz w:val="18"/>
                <w:szCs w:val="18"/>
                <w:color w:val="auto"/>
              </w:rPr>
              <w:t>Board Size and Structure</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10360" w:type="dxa"/>
            <w:vAlign w:val="bottom"/>
          </w:tcPr>
          <w:p>
            <w:pPr>
              <w:ind w:left="340"/>
              <w:spacing w:after="0"/>
              <w:rPr>
                <w:sz w:val="20"/>
                <w:szCs w:val="20"/>
                <w:color w:val="auto"/>
              </w:rPr>
            </w:pPr>
            <w:r>
              <w:rPr>
                <w:rFonts w:ascii="Arial" w:cs="Arial" w:eastAsia="Arial" w:hAnsi="Arial"/>
                <w:sz w:val="18"/>
                <w:szCs w:val="18"/>
                <w:color w:val="auto"/>
              </w:rPr>
              <w:t>Nominees for Director</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6"/>
        </w:trPr>
        <w:tc>
          <w:tcPr>
            <w:tcW w:w="10360" w:type="dxa"/>
            <w:vAlign w:val="bottom"/>
          </w:tcPr>
          <w:p>
            <w:pPr>
              <w:ind w:left="340"/>
              <w:spacing w:after="0"/>
              <w:rPr>
                <w:sz w:val="20"/>
                <w:szCs w:val="20"/>
                <w:color w:val="auto"/>
              </w:rPr>
            </w:pPr>
            <w:r>
              <w:rPr>
                <w:rFonts w:ascii="Arial" w:cs="Arial" w:eastAsia="Arial" w:hAnsi="Arial"/>
                <w:sz w:val="18"/>
                <w:szCs w:val="18"/>
                <w:color w:val="auto"/>
              </w:rPr>
              <w:t>Board Recommendation</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97"/>
        </w:trPr>
        <w:tc>
          <w:tcPr>
            <w:tcW w:w="10360" w:type="dxa"/>
            <w:vAlign w:val="bottom"/>
          </w:tcPr>
          <w:p>
            <w:pPr>
              <w:ind w:left="300"/>
              <w:spacing w:after="0"/>
              <w:rPr>
                <w:sz w:val="20"/>
                <w:szCs w:val="20"/>
                <w:color w:val="auto"/>
              </w:rPr>
            </w:pPr>
            <w:r>
              <w:rPr>
                <w:rFonts w:ascii="Arial" w:cs="Arial" w:eastAsia="Arial" w:hAnsi="Arial"/>
                <w:sz w:val="18"/>
                <w:szCs w:val="18"/>
                <w:color w:val="auto"/>
              </w:rPr>
              <w:t>Information About Director Nominees and Continuing Directors</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38"/>
        </w:trPr>
        <w:tc>
          <w:tcPr>
            <w:tcW w:w="10360" w:type="dxa"/>
            <w:vAlign w:val="bottom"/>
          </w:tcPr>
          <w:p>
            <w:pPr>
              <w:spacing w:after="0"/>
              <w:rPr>
                <w:sz w:val="20"/>
                <w:szCs w:val="20"/>
                <w:color w:val="auto"/>
              </w:rPr>
            </w:pPr>
            <w:r>
              <w:rPr>
                <w:rFonts w:ascii="Arial" w:cs="Arial" w:eastAsia="Arial" w:hAnsi="Arial"/>
                <w:sz w:val="18"/>
                <w:szCs w:val="18"/>
                <w:color w:val="BF2115"/>
              </w:rPr>
              <w:t>CORPORATE GOVERNANCE</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10360" w:type="dxa"/>
            <w:vAlign w:val="bottom"/>
          </w:tcPr>
          <w:p>
            <w:pPr>
              <w:ind w:left="300"/>
              <w:spacing w:after="0"/>
              <w:rPr>
                <w:sz w:val="20"/>
                <w:szCs w:val="20"/>
                <w:color w:val="auto"/>
              </w:rPr>
            </w:pPr>
            <w:r>
              <w:rPr>
                <w:rFonts w:ascii="Arial" w:cs="Arial" w:eastAsia="Arial" w:hAnsi="Arial"/>
                <w:sz w:val="18"/>
                <w:szCs w:val="18"/>
                <w:color w:val="auto"/>
              </w:rPr>
              <w:t>Corporate Governance Guidelines</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10360" w:type="dxa"/>
            <w:vAlign w:val="bottom"/>
          </w:tcPr>
          <w:p>
            <w:pPr>
              <w:ind w:left="300"/>
              <w:spacing w:after="0"/>
              <w:rPr>
                <w:sz w:val="20"/>
                <w:szCs w:val="20"/>
                <w:color w:val="auto"/>
              </w:rPr>
            </w:pPr>
            <w:r>
              <w:rPr>
                <w:rFonts w:ascii="Arial" w:cs="Arial" w:eastAsia="Arial" w:hAnsi="Arial"/>
                <w:sz w:val="18"/>
                <w:szCs w:val="18"/>
                <w:color w:val="auto"/>
              </w:rPr>
              <w:t>Board Leadership Structure</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10360" w:type="dxa"/>
            <w:vAlign w:val="bottom"/>
          </w:tcPr>
          <w:p>
            <w:pPr>
              <w:ind w:left="300"/>
              <w:spacing w:after="0"/>
              <w:rPr>
                <w:sz w:val="20"/>
                <w:szCs w:val="20"/>
                <w:color w:val="auto"/>
              </w:rPr>
            </w:pPr>
            <w:r>
              <w:rPr>
                <w:rFonts w:ascii="Arial" w:cs="Arial" w:eastAsia="Arial" w:hAnsi="Arial"/>
                <w:sz w:val="18"/>
                <w:szCs w:val="18"/>
                <w:color w:val="auto"/>
              </w:rPr>
              <w:t>Director Independence</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10360" w:type="dxa"/>
            <w:vAlign w:val="bottom"/>
          </w:tcPr>
          <w:p>
            <w:pPr>
              <w:ind w:left="300"/>
              <w:spacing w:after="0"/>
              <w:rPr>
                <w:sz w:val="20"/>
                <w:szCs w:val="20"/>
                <w:color w:val="auto"/>
              </w:rPr>
            </w:pPr>
            <w:r>
              <w:rPr>
                <w:rFonts w:ascii="Arial" w:cs="Arial" w:eastAsia="Arial" w:hAnsi="Arial"/>
                <w:sz w:val="18"/>
                <w:szCs w:val="18"/>
                <w:color w:val="auto"/>
              </w:rPr>
              <w:t>Director Attendance; Executive Sessions</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1"/>
        </w:trPr>
        <w:tc>
          <w:tcPr>
            <w:tcW w:w="10360" w:type="dxa"/>
            <w:vAlign w:val="bottom"/>
          </w:tcPr>
          <w:p>
            <w:pPr>
              <w:ind w:left="300"/>
              <w:spacing w:after="0"/>
              <w:rPr>
                <w:sz w:val="20"/>
                <w:szCs w:val="20"/>
                <w:color w:val="auto"/>
              </w:rPr>
            </w:pPr>
            <w:r>
              <w:rPr>
                <w:rFonts w:ascii="Arial" w:cs="Arial" w:eastAsia="Arial" w:hAnsi="Arial"/>
                <w:sz w:val="18"/>
                <w:szCs w:val="18"/>
                <w:color w:val="auto"/>
              </w:rPr>
              <w:t>Board Committees</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10360" w:type="dxa"/>
            <w:vAlign w:val="bottom"/>
          </w:tcPr>
          <w:p>
            <w:pPr>
              <w:ind w:left="300"/>
              <w:spacing w:after="0"/>
              <w:rPr>
                <w:sz w:val="20"/>
                <w:szCs w:val="20"/>
                <w:color w:val="auto"/>
              </w:rPr>
            </w:pPr>
            <w:r>
              <w:rPr>
                <w:rFonts w:ascii="Arial" w:cs="Arial" w:eastAsia="Arial" w:hAnsi="Arial"/>
                <w:sz w:val="18"/>
                <w:szCs w:val="18"/>
                <w:color w:val="auto"/>
              </w:rPr>
              <w:t>Board's Role in Risk Oversight</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340" w:top="1115"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115" w:right="57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9"/>
        </w:trPr>
        <w:tc>
          <w:tcPr>
            <w:tcW w:w="10160" w:type="dxa"/>
            <w:vAlign w:val="bottom"/>
          </w:tcPr>
          <w:p>
            <w:pPr>
              <w:ind w:left="300"/>
              <w:spacing w:after="0"/>
              <w:rPr>
                <w:sz w:val="20"/>
                <w:szCs w:val="20"/>
                <w:color w:val="auto"/>
              </w:rPr>
            </w:pPr>
            <w:r>
              <w:rPr>
                <w:rFonts w:ascii="Arial" w:cs="Arial" w:eastAsia="Arial" w:hAnsi="Arial"/>
                <w:sz w:val="18"/>
                <w:szCs w:val="18"/>
                <w:color w:val="auto"/>
              </w:rPr>
              <w:t>Executive Compensation Process</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1"/>
        </w:trPr>
        <w:tc>
          <w:tcPr>
            <w:tcW w:w="10160" w:type="dxa"/>
            <w:vAlign w:val="bottom"/>
          </w:tcPr>
          <w:p>
            <w:pPr>
              <w:ind w:left="300"/>
              <w:spacing w:after="0"/>
              <w:rPr>
                <w:sz w:val="20"/>
                <w:szCs w:val="20"/>
                <w:color w:val="auto"/>
              </w:rPr>
            </w:pPr>
            <w:r>
              <w:rPr>
                <w:rFonts w:ascii="Arial" w:cs="Arial" w:eastAsia="Arial" w:hAnsi="Arial"/>
                <w:sz w:val="18"/>
                <w:szCs w:val="18"/>
                <w:color w:val="auto"/>
              </w:rPr>
              <w:t>Director Nomination and Refreshment Process</w:t>
            </w: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Related Person Transactions and Policies and Procedures Regarding Related Person Transactions</w:t>
            </w: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1"/>
        </w:trPr>
        <w:tc>
          <w:tcPr>
            <w:tcW w:w="10160" w:type="dxa"/>
            <w:vAlign w:val="bottom"/>
          </w:tcPr>
          <w:p>
            <w:pPr>
              <w:ind w:left="300"/>
              <w:spacing w:after="0"/>
              <w:rPr>
                <w:sz w:val="20"/>
                <w:szCs w:val="20"/>
                <w:color w:val="auto"/>
              </w:rPr>
            </w:pPr>
            <w:r>
              <w:rPr>
                <w:rFonts w:ascii="Arial" w:cs="Arial" w:eastAsia="Arial" w:hAnsi="Arial"/>
                <w:sz w:val="18"/>
                <w:szCs w:val="18"/>
                <w:color w:val="auto"/>
              </w:rPr>
              <w:t>Board of Directors Business Ethics Policy Statement</w:t>
            </w: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Code of Conduct and Code of Ethics for our CEO and Senior Financial Personnel</w:t>
            </w: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1"/>
        </w:trPr>
        <w:tc>
          <w:tcPr>
            <w:tcW w:w="10160" w:type="dxa"/>
            <w:vAlign w:val="bottom"/>
          </w:tcPr>
          <w:p>
            <w:pPr>
              <w:ind w:left="300"/>
              <w:spacing w:after="0"/>
              <w:rPr>
                <w:sz w:val="20"/>
                <w:szCs w:val="20"/>
                <w:color w:val="auto"/>
              </w:rPr>
            </w:pPr>
            <w:r>
              <w:rPr>
                <w:rFonts w:ascii="Arial" w:cs="Arial" w:eastAsia="Arial" w:hAnsi="Arial"/>
                <w:sz w:val="18"/>
                <w:szCs w:val="18"/>
                <w:color w:val="auto"/>
              </w:rPr>
              <w:t>Communications with Directors</w:t>
            </w: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1"/>
        </w:trPr>
        <w:tc>
          <w:tcPr>
            <w:tcW w:w="10160" w:type="dxa"/>
            <w:vAlign w:val="bottom"/>
          </w:tcPr>
          <w:p>
            <w:pPr>
              <w:ind w:left="300"/>
              <w:spacing w:after="0"/>
              <w:rPr>
                <w:sz w:val="20"/>
                <w:szCs w:val="20"/>
                <w:color w:val="auto"/>
              </w:rPr>
            </w:pPr>
            <w:r>
              <w:rPr>
                <w:rFonts w:ascii="Arial" w:cs="Arial" w:eastAsia="Arial" w:hAnsi="Arial"/>
                <w:sz w:val="18"/>
                <w:szCs w:val="18"/>
                <w:color w:val="auto"/>
              </w:rPr>
              <w:t>Complaint Procedures</w:t>
            </w: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0160" w:type="dxa"/>
            <w:vAlign w:val="bottom"/>
          </w:tcPr>
          <w:p>
            <w:pPr>
              <w:spacing w:after="0"/>
              <w:rPr>
                <w:sz w:val="20"/>
                <w:szCs w:val="20"/>
                <w:color w:val="auto"/>
              </w:rPr>
            </w:pPr>
            <w:r>
              <w:rPr>
                <w:rFonts w:ascii="Arial" w:cs="Arial" w:eastAsia="Arial" w:hAnsi="Arial"/>
                <w:sz w:val="18"/>
                <w:szCs w:val="18"/>
                <w:color w:val="BF2115"/>
              </w:rPr>
              <w:t>DIRECTOR COMPENSATION</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1"/>
        </w:trPr>
        <w:tc>
          <w:tcPr>
            <w:tcW w:w="10160" w:type="dxa"/>
            <w:vAlign w:val="bottom"/>
          </w:tcPr>
          <w:p>
            <w:pPr>
              <w:ind w:left="300"/>
              <w:spacing w:after="0"/>
              <w:rPr>
                <w:sz w:val="20"/>
                <w:szCs w:val="20"/>
                <w:color w:val="auto"/>
              </w:rPr>
            </w:pPr>
            <w:r>
              <w:rPr>
                <w:rFonts w:ascii="Arial" w:cs="Arial" w:eastAsia="Arial" w:hAnsi="Arial"/>
                <w:sz w:val="18"/>
                <w:szCs w:val="18"/>
                <w:color w:val="auto"/>
              </w:rPr>
              <w:t>Director Compensation Program for Fiscal 2023</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Director Compensation for Fiscal 2023</w:t>
            </w: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38"/>
        </w:trPr>
        <w:tc>
          <w:tcPr>
            <w:tcW w:w="10160" w:type="dxa"/>
            <w:vAlign w:val="bottom"/>
          </w:tcPr>
          <w:p>
            <w:pPr>
              <w:spacing w:after="0"/>
              <w:rPr>
                <w:sz w:val="20"/>
                <w:szCs w:val="20"/>
                <w:color w:val="auto"/>
              </w:rPr>
            </w:pPr>
            <w:r>
              <w:rPr>
                <w:rFonts w:ascii="Arial" w:cs="Arial" w:eastAsia="Arial" w:hAnsi="Arial"/>
                <w:sz w:val="18"/>
                <w:szCs w:val="18"/>
                <w:color w:val="BF2115"/>
              </w:rPr>
              <w:t>PROPOSAL TWO—RATIFICATION OF SELECTION OF INDEPENDENT REGISTERED PUBLIC ACCOUNTING FIRM</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1"/>
        </w:trPr>
        <w:tc>
          <w:tcPr>
            <w:tcW w:w="10160" w:type="dxa"/>
            <w:vAlign w:val="bottom"/>
          </w:tcPr>
          <w:p>
            <w:pPr>
              <w:ind w:left="300"/>
              <w:spacing w:after="0"/>
              <w:rPr>
                <w:sz w:val="20"/>
                <w:szCs w:val="20"/>
                <w:color w:val="auto"/>
              </w:rPr>
            </w:pPr>
            <w:r>
              <w:rPr>
                <w:rFonts w:ascii="Arial" w:cs="Arial" w:eastAsia="Arial" w:hAnsi="Arial"/>
                <w:sz w:val="18"/>
                <w:szCs w:val="18"/>
                <w:color w:val="auto"/>
              </w:rPr>
              <w:t>Selection of Independent Registered Public Accounting Firm</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Audit, Audit-Related, Tax and Other Fees</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1"/>
        </w:trPr>
        <w:tc>
          <w:tcPr>
            <w:tcW w:w="10160" w:type="dxa"/>
            <w:vAlign w:val="bottom"/>
          </w:tcPr>
          <w:p>
            <w:pPr>
              <w:ind w:left="300"/>
              <w:spacing w:after="0"/>
              <w:rPr>
                <w:sz w:val="20"/>
                <w:szCs w:val="20"/>
                <w:color w:val="auto"/>
              </w:rPr>
            </w:pPr>
            <w:r>
              <w:rPr>
                <w:rFonts w:ascii="Arial" w:cs="Arial" w:eastAsia="Arial" w:hAnsi="Arial"/>
                <w:sz w:val="18"/>
                <w:szCs w:val="18"/>
                <w:color w:val="auto"/>
              </w:rPr>
              <w:t>Pre-Approval Policies and Procedures</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1"/>
        </w:trPr>
        <w:tc>
          <w:tcPr>
            <w:tcW w:w="10160" w:type="dxa"/>
            <w:vAlign w:val="bottom"/>
          </w:tcPr>
          <w:p>
            <w:pPr>
              <w:ind w:left="300"/>
              <w:spacing w:after="0"/>
              <w:rPr>
                <w:sz w:val="20"/>
                <w:szCs w:val="20"/>
                <w:color w:val="auto"/>
              </w:rPr>
            </w:pPr>
            <w:r>
              <w:rPr>
                <w:rFonts w:ascii="Arial" w:cs="Arial" w:eastAsia="Arial" w:hAnsi="Arial"/>
                <w:sz w:val="18"/>
                <w:szCs w:val="18"/>
                <w:color w:val="auto"/>
              </w:rPr>
              <w:t>Board Recommendation</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Audit Committee Report</w:t>
            </w: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8"/>
        </w:trPr>
        <w:tc>
          <w:tcPr>
            <w:tcW w:w="10160" w:type="dxa"/>
            <w:vAlign w:val="bottom"/>
          </w:tcPr>
          <w:p>
            <w:pPr>
              <w:spacing w:after="0"/>
              <w:rPr>
                <w:sz w:val="20"/>
                <w:szCs w:val="20"/>
                <w:color w:val="auto"/>
              </w:rPr>
            </w:pPr>
            <w:r>
              <w:rPr>
                <w:rFonts w:ascii="Arial" w:cs="Arial" w:eastAsia="Arial" w:hAnsi="Arial"/>
                <w:sz w:val="18"/>
                <w:szCs w:val="18"/>
                <w:color w:val="BF2115"/>
              </w:rPr>
              <w:t>PROPOSAL THREE—ADVISORY APPROVAL OF OUR EXECUTIVE COMPENSATION</w:t>
            </w: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Background</w:t>
            </w: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1"/>
        </w:trPr>
        <w:tc>
          <w:tcPr>
            <w:tcW w:w="10160" w:type="dxa"/>
            <w:vAlign w:val="bottom"/>
          </w:tcPr>
          <w:p>
            <w:pPr>
              <w:ind w:left="300"/>
              <w:spacing w:after="0"/>
              <w:rPr>
                <w:sz w:val="20"/>
                <w:szCs w:val="20"/>
                <w:color w:val="auto"/>
              </w:rPr>
            </w:pPr>
            <w:r>
              <w:rPr>
                <w:rFonts w:ascii="Arial" w:cs="Arial" w:eastAsia="Arial" w:hAnsi="Arial"/>
                <w:sz w:val="18"/>
                <w:szCs w:val="18"/>
                <w:color w:val="auto"/>
              </w:rPr>
              <w:t>Our Pay Philosophy</w:t>
            </w: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Best Practices</w:t>
            </w: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Proposed Resolution</w:t>
            </w: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Next Say-on-Pay Vote</w:t>
            </w: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Board Recommendation</w:t>
            </w: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38"/>
        </w:trPr>
        <w:tc>
          <w:tcPr>
            <w:tcW w:w="10160" w:type="dxa"/>
            <w:vAlign w:val="bottom"/>
          </w:tcPr>
          <w:p>
            <w:pPr>
              <w:spacing w:after="0"/>
              <w:rPr>
                <w:sz w:val="20"/>
                <w:szCs w:val="20"/>
                <w:color w:val="auto"/>
              </w:rPr>
            </w:pPr>
            <w:r>
              <w:rPr>
                <w:rFonts w:ascii="Arial" w:cs="Arial" w:eastAsia="Arial" w:hAnsi="Arial"/>
                <w:sz w:val="18"/>
                <w:szCs w:val="18"/>
                <w:color w:val="BF2115"/>
              </w:rPr>
              <w:t>COMPENSATION DISCUSSION AND ANALYSIS</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7"/>
        </w:trPr>
        <w:tc>
          <w:tcPr>
            <w:tcW w:w="10160" w:type="dxa"/>
            <w:vAlign w:val="bottom"/>
          </w:tcPr>
          <w:p>
            <w:pPr>
              <w:ind w:left="300"/>
              <w:spacing w:after="0"/>
              <w:rPr>
                <w:sz w:val="20"/>
                <w:szCs w:val="20"/>
                <w:color w:val="auto"/>
              </w:rPr>
            </w:pPr>
            <w:r>
              <w:rPr>
                <w:rFonts w:ascii="Arial" w:cs="Arial" w:eastAsia="Arial" w:hAnsi="Arial"/>
                <w:sz w:val="18"/>
                <w:szCs w:val="18"/>
                <w:color w:val="auto"/>
              </w:rPr>
              <w:t>Executive Summary: Changes in Senior Leadership Team</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Executive Summary: Fiscal 2023 Compensation Actions and Outcomes</w:t>
            </w: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Compensation Philosophy</w:t>
            </w: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Compensation Highlights and Best Practices</w:t>
            </w: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Pay for Performance and Pay Mix</w:t>
            </w: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Elements of Our Executive Compensation Program</w:t>
            </w: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Employment, Severance and Change in Control Arrangements</w:t>
            </w: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1"/>
        </w:trPr>
        <w:tc>
          <w:tcPr>
            <w:tcW w:w="10160" w:type="dxa"/>
            <w:vAlign w:val="bottom"/>
          </w:tcPr>
          <w:p>
            <w:pPr>
              <w:ind w:left="300"/>
              <w:spacing w:after="0"/>
              <w:rPr>
                <w:sz w:val="20"/>
                <w:szCs w:val="20"/>
                <w:color w:val="auto"/>
              </w:rPr>
            </w:pPr>
            <w:r>
              <w:rPr>
                <w:rFonts w:ascii="Arial" w:cs="Arial" w:eastAsia="Arial" w:hAnsi="Arial"/>
                <w:sz w:val="18"/>
                <w:szCs w:val="18"/>
                <w:color w:val="auto"/>
              </w:rPr>
              <w:t>Named Executive Officer Stock Ownership Guidelines</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Anti-Hedging and Anti-Pledging</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Tax Considerations</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Risk Assessment</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Clawback Policy and Provisions</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1"/>
        </w:trPr>
        <w:tc>
          <w:tcPr>
            <w:tcW w:w="10160" w:type="dxa"/>
            <w:vAlign w:val="bottom"/>
          </w:tcPr>
          <w:p>
            <w:pPr>
              <w:ind w:left="300"/>
              <w:spacing w:after="0"/>
              <w:rPr>
                <w:sz w:val="20"/>
                <w:szCs w:val="20"/>
                <w:color w:val="auto"/>
              </w:rPr>
            </w:pPr>
            <w:r>
              <w:rPr>
                <w:rFonts w:ascii="Arial" w:cs="Arial" w:eastAsia="Arial" w:hAnsi="Arial"/>
                <w:sz w:val="18"/>
                <w:szCs w:val="18"/>
                <w:color w:val="auto"/>
              </w:rPr>
              <w:t>Competitive Considerations and Use of Market Data</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How We Make Compensation Decisions</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10160" w:type="dxa"/>
            <w:vAlign w:val="bottom"/>
          </w:tcPr>
          <w:p>
            <w:pPr>
              <w:ind w:left="300"/>
              <w:spacing w:after="0"/>
              <w:rPr>
                <w:sz w:val="20"/>
                <w:szCs w:val="20"/>
                <w:color w:val="auto"/>
              </w:rPr>
            </w:pPr>
            <w:r>
              <w:rPr>
                <w:rFonts w:ascii="Arial" w:cs="Arial" w:eastAsia="Arial" w:hAnsi="Arial"/>
                <w:sz w:val="18"/>
                <w:szCs w:val="18"/>
                <w:color w:val="auto"/>
              </w:rPr>
              <w:t>Compensation and Human Resources Committee Report</w:t>
            </w: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0" w:lineRule="exact"/>
        <w:rPr>
          <w:sz w:val="20"/>
          <w:szCs w:val="20"/>
          <w:color w:val="auto"/>
        </w:rPr>
      </w:pPr>
    </w:p>
    <w:p>
      <w:pPr>
        <w:sectPr>
          <w:pgSz w:w="11900" w:h="16838" w:orient="portrait"/>
          <w:cols w:equalWidth="0" w:num="1">
            <w:col w:w="10980"/>
          </w:cols>
          <w:pgMar w:left="340" w:top="1228"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96520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228" w:right="579" w:bottom="1440" w:gutter="0" w:footer="0" w:header="0"/>
          <w:type w:val="continuous"/>
        </w:sectPr>
      </w:pPr>
    </w:p>
    <w:bookmarkStart w:id="7" w:name="page8"/>
    <w:bookmarkEnd w:id="7"/>
    <w:tbl>
      <w:tblPr>
        <w:tblLayout w:type="fixed"/>
        <w:tblInd w:w="20" w:type="dxa"/>
        <w:tblCellMar>
          <w:top w:w="0" w:type="dxa"/>
          <w:left w:w="0" w:type="dxa"/>
          <w:bottom w:w="0" w:type="dxa"/>
          <w:right w:w="0" w:type="dxa"/>
        </w:tblCellMar>
      </w:tblPr>
      <w:tr>
        <w:trPr>
          <w:trHeight w:val="252"/>
        </w:trPr>
        <w:tc>
          <w:tcPr>
            <w:tcW w:w="8920" w:type="dxa"/>
            <w:vAlign w:val="bottom"/>
          </w:tcPr>
          <w:p>
            <w:pPr>
              <w:spacing w:after="0"/>
              <w:rPr>
                <w:sz w:val="20"/>
                <w:szCs w:val="20"/>
                <w:color w:val="auto"/>
              </w:rPr>
            </w:pPr>
            <w:r>
              <w:rPr>
                <w:rFonts w:ascii="Arial" w:cs="Arial" w:eastAsia="Arial" w:hAnsi="Arial"/>
                <w:sz w:val="18"/>
                <w:szCs w:val="18"/>
                <w:color w:val="C00000"/>
              </w:rPr>
              <w:t>EXECUTIVE COMPENSATION</w:t>
            </w:r>
          </w:p>
        </w:tc>
        <w:tc>
          <w:tcPr>
            <w:tcW w:w="2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38"/>
        </w:trPr>
        <w:tc>
          <w:tcPr>
            <w:tcW w:w="8920" w:type="dxa"/>
            <w:vAlign w:val="bottom"/>
          </w:tcPr>
          <w:p>
            <w:pPr>
              <w:ind w:left="280"/>
              <w:spacing w:after="0"/>
              <w:rPr>
                <w:sz w:val="20"/>
                <w:szCs w:val="20"/>
                <w:color w:val="auto"/>
              </w:rPr>
            </w:pPr>
            <w:r>
              <w:rPr>
                <w:rFonts w:ascii="Arial" w:cs="Arial" w:eastAsia="Arial" w:hAnsi="Arial"/>
                <w:sz w:val="18"/>
                <w:szCs w:val="18"/>
                <w:color w:val="auto"/>
              </w:rPr>
              <w:t>Summary Compensation Table</w:t>
            </w:r>
          </w:p>
        </w:tc>
        <w:tc>
          <w:tcPr>
            <w:tcW w:w="2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38"/>
        </w:trPr>
        <w:tc>
          <w:tcPr>
            <w:tcW w:w="8920" w:type="dxa"/>
            <w:vAlign w:val="bottom"/>
          </w:tcPr>
          <w:p>
            <w:pPr>
              <w:ind w:left="280"/>
              <w:spacing w:after="0"/>
              <w:rPr>
                <w:sz w:val="20"/>
                <w:szCs w:val="20"/>
                <w:color w:val="auto"/>
              </w:rPr>
            </w:pPr>
            <w:r>
              <w:rPr>
                <w:rFonts w:ascii="Arial" w:cs="Arial" w:eastAsia="Arial" w:hAnsi="Arial"/>
                <w:sz w:val="18"/>
                <w:szCs w:val="18"/>
                <w:color w:val="auto"/>
              </w:rPr>
              <w:t>All Other Compensation for Fiscal 2023</w:t>
            </w:r>
          </w:p>
        </w:tc>
        <w:tc>
          <w:tcPr>
            <w:tcW w:w="2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38"/>
        </w:trPr>
        <w:tc>
          <w:tcPr>
            <w:tcW w:w="8920" w:type="dxa"/>
            <w:vAlign w:val="bottom"/>
          </w:tcPr>
          <w:p>
            <w:pPr>
              <w:ind w:left="280"/>
              <w:spacing w:after="0"/>
              <w:rPr>
                <w:sz w:val="20"/>
                <w:szCs w:val="20"/>
                <w:color w:val="auto"/>
              </w:rPr>
            </w:pPr>
            <w:r>
              <w:rPr>
                <w:rFonts w:ascii="Arial" w:cs="Arial" w:eastAsia="Arial" w:hAnsi="Arial"/>
                <w:sz w:val="18"/>
                <w:szCs w:val="18"/>
                <w:color w:val="auto"/>
              </w:rPr>
              <w:t>Grants of Plan-Based Awards for Fiscal 2023</w:t>
            </w:r>
          </w:p>
        </w:tc>
        <w:tc>
          <w:tcPr>
            <w:tcW w:w="2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37"/>
        </w:trPr>
        <w:tc>
          <w:tcPr>
            <w:tcW w:w="8920" w:type="dxa"/>
            <w:vAlign w:val="bottom"/>
          </w:tcPr>
          <w:p>
            <w:pPr>
              <w:ind w:left="280"/>
              <w:spacing w:after="0"/>
              <w:rPr>
                <w:sz w:val="20"/>
                <w:szCs w:val="20"/>
                <w:color w:val="auto"/>
              </w:rPr>
            </w:pPr>
            <w:r>
              <w:rPr>
                <w:rFonts w:ascii="Arial" w:cs="Arial" w:eastAsia="Arial" w:hAnsi="Arial"/>
                <w:sz w:val="18"/>
                <w:szCs w:val="18"/>
                <w:color w:val="auto"/>
              </w:rPr>
              <w:t>Outstanding Equity Awards at Fiscal Year-End for 2023</w:t>
            </w:r>
          </w:p>
        </w:tc>
        <w:tc>
          <w:tcPr>
            <w:tcW w:w="20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38"/>
        </w:trPr>
        <w:tc>
          <w:tcPr>
            <w:tcW w:w="8920" w:type="dxa"/>
            <w:vAlign w:val="bottom"/>
          </w:tcPr>
          <w:p>
            <w:pPr>
              <w:ind w:left="280"/>
              <w:spacing w:after="0"/>
              <w:rPr>
                <w:sz w:val="20"/>
                <w:szCs w:val="20"/>
                <w:color w:val="auto"/>
              </w:rPr>
            </w:pPr>
            <w:r>
              <w:rPr>
                <w:rFonts w:ascii="Arial" w:cs="Arial" w:eastAsia="Arial" w:hAnsi="Arial"/>
                <w:sz w:val="18"/>
                <w:szCs w:val="18"/>
                <w:color w:val="auto"/>
              </w:rPr>
              <w:t>Option Exercised and Stock Vested for Fiscal 2023</w:t>
            </w:r>
          </w:p>
        </w:tc>
        <w:tc>
          <w:tcPr>
            <w:tcW w:w="20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38"/>
        </w:trPr>
        <w:tc>
          <w:tcPr>
            <w:tcW w:w="8920" w:type="dxa"/>
            <w:vAlign w:val="bottom"/>
          </w:tcPr>
          <w:p>
            <w:pPr>
              <w:ind w:left="280"/>
              <w:spacing w:after="0"/>
              <w:rPr>
                <w:sz w:val="20"/>
                <w:szCs w:val="20"/>
                <w:color w:val="auto"/>
              </w:rPr>
            </w:pPr>
            <w:r>
              <w:rPr>
                <w:rFonts w:ascii="Arial" w:cs="Arial" w:eastAsia="Arial" w:hAnsi="Arial"/>
                <w:sz w:val="18"/>
                <w:szCs w:val="18"/>
                <w:color w:val="auto"/>
              </w:rPr>
              <w:t>Nonqualified Deferred Compensation for Fiscal 2023</w:t>
            </w:r>
          </w:p>
        </w:tc>
        <w:tc>
          <w:tcPr>
            <w:tcW w:w="20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57"/>
        </w:trPr>
        <w:tc>
          <w:tcPr>
            <w:tcW w:w="8920" w:type="dxa"/>
            <w:vAlign w:val="bottom"/>
          </w:tcPr>
          <w:p>
            <w:pPr>
              <w:ind w:left="280"/>
              <w:spacing w:after="0"/>
              <w:rPr>
                <w:sz w:val="20"/>
                <w:szCs w:val="20"/>
                <w:color w:val="auto"/>
              </w:rPr>
            </w:pPr>
            <w:r>
              <w:rPr>
                <w:rFonts w:ascii="Arial" w:cs="Arial" w:eastAsia="Arial" w:hAnsi="Arial"/>
                <w:sz w:val="18"/>
                <w:szCs w:val="18"/>
                <w:color w:val="auto"/>
              </w:rPr>
              <w:t>Pay Versus Performance (PvP)</w:t>
            </w:r>
          </w:p>
        </w:tc>
        <w:tc>
          <w:tcPr>
            <w:tcW w:w="2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38"/>
        </w:trPr>
        <w:tc>
          <w:tcPr>
            <w:tcW w:w="8920" w:type="dxa"/>
            <w:vAlign w:val="bottom"/>
          </w:tcPr>
          <w:p>
            <w:pPr>
              <w:ind w:left="280"/>
              <w:spacing w:after="0"/>
              <w:rPr>
                <w:sz w:val="20"/>
                <w:szCs w:val="20"/>
                <w:color w:val="auto"/>
              </w:rPr>
            </w:pPr>
            <w:r>
              <w:rPr>
                <w:rFonts w:ascii="Arial" w:cs="Arial" w:eastAsia="Arial" w:hAnsi="Arial"/>
                <w:sz w:val="18"/>
                <w:szCs w:val="18"/>
                <w:color w:val="auto"/>
              </w:rPr>
              <w:t>Potential Payments Upon Termination or Change in Control</w:t>
            </w:r>
          </w:p>
        </w:tc>
        <w:tc>
          <w:tcPr>
            <w:tcW w:w="20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38"/>
        </w:trPr>
        <w:tc>
          <w:tcPr>
            <w:tcW w:w="8920" w:type="dxa"/>
            <w:vAlign w:val="bottom"/>
          </w:tcPr>
          <w:p>
            <w:pPr>
              <w:ind w:left="280"/>
              <w:spacing w:after="0"/>
              <w:rPr>
                <w:sz w:val="20"/>
                <w:szCs w:val="20"/>
                <w:color w:val="auto"/>
              </w:rPr>
            </w:pPr>
            <w:r>
              <w:rPr>
                <w:rFonts w:ascii="Arial" w:cs="Arial" w:eastAsia="Arial" w:hAnsi="Arial"/>
                <w:sz w:val="18"/>
                <w:szCs w:val="18"/>
                <w:color w:val="auto"/>
              </w:rPr>
              <w:t>Pay Ratio Disclosure</w:t>
            </w:r>
          </w:p>
        </w:tc>
        <w:tc>
          <w:tcPr>
            <w:tcW w:w="20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38"/>
        </w:trPr>
        <w:tc>
          <w:tcPr>
            <w:tcW w:w="8920" w:type="dxa"/>
            <w:vAlign w:val="bottom"/>
          </w:tcPr>
          <w:p>
            <w:pPr>
              <w:ind w:left="280"/>
              <w:spacing w:after="0"/>
              <w:rPr>
                <w:sz w:val="20"/>
                <w:szCs w:val="20"/>
                <w:color w:val="auto"/>
              </w:rPr>
            </w:pPr>
            <w:r>
              <w:rPr>
                <w:rFonts w:ascii="Arial" w:cs="Arial" w:eastAsia="Arial" w:hAnsi="Arial"/>
                <w:sz w:val="18"/>
                <w:szCs w:val="18"/>
                <w:color w:val="auto"/>
              </w:rPr>
              <w:t>Compensation and Human Resources Committee Interlocks and Insider Participation</w:t>
            </w:r>
          </w:p>
        </w:tc>
        <w:tc>
          <w:tcPr>
            <w:tcW w:w="20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38"/>
        </w:trPr>
        <w:tc>
          <w:tcPr>
            <w:tcW w:w="8920" w:type="dxa"/>
            <w:vAlign w:val="bottom"/>
          </w:tcPr>
          <w:p>
            <w:pPr>
              <w:spacing w:after="0"/>
              <w:rPr>
                <w:sz w:val="20"/>
                <w:szCs w:val="20"/>
                <w:color w:val="auto"/>
              </w:rPr>
            </w:pPr>
            <w:r>
              <w:rPr>
                <w:rFonts w:ascii="Arial" w:cs="Arial" w:eastAsia="Arial" w:hAnsi="Arial"/>
                <w:sz w:val="18"/>
                <w:szCs w:val="18"/>
                <w:color w:val="C00000"/>
              </w:rPr>
              <w:t>STOCK OWNERSHIP</w:t>
            </w:r>
          </w:p>
        </w:tc>
        <w:tc>
          <w:tcPr>
            <w:tcW w:w="20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11"/>
        </w:trPr>
        <w:tc>
          <w:tcPr>
            <w:tcW w:w="8920" w:type="dxa"/>
            <w:vAlign w:val="bottom"/>
          </w:tcPr>
          <w:p>
            <w:pPr>
              <w:ind w:left="300"/>
              <w:spacing w:after="0"/>
              <w:rPr>
                <w:sz w:val="20"/>
                <w:szCs w:val="20"/>
                <w:color w:val="auto"/>
              </w:rPr>
            </w:pPr>
            <w:r>
              <w:rPr>
                <w:rFonts w:ascii="Arial" w:cs="Arial" w:eastAsia="Arial" w:hAnsi="Arial"/>
                <w:sz w:val="18"/>
                <w:szCs w:val="18"/>
                <w:color w:val="auto"/>
              </w:rPr>
              <w:t>Significant Beneficial Owners</w:t>
            </w:r>
          </w:p>
        </w:tc>
        <w:tc>
          <w:tcPr>
            <w:tcW w:w="20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10"/>
        </w:trPr>
        <w:tc>
          <w:tcPr>
            <w:tcW w:w="8920" w:type="dxa"/>
            <w:vAlign w:val="bottom"/>
          </w:tcPr>
          <w:p>
            <w:pPr>
              <w:ind w:left="300"/>
              <w:spacing w:after="0"/>
              <w:rPr>
                <w:sz w:val="20"/>
                <w:szCs w:val="20"/>
                <w:color w:val="auto"/>
              </w:rPr>
            </w:pPr>
            <w:r>
              <w:rPr>
                <w:rFonts w:ascii="Arial" w:cs="Arial" w:eastAsia="Arial" w:hAnsi="Arial"/>
                <w:sz w:val="18"/>
                <w:szCs w:val="18"/>
                <w:color w:val="auto"/>
              </w:rPr>
              <w:t>Directors and Executive Officers</w:t>
            </w:r>
          </w:p>
        </w:tc>
        <w:tc>
          <w:tcPr>
            <w:tcW w:w="20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1"/>
        </w:trPr>
        <w:tc>
          <w:tcPr>
            <w:tcW w:w="8920" w:type="dxa"/>
            <w:vAlign w:val="bottom"/>
          </w:tcPr>
          <w:p>
            <w:pPr>
              <w:ind w:left="300"/>
              <w:spacing w:after="0"/>
              <w:rPr>
                <w:sz w:val="20"/>
                <w:szCs w:val="20"/>
                <w:color w:val="auto"/>
              </w:rPr>
            </w:pPr>
            <w:r>
              <w:rPr>
                <w:rFonts w:ascii="Arial" w:cs="Arial" w:eastAsia="Arial" w:hAnsi="Arial"/>
                <w:sz w:val="18"/>
                <w:szCs w:val="18"/>
                <w:color w:val="auto"/>
              </w:rPr>
              <w:t>Stock Ownership Guidelines</w:t>
            </w:r>
          </w:p>
        </w:tc>
        <w:tc>
          <w:tcPr>
            <w:tcW w:w="20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10"/>
        </w:trPr>
        <w:tc>
          <w:tcPr>
            <w:tcW w:w="8920" w:type="dxa"/>
            <w:vAlign w:val="bottom"/>
          </w:tcPr>
          <w:p>
            <w:pPr>
              <w:ind w:left="300"/>
              <w:spacing w:after="0"/>
              <w:rPr>
                <w:sz w:val="20"/>
                <w:szCs w:val="20"/>
                <w:color w:val="auto"/>
              </w:rPr>
            </w:pPr>
            <w:r>
              <w:rPr>
                <w:rFonts w:ascii="Arial" w:cs="Arial" w:eastAsia="Arial" w:hAnsi="Arial"/>
                <w:sz w:val="18"/>
                <w:szCs w:val="18"/>
                <w:color w:val="auto"/>
              </w:rPr>
              <w:t>Anti-Hedging and Anti-Pledging Policies</w:t>
            </w:r>
          </w:p>
        </w:tc>
        <w:tc>
          <w:tcPr>
            <w:tcW w:w="20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10"/>
        </w:trPr>
        <w:tc>
          <w:tcPr>
            <w:tcW w:w="8920" w:type="dxa"/>
            <w:vAlign w:val="bottom"/>
          </w:tcPr>
          <w:p>
            <w:pPr>
              <w:ind w:left="300"/>
              <w:spacing w:after="0"/>
              <w:rPr>
                <w:sz w:val="20"/>
                <w:szCs w:val="20"/>
                <w:color w:val="auto"/>
              </w:rPr>
            </w:pPr>
            <w:r>
              <w:rPr>
                <w:rFonts w:ascii="Arial" w:cs="Arial" w:eastAsia="Arial" w:hAnsi="Arial"/>
                <w:sz w:val="18"/>
                <w:szCs w:val="18"/>
                <w:color w:val="auto"/>
              </w:rPr>
              <w:t>Delinquent Section 16(a) Reports</w:t>
            </w:r>
          </w:p>
        </w:tc>
        <w:tc>
          <w:tcPr>
            <w:tcW w:w="20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38"/>
        </w:trPr>
        <w:tc>
          <w:tcPr>
            <w:tcW w:w="8920" w:type="dxa"/>
            <w:vAlign w:val="bottom"/>
          </w:tcPr>
          <w:p>
            <w:pPr>
              <w:spacing w:after="0"/>
              <w:rPr>
                <w:sz w:val="20"/>
                <w:szCs w:val="20"/>
                <w:color w:val="auto"/>
              </w:rPr>
            </w:pPr>
            <w:r>
              <w:rPr>
                <w:rFonts w:ascii="Arial" w:cs="Arial" w:eastAsia="Arial" w:hAnsi="Arial"/>
                <w:sz w:val="18"/>
                <w:szCs w:val="18"/>
                <w:color w:val="C00000"/>
              </w:rPr>
              <w:t>EQUITY COMPENSATION PLAN INFORMATION</w:t>
            </w:r>
          </w:p>
        </w:tc>
        <w:tc>
          <w:tcPr>
            <w:tcW w:w="20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38"/>
        </w:trPr>
        <w:tc>
          <w:tcPr>
            <w:tcW w:w="8920" w:type="dxa"/>
            <w:vAlign w:val="bottom"/>
          </w:tcPr>
          <w:p>
            <w:pPr>
              <w:spacing w:after="0"/>
              <w:rPr>
                <w:sz w:val="20"/>
                <w:szCs w:val="20"/>
                <w:color w:val="auto"/>
              </w:rPr>
            </w:pPr>
            <w:r>
              <w:rPr>
                <w:rFonts w:ascii="Arial" w:cs="Arial" w:eastAsia="Arial" w:hAnsi="Arial"/>
                <w:sz w:val="18"/>
                <w:szCs w:val="18"/>
                <w:color w:val="C00000"/>
              </w:rPr>
              <w:t>OTHER INFORMATION</w:t>
            </w:r>
          </w:p>
        </w:tc>
        <w:tc>
          <w:tcPr>
            <w:tcW w:w="20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0"/>
        </w:trPr>
        <w:tc>
          <w:tcPr>
            <w:tcW w:w="8920" w:type="dxa"/>
            <w:vAlign w:val="bottom"/>
          </w:tcPr>
          <w:p>
            <w:pPr>
              <w:ind w:left="300"/>
              <w:spacing w:after="0"/>
              <w:rPr>
                <w:sz w:val="20"/>
                <w:szCs w:val="20"/>
                <w:color w:val="auto"/>
              </w:rPr>
            </w:pPr>
            <w:r>
              <w:rPr>
                <w:rFonts w:ascii="Arial" w:cs="Arial" w:eastAsia="Arial" w:hAnsi="Arial"/>
                <w:sz w:val="18"/>
                <w:szCs w:val="18"/>
                <w:color w:val="auto"/>
              </w:rPr>
              <w:t>Shareholder Proposals and Director Nominations for the 2025 Annual Meeting</w:t>
            </w:r>
          </w:p>
        </w:tc>
        <w:tc>
          <w:tcPr>
            <w:tcW w:w="20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0"/>
        </w:trPr>
        <w:tc>
          <w:tcPr>
            <w:tcW w:w="8920" w:type="dxa"/>
            <w:vAlign w:val="bottom"/>
          </w:tcPr>
          <w:p>
            <w:pPr>
              <w:ind w:left="300"/>
              <w:spacing w:after="0"/>
              <w:rPr>
                <w:sz w:val="20"/>
                <w:szCs w:val="20"/>
                <w:color w:val="auto"/>
              </w:rPr>
            </w:pPr>
            <w:r>
              <w:rPr>
                <w:rFonts w:ascii="Arial" w:cs="Arial" w:eastAsia="Arial" w:hAnsi="Arial"/>
                <w:sz w:val="18"/>
                <w:szCs w:val="18"/>
                <w:color w:val="auto"/>
              </w:rPr>
              <w:t>Householding of Annual Meeting Materials</w:t>
            </w:r>
          </w:p>
        </w:tc>
        <w:tc>
          <w:tcPr>
            <w:tcW w:w="20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0"/>
        </w:trPr>
        <w:tc>
          <w:tcPr>
            <w:tcW w:w="8920" w:type="dxa"/>
            <w:vAlign w:val="bottom"/>
          </w:tcPr>
          <w:p>
            <w:pPr>
              <w:ind w:left="300"/>
              <w:spacing w:after="0"/>
              <w:rPr>
                <w:sz w:val="20"/>
                <w:szCs w:val="20"/>
                <w:color w:val="auto"/>
              </w:rPr>
            </w:pPr>
            <w:r>
              <w:rPr>
                <w:rFonts w:ascii="Arial" w:cs="Arial" w:eastAsia="Arial" w:hAnsi="Arial"/>
                <w:sz w:val="18"/>
                <w:szCs w:val="18"/>
                <w:color w:val="auto"/>
              </w:rPr>
              <w:t>Annual Report</w:t>
            </w:r>
          </w:p>
        </w:tc>
        <w:tc>
          <w:tcPr>
            <w:tcW w:w="20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0"/>
        </w:trPr>
        <w:tc>
          <w:tcPr>
            <w:tcW w:w="8920" w:type="dxa"/>
            <w:vAlign w:val="bottom"/>
          </w:tcPr>
          <w:p>
            <w:pPr>
              <w:ind w:left="300"/>
              <w:spacing w:after="0"/>
              <w:rPr>
                <w:sz w:val="20"/>
                <w:szCs w:val="20"/>
                <w:color w:val="auto"/>
              </w:rPr>
            </w:pPr>
            <w:r>
              <w:rPr>
                <w:rFonts w:ascii="Arial" w:cs="Arial" w:eastAsia="Arial" w:hAnsi="Arial"/>
                <w:sz w:val="18"/>
                <w:szCs w:val="18"/>
                <w:color w:val="auto"/>
              </w:rPr>
              <w:t>Cost and Method of Solicitation</w:t>
            </w:r>
          </w:p>
        </w:tc>
        <w:tc>
          <w:tcPr>
            <w:tcW w:w="206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200" w:lineRule="exact"/>
        <w:rPr>
          <w:sz w:val="20"/>
          <w:szCs w:val="20"/>
          <w:color w:val="auto"/>
        </w:rPr>
      </w:pPr>
    </w:p>
    <w:p>
      <w:pPr>
        <w:spacing w:after="0" w:line="23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this proxy statement to:</w:t>
      </w:r>
    </w:p>
    <w:p>
      <w:pPr>
        <w:spacing w:after="0" w:line="5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"TTC," "we," "us," "our," or the "Company" refer to The Toro Company;</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"Board" refer to the Board of Directors of TTC;</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meeting" refer to our 2024 Annual Meeting of Shareholders; and</w:t>
      </w:r>
    </w:p>
    <w:p>
      <w:pPr>
        <w:spacing w:after="0" w:line="49"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2023 Annual Report refer to our Annual Report to Shareholders for fiscal 2023, which includes our Annual Report on Form 10-K for the fiscal year ended October 31, 2023, being made available together with this proxy statement.</w:t>
      </w:r>
    </w:p>
    <w:p>
      <w:pPr>
        <w:spacing w:after="0" w:line="58"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Information on our website and any other websites referenced herein is not incorporated by reference into, and does not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1" w:right="37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276860</wp:posOffset>
            </wp:positionH>
            <wp:positionV relativeFrom="page">
              <wp:posOffset>740410</wp:posOffset>
            </wp:positionV>
            <wp:extent cx="7003415"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179705"/>
                    </a:xfrm>
                    <a:prstGeom prst="rect">
                      <a:avLst/>
                    </a:prstGeom>
                    <a:noFill/>
                  </pic:spPr>
                </pic:pic>
              </a:graphicData>
            </a:graphic>
          </wp:anchor>
        </w:drawing>
        <w:t>THE TORO COMPANY HIGHLIGHTS AND PROXY STATEMENT EXECUTIVE SUMMARY</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Business Overview</w:t>
      </w:r>
    </w:p>
    <w:p>
      <w:pPr>
        <w:spacing w:after="0" w:line="112"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Toro Company, founded in 1914, is a leading worldwide provider of innovative solutions for the outdoor environment including turf and landscape maintenance, snow and ice management, underground utility construction, rental and specialty construction, and irrigation and outdoor lighting solutions. With its worldwide headquarters in Bloomington, Minnesota, The Toro Company's global presence extends to more than 125 countries through a family of brands that includes Toro, Ditch Witch, Exmark, Spartan, BOSS, Ventrac, American Augers, Trencor, Pope, Subsite, HammerHead, Radius,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74295</wp:posOffset>
            </wp:positionV>
            <wp:extent cx="6129020" cy="660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29020" cy="660400"/>
                    </a:xfrm>
                    <a:prstGeom prst="rect">
                      <a:avLst/>
                    </a:prstGeom>
                    <a:noFill/>
                  </pic:spPr>
                </pic:pic>
              </a:graphicData>
            </a:graphic>
          </wp:anchor>
        </w:drawing>
      </w:r>
    </w:p>
    <w:p>
      <w:pPr>
        <w:sectPr>
          <w:pgSz w:w="11900" w:h="16838" w:orient="portrait"/>
          <w:cols w:equalWidth="0" w:num="1">
            <w:col w:w="11180"/>
          </w:cols>
          <w:pgMar w:left="320" w:top="1169" w:right="399" w:bottom="1440" w:gutter="0" w:footer="0" w:header="0"/>
        </w:sectPr>
      </w:pPr>
    </w:p>
    <w:p>
      <w:pPr>
        <w:spacing w:after="0" w:line="193" w:lineRule="exact"/>
        <w:rPr>
          <w:sz w:val="20"/>
          <w:szCs w:val="20"/>
          <w:color w:val="auto"/>
        </w:rPr>
      </w:pPr>
    </w:p>
    <w:p>
      <w:pPr>
        <w:jc w:val="center"/>
        <w:ind w:left="1000"/>
        <w:spacing w:after="0"/>
        <w:rPr>
          <w:sz w:val="20"/>
          <w:szCs w:val="20"/>
          <w:color w:val="auto"/>
        </w:rPr>
      </w:pPr>
      <w:r>
        <w:rPr>
          <w:rFonts w:ascii="Arial" w:cs="Arial" w:eastAsia="Arial" w:hAnsi="Arial"/>
          <w:sz w:val="18"/>
          <w:szCs w:val="18"/>
          <w:b w:val="1"/>
          <w:bCs w:val="1"/>
          <w:color w:val="BF2115"/>
        </w:rPr>
        <w:t>OUR PURPOSE</w:t>
      </w:r>
    </w:p>
    <w:p>
      <w:pPr>
        <w:spacing w:after="0" w:line="40" w:lineRule="exact"/>
        <w:rPr>
          <w:sz w:val="20"/>
          <w:szCs w:val="20"/>
          <w:color w:val="auto"/>
        </w:rPr>
      </w:pPr>
    </w:p>
    <w:p>
      <w:pPr>
        <w:jc w:val="center"/>
        <w:ind w:left="1000"/>
        <w:spacing w:after="0"/>
        <w:rPr>
          <w:sz w:val="20"/>
          <w:szCs w:val="20"/>
          <w:color w:val="auto"/>
        </w:rPr>
      </w:pPr>
      <w:r>
        <w:rPr>
          <w:rFonts w:ascii="Arial" w:cs="Arial" w:eastAsia="Arial" w:hAnsi="Arial"/>
          <w:sz w:val="17"/>
          <w:szCs w:val="17"/>
          <w:color w:val="auto"/>
        </w:rPr>
        <w:t>To help our customers enrich the</w:t>
      </w:r>
    </w:p>
    <w:p>
      <w:pPr>
        <w:spacing w:after="0" w:line="2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beauty, productivity and</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sustainability of the land.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BF2115"/>
        </w:rPr>
        <w:t>OUR VISION</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be the most trusted leader</w:t>
      </w:r>
    </w:p>
    <w:p>
      <w:pPr>
        <w:spacing w:after="0" w:line="32" w:lineRule="exact"/>
        <w:rPr>
          <w:sz w:val="20"/>
          <w:szCs w:val="20"/>
          <w:color w:val="auto"/>
        </w:rPr>
      </w:pPr>
    </w:p>
    <w:p>
      <w:pPr>
        <w:ind w:firstLine="453"/>
        <w:spacing w:after="0" w:line="301" w:lineRule="auto"/>
        <w:rPr>
          <w:sz w:val="20"/>
          <w:szCs w:val="20"/>
          <w:color w:val="auto"/>
        </w:rPr>
      </w:pPr>
      <w:r>
        <w:rPr>
          <w:rFonts w:ascii="Arial" w:cs="Arial" w:eastAsia="Arial" w:hAnsi="Arial"/>
          <w:sz w:val="17"/>
          <w:szCs w:val="17"/>
          <w:color w:val="auto"/>
        </w:rPr>
        <w:t>in solutions for the outdoor environment. Every day. Everywhere.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-2100580</wp:posOffset>
            </wp:positionH>
            <wp:positionV relativeFrom="paragraph">
              <wp:posOffset>69215</wp:posOffset>
            </wp:positionV>
            <wp:extent cx="6146165" cy="643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46165" cy="643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BF2115"/>
        </w:rPr>
        <w:t>OUR MISSION</w:t>
      </w:r>
    </w:p>
    <w:p>
      <w:pPr>
        <w:spacing w:after="0" w:line="40"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To deliver superior innovation and to</w:t>
      </w:r>
    </w:p>
    <w:p>
      <w:pPr>
        <w:spacing w:after="0" w:line="21"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deliver superior customer care.</w:t>
      </w:r>
    </w:p>
    <w:p>
      <w:pPr>
        <w:spacing w:after="0" w:line="490" w:lineRule="exact"/>
        <w:rPr>
          <w:sz w:val="20"/>
          <w:szCs w:val="20"/>
          <w:color w:val="auto"/>
        </w:rPr>
      </w:pPr>
    </w:p>
    <w:p>
      <w:pPr>
        <w:sectPr>
          <w:pgSz w:w="11900" w:h="16838" w:orient="portrait"/>
          <w:cols w:equalWidth="0" w:num="3">
            <w:col w:w="3600" w:space="500"/>
            <w:col w:w="2980" w:space="400"/>
            <w:col w:w="3700"/>
          </w:cols>
          <w:pgMar w:left="320" w:top="1169" w:right="3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BF2115"/>
        </w:rPr>
        <w:t>OUR GUIDING PRINCIPLES</w:t>
      </w:r>
    </w:p>
    <w:p>
      <w:pPr>
        <w:spacing w:after="0" w:line="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Our success is founded on a long history of caring relationships based on trust and integrity. These relationships are the</w:t>
      </w:r>
    </w:p>
    <w:p>
      <w:pPr>
        <w:spacing w:after="0" w:line="10" w:lineRule="exact"/>
        <w:rPr>
          <w:sz w:val="20"/>
          <w:szCs w:val="20"/>
          <w:color w:val="auto"/>
        </w:rPr>
      </w:pPr>
    </w:p>
    <w:p>
      <w:pPr>
        <w:jc w:val="center"/>
        <w:ind w:left="560" w:right="840"/>
        <w:spacing w:after="0" w:line="279" w:lineRule="auto"/>
        <w:rPr>
          <w:sz w:val="20"/>
          <w:szCs w:val="20"/>
          <w:color w:val="auto"/>
        </w:rPr>
      </w:pPr>
      <w:r>
        <w:rPr>
          <w:rFonts w:ascii="Arial" w:cs="Arial" w:eastAsia="Arial" w:hAnsi="Arial"/>
          <w:sz w:val="17"/>
          <w:szCs w:val="17"/>
          <w:color w:val="auto"/>
        </w:rPr>
        <w:t>foundation on which we build market leadership with the best in innovative products and solutions to make outdoor environments beautiful, productive, and sustainable. We are entrusted to strengthen this legacy of excellence.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Highlights of Our Financial, Operational and Strategic Achievements for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98627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86270" cy="171450"/>
                    </a:xfrm>
                    <a:prstGeom prst="rect">
                      <a:avLst/>
                    </a:prstGeom>
                    <a:noFill/>
                  </pic:spPr>
                </pic:pic>
              </a:graphicData>
            </a:graphic>
          </wp:anchor>
        </w:drawing>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Financial</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Borders>
              <w:top w:val="single" w:sz="8" w:color="BFBFBF"/>
            </w:tcBorders>
          </w:tcPr>
          <w:p>
            <w:pPr>
              <w:ind w:left="20"/>
              <w:spacing w:after="0"/>
              <w:rPr>
                <w:sz w:val="20"/>
                <w:szCs w:val="20"/>
                <w:color w:val="auto"/>
              </w:rPr>
            </w:pPr>
            <w:r>
              <w:rPr>
                <w:rFonts w:ascii="Arial" w:cs="Arial" w:eastAsia="Arial" w:hAnsi="Arial"/>
                <w:sz w:val="16"/>
                <w:szCs w:val="16"/>
                <w:b w:val="1"/>
                <w:bCs w:val="1"/>
                <w:color w:val="C00000"/>
              </w:rPr>
              <w:t>$4.55 billion</w:t>
            </w:r>
          </w:p>
        </w:tc>
        <w:tc>
          <w:tcPr>
            <w:tcW w:w="9520" w:type="dxa"/>
            <w:vAlign w:val="bottom"/>
            <w:tcBorders>
              <w:top w:val="single" w:sz="8" w:color="BFBFBF"/>
            </w:tcBorders>
          </w:tcPr>
          <w:p>
            <w:pPr>
              <w:ind w:left="480"/>
              <w:spacing w:after="0"/>
              <w:rPr>
                <w:sz w:val="20"/>
                <w:szCs w:val="20"/>
                <w:color w:val="auto"/>
              </w:rPr>
            </w:pPr>
            <w:r>
              <w:rPr>
                <w:rFonts w:ascii="Arial" w:cs="Arial" w:eastAsia="Arial" w:hAnsi="Arial"/>
                <w:sz w:val="16"/>
                <w:szCs w:val="16"/>
                <w:b w:val="1"/>
                <w:bCs w:val="1"/>
                <w:i w:val="1"/>
                <w:iCs w:val="1"/>
                <w:color w:val="auto"/>
              </w:rPr>
              <w:t>Net Sales</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9520" w:type="dxa"/>
            <w:vAlign w:val="bottom"/>
          </w:tcPr>
          <w:p>
            <w:pPr>
              <w:ind w:left="480"/>
              <w:spacing w:after="0"/>
              <w:rPr>
                <w:sz w:val="20"/>
                <w:szCs w:val="20"/>
                <w:color w:val="auto"/>
              </w:rPr>
            </w:pPr>
            <w:r>
              <w:rPr>
                <w:rFonts w:ascii="Arial" w:cs="Arial" w:eastAsia="Arial" w:hAnsi="Arial"/>
                <w:sz w:val="16"/>
                <w:szCs w:val="16"/>
                <w:color w:val="auto"/>
              </w:rPr>
              <w:t>Achieved $4.55 billion in total net sales, consisting of professional segment net sales of $3.67 billion, up 7.1% from $3.43</w:t>
            </w: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9520" w:type="dxa"/>
            <w:vAlign w:val="bottom"/>
          </w:tcPr>
          <w:p>
            <w:pPr>
              <w:ind w:left="480"/>
              <w:spacing w:after="0"/>
              <w:rPr>
                <w:sz w:val="20"/>
                <w:szCs w:val="20"/>
                <w:color w:val="auto"/>
              </w:rPr>
            </w:pPr>
            <w:r>
              <w:rPr>
                <w:rFonts w:ascii="Arial" w:cs="Arial" w:eastAsia="Arial" w:hAnsi="Arial"/>
                <w:sz w:val="16"/>
                <w:szCs w:val="16"/>
                <w:color w:val="auto"/>
              </w:rPr>
              <w:t>billion last year, and residential segment net sales of $854.2 million, down 20.1% from $1.07 billion last year.</w:t>
            </w:r>
          </w:p>
        </w:tc>
        <w:tc>
          <w:tcPr>
            <w:tcW w:w="0" w:type="dxa"/>
            <w:vAlign w:val="bottom"/>
          </w:tcPr>
          <w:p>
            <w:pPr>
              <w:spacing w:after="0"/>
              <w:rPr>
                <w:sz w:val="1"/>
                <w:szCs w:val="1"/>
                <w:color w:val="auto"/>
              </w:rPr>
            </w:pPr>
          </w:p>
        </w:tc>
      </w:tr>
      <w:tr>
        <w:trPr>
          <w:trHeight w:val="70"/>
        </w:trPr>
        <w:tc>
          <w:tcPr>
            <w:tcW w:w="1500" w:type="dxa"/>
            <w:vAlign w:val="bottom"/>
            <w:tcBorders>
              <w:bottom w:val="single" w:sz="8" w:color="BFBFBF"/>
            </w:tcBorders>
          </w:tcPr>
          <w:p>
            <w:pPr>
              <w:spacing w:after="0"/>
              <w:rPr>
                <w:sz w:val="6"/>
                <w:szCs w:val="6"/>
                <w:color w:val="auto"/>
              </w:rPr>
            </w:pPr>
          </w:p>
        </w:tc>
        <w:tc>
          <w:tcPr>
            <w:tcW w:w="9520" w:type="dxa"/>
            <w:vAlign w:val="bottom"/>
            <w:tcBorders>
              <w:bottom w:val="single" w:sz="8" w:color="BFBFBF"/>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15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C00000"/>
              </w:rPr>
              <w:t>$4.21</w:t>
            </w:r>
          </w:p>
        </w:tc>
        <w:tc>
          <w:tcPr>
            <w:tcW w:w="9520" w:type="dxa"/>
            <w:vAlign w:val="bottom"/>
            <w:shd w:val="clear" w:color="auto" w:fill="DBDBDB"/>
          </w:tcPr>
          <w:p>
            <w:pPr>
              <w:ind w:left="480"/>
              <w:spacing w:after="0"/>
              <w:rPr>
                <w:sz w:val="20"/>
                <w:szCs w:val="20"/>
                <w:color w:val="auto"/>
              </w:rPr>
            </w:pPr>
            <w:r>
              <w:rPr>
                <w:rFonts w:ascii="Arial" w:cs="Arial" w:eastAsia="Arial" w:hAnsi="Arial"/>
                <w:sz w:val="16"/>
                <w:szCs w:val="16"/>
                <w:b w:val="1"/>
                <w:bCs w:val="1"/>
                <w:i w:val="1"/>
                <w:iCs w:val="1"/>
                <w:color w:val="auto"/>
              </w:rPr>
              <w:t>Earnings Per Share</w:t>
            </w:r>
          </w:p>
        </w:tc>
        <w:tc>
          <w:tcPr>
            <w:tcW w:w="0" w:type="dxa"/>
            <w:vAlign w:val="bottom"/>
          </w:tcPr>
          <w:p>
            <w:pPr>
              <w:spacing w:after="0"/>
              <w:rPr>
                <w:sz w:val="1"/>
                <w:szCs w:val="1"/>
                <w:color w:val="auto"/>
              </w:rPr>
            </w:pPr>
          </w:p>
        </w:tc>
      </w:tr>
      <w:tr>
        <w:trPr>
          <w:trHeight w:val="215"/>
        </w:trPr>
        <w:tc>
          <w:tcPr>
            <w:tcW w:w="1500" w:type="dxa"/>
            <w:vAlign w:val="bottom"/>
            <w:shd w:val="clear" w:color="auto" w:fill="DBDBDB"/>
          </w:tcPr>
          <w:p>
            <w:pPr>
              <w:spacing w:after="0"/>
              <w:rPr>
                <w:sz w:val="18"/>
                <w:szCs w:val="18"/>
                <w:color w:val="auto"/>
              </w:rPr>
            </w:pPr>
          </w:p>
        </w:tc>
        <w:tc>
          <w:tcPr>
            <w:tcW w:w="9520" w:type="dxa"/>
            <w:vAlign w:val="bottom"/>
            <w:shd w:val="clear" w:color="auto" w:fill="DBDBDB"/>
          </w:tcPr>
          <w:p>
            <w:pPr>
              <w:ind w:left="480"/>
              <w:spacing w:after="0"/>
              <w:rPr>
                <w:sz w:val="20"/>
                <w:szCs w:val="20"/>
                <w:color w:val="auto"/>
              </w:rPr>
            </w:pPr>
            <w:r>
              <w:rPr>
                <w:rFonts w:ascii="Arial" w:cs="Arial" w:eastAsia="Arial" w:hAnsi="Arial"/>
                <w:sz w:val="16"/>
                <w:szCs w:val="16"/>
                <w:color w:val="auto"/>
              </w:rPr>
              <w:t xml:space="preserve">Achieved reported diluted earnings per share, or EPS, of $4.21 per share, an 0.2% </w:t>
            </w:r>
            <w:r>
              <w:rPr>
                <w:rFonts w:ascii="Arial" w:cs="Arial" w:eastAsia="Arial" w:hAnsi="Arial"/>
                <w:sz w:val="16"/>
                <w:szCs w:val="16"/>
                <w:color w:val="660066"/>
              </w:rPr>
              <w:t>increase</w:t>
            </w:r>
            <w:r>
              <w:rPr>
                <w:rFonts w:ascii="Arial" w:cs="Arial" w:eastAsia="Arial" w:hAnsi="Arial"/>
                <w:sz w:val="16"/>
                <w:szCs w:val="16"/>
                <w:color w:val="auto"/>
              </w:rPr>
              <w:t xml:space="preserve"> year-over-year.</w:t>
            </w:r>
          </w:p>
        </w:tc>
        <w:tc>
          <w:tcPr>
            <w:tcW w:w="0" w:type="dxa"/>
            <w:vAlign w:val="bottom"/>
          </w:tcPr>
          <w:p>
            <w:pPr>
              <w:spacing w:after="0"/>
              <w:rPr>
                <w:sz w:val="1"/>
                <w:szCs w:val="1"/>
                <w:color w:val="auto"/>
              </w:rPr>
            </w:pPr>
          </w:p>
        </w:tc>
      </w:tr>
      <w:tr>
        <w:trPr>
          <w:trHeight w:val="83"/>
        </w:trPr>
        <w:tc>
          <w:tcPr>
            <w:tcW w:w="1500" w:type="dxa"/>
            <w:vAlign w:val="bottom"/>
            <w:tcBorders>
              <w:bottom w:val="single" w:sz="8" w:color="BFBFBF"/>
            </w:tcBorders>
            <w:shd w:val="clear" w:color="auto" w:fill="DBDBDB"/>
          </w:tcPr>
          <w:p>
            <w:pPr>
              <w:spacing w:after="0"/>
              <w:rPr>
                <w:sz w:val="7"/>
                <w:szCs w:val="7"/>
                <w:color w:val="auto"/>
              </w:rPr>
            </w:pPr>
          </w:p>
        </w:tc>
        <w:tc>
          <w:tcPr>
            <w:tcW w:w="9520" w:type="dxa"/>
            <w:vAlign w:val="bottom"/>
            <w:tcBorders>
              <w:bottom w:val="single" w:sz="8" w:color="BFBFBF"/>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500" w:type="dxa"/>
            <w:vAlign w:val="bottom"/>
          </w:tcPr>
          <w:p>
            <w:pPr>
              <w:ind w:left="20"/>
              <w:spacing w:after="0"/>
              <w:rPr>
                <w:sz w:val="20"/>
                <w:szCs w:val="20"/>
                <w:color w:val="auto"/>
              </w:rPr>
            </w:pPr>
            <w:r>
              <w:rPr>
                <w:rFonts w:ascii="Arial" w:cs="Arial" w:eastAsia="Arial" w:hAnsi="Arial"/>
                <w:sz w:val="16"/>
                <w:szCs w:val="16"/>
                <w:b w:val="1"/>
                <w:bCs w:val="1"/>
                <w:color w:val="C00000"/>
              </w:rPr>
              <w:t>$0.34 share</w:t>
            </w:r>
          </w:p>
        </w:tc>
        <w:tc>
          <w:tcPr>
            <w:tcW w:w="9520" w:type="dxa"/>
            <w:vAlign w:val="bottom"/>
          </w:tcPr>
          <w:p>
            <w:pPr>
              <w:ind w:left="480"/>
              <w:spacing w:after="0"/>
              <w:rPr>
                <w:sz w:val="20"/>
                <w:szCs w:val="20"/>
                <w:color w:val="auto"/>
              </w:rPr>
            </w:pPr>
            <w:r>
              <w:rPr>
                <w:rFonts w:ascii="Arial" w:cs="Arial" w:eastAsia="Arial" w:hAnsi="Arial"/>
                <w:sz w:val="16"/>
                <w:szCs w:val="16"/>
                <w:b w:val="1"/>
                <w:bCs w:val="1"/>
                <w:i w:val="1"/>
                <w:iCs w:val="1"/>
                <w:color w:val="auto"/>
              </w:rPr>
              <w:t>Quarterly Cash Dividend</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9520" w:type="dxa"/>
            <w:vAlign w:val="bottom"/>
          </w:tcPr>
          <w:p>
            <w:pPr>
              <w:ind w:left="480"/>
              <w:spacing w:after="0"/>
              <w:rPr>
                <w:sz w:val="20"/>
                <w:szCs w:val="20"/>
                <w:color w:val="auto"/>
              </w:rPr>
            </w:pPr>
            <w:r>
              <w:rPr>
                <w:rFonts w:ascii="Arial" w:cs="Arial" w:eastAsia="Arial" w:hAnsi="Arial"/>
                <w:sz w:val="16"/>
                <w:szCs w:val="16"/>
                <w:color w:val="auto"/>
              </w:rPr>
              <w:t>Paid a $0.34 per share quarterly cash dividend, a 13% increase over our fiscal 2022 quarterly cash dividend, and announced</w:t>
            </w: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9520" w:type="dxa"/>
            <w:vAlign w:val="bottom"/>
          </w:tcPr>
          <w:p>
            <w:pPr>
              <w:ind w:left="480"/>
              <w:spacing w:after="0"/>
              <w:rPr>
                <w:sz w:val="20"/>
                <w:szCs w:val="20"/>
                <w:color w:val="auto"/>
              </w:rPr>
            </w:pPr>
            <w:r>
              <w:rPr>
                <w:rFonts w:ascii="Arial" w:cs="Arial" w:eastAsia="Arial" w:hAnsi="Arial"/>
                <w:sz w:val="16"/>
                <w:szCs w:val="16"/>
                <w:color w:val="auto"/>
              </w:rPr>
              <w:t>a $0.36 per share quarterly cash dividend for fiscal 2024</w:t>
            </w:r>
          </w:p>
        </w:tc>
        <w:tc>
          <w:tcPr>
            <w:tcW w:w="0" w:type="dxa"/>
            <w:vAlign w:val="bottom"/>
          </w:tcPr>
          <w:p>
            <w:pPr>
              <w:spacing w:after="0"/>
              <w:rPr>
                <w:sz w:val="1"/>
                <w:szCs w:val="1"/>
                <w:color w:val="auto"/>
              </w:rPr>
            </w:pPr>
          </w:p>
        </w:tc>
      </w:tr>
      <w:tr>
        <w:trPr>
          <w:trHeight w:val="43"/>
        </w:trPr>
        <w:tc>
          <w:tcPr>
            <w:tcW w:w="1500" w:type="dxa"/>
            <w:vAlign w:val="bottom"/>
          </w:tcPr>
          <w:p>
            <w:pPr>
              <w:spacing w:after="0"/>
              <w:rPr>
                <w:sz w:val="3"/>
                <w:szCs w:val="3"/>
                <w:color w:val="auto"/>
              </w:rPr>
            </w:pPr>
          </w:p>
        </w:tc>
        <w:tc>
          <w:tcPr>
            <w:tcW w:w="9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500" w:type="dxa"/>
            <w:vAlign w:val="bottom"/>
            <w:shd w:val="clear" w:color="auto" w:fill="BF2115"/>
          </w:tcPr>
          <w:p>
            <w:pPr>
              <w:ind w:left="20"/>
              <w:spacing w:after="0"/>
              <w:rPr>
                <w:sz w:val="20"/>
                <w:szCs w:val="20"/>
                <w:color w:val="auto"/>
              </w:rPr>
            </w:pPr>
            <w:r>
              <w:rPr>
                <w:rFonts w:ascii="Arial" w:cs="Arial" w:eastAsia="Arial" w:hAnsi="Arial"/>
                <w:sz w:val="18"/>
                <w:szCs w:val="18"/>
                <w:b w:val="1"/>
                <w:bCs w:val="1"/>
                <w:color w:val="FFFFFF"/>
              </w:rPr>
              <w:t>Operational</w:t>
            </w:r>
          </w:p>
        </w:tc>
        <w:tc>
          <w:tcPr>
            <w:tcW w:w="9520" w:type="dxa"/>
            <w:vAlign w:val="bottom"/>
            <w:shd w:val="clear" w:color="auto" w:fill="BF2115"/>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500" w:type="dxa"/>
            <w:vAlign w:val="bottom"/>
            <w:vMerge w:val="restart"/>
          </w:tcPr>
          <w:p>
            <w:pPr>
              <w:ind w:left="20"/>
              <w:spacing w:after="0" w:line="291" w:lineRule="exact"/>
              <w:rPr>
                <w:sz w:val="20"/>
                <w:szCs w:val="20"/>
                <w:color w:val="auto"/>
              </w:rPr>
            </w:pPr>
            <w:r>
              <w:rPr>
                <w:rFonts w:ascii="MS PGothic" w:cs="MS PGothic" w:eastAsia="MS PGothic" w:hAnsi="MS PGothic"/>
                <w:sz w:val="29"/>
                <w:szCs w:val="29"/>
                <w:color w:val="auto"/>
                <w:shd w:val="clear" w:color="auto" w:fill="C00000"/>
              </w:rPr>
              <w:t>✓</w:t>
            </w:r>
          </w:p>
        </w:tc>
        <w:tc>
          <w:tcPr>
            <w:tcW w:w="9520" w:type="dxa"/>
            <w:vAlign w:val="bottom"/>
          </w:tcPr>
          <w:p>
            <w:pPr>
              <w:ind w:left="480"/>
              <w:spacing w:after="0"/>
              <w:rPr>
                <w:sz w:val="20"/>
                <w:szCs w:val="20"/>
                <w:color w:val="auto"/>
              </w:rPr>
            </w:pPr>
            <w:r>
              <w:rPr>
                <w:rFonts w:ascii="Arial" w:cs="Arial" w:eastAsia="Arial" w:hAnsi="Arial"/>
                <w:sz w:val="16"/>
                <w:szCs w:val="16"/>
                <w:b w:val="1"/>
                <w:bCs w:val="1"/>
                <w:i w:val="1"/>
                <w:iCs w:val="1"/>
                <w:color w:val="auto"/>
              </w:rPr>
              <w:t>Drive for Five</w:t>
            </w:r>
          </w:p>
        </w:tc>
        <w:tc>
          <w:tcPr>
            <w:tcW w:w="0" w:type="dxa"/>
            <w:vAlign w:val="bottom"/>
          </w:tcPr>
          <w:p>
            <w:pPr>
              <w:spacing w:after="0"/>
              <w:rPr>
                <w:sz w:val="1"/>
                <w:szCs w:val="1"/>
                <w:color w:val="auto"/>
              </w:rPr>
            </w:pPr>
          </w:p>
        </w:tc>
      </w:tr>
      <w:tr>
        <w:trPr>
          <w:trHeight w:val="189"/>
        </w:trPr>
        <w:tc>
          <w:tcPr>
            <w:tcW w:w="1500" w:type="dxa"/>
            <w:vAlign w:val="bottom"/>
            <w:vMerge w:val="continue"/>
          </w:tcPr>
          <w:p>
            <w:pPr>
              <w:spacing w:after="0"/>
              <w:rPr>
                <w:sz w:val="16"/>
                <w:szCs w:val="16"/>
                <w:color w:val="auto"/>
              </w:rPr>
            </w:pPr>
          </w:p>
        </w:tc>
        <w:tc>
          <w:tcPr>
            <w:tcW w:w="9520" w:type="dxa"/>
            <w:vAlign w:val="bottom"/>
          </w:tcPr>
          <w:p>
            <w:pPr>
              <w:ind w:left="480"/>
              <w:spacing w:after="0"/>
              <w:rPr>
                <w:sz w:val="20"/>
                <w:szCs w:val="20"/>
                <w:color w:val="auto"/>
              </w:rPr>
            </w:pPr>
            <w:r>
              <w:rPr>
                <w:rFonts w:ascii="Arial" w:cs="Arial" w:eastAsia="Arial" w:hAnsi="Arial"/>
                <w:sz w:val="16"/>
                <w:szCs w:val="16"/>
                <w:color w:val="auto"/>
              </w:rPr>
              <w:t>Continued our multi-year employee initiative, "Drive for Five," intended to align and engage employees on furthering our</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9520" w:type="dxa"/>
            <w:vAlign w:val="bottom"/>
          </w:tcPr>
          <w:p>
            <w:pPr>
              <w:ind w:left="480"/>
              <w:spacing w:after="0"/>
              <w:rPr>
                <w:sz w:val="20"/>
                <w:szCs w:val="20"/>
                <w:color w:val="auto"/>
              </w:rPr>
            </w:pPr>
            <w:r>
              <w:rPr>
                <w:rFonts w:ascii="Arial" w:cs="Arial" w:eastAsia="Arial" w:hAnsi="Arial"/>
                <w:sz w:val="16"/>
                <w:szCs w:val="16"/>
                <w:color w:val="auto"/>
              </w:rPr>
              <w:t>strategic growth by offering innovative business and product categories to serve our customers. The core focus of this</w:t>
            </w: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9520" w:type="dxa"/>
            <w:vAlign w:val="bottom"/>
          </w:tcPr>
          <w:p>
            <w:pPr>
              <w:ind w:left="480"/>
              <w:spacing w:after="0" w:line="175" w:lineRule="exact"/>
              <w:rPr>
                <w:sz w:val="20"/>
                <w:szCs w:val="20"/>
                <w:color w:val="auto"/>
              </w:rPr>
            </w:pPr>
            <w:r>
              <w:rPr>
                <w:rFonts w:ascii="Arial" w:cs="Arial" w:eastAsia="Arial" w:hAnsi="Arial"/>
                <w:sz w:val="16"/>
                <w:szCs w:val="16"/>
                <w:color w:val="auto"/>
              </w:rPr>
              <w:t>initiative is our goal of exceeding $5.0 billion in net sales through organic growth, while continuing our focus on improving</w:t>
            </w: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9520" w:type="dxa"/>
            <w:vAlign w:val="bottom"/>
          </w:tcPr>
          <w:p>
            <w:pPr>
              <w:ind w:left="480"/>
              <w:spacing w:after="0"/>
              <w:rPr>
                <w:sz w:val="20"/>
                <w:szCs w:val="20"/>
                <w:color w:val="auto"/>
              </w:rPr>
            </w:pPr>
            <w:r>
              <w:rPr>
                <w:rFonts w:ascii="Arial" w:cs="Arial" w:eastAsia="Arial" w:hAnsi="Arial"/>
                <w:sz w:val="16"/>
                <w:szCs w:val="16"/>
                <w:color w:val="auto"/>
              </w:rPr>
              <w:t>profitability, by the end of fiscal 2024.</w:t>
            </w:r>
          </w:p>
        </w:tc>
        <w:tc>
          <w:tcPr>
            <w:tcW w:w="0" w:type="dxa"/>
            <w:vAlign w:val="bottom"/>
          </w:tcPr>
          <w:p>
            <w:pPr>
              <w:spacing w:after="0"/>
              <w:rPr>
                <w:sz w:val="1"/>
                <w:szCs w:val="1"/>
                <w:color w:val="auto"/>
              </w:rPr>
            </w:pPr>
          </w:p>
        </w:tc>
      </w:tr>
      <w:tr>
        <w:trPr>
          <w:trHeight w:val="83"/>
        </w:trPr>
        <w:tc>
          <w:tcPr>
            <w:tcW w:w="1500" w:type="dxa"/>
            <w:vAlign w:val="bottom"/>
          </w:tcPr>
          <w:p>
            <w:pPr>
              <w:spacing w:after="0"/>
              <w:rPr>
                <w:sz w:val="7"/>
                <w:szCs w:val="7"/>
                <w:color w:val="auto"/>
              </w:rPr>
            </w:pPr>
          </w:p>
        </w:tc>
        <w:tc>
          <w:tcPr>
            <w:tcW w:w="9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500" w:type="dxa"/>
            <w:vAlign w:val="bottom"/>
            <w:vMerge w:val="restart"/>
            <w:shd w:val="clear" w:color="auto" w:fill="DBDBDB"/>
          </w:tcPr>
          <w:p>
            <w:pPr>
              <w:ind w:left="20"/>
              <w:spacing w:after="0" w:line="291" w:lineRule="exact"/>
              <w:rPr>
                <w:sz w:val="20"/>
                <w:szCs w:val="20"/>
                <w:color w:val="auto"/>
              </w:rPr>
            </w:pPr>
            <w:r>
              <w:rPr>
                <w:rFonts w:ascii="MS PGothic" w:cs="MS PGothic" w:eastAsia="MS PGothic" w:hAnsi="MS PGothic"/>
                <w:sz w:val="29"/>
                <w:szCs w:val="29"/>
                <w:color w:val="auto"/>
                <w:shd w:val="clear" w:color="auto" w:fill="C00000"/>
              </w:rPr>
              <w:t>✓</w:t>
            </w:r>
          </w:p>
        </w:tc>
        <w:tc>
          <w:tcPr>
            <w:tcW w:w="9520" w:type="dxa"/>
            <w:vAlign w:val="bottom"/>
            <w:shd w:val="clear" w:color="auto" w:fill="DBDBDB"/>
          </w:tcPr>
          <w:p>
            <w:pPr>
              <w:ind w:left="480"/>
              <w:spacing w:after="0"/>
              <w:rPr>
                <w:sz w:val="20"/>
                <w:szCs w:val="20"/>
                <w:color w:val="auto"/>
              </w:rPr>
            </w:pPr>
            <w:r>
              <w:rPr>
                <w:rFonts w:ascii="Arial" w:cs="Arial" w:eastAsia="Arial" w:hAnsi="Arial"/>
                <w:sz w:val="16"/>
                <w:szCs w:val="16"/>
                <w:b w:val="1"/>
                <w:bCs w:val="1"/>
                <w:i w:val="1"/>
                <w:iCs w:val="1"/>
                <w:color w:val="auto"/>
              </w:rPr>
              <w:t>Sustainability Endures</w:t>
            </w:r>
          </w:p>
        </w:tc>
        <w:tc>
          <w:tcPr>
            <w:tcW w:w="0" w:type="dxa"/>
            <w:vAlign w:val="bottom"/>
          </w:tcPr>
          <w:p>
            <w:pPr>
              <w:spacing w:after="0"/>
              <w:rPr>
                <w:sz w:val="1"/>
                <w:szCs w:val="1"/>
                <w:color w:val="auto"/>
              </w:rPr>
            </w:pPr>
          </w:p>
        </w:tc>
      </w:tr>
      <w:tr>
        <w:trPr>
          <w:trHeight w:val="189"/>
        </w:trPr>
        <w:tc>
          <w:tcPr>
            <w:tcW w:w="1500" w:type="dxa"/>
            <w:vAlign w:val="bottom"/>
            <w:vMerge w:val="continue"/>
            <w:shd w:val="clear" w:color="auto" w:fill="DBDBDB"/>
          </w:tcPr>
          <w:p>
            <w:pPr>
              <w:spacing w:after="0"/>
              <w:rPr>
                <w:sz w:val="16"/>
                <w:szCs w:val="16"/>
                <w:color w:val="auto"/>
              </w:rPr>
            </w:pPr>
          </w:p>
        </w:tc>
        <w:tc>
          <w:tcPr>
            <w:tcW w:w="9520" w:type="dxa"/>
            <w:vAlign w:val="bottom"/>
            <w:shd w:val="clear" w:color="auto" w:fill="DBDBDB"/>
          </w:tcPr>
          <w:p>
            <w:pPr>
              <w:ind w:left="480"/>
              <w:spacing w:after="0"/>
              <w:rPr>
                <w:sz w:val="20"/>
                <w:szCs w:val="20"/>
                <w:color w:val="auto"/>
              </w:rPr>
            </w:pPr>
            <w:r>
              <w:rPr>
                <w:rFonts w:ascii="Arial" w:cs="Arial" w:eastAsia="Arial" w:hAnsi="Arial"/>
                <w:sz w:val="16"/>
                <w:szCs w:val="16"/>
                <w:color w:val="auto"/>
              </w:rPr>
              <w:t>Released our fiscal 2022 Sustainability Report in June 2023, which highlights key achievements, metrics and sustainability</w:t>
            </w:r>
          </w:p>
        </w:tc>
        <w:tc>
          <w:tcPr>
            <w:tcW w:w="0" w:type="dxa"/>
            <w:vAlign w:val="bottom"/>
          </w:tcPr>
          <w:p>
            <w:pPr>
              <w:spacing w:after="0"/>
              <w:rPr>
                <w:sz w:val="1"/>
                <w:szCs w:val="1"/>
                <w:color w:val="auto"/>
              </w:rPr>
            </w:pPr>
          </w:p>
        </w:tc>
      </w:tr>
      <w:tr>
        <w:trPr>
          <w:trHeight w:val="189"/>
        </w:trPr>
        <w:tc>
          <w:tcPr>
            <w:tcW w:w="1500" w:type="dxa"/>
            <w:vAlign w:val="bottom"/>
            <w:shd w:val="clear" w:color="auto" w:fill="DBDBDB"/>
          </w:tcPr>
          <w:p>
            <w:pPr>
              <w:spacing w:after="0"/>
              <w:rPr>
                <w:sz w:val="16"/>
                <w:szCs w:val="16"/>
                <w:color w:val="auto"/>
              </w:rPr>
            </w:pPr>
          </w:p>
        </w:tc>
        <w:tc>
          <w:tcPr>
            <w:tcW w:w="9520" w:type="dxa"/>
            <w:vAlign w:val="bottom"/>
            <w:shd w:val="clear" w:color="auto" w:fill="DBDBDB"/>
          </w:tcPr>
          <w:p>
            <w:pPr>
              <w:ind w:left="480"/>
              <w:spacing w:after="0"/>
              <w:rPr>
                <w:sz w:val="20"/>
                <w:szCs w:val="20"/>
                <w:color w:val="auto"/>
              </w:rPr>
            </w:pPr>
            <w:r>
              <w:rPr>
                <w:rFonts w:ascii="Arial" w:cs="Arial" w:eastAsia="Arial" w:hAnsi="Arial"/>
                <w:sz w:val="16"/>
                <w:szCs w:val="16"/>
                <w:color w:val="auto"/>
              </w:rPr>
              <w:t>goals as part of our Sustainability Endures strategic initiative. The report builds on our longstanding commitment to making a</w:t>
            </w:r>
          </w:p>
        </w:tc>
        <w:tc>
          <w:tcPr>
            <w:tcW w:w="0" w:type="dxa"/>
            <w:vAlign w:val="bottom"/>
          </w:tcPr>
          <w:p>
            <w:pPr>
              <w:spacing w:after="0"/>
              <w:rPr>
                <w:sz w:val="1"/>
                <w:szCs w:val="1"/>
                <w:color w:val="auto"/>
              </w:rPr>
            </w:pPr>
          </w:p>
        </w:tc>
      </w:tr>
      <w:tr>
        <w:trPr>
          <w:trHeight w:val="215"/>
        </w:trPr>
        <w:tc>
          <w:tcPr>
            <w:tcW w:w="1500" w:type="dxa"/>
            <w:vAlign w:val="bottom"/>
            <w:shd w:val="clear" w:color="auto" w:fill="DBDBDB"/>
          </w:tcPr>
          <w:p>
            <w:pPr>
              <w:spacing w:after="0"/>
              <w:rPr>
                <w:sz w:val="18"/>
                <w:szCs w:val="18"/>
                <w:color w:val="auto"/>
              </w:rPr>
            </w:pPr>
          </w:p>
        </w:tc>
        <w:tc>
          <w:tcPr>
            <w:tcW w:w="9520" w:type="dxa"/>
            <w:vAlign w:val="bottom"/>
            <w:shd w:val="clear" w:color="auto" w:fill="DBDBDB"/>
          </w:tcPr>
          <w:p>
            <w:pPr>
              <w:ind w:left="480"/>
              <w:spacing w:after="0"/>
              <w:rPr>
                <w:sz w:val="20"/>
                <w:szCs w:val="20"/>
                <w:color w:val="auto"/>
              </w:rPr>
            </w:pPr>
            <w:r>
              <w:rPr>
                <w:rFonts w:ascii="Arial" w:cs="Arial" w:eastAsia="Arial" w:hAnsi="Arial"/>
                <w:sz w:val="16"/>
                <w:szCs w:val="16"/>
                <w:color w:val="auto"/>
              </w:rPr>
              <w:t>positive impact financially, socially and environmentally worldwide.</w:t>
            </w:r>
          </w:p>
        </w:tc>
        <w:tc>
          <w:tcPr>
            <w:tcW w:w="0" w:type="dxa"/>
            <w:vAlign w:val="bottom"/>
          </w:tcPr>
          <w:p>
            <w:pPr>
              <w:spacing w:after="0"/>
              <w:rPr>
                <w:sz w:val="1"/>
                <w:szCs w:val="1"/>
                <w:color w:val="auto"/>
              </w:rPr>
            </w:pPr>
          </w:p>
        </w:tc>
      </w:tr>
      <w:tr>
        <w:trPr>
          <w:trHeight w:val="43"/>
        </w:trPr>
        <w:tc>
          <w:tcPr>
            <w:tcW w:w="1500" w:type="dxa"/>
            <w:vAlign w:val="bottom"/>
            <w:shd w:val="clear" w:color="auto" w:fill="DBDBDB"/>
          </w:tcPr>
          <w:p>
            <w:pPr>
              <w:spacing w:after="0"/>
              <w:rPr>
                <w:sz w:val="3"/>
                <w:szCs w:val="3"/>
                <w:color w:val="auto"/>
              </w:rPr>
            </w:pPr>
          </w:p>
        </w:tc>
        <w:tc>
          <w:tcPr>
            <w:tcW w:w="9520" w:type="dxa"/>
            <w:vAlign w:val="bottom"/>
            <w:shd w:val="clear" w:color="auto" w:fill="DBDBDB"/>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9" w:right="39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740410</wp:posOffset>
            </wp:positionV>
            <wp:extent cx="698627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86270" cy="171450"/>
                    </a:xfrm>
                    <a:prstGeom prst="rect">
                      <a:avLst/>
                    </a:prstGeom>
                    <a:noFill/>
                  </pic:spPr>
                </pic:pic>
              </a:graphicData>
            </a:graphic>
          </wp:anchor>
        </w:drawing>
        <w:t>Strategic</w:t>
      </w:r>
    </w:p>
    <w:p>
      <w:pPr>
        <w:sectPr>
          <w:pgSz w:w="11900" w:h="16838" w:orient="portrait"/>
          <w:cols w:equalWidth="0" w:num="1">
            <w:col w:w="11100"/>
          </w:cols>
          <w:pgMar w:left="320" w:top="1187" w:right="479" w:bottom="1440" w:gutter="0" w:footer="0" w:header="0"/>
        </w:sectPr>
      </w:pPr>
    </w:p>
    <w:p>
      <w:pPr>
        <w:spacing w:after="0" w:line="40" w:lineRule="exact"/>
        <w:rPr>
          <w:sz w:val="20"/>
          <w:szCs w:val="20"/>
          <w:color w:val="auto"/>
        </w:rPr>
      </w:pPr>
    </w:p>
    <w:p>
      <w:pPr>
        <w:ind w:left="20"/>
        <w:spacing w:after="0" w:line="241" w:lineRule="exact"/>
        <w:rPr>
          <w:sz w:val="20"/>
          <w:szCs w:val="20"/>
          <w:color w:val="auto"/>
        </w:rPr>
      </w:pPr>
      <w:r>
        <w:rPr>
          <w:rFonts w:ascii="MS PGothic" w:cs="MS PGothic" w:eastAsia="MS PGothic" w:hAnsi="MS PGothic"/>
          <w:sz w:val="24"/>
          <w:szCs w:val="24"/>
          <w:color w:val="auto"/>
          <w:shd w:val="clear" w:color="auto" w:fill="C00000"/>
        </w:rPr>
        <w:t>✓</w:t>
      </w:r>
    </w:p>
    <w:p>
      <w:pPr>
        <w:spacing w:after="0" w:line="200" w:lineRule="exact"/>
        <w:rPr>
          <w:sz w:val="20"/>
          <w:szCs w:val="20"/>
          <w:color w:val="auto"/>
        </w:rPr>
      </w:pPr>
    </w:p>
    <w:p>
      <w:pPr>
        <w:spacing w:after="0" w:line="248" w:lineRule="exact"/>
        <w:rPr>
          <w:sz w:val="20"/>
          <w:szCs w:val="20"/>
          <w:color w:val="auto"/>
        </w:rPr>
      </w:pPr>
    </w:p>
    <w:p>
      <w:pPr>
        <w:ind w:left="20"/>
        <w:spacing w:after="0" w:line="241" w:lineRule="exact"/>
        <w:rPr>
          <w:sz w:val="20"/>
          <w:szCs w:val="20"/>
          <w:color w:val="auto"/>
        </w:rPr>
      </w:pPr>
      <w:r>
        <w:rPr>
          <w:rFonts w:ascii="MS PGothic" w:cs="MS PGothic" w:eastAsia="MS PGothic" w:hAnsi="MS PGothic"/>
          <w:sz w:val="24"/>
          <w:szCs w:val="24"/>
          <w:color w:val="auto"/>
          <w:shd w:val="clear" w:color="auto" w:fill="C00000"/>
        </w:rPr>
        <w:t>✓</w:t>
      </w:r>
    </w:p>
    <w:p>
      <w:pPr>
        <w:spacing w:after="0" w:line="300" w:lineRule="exact"/>
        <w:rPr>
          <w:sz w:val="20"/>
          <w:szCs w:val="20"/>
          <w:color w:val="auto"/>
        </w:rPr>
      </w:pPr>
    </w:p>
    <w:p>
      <w:pPr>
        <w:ind w:left="20"/>
        <w:spacing w:after="0" w:line="241" w:lineRule="exact"/>
        <w:rPr>
          <w:sz w:val="20"/>
          <w:szCs w:val="20"/>
          <w:color w:val="auto"/>
        </w:rPr>
      </w:pPr>
      <w:r>
        <w:rPr>
          <w:rFonts w:ascii="MS PGothic" w:cs="MS PGothic" w:eastAsia="MS PGothic" w:hAnsi="MS PGothic"/>
          <w:sz w:val="24"/>
          <w:szCs w:val="24"/>
          <w:color w:val="auto"/>
          <w:shd w:val="clear" w:color="auto" w:fill="C00000"/>
        </w:rPr>
        <w: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Accelerating Profitable Growth, Driving Productivity and Operational Excellence and Empowering our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-142875</wp:posOffset>
            </wp:positionV>
            <wp:extent cx="69862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17"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Continued our key strategic priorities of accelerating profitable growth, driving productivity and operational excellence, and empowering our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51435</wp:posOffset>
            </wp:positionV>
            <wp:extent cx="6986270" cy="351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86270" cy="35115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Investment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We invested $173.9 million in R&amp;D initiatives, an 11.8% increase over fiscal 2022.</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Continued Focus on Alternative Power, Smart-Connected Products and Autonomous Solutions</w:t>
      </w:r>
    </w:p>
    <w:p>
      <w:pPr>
        <w:spacing w:after="0" w:line="37"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Our creative, hard-working teams drove innovative advancements in technology, focusing on alternative power, smart-connected products and autonomous solutions. This culminated in the launch of our first commercial-grade, battery-powered, zero-emissions stand-on and zero-turn mowers and the showcasing of several autonomous prototypes.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55245</wp:posOffset>
            </wp:positionV>
            <wp:extent cx="69862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00" w:space="720"/>
            <w:col w:w="9280"/>
          </w:cols>
          <w:pgMar w:left="320" w:top="1187" w:right="47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The Toro Company's Commitment to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100330</wp:posOffset>
            </wp:positionV>
            <wp:extent cx="6951980" cy="1165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51980" cy="1165860"/>
                    </a:xfrm>
                    <a:prstGeom prst="rect">
                      <a:avLst/>
                    </a:prstGeom>
                    <a:noFill/>
                  </pic:spPr>
                </pic:pic>
              </a:graphicData>
            </a:graphic>
          </wp:anchor>
        </w:drawing>
      </w:r>
    </w:p>
    <w:p>
      <w:pPr>
        <w:spacing w:after="0" w:line="241" w:lineRule="exact"/>
        <w:rPr>
          <w:sz w:val="20"/>
          <w:szCs w:val="20"/>
          <w:color w:val="auto"/>
        </w:rPr>
      </w:pPr>
    </w:p>
    <w:p>
      <w:pPr>
        <w:ind w:left="420" w:hanging="232"/>
        <w:spacing w:after="0"/>
        <w:tabs>
          <w:tab w:leader="none" w:pos="420" w:val="left"/>
        </w:tabs>
        <w:numPr>
          <w:ilvl w:val="0"/>
          <w:numId w:val="7"/>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Deeply rooted in our purpose and strategic business priorities</w:t>
      </w:r>
    </w:p>
    <w:p>
      <w:pPr>
        <w:spacing w:after="0" w:line="73" w:lineRule="exact"/>
        <w:rPr>
          <w:rFonts w:ascii="MS PGothic" w:cs="MS PGothic" w:eastAsia="MS PGothic" w:hAnsi="MS PGothic"/>
          <w:sz w:val="20"/>
          <w:szCs w:val="20"/>
          <w:color w:val="auto"/>
          <w:shd w:val="clear" w:color="auto" w:fill="C00000"/>
        </w:rPr>
      </w:pPr>
    </w:p>
    <w:p>
      <w:pPr>
        <w:ind w:left="420" w:hanging="232"/>
        <w:spacing w:after="0"/>
        <w:tabs>
          <w:tab w:leader="none" w:pos="420" w:val="left"/>
        </w:tabs>
        <w:numPr>
          <w:ilvl w:val="0"/>
          <w:numId w:val="7"/>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Continuing to advance our sustainability goals through our focus on Product, Process and People, facilitated by Planning</w:t>
      </w:r>
    </w:p>
    <w:p>
      <w:pPr>
        <w:spacing w:after="0" w:line="73" w:lineRule="exact"/>
        <w:rPr>
          <w:rFonts w:ascii="MS PGothic" w:cs="MS PGothic" w:eastAsia="MS PGothic" w:hAnsi="MS PGothic"/>
          <w:sz w:val="20"/>
          <w:szCs w:val="20"/>
          <w:color w:val="auto"/>
          <w:shd w:val="clear" w:color="auto" w:fill="C00000"/>
        </w:rPr>
      </w:pPr>
    </w:p>
    <w:p>
      <w:pPr>
        <w:ind w:left="420" w:hanging="232"/>
        <w:spacing w:after="0"/>
        <w:tabs>
          <w:tab w:leader="none" w:pos="420" w:val="left"/>
        </w:tabs>
        <w:numPr>
          <w:ilvl w:val="0"/>
          <w:numId w:val="7"/>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Demonstrating our commitment with an executive leadership role leading our efforts and enhancing our focus</w:t>
      </w:r>
    </w:p>
    <w:p>
      <w:pPr>
        <w:spacing w:after="0" w:line="60" w:lineRule="exact"/>
        <w:rPr>
          <w:rFonts w:ascii="MS PGothic" w:cs="MS PGothic" w:eastAsia="MS PGothic" w:hAnsi="MS PGothic"/>
          <w:sz w:val="20"/>
          <w:szCs w:val="20"/>
          <w:color w:val="auto"/>
          <w:shd w:val="clear" w:color="auto" w:fill="C00000"/>
        </w:rPr>
      </w:pPr>
    </w:p>
    <w:p>
      <w:pPr>
        <w:ind w:left="420" w:hanging="232"/>
        <w:spacing w:after="0"/>
        <w:tabs>
          <w:tab w:leader="none" w:pos="420" w:val="left"/>
        </w:tabs>
        <w:numPr>
          <w:ilvl w:val="0"/>
          <w:numId w:val="7"/>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Released our fiscal 2022 Sustainability Report in June 2023</w:t>
      </w:r>
    </w:p>
    <w:p>
      <w:pPr>
        <w:spacing w:after="0" w:line="72" w:lineRule="exact"/>
        <w:rPr>
          <w:rFonts w:ascii="MS PGothic" w:cs="MS PGothic" w:eastAsia="MS PGothic" w:hAnsi="MS PGothic"/>
          <w:sz w:val="20"/>
          <w:szCs w:val="20"/>
          <w:color w:val="auto"/>
          <w:shd w:val="clear" w:color="auto" w:fill="C00000"/>
        </w:rPr>
      </w:pPr>
    </w:p>
    <w:p>
      <w:pPr>
        <w:ind w:left="420" w:hanging="232"/>
        <w:spacing w:after="0"/>
        <w:tabs>
          <w:tab w:leader="none" w:pos="420" w:val="left"/>
        </w:tabs>
        <w:numPr>
          <w:ilvl w:val="0"/>
          <w:numId w:val="7"/>
        </w:numPr>
        <w:rPr>
          <w:rFonts w:ascii="MS PGothic" w:cs="MS PGothic" w:eastAsia="MS PGothic" w:hAnsi="MS PGothic"/>
          <w:sz w:val="19"/>
          <w:szCs w:val="19"/>
          <w:color w:val="auto"/>
          <w:shd w:val="clear" w:color="auto" w:fill="C00000"/>
        </w:rPr>
      </w:pPr>
      <w:r>
        <w:rPr>
          <w:rFonts w:ascii="Arial" w:cs="Arial" w:eastAsia="Arial" w:hAnsi="Arial"/>
          <w:sz w:val="17"/>
          <w:szCs w:val="17"/>
          <w:color w:val="auto"/>
        </w:rPr>
        <w:t>Aligned our priorities with six United Nations Sustainable Development Goals to address environmental and social issues globally</w:t>
      </w:r>
    </w:p>
    <w:p>
      <w:pPr>
        <w:spacing w:after="0" w:line="84" w:lineRule="exact"/>
        <w:rPr>
          <w:rFonts w:ascii="MS PGothic" w:cs="MS PGothic" w:eastAsia="MS PGothic" w:hAnsi="MS PGothic"/>
          <w:sz w:val="19"/>
          <w:szCs w:val="19"/>
          <w:color w:val="auto"/>
          <w:shd w:val="clear" w:color="auto" w:fill="C00000"/>
        </w:rPr>
      </w:pPr>
    </w:p>
    <w:p>
      <w:pPr>
        <w:ind w:left="420" w:hanging="232"/>
        <w:spacing w:after="0"/>
        <w:tabs>
          <w:tab w:leader="none" w:pos="420" w:val="left"/>
        </w:tabs>
        <w:numPr>
          <w:ilvl w:val="0"/>
          <w:numId w:val="7"/>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Conducted ESG materiality assessment to engage internal and external stakeholders to confirm our sustainability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144145</wp:posOffset>
            </wp:positionV>
            <wp:extent cx="6995160" cy="1783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83080"/>
                    </a:xfrm>
                    <a:prstGeom prst="rect">
                      <a:avLst/>
                    </a:prstGeom>
                    <a:noFill/>
                  </pic:spPr>
                </pic:pic>
              </a:graphicData>
            </a:graphic>
          </wp:anchor>
        </w:drawing>
      </w:r>
    </w:p>
    <w:p>
      <w:pPr>
        <w:sectPr>
          <w:pgSz w:w="11900" w:h="16838" w:orient="portrait"/>
          <w:cols w:equalWidth="0" w:num="1">
            <w:col w:w="11100"/>
          </w:cols>
          <w:pgMar w:left="320" w:top="1187" w:right="479" w:bottom="1440" w:gutter="0" w:footer="0" w:header="0"/>
          <w:type w:val="continuous"/>
        </w:sectPr>
      </w:pPr>
    </w:p>
    <w:p>
      <w:pPr>
        <w:spacing w:after="0" w:line="262" w:lineRule="exact"/>
        <w:rPr>
          <w:sz w:val="20"/>
          <w:szCs w:val="20"/>
          <w:color w:val="auto"/>
        </w:rPr>
      </w:pPr>
    </w:p>
    <w:p>
      <w:pPr>
        <w:ind w:left="160"/>
        <w:spacing w:after="0" w:line="271" w:lineRule="auto"/>
        <w:rPr>
          <w:sz w:val="20"/>
          <w:szCs w:val="20"/>
          <w:color w:val="auto"/>
        </w:rPr>
      </w:pPr>
      <w:r>
        <w:rPr>
          <w:rFonts w:ascii="Arial" w:cs="Arial" w:eastAsia="Arial" w:hAnsi="Arial"/>
          <w:sz w:val="17"/>
          <w:szCs w:val="17"/>
          <w:b w:val="1"/>
          <w:bCs w:val="1"/>
          <w:color w:val="C00000"/>
        </w:rPr>
        <w:t xml:space="preserve">PRODUCTS: </w:t>
      </w:r>
      <w:r>
        <w:rPr>
          <w:rFonts w:ascii="Arial" w:cs="Arial" w:eastAsia="Arial" w:hAnsi="Arial"/>
          <w:sz w:val="17"/>
          <w:szCs w:val="17"/>
          <w:color w:val="000000"/>
        </w:rPr>
        <w:t>Develop innovative, safe</w:t>
      </w:r>
      <w:r>
        <w:rPr>
          <w:rFonts w:ascii="Arial" w:cs="Arial" w:eastAsia="Arial" w:hAnsi="Arial"/>
          <w:sz w:val="17"/>
          <w:szCs w:val="17"/>
          <w:b w:val="1"/>
          <w:bCs w:val="1"/>
          <w:color w:val="C00000"/>
        </w:rPr>
        <w:t xml:space="preserve"> </w:t>
      </w:r>
      <w:r>
        <w:rPr>
          <w:rFonts w:ascii="Arial" w:cs="Arial" w:eastAsia="Arial" w:hAnsi="Arial"/>
          <w:sz w:val="17"/>
          <w:szCs w:val="17"/>
          <w:color w:val="000000"/>
        </w:rPr>
        <w:t>and high-quality products that yield performance, productivity and environmental benefits for our customers</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C00000"/>
        </w:rPr>
        <w:t>Product Pillar Goal:</w:t>
      </w:r>
    </w:p>
    <w:p>
      <w:pPr>
        <w:spacing w:after="0" w:line="27" w:lineRule="exact"/>
        <w:rPr>
          <w:sz w:val="20"/>
          <w:szCs w:val="20"/>
          <w:color w:val="auto"/>
        </w:rPr>
      </w:pPr>
    </w:p>
    <w:p>
      <w:pPr>
        <w:ind w:left="160" w:right="260"/>
        <w:spacing w:after="0" w:line="245" w:lineRule="auto"/>
        <w:rPr>
          <w:sz w:val="20"/>
          <w:szCs w:val="20"/>
          <w:color w:val="auto"/>
        </w:rPr>
      </w:pPr>
      <w:r>
        <w:rPr>
          <w:rFonts w:ascii="Arial" w:cs="Arial" w:eastAsia="Arial" w:hAnsi="Arial"/>
          <w:sz w:val="18"/>
          <w:szCs w:val="18"/>
          <w:color w:val="auto"/>
        </w:rPr>
        <w:t>By 2025, increase battery and hybrid product sales to at least 20% of total adjusted net sales (motorized product sales)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C00000"/>
        </w:rPr>
        <w:t xml:space="preserve">PROCESS: </w:t>
      </w:r>
      <w:r>
        <w:rPr>
          <w:rFonts w:ascii="Arial" w:cs="Arial" w:eastAsia="Arial" w:hAnsi="Arial"/>
          <w:sz w:val="18"/>
          <w:szCs w:val="18"/>
          <w:color w:val="000000"/>
        </w:rPr>
        <w:t>Continuously improve</w:t>
      </w:r>
      <w:r>
        <w:rPr>
          <w:rFonts w:ascii="Arial" w:cs="Arial" w:eastAsia="Arial" w:hAnsi="Arial"/>
          <w:sz w:val="18"/>
          <w:szCs w:val="18"/>
          <w:b w:val="1"/>
          <w:bCs w:val="1"/>
          <w:color w:val="C00000"/>
        </w:rPr>
        <w:t xml:space="preserve"> </w:t>
      </w:r>
      <w:r>
        <w:rPr>
          <w:rFonts w:ascii="Arial" w:cs="Arial" w:eastAsia="Arial" w:hAnsi="Arial"/>
          <w:sz w:val="18"/>
          <w:szCs w:val="18"/>
          <w:color w:val="000000"/>
        </w:rPr>
        <w:t>operational and resource efficiency; energy, water and waste management; and implement Lean management across our value chain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Process Pillar Goal:</w:t>
      </w:r>
    </w:p>
    <w:p>
      <w:pPr>
        <w:spacing w:after="0" w:line="27" w:lineRule="exact"/>
        <w:rPr>
          <w:sz w:val="20"/>
          <w:szCs w:val="20"/>
          <w:color w:val="auto"/>
        </w:rPr>
      </w:pPr>
    </w:p>
    <w:p>
      <w:pPr>
        <w:jc w:val="both"/>
        <w:ind w:right="220"/>
        <w:spacing w:after="0" w:line="250" w:lineRule="auto"/>
        <w:rPr>
          <w:sz w:val="20"/>
          <w:szCs w:val="20"/>
          <w:color w:val="auto"/>
        </w:rPr>
      </w:pPr>
      <w:r>
        <w:rPr>
          <w:rFonts w:ascii="Arial" w:cs="Arial" w:eastAsia="Arial" w:hAnsi="Arial"/>
          <w:sz w:val="18"/>
          <w:szCs w:val="18"/>
          <w:color w:val="auto"/>
        </w:rPr>
        <w:t>By 2025, reduce absolute Scope 1 and 2 greenhouse gas (GHG) emissions by at least 15% compared to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353060</wp:posOffset>
            </wp:positionV>
            <wp:extent cx="7012305" cy="317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2305"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C00000"/>
        </w:rPr>
        <w:t xml:space="preserve">PEOPLE: </w:t>
      </w:r>
      <w:r>
        <w:rPr>
          <w:rFonts w:ascii="Arial" w:cs="Arial" w:eastAsia="Arial" w:hAnsi="Arial"/>
          <w:sz w:val="18"/>
          <w:szCs w:val="18"/>
          <w:color w:val="000000"/>
        </w:rPr>
        <w:t>Promote the growth, development,</w:t>
      </w:r>
      <w:r>
        <w:rPr>
          <w:rFonts w:ascii="Arial" w:cs="Arial" w:eastAsia="Arial" w:hAnsi="Arial"/>
          <w:sz w:val="18"/>
          <w:szCs w:val="18"/>
          <w:b w:val="1"/>
          <w:bCs w:val="1"/>
          <w:color w:val="C00000"/>
        </w:rPr>
        <w:t xml:space="preserve"> </w:t>
      </w:r>
      <w:r>
        <w:rPr>
          <w:rFonts w:ascii="Arial" w:cs="Arial" w:eastAsia="Arial" w:hAnsi="Arial"/>
          <w:sz w:val="18"/>
          <w:szCs w:val="18"/>
          <w:color w:val="000000"/>
        </w:rPr>
        <w:t>health, safety and wellness of our employees and give back to the communities where we live and work</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People Pillar Goal:</w:t>
      </w:r>
    </w:p>
    <w:p>
      <w:pPr>
        <w:spacing w:after="0" w:line="2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By 2025, increase the number of women and racial and ethnic minorities in leadership positions by at least 20% compared to fiscal 2021</w:t>
      </w:r>
    </w:p>
    <w:p>
      <w:pPr>
        <w:spacing w:after="0" w:line="200" w:lineRule="exact"/>
        <w:rPr>
          <w:sz w:val="20"/>
          <w:szCs w:val="20"/>
          <w:color w:val="auto"/>
        </w:rPr>
      </w:pPr>
    </w:p>
    <w:p>
      <w:pPr>
        <w:sectPr>
          <w:pgSz w:w="11900" w:h="16838" w:orient="portrait"/>
          <w:cols w:equalWidth="0" w:num="3">
            <w:col w:w="3420" w:space="320"/>
            <w:col w:w="3460" w:space="320"/>
            <w:col w:w="3580"/>
          </w:cols>
          <w:pgMar w:left="320" w:top="1187" w:right="479" w:bottom="1440" w:gutter="0" w:footer="0" w:header="0"/>
          <w:type w:val="continuous"/>
        </w:sectPr>
      </w:pPr>
    </w:p>
    <w:p>
      <w:pPr>
        <w:spacing w:after="0" w:line="179" w:lineRule="exact"/>
        <w:rPr>
          <w:sz w:val="20"/>
          <w:szCs w:val="20"/>
          <w:color w:val="auto"/>
        </w:rPr>
      </w:pPr>
    </w:p>
    <w:p>
      <w:pPr>
        <w:jc w:val="center"/>
        <w:ind w:left="820"/>
        <w:spacing w:after="0" w:line="271" w:lineRule="auto"/>
        <w:rPr>
          <w:sz w:val="20"/>
          <w:szCs w:val="20"/>
          <w:color w:val="auto"/>
        </w:rPr>
      </w:pPr>
      <w:r>
        <w:rPr>
          <w:rFonts w:ascii="Arial" w:cs="Arial" w:eastAsia="Arial" w:hAnsi="Arial"/>
          <w:sz w:val="18"/>
          <w:szCs w:val="18"/>
          <w:b w:val="1"/>
          <w:bCs w:val="1"/>
          <w:color w:val="C00000"/>
        </w:rPr>
        <w:t xml:space="preserve">PLANNING: </w:t>
      </w:r>
      <w:r>
        <w:rPr>
          <w:rFonts w:ascii="Arial" w:cs="Arial" w:eastAsia="Arial" w:hAnsi="Arial"/>
          <w:sz w:val="18"/>
          <w:szCs w:val="18"/>
          <w:color w:val="000000"/>
        </w:rPr>
        <w:t>Embed sustainability into our culture by enhancing our strategic approach to sustainability initiatives, providing more</w:t>
      </w:r>
      <w:r>
        <w:rPr>
          <w:rFonts w:ascii="Arial" w:cs="Arial" w:eastAsia="Arial" w:hAnsi="Arial"/>
          <w:sz w:val="18"/>
          <w:szCs w:val="18"/>
          <w:b w:val="1"/>
          <w:bCs w:val="1"/>
          <w:color w:val="C00000"/>
        </w:rPr>
        <w:t xml:space="preserve"> </w:t>
      </w:r>
      <w:r>
        <w:rPr>
          <w:rFonts w:ascii="Arial" w:cs="Arial" w:eastAsia="Arial" w:hAnsi="Arial"/>
          <w:sz w:val="18"/>
          <w:szCs w:val="18"/>
          <w:color w:val="000000"/>
        </w:rPr>
        <w:t>transparency and supporting our pillars and program development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Fiscal 2022 Sustainability Report is available on our website at www.thetorocompany.com under the Sustainability tab.</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2024 Annual Meeting of Shareholders</w:t>
      </w:r>
    </w:p>
    <w:p>
      <w:pPr>
        <w:spacing w:after="0" w:line="138" w:lineRule="exact"/>
        <w:rPr>
          <w:sz w:val="20"/>
          <w:szCs w:val="20"/>
          <w:color w:val="auto"/>
        </w:rPr>
      </w:pPr>
    </w:p>
    <w:tbl>
      <w:tblPr>
        <w:tblLayout w:type="fixed"/>
        <w:tblInd w:w="630" w:type="dxa"/>
        <w:tblCellMar>
          <w:top w:w="0" w:type="dxa"/>
          <w:left w:w="0" w:type="dxa"/>
          <w:bottom w:w="0" w:type="dxa"/>
          <w:right w:w="0" w:type="dxa"/>
        </w:tblCellMar>
      </w:tblPr>
      <w:tr>
        <w:trPr>
          <w:trHeight w:val="332"/>
        </w:trPr>
        <w:tc>
          <w:tcPr>
            <w:tcW w:w="2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9"/>
              </w:rPr>
              <w:t>Date and Time</w:t>
            </w:r>
          </w:p>
        </w:tc>
        <w:tc>
          <w:tcPr>
            <w:tcW w:w="220" w:type="dxa"/>
            <w:vAlign w:val="bottom"/>
            <w:tcBorders>
              <w:right w:val="single" w:sz="8" w:color="auto"/>
            </w:tcBorders>
          </w:tcPr>
          <w:p>
            <w:pPr>
              <w:spacing w:after="0"/>
              <w:rPr>
                <w:sz w:val="24"/>
                <w:szCs w:val="24"/>
                <w:color w:val="auto"/>
              </w:rPr>
            </w:pPr>
          </w:p>
        </w:tc>
        <w:tc>
          <w:tcPr>
            <w:tcW w:w="4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rPr>
              <w:t>Location</w:t>
            </w:r>
          </w:p>
        </w:tc>
        <w:tc>
          <w:tcPr>
            <w:tcW w:w="220" w:type="dxa"/>
            <w:vAlign w:val="bottom"/>
            <w:tcBorders>
              <w:right w:val="single" w:sz="8" w:color="auto"/>
            </w:tcBorders>
          </w:tcPr>
          <w:p>
            <w:pPr>
              <w:spacing w:after="0"/>
              <w:rPr>
                <w:sz w:val="24"/>
                <w:szCs w:val="24"/>
                <w:color w:val="auto"/>
              </w:rPr>
            </w:pP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9"/>
              </w:rPr>
              <w:t>Record Date</w:t>
            </w:r>
          </w:p>
        </w:tc>
      </w:tr>
      <w:tr>
        <w:trPr>
          <w:trHeight w:val="230"/>
        </w:trPr>
        <w:tc>
          <w:tcPr>
            <w:tcW w:w="2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Tuesday, March 19, 2024</w:t>
            </w:r>
          </w:p>
        </w:tc>
        <w:tc>
          <w:tcPr>
            <w:tcW w:w="22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www.virtualshareholdermeeting.com/TTC2024</w:t>
            </w:r>
          </w:p>
        </w:tc>
        <w:tc>
          <w:tcPr>
            <w:tcW w:w="22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January 22, 2024</w:t>
            </w:r>
          </w:p>
        </w:tc>
      </w:tr>
      <w:tr>
        <w:trPr>
          <w:trHeight w:val="239"/>
        </w:trPr>
        <w:tc>
          <w:tcPr>
            <w:tcW w:w="2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2:00 p.m. CDT</w:t>
            </w:r>
          </w:p>
        </w:tc>
        <w:tc>
          <w:tcPr>
            <w:tcW w:w="22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r>
      <w:tr>
        <w:trPr>
          <w:trHeight w:val="50"/>
        </w:trPr>
        <w:tc>
          <w:tcPr>
            <w:tcW w:w="296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7" w:right="4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C00000"/>
        </w:rPr>
        <w:t>Meeting Agenda, Voting Matters and Recommendations</w:t>
      </w:r>
    </w:p>
    <w:p>
      <w:pPr>
        <w:spacing w:after="0" w:line="138" w:lineRule="exact"/>
        <w:rPr>
          <w:sz w:val="20"/>
          <w:szCs w:val="20"/>
          <w:color w:val="auto"/>
        </w:rPr>
      </w:pPr>
    </w:p>
    <w:tbl>
      <w:tblPr>
        <w:tblLayout w:type="fixed"/>
        <w:tblInd w:w="130" w:type="dxa"/>
        <w:tblCellMar>
          <w:top w:w="0" w:type="dxa"/>
          <w:left w:w="0" w:type="dxa"/>
          <w:bottom w:w="0" w:type="dxa"/>
          <w:right w:w="0" w:type="dxa"/>
        </w:tblCellMar>
      </w:tblPr>
      <w:tr>
        <w:trPr>
          <w:trHeight w:val="305"/>
        </w:trPr>
        <w:tc>
          <w:tcPr>
            <w:tcW w:w="784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C00000"/>
              </w:rPr>
              <w:t>Proposal One</w:t>
            </w:r>
          </w:p>
        </w:tc>
        <w:tc>
          <w:tcPr>
            <w:tcW w:w="7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vMerge w:val="restart"/>
          </w:tcPr>
          <w:p>
            <w:pPr>
              <w:jc w:val="right"/>
              <w:ind w:right="690"/>
              <w:spacing w:after="0"/>
              <w:rPr>
                <w:sz w:val="20"/>
                <w:szCs w:val="20"/>
                <w:color w:val="auto"/>
              </w:rPr>
            </w:pPr>
            <w:r>
              <w:rPr>
                <w:rFonts w:ascii="Arial" w:cs="Arial" w:eastAsia="Arial" w:hAnsi="Arial"/>
                <w:sz w:val="18"/>
                <w:szCs w:val="18"/>
                <w:color w:val="auto"/>
              </w:rPr>
              <w:t>FOR</w:t>
            </w:r>
          </w:p>
        </w:tc>
        <w:tc>
          <w:tcPr>
            <w:tcW w:w="112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Page 5</w:t>
            </w:r>
          </w:p>
        </w:tc>
        <w:tc>
          <w:tcPr>
            <w:tcW w:w="0" w:type="dxa"/>
            <w:vAlign w:val="bottom"/>
          </w:tcPr>
          <w:p>
            <w:pPr>
              <w:spacing w:after="0"/>
              <w:rPr>
                <w:sz w:val="1"/>
                <w:szCs w:val="1"/>
                <w:color w:val="auto"/>
              </w:rPr>
            </w:pPr>
          </w:p>
        </w:tc>
      </w:tr>
      <w:tr>
        <w:trPr>
          <w:trHeight w:val="86"/>
        </w:trPr>
        <w:tc>
          <w:tcPr>
            <w:tcW w:w="7840" w:type="dxa"/>
            <w:vAlign w:val="bottom"/>
            <w:tcBorders>
              <w:lef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To elect as directors the two nominees named in this proxy statement, each to</w:t>
            </w:r>
          </w:p>
        </w:tc>
        <w:tc>
          <w:tcPr>
            <w:tcW w:w="74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7840" w:type="dxa"/>
            <w:vAlign w:val="bottom"/>
            <w:tcBorders>
              <w:left w:val="single" w:sz="8" w:color="auto"/>
            </w:tcBorders>
            <w:vMerge w:val="continue"/>
          </w:tcPr>
          <w:p>
            <w:pPr>
              <w:spacing w:after="0"/>
              <w:rPr>
                <w:sz w:val="10"/>
                <w:szCs w:val="10"/>
                <w:color w:val="auto"/>
              </w:rPr>
            </w:pPr>
          </w:p>
        </w:tc>
        <w:tc>
          <w:tcPr>
            <w:tcW w:w="2060" w:type="dxa"/>
            <w:vAlign w:val="bottom"/>
            <w:gridSpan w:val="2"/>
            <w:vMerge w:val="restart"/>
          </w:tcPr>
          <w:p>
            <w:pPr>
              <w:ind w:left="140"/>
              <w:spacing w:after="0" w:line="417" w:lineRule="exact"/>
              <w:rPr>
                <w:sz w:val="20"/>
                <w:szCs w:val="20"/>
                <w:color w:val="auto"/>
              </w:rPr>
            </w:pPr>
            <w:r>
              <w:rPr>
                <w:rFonts w:ascii="MS PGothic" w:cs="MS PGothic" w:eastAsia="MS PGothic" w:hAnsi="MS PGothic"/>
                <w:sz w:val="48"/>
                <w:szCs w:val="48"/>
                <w:color w:val="C00000"/>
              </w:rPr>
              <w:t>☑</w:t>
            </w:r>
            <w:r>
              <w:rPr>
                <w:rFonts w:ascii="Arial" w:cs="Arial" w:eastAsia="Arial" w:hAnsi="Arial"/>
                <w:sz w:val="18"/>
                <w:szCs w:val="18"/>
                <w:color w:val="auto"/>
              </w:rPr>
              <w:t xml:space="preserve"> each nominee</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2"/>
        </w:trPr>
        <w:tc>
          <w:tcPr>
            <w:tcW w:w="78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serve for a term of three years ending at the 2027 Annual Meeting of Shareholders.</w:t>
            </w:r>
          </w:p>
        </w:tc>
        <w:tc>
          <w:tcPr>
            <w:tcW w:w="2060" w:type="dxa"/>
            <w:vAlign w:val="bottom"/>
            <w:tcBorders>
              <w:bottom w:val="single" w:sz="8" w:color="auto"/>
            </w:tcBorders>
            <w:gridSpan w:val="2"/>
            <w:vMerge w:val="continue"/>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78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784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C00000"/>
              </w:rPr>
              <w:t>Proposal Two</w:t>
            </w:r>
          </w:p>
        </w:tc>
        <w:tc>
          <w:tcPr>
            <w:tcW w:w="740" w:type="dxa"/>
            <w:vAlign w:val="bottom"/>
            <w:vMerge w:val="restart"/>
          </w:tcPr>
          <w:p>
            <w:pPr>
              <w:ind w:left="140"/>
              <w:spacing w:after="0" w:line="501" w:lineRule="exact"/>
              <w:rPr>
                <w:sz w:val="20"/>
                <w:szCs w:val="20"/>
                <w:color w:val="auto"/>
              </w:rPr>
            </w:pPr>
            <w:r>
              <w:rPr>
                <w:rFonts w:ascii="MS PGothic" w:cs="MS PGothic" w:eastAsia="MS PGothic" w:hAnsi="MS PGothic"/>
                <w:sz w:val="50"/>
                <w:szCs w:val="50"/>
                <w:color w:val="C00000"/>
              </w:rPr>
              <w:t>☑</w:t>
            </w:r>
          </w:p>
        </w:tc>
        <w:tc>
          <w:tcPr>
            <w:tcW w:w="1320" w:type="dxa"/>
            <w:vAlign w:val="bottom"/>
            <w:vMerge w:val="restart"/>
          </w:tcPr>
          <w:p>
            <w:pPr>
              <w:jc w:val="right"/>
              <w:ind w:right="690"/>
              <w:spacing w:after="0"/>
              <w:rPr>
                <w:sz w:val="20"/>
                <w:szCs w:val="20"/>
                <w:color w:val="auto"/>
              </w:rPr>
            </w:pPr>
            <w:r>
              <w:rPr>
                <w:rFonts w:ascii="Arial" w:cs="Arial" w:eastAsia="Arial" w:hAnsi="Arial"/>
                <w:sz w:val="18"/>
                <w:szCs w:val="18"/>
                <w:color w:val="auto"/>
              </w:rPr>
              <w:t>FOR</w:t>
            </w: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Page 24</w:t>
            </w:r>
          </w:p>
        </w:tc>
        <w:tc>
          <w:tcPr>
            <w:tcW w:w="0" w:type="dxa"/>
            <w:vAlign w:val="bottom"/>
          </w:tcPr>
          <w:p>
            <w:pPr>
              <w:spacing w:after="0"/>
              <w:rPr>
                <w:sz w:val="1"/>
                <w:szCs w:val="1"/>
                <w:color w:val="auto"/>
              </w:rPr>
            </w:pPr>
          </w:p>
        </w:tc>
      </w:tr>
      <w:tr>
        <w:trPr>
          <w:trHeight w:val="212"/>
        </w:trPr>
        <w:tc>
          <w:tcPr>
            <w:tcW w:w="78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To ratify the selection of KPMG LLP as our independent registered public accounting firm for our</w:t>
            </w:r>
          </w:p>
        </w:tc>
        <w:tc>
          <w:tcPr>
            <w:tcW w:w="7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8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fiscal year ending October 31, 2024.</w:t>
            </w:r>
          </w:p>
        </w:tc>
        <w:tc>
          <w:tcPr>
            <w:tcW w:w="74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8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26"/>
        </w:trPr>
        <w:tc>
          <w:tcPr>
            <w:tcW w:w="784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C00000"/>
              </w:rPr>
              <w:t>Proposal Three</w:t>
            </w:r>
          </w:p>
        </w:tc>
        <w:tc>
          <w:tcPr>
            <w:tcW w:w="2060" w:type="dxa"/>
            <w:vAlign w:val="bottom"/>
            <w:gridSpan w:val="2"/>
            <w:vMerge w:val="restart"/>
          </w:tcPr>
          <w:p>
            <w:pPr>
              <w:jc w:val="right"/>
              <w:ind w:right="690"/>
              <w:spacing w:after="0" w:line="575" w:lineRule="exact"/>
              <w:rPr>
                <w:sz w:val="20"/>
                <w:szCs w:val="20"/>
                <w:color w:val="auto"/>
              </w:rPr>
            </w:pPr>
            <w:r>
              <w:rPr>
                <w:rFonts w:ascii="MS PGothic" w:cs="MS PGothic" w:eastAsia="MS PGothic" w:hAnsi="MS PGothic"/>
                <w:sz w:val="50"/>
                <w:szCs w:val="50"/>
                <w:color w:val="C00000"/>
              </w:rPr>
              <w:t>☑</w:t>
            </w:r>
            <w:r>
              <w:rPr>
                <w:rFonts w:ascii="Arial" w:cs="Arial" w:eastAsia="Arial" w:hAnsi="Arial"/>
                <w:sz w:val="18"/>
                <w:szCs w:val="18"/>
                <w:color w:val="auto"/>
              </w:rPr>
              <w:t xml:space="preserve"> FOR</w:t>
            </w: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Page 26</w:t>
            </w:r>
          </w:p>
        </w:tc>
        <w:tc>
          <w:tcPr>
            <w:tcW w:w="0" w:type="dxa"/>
            <w:vAlign w:val="bottom"/>
          </w:tcPr>
          <w:p>
            <w:pPr>
              <w:spacing w:after="0"/>
              <w:rPr>
                <w:sz w:val="1"/>
                <w:szCs w:val="1"/>
                <w:color w:val="auto"/>
              </w:rPr>
            </w:pPr>
          </w:p>
        </w:tc>
      </w:tr>
      <w:tr>
        <w:trPr>
          <w:trHeight w:val="302"/>
        </w:trPr>
        <w:tc>
          <w:tcPr>
            <w:tcW w:w="78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To approve, on an advisory basis, our executive compensation.</w:t>
            </w:r>
          </w:p>
        </w:tc>
        <w:tc>
          <w:tcPr>
            <w:tcW w:w="2060" w:type="dxa"/>
            <w:vAlign w:val="bottom"/>
            <w:tcBorders>
              <w:bottom w:val="single" w:sz="8" w:color="auto"/>
            </w:tcBorders>
            <w:gridSpan w:val="2"/>
            <w:vMerge w:val="continue"/>
          </w:tcPr>
          <w:p>
            <w:pPr>
              <w:spacing w:after="0"/>
              <w:rPr>
                <w:sz w:val="24"/>
                <w:szCs w:val="24"/>
                <w:color w:val="auto"/>
              </w:rPr>
            </w:pPr>
          </w:p>
        </w:tc>
        <w:tc>
          <w:tcPr>
            <w:tcW w:w="112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to Cast Your Vote</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Your vote is important! </w:t>
      </w:r>
      <w:r>
        <w:rPr>
          <w:rFonts w:ascii="Arial" w:cs="Arial" w:eastAsia="Arial" w:hAnsi="Arial"/>
          <w:sz w:val="18"/>
          <w:szCs w:val="18"/>
          <w:color w:val="auto"/>
        </w:rPr>
        <w:t>Please vote your shares promptly using one of the methods listed below. See page 2 for additional voting</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2260" w:type="dxa"/>
            <w:vAlign w:val="bottom"/>
            <w:gridSpan w:val="2"/>
          </w:tcPr>
          <w:p>
            <w:pPr>
              <w:spacing w:after="0"/>
              <w:rPr>
                <w:sz w:val="20"/>
                <w:szCs w:val="20"/>
                <w:color w:val="auto"/>
              </w:rPr>
            </w:pPr>
            <w:r>
              <w:rPr>
                <w:rFonts w:ascii="Arial" w:cs="Arial" w:eastAsia="Arial" w:hAnsi="Arial"/>
                <w:sz w:val="18"/>
                <w:szCs w:val="18"/>
                <w:color w:val="auto"/>
              </w:rPr>
              <w:t>information.</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1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BF2115"/>
              </w:rPr>
              <w:t>By Internet</w:t>
            </w:r>
          </w:p>
        </w:tc>
        <w:tc>
          <w:tcPr>
            <w:tcW w:w="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BF2115"/>
              </w:rPr>
              <w:t>By Phone</w:t>
            </w:r>
          </w:p>
        </w:tc>
        <w:tc>
          <w:tcPr>
            <w:tcW w:w="1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BF2115"/>
              </w:rPr>
              <w:t>By Mobile</w:t>
            </w:r>
          </w:p>
        </w:tc>
        <w:tc>
          <w:tcPr>
            <w:tcW w:w="1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BF2115"/>
              </w:rPr>
              <w:t>By Mail</w:t>
            </w:r>
          </w:p>
        </w:tc>
        <w:tc>
          <w:tcPr>
            <w:tcW w:w="120" w:type="dxa"/>
            <w:vAlign w:val="bottom"/>
            <w:tcBorders>
              <w:right w:val="single" w:sz="8" w:color="auto"/>
            </w:tcBorders>
          </w:tcPr>
          <w:p>
            <w:pPr>
              <w:spacing w:after="0"/>
              <w:rPr>
                <w:sz w:val="20"/>
                <w:szCs w:val="20"/>
                <w:color w:val="auto"/>
              </w:rPr>
            </w:pP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BF2115"/>
              </w:rPr>
              <w:t>By Attending the Meeting Virtually</w:t>
            </w:r>
          </w:p>
        </w:tc>
        <w:tc>
          <w:tcPr>
            <w:tcW w:w="0" w:type="dxa"/>
            <w:vAlign w:val="bottom"/>
          </w:tcPr>
          <w:p>
            <w:pPr>
              <w:spacing w:after="0"/>
              <w:rPr>
                <w:sz w:val="1"/>
                <w:szCs w:val="1"/>
                <w:color w:val="auto"/>
              </w:rPr>
            </w:pPr>
          </w:p>
        </w:tc>
      </w:tr>
      <w:tr>
        <w:trPr>
          <w:trHeight w:val="265"/>
        </w:trPr>
        <w:tc>
          <w:tcPr>
            <w:tcW w:w="2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 to</w:t>
            </w:r>
          </w:p>
        </w:tc>
        <w:tc>
          <w:tcPr>
            <w:tcW w:w="120" w:type="dxa"/>
            <w:vAlign w:val="bottom"/>
            <w:tcBorders>
              <w:right w:val="single" w:sz="8" w:color="auto"/>
            </w:tcBorders>
          </w:tcPr>
          <w:p>
            <w:pPr>
              <w:spacing w:after="0"/>
              <w:rPr>
                <w:sz w:val="23"/>
                <w:szCs w:val="23"/>
                <w:color w:val="auto"/>
              </w:rPr>
            </w:pPr>
          </w:p>
        </w:tc>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Call</w:t>
            </w:r>
          </w:p>
        </w:tc>
        <w:tc>
          <w:tcPr>
            <w:tcW w:w="120" w:type="dxa"/>
            <w:vAlign w:val="bottom"/>
            <w:tcBorders>
              <w:right w:val="single" w:sz="8" w:color="auto"/>
            </w:tcBorders>
          </w:tcPr>
          <w:p>
            <w:pPr>
              <w:spacing w:after="0"/>
              <w:rPr>
                <w:sz w:val="23"/>
                <w:szCs w:val="23"/>
                <w:color w:val="auto"/>
              </w:rPr>
            </w:pPr>
          </w:p>
        </w:tc>
        <w:tc>
          <w:tcPr>
            <w:tcW w:w="12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BF2115"/>
              </w:rPr>
              <w:t>Device</w:t>
            </w:r>
          </w:p>
        </w:tc>
        <w:tc>
          <w:tcPr>
            <w:tcW w:w="120" w:type="dxa"/>
            <w:vAlign w:val="bottom"/>
            <w:tcBorders>
              <w:right w:val="single" w:sz="8" w:color="auto"/>
            </w:tcBorders>
          </w:tcPr>
          <w:p>
            <w:pPr>
              <w:spacing w:after="0"/>
              <w:rPr>
                <w:sz w:val="23"/>
                <w:szCs w:val="23"/>
                <w:color w:val="auto"/>
              </w:rPr>
            </w:pPr>
          </w:p>
        </w:tc>
        <w:tc>
          <w:tcPr>
            <w:tcW w:w="1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Return your</w:t>
            </w:r>
          </w:p>
        </w:tc>
        <w:tc>
          <w:tcPr>
            <w:tcW w:w="120" w:type="dxa"/>
            <w:vAlign w:val="bottom"/>
            <w:tcBorders>
              <w:right w:val="single" w:sz="8" w:color="auto"/>
            </w:tcBorders>
          </w:tcPr>
          <w:p>
            <w:pPr>
              <w:spacing w:after="0"/>
              <w:rPr>
                <w:sz w:val="23"/>
                <w:szCs w:val="23"/>
                <w:color w:val="auto"/>
              </w:rPr>
            </w:pP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Visit: www.virtualshareholdermeeting.com/TTC2024</w:t>
            </w:r>
          </w:p>
        </w:tc>
        <w:tc>
          <w:tcPr>
            <w:tcW w:w="0" w:type="dxa"/>
            <w:vAlign w:val="bottom"/>
          </w:tcPr>
          <w:p>
            <w:pPr>
              <w:spacing w:after="0"/>
              <w:rPr>
                <w:sz w:val="1"/>
                <w:szCs w:val="1"/>
                <w:color w:val="auto"/>
              </w:rPr>
            </w:pPr>
          </w:p>
        </w:tc>
      </w:tr>
      <w:tr>
        <w:trPr>
          <w:trHeight w:val="248"/>
        </w:trPr>
        <w:tc>
          <w:tcPr>
            <w:tcW w:w="2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www.proxyvote.com</w:t>
            </w:r>
          </w:p>
        </w:tc>
        <w:tc>
          <w:tcPr>
            <w:tcW w:w="1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800-690-</w:t>
            </w:r>
          </w:p>
        </w:tc>
        <w:tc>
          <w:tcPr>
            <w:tcW w:w="12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Scan the QR</w:t>
            </w:r>
          </w:p>
        </w:tc>
        <w:tc>
          <w:tcPr>
            <w:tcW w:w="12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proxy card</w:t>
            </w:r>
          </w:p>
        </w:tc>
        <w:tc>
          <w:tcPr>
            <w:tcW w:w="120" w:type="dxa"/>
            <w:vAlign w:val="bottom"/>
            <w:tcBorders>
              <w:right w:val="single" w:sz="8" w:color="auto"/>
            </w:tcBorders>
          </w:tcPr>
          <w:p>
            <w:pPr>
              <w:spacing w:after="0"/>
              <w:rPr>
                <w:sz w:val="21"/>
                <w:szCs w:val="21"/>
                <w:color w:val="auto"/>
              </w:rPr>
            </w:pPr>
          </w:p>
        </w:tc>
        <w:tc>
          <w:tcPr>
            <w:tcW w:w="5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40" w:type="dxa"/>
            <w:vAlign w:val="bottom"/>
            <w:tcBorders>
              <w:left w:val="single" w:sz="8" w:color="auto"/>
              <w:righ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6903</w:t>
            </w:r>
          </w:p>
        </w:tc>
        <w:tc>
          <w:tcPr>
            <w:tcW w:w="1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code</w:t>
            </w:r>
          </w:p>
        </w:tc>
        <w:tc>
          <w:tcPr>
            <w:tcW w:w="1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2140" w:type="dxa"/>
            <w:vAlign w:val="bottom"/>
            <w:tcBorders>
              <w:left w:val="single" w:sz="8" w:color="auto"/>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14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Corporate Governance Highlights</w:t>
      </w:r>
    </w:p>
    <w:p>
      <w:pPr>
        <w:spacing w:after="0" w:line="85" w:lineRule="exact"/>
        <w:rPr>
          <w:sz w:val="20"/>
          <w:szCs w:val="20"/>
          <w:color w:val="auto"/>
        </w:rPr>
      </w:pPr>
    </w:p>
    <w:p>
      <w:pPr>
        <w:ind w:right="240" w:firstLine="324"/>
        <w:spacing w:after="0" w:line="237" w:lineRule="auto"/>
        <w:rPr>
          <w:sz w:val="20"/>
          <w:szCs w:val="20"/>
          <w:color w:val="auto"/>
        </w:rPr>
      </w:pPr>
      <w:r>
        <w:rPr>
          <w:rFonts w:ascii="Arial" w:cs="Arial" w:eastAsia="Arial" w:hAnsi="Arial"/>
          <w:sz w:val="18"/>
          <w:szCs w:val="18"/>
          <w:color w:val="auto"/>
        </w:rPr>
        <w:t>Our Board provides oversight of critical matters such as our strategic plans, financial and other controls, risk management, merger and acquisition related activities, and executive succession planning. The Board reviews our major governance documents, policies and</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processes regularly and thoughtfully determines the structures that are appropriate for our Company at the time, which includes review or determination of the following:</w:t>
      </w:r>
    </w:p>
    <w:p>
      <w:pPr>
        <w:sectPr>
          <w:pgSz w:w="11900" w:h="16838" w:orient="portrait"/>
          <w:cols w:equalWidth="0" w:num="1">
            <w:col w:w="11260"/>
          </w:cols>
          <w:pgMar w:left="320" w:top="1115" w:right="319" w:bottom="1440" w:gutter="0" w:footer="0" w:header="0"/>
        </w:sectPr>
      </w:pPr>
    </w:p>
    <w:p>
      <w:pPr>
        <w:spacing w:after="0" w:line="129" w:lineRule="exact"/>
        <w:rPr>
          <w:sz w:val="20"/>
          <w:szCs w:val="20"/>
          <w:color w:val="auto"/>
        </w:rPr>
      </w:pPr>
    </w:p>
    <w:p>
      <w:pPr>
        <w:ind w:left="1060" w:hanging="170"/>
        <w:spacing w:after="0" w:line="245" w:lineRule="auto"/>
        <w:tabs>
          <w:tab w:leader="none" w:pos="1128"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20"/>
          <w:szCs w:val="20"/>
          <w:color w:val="auto"/>
        </w:rPr>
        <w:t>I</w:t>
      </w:r>
      <w:r>
        <w:rPr>
          <w:rFonts w:ascii="Arial" w:cs="Arial" w:eastAsia="Arial" w:hAnsi="Arial"/>
          <w:sz w:val="17"/>
          <w:szCs w:val="17"/>
          <w:color w:val="auto"/>
        </w:rPr>
        <w:t>ndependent directors (other than CEO) and committee</w:t>
      </w:r>
      <w:r>
        <w:rPr>
          <w:rFonts w:ascii="Arial" w:cs="Arial" w:eastAsia="Arial" w:hAnsi="Arial"/>
          <w:sz w:val="20"/>
          <w:szCs w:val="20"/>
          <w:color w:val="auto"/>
        </w:rPr>
        <w:t xml:space="preserve"> </w:t>
      </w:r>
      <w:r>
        <w:rPr>
          <w:rFonts w:ascii="Arial" w:cs="Arial" w:eastAsia="Arial" w:hAnsi="Arial"/>
          <w:sz w:val="17"/>
          <w:szCs w:val="17"/>
          <w:color w:val="auto"/>
        </w:rPr>
        <w:t>status</w:t>
      </w:r>
    </w:p>
    <w:p>
      <w:pPr>
        <w:spacing w:after="0" w:line="59" w:lineRule="exact"/>
        <w:rPr>
          <w:rFonts w:ascii="MS PGothic" w:cs="MS PGothic" w:eastAsia="MS PGothic" w:hAnsi="MS PGothic"/>
          <w:sz w:val="20"/>
          <w:szCs w:val="20"/>
          <w:color w:val="auto"/>
          <w:shd w:val="clear" w:color="auto" w:fill="C00000"/>
        </w:rPr>
      </w:pPr>
    </w:p>
    <w:p>
      <w:pPr>
        <w:ind w:left="1120" w:hanging="230"/>
        <w:spacing w:after="0"/>
        <w:tabs>
          <w:tab w:leader="none" w:pos="112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Effective lead independent director structure</w:t>
      </w:r>
    </w:p>
    <w:p>
      <w:pPr>
        <w:spacing w:after="0" w:line="86" w:lineRule="exact"/>
        <w:rPr>
          <w:rFonts w:ascii="MS PGothic" w:cs="MS PGothic" w:eastAsia="MS PGothic" w:hAnsi="MS PGothic"/>
          <w:sz w:val="20"/>
          <w:szCs w:val="20"/>
          <w:color w:val="auto"/>
          <w:shd w:val="clear" w:color="auto" w:fill="C00000"/>
        </w:rPr>
      </w:pPr>
    </w:p>
    <w:p>
      <w:pPr>
        <w:ind w:left="1120" w:hanging="230"/>
        <w:spacing w:after="0"/>
        <w:tabs>
          <w:tab w:leader="none" w:pos="112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Regular independent director executive sessions</w:t>
      </w:r>
    </w:p>
    <w:p>
      <w:pPr>
        <w:spacing w:after="0" w:line="86" w:lineRule="exact"/>
        <w:rPr>
          <w:rFonts w:ascii="MS PGothic" w:cs="MS PGothic" w:eastAsia="MS PGothic" w:hAnsi="MS PGothic"/>
          <w:sz w:val="20"/>
          <w:szCs w:val="20"/>
          <w:color w:val="auto"/>
          <w:shd w:val="clear" w:color="auto" w:fill="C00000"/>
        </w:rPr>
      </w:pPr>
    </w:p>
    <w:p>
      <w:pPr>
        <w:ind w:left="1120" w:hanging="230"/>
        <w:spacing w:after="0"/>
        <w:tabs>
          <w:tab w:leader="none" w:pos="112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Anti-hedging and anti-pledging policy</w:t>
      </w:r>
    </w:p>
    <w:p>
      <w:pPr>
        <w:spacing w:after="0" w:line="100" w:lineRule="exact"/>
        <w:rPr>
          <w:rFonts w:ascii="MS PGothic" w:cs="MS PGothic" w:eastAsia="MS PGothic" w:hAnsi="MS PGothic"/>
          <w:sz w:val="20"/>
          <w:szCs w:val="20"/>
          <w:color w:val="auto"/>
          <w:shd w:val="clear" w:color="auto" w:fill="C00000"/>
        </w:rPr>
      </w:pPr>
    </w:p>
    <w:p>
      <w:pPr>
        <w:ind w:left="1120" w:hanging="230"/>
        <w:spacing w:after="0"/>
        <w:tabs>
          <w:tab w:leader="none" w:pos="112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Clawback policy</w:t>
      </w:r>
    </w:p>
    <w:p>
      <w:pPr>
        <w:spacing w:after="0" w:line="86" w:lineRule="exact"/>
        <w:rPr>
          <w:rFonts w:ascii="MS PGothic" w:cs="MS PGothic" w:eastAsia="MS PGothic" w:hAnsi="MS PGothic"/>
          <w:sz w:val="20"/>
          <w:szCs w:val="20"/>
          <w:color w:val="auto"/>
          <w:shd w:val="clear" w:color="auto" w:fill="C00000"/>
        </w:rPr>
      </w:pPr>
    </w:p>
    <w:p>
      <w:pPr>
        <w:ind w:left="1120" w:hanging="230"/>
        <w:spacing w:after="0"/>
        <w:tabs>
          <w:tab w:leader="none" w:pos="112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Codes of conduct and ethics</w:t>
      </w:r>
    </w:p>
    <w:p>
      <w:pPr>
        <w:spacing w:after="0" w:line="100" w:lineRule="exact"/>
        <w:rPr>
          <w:rFonts w:ascii="MS PGothic" w:cs="MS PGothic" w:eastAsia="MS PGothic" w:hAnsi="MS PGothic"/>
          <w:sz w:val="20"/>
          <w:szCs w:val="20"/>
          <w:color w:val="auto"/>
          <w:shd w:val="clear" w:color="auto" w:fill="C00000"/>
        </w:rPr>
      </w:pPr>
    </w:p>
    <w:p>
      <w:pPr>
        <w:ind w:left="1120" w:hanging="230"/>
        <w:spacing w:after="0"/>
        <w:tabs>
          <w:tab w:leader="none" w:pos="112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Comprehensive director onboarding process</w:t>
      </w:r>
    </w:p>
    <w:p>
      <w:pPr>
        <w:spacing w:after="0" w:line="100" w:lineRule="exact"/>
        <w:rPr>
          <w:rFonts w:ascii="MS PGothic" w:cs="MS PGothic" w:eastAsia="MS PGothic" w:hAnsi="MS PGothic"/>
          <w:sz w:val="20"/>
          <w:szCs w:val="20"/>
          <w:color w:val="auto"/>
          <w:shd w:val="clear" w:color="auto" w:fill="C00000"/>
        </w:rPr>
      </w:pPr>
    </w:p>
    <w:p>
      <w:pPr>
        <w:ind w:left="1120" w:hanging="230"/>
        <w:spacing w:after="0"/>
        <w:tabs>
          <w:tab w:leader="none" w:pos="112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Robust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-1638300</wp:posOffset>
            </wp:positionV>
            <wp:extent cx="2991485" cy="1920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91485" cy="1920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237" w:hanging="237"/>
        <w:spacing w:after="0"/>
        <w:tabs>
          <w:tab w:leader="none" w:pos="237"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Meaningful Board strategy and risk oversight</w:t>
      </w:r>
    </w:p>
    <w:p>
      <w:pPr>
        <w:spacing w:after="0" w:line="100" w:lineRule="exact"/>
        <w:rPr>
          <w:rFonts w:ascii="MS PGothic" w:cs="MS PGothic" w:eastAsia="MS PGothic" w:hAnsi="MS PGothic"/>
          <w:sz w:val="20"/>
          <w:szCs w:val="20"/>
          <w:color w:val="auto"/>
          <w:shd w:val="clear" w:color="auto" w:fill="C00000"/>
        </w:rPr>
      </w:pPr>
    </w:p>
    <w:p>
      <w:pPr>
        <w:ind w:left="237" w:hanging="237"/>
        <w:spacing w:after="0"/>
        <w:tabs>
          <w:tab w:leader="none" w:pos="237"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Annual Board and committee self-evaluations</w:t>
      </w:r>
    </w:p>
    <w:p>
      <w:pPr>
        <w:spacing w:after="0" w:line="86" w:lineRule="exact"/>
        <w:rPr>
          <w:rFonts w:ascii="MS PGothic" w:cs="MS PGothic" w:eastAsia="MS PGothic" w:hAnsi="MS PGothic"/>
          <w:sz w:val="20"/>
          <w:szCs w:val="20"/>
          <w:color w:val="auto"/>
          <w:shd w:val="clear" w:color="auto" w:fill="C00000"/>
        </w:rPr>
      </w:pPr>
    </w:p>
    <w:p>
      <w:pPr>
        <w:ind w:left="237" w:hanging="237"/>
        <w:spacing w:after="0"/>
        <w:tabs>
          <w:tab w:leader="none" w:pos="237"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Board and committee meeting attendance at 99%</w:t>
      </w:r>
    </w:p>
    <w:p>
      <w:pPr>
        <w:spacing w:after="0" w:line="86" w:lineRule="exact"/>
        <w:rPr>
          <w:rFonts w:ascii="MS PGothic" w:cs="MS PGothic" w:eastAsia="MS PGothic" w:hAnsi="MS PGothic"/>
          <w:sz w:val="20"/>
          <w:szCs w:val="20"/>
          <w:color w:val="auto"/>
          <w:shd w:val="clear" w:color="auto" w:fill="C00000"/>
        </w:rPr>
      </w:pPr>
    </w:p>
    <w:p>
      <w:pPr>
        <w:ind w:left="237" w:hanging="237"/>
        <w:spacing w:after="0"/>
        <w:tabs>
          <w:tab w:leader="none" w:pos="237"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Board access to management</w:t>
      </w:r>
    </w:p>
    <w:p>
      <w:pPr>
        <w:spacing w:after="0" w:line="86" w:lineRule="exact"/>
        <w:rPr>
          <w:rFonts w:ascii="MS PGothic" w:cs="MS PGothic" w:eastAsia="MS PGothic" w:hAnsi="MS PGothic"/>
          <w:sz w:val="20"/>
          <w:szCs w:val="20"/>
          <w:color w:val="auto"/>
          <w:shd w:val="clear" w:color="auto" w:fill="C00000"/>
        </w:rPr>
      </w:pPr>
    </w:p>
    <w:p>
      <w:pPr>
        <w:ind w:left="237" w:hanging="237"/>
        <w:spacing w:after="0"/>
        <w:tabs>
          <w:tab w:leader="none" w:pos="237"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Board oversight of sustainability matters</w:t>
      </w:r>
    </w:p>
    <w:p>
      <w:pPr>
        <w:spacing w:after="0" w:line="86" w:lineRule="exact"/>
        <w:rPr>
          <w:rFonts w:ascii="MS PGothic" w:cs="MS PGothic" w:eastAsia="MS PGothic" w:hAnsi="MS PGothic"/>
          <w:sz w:val="20"/>
          <w:szCs w:val="20"/>
          <w:color w:val="auto"/>
          <w:shd w:val="clear" w:color="auto" w:fill="C00000"/>
        </w:rPr>
      </w:pPr>
    </w:p>
    <w:p>
      <w:pPr>
        <w:ind w:left="237" w:hanging="237"/>
        <w:spacing w:after="0"/>
        <w:tabs>
          <w:tab w:leader="none" w:pos="237" w:val="left"/>
        </w:tabs>
        <w:numPr>
          <w:ilvl w:val="0"/>
          <w:numId w:val="9"/>
        </w:numPr>
        <w:rPr>
          <w:rFonts w:ascii="MS PGothic" w:cs="MS PGothic" w:eastAsia="MS PGothic" w:hAnsi="MS PGothic"/>
          <w:sz w:val="19"/>
          <w:szCs w:val="19"/>
          <w:color w:val="auto"/>
          <w:shd w:val="clear" w:color="auto" w:fill="C00000"/>
        </w:rPr>
      </w:pPr>
      <w:r>
        <w:rPr>
          <w:rFonts w:ascii="Arial" w:cs="Arial" w:eastAsia="Arial" w:hAnsi="Arial"/>
          <w:sz w:val="17"/>
          <w:szCs w:val="17"/>
          <w:color w:val="auto"/>
        </w:rPr>
        <w:t>Emphasis on diversity in Board refreshment efforts</w:t>
      </w:r>
    </w:p>
    <w:p>
      <w:pPr>
        <w:spacing w:after="0" w:line="111" w:lineRule="exact"/>
        <w:rPr>
          <w:rFonts w:ascii="MS PGothic" w:cs="MS PGothic" w:eastAsia="MS PGothic" w:hAnsi="MS PGothic"/>
          <w:sz w:val="19"/>
          <w:szCs w:val="19"/>
          <w:color w:val="auto"/>
          <w:shd w:val="clear" w:color="auto" w:fill="C00000"/>
        </w:rPr>
      </w:pPr>
    </w:p>
    <w:p>
      <w:pPr>
        <w:ind w:left="237" w:hanging="237"/>
        <w:spacing w:after="0"/>
        <w:tabs>
          <w:tab w:leader="none" w:pos="237"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No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-1303655</wp:posOffset>
            </wp:positionV>
            <wp:extent cx="2991485" cy="1920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91485" cy="1920240"/>
                    </a:xfrm>
                    <a:prstGeom prst="rect">
                      <a:avLst/>
                    </a:prstGeom>
                    <a:noFill/>
                  </pic:spPr>
                </pic:pic>
              </a:graphicData>
            </a:graphic>
          </wp:anchor>
        </w:drawing>
      </w:r>
    </w:p>
    <w:p>
      <w:pPr>
        <w:spacing w:after="0" w:line="726" w:lineRule="exact"/>
        <w:rPr>
          <w:sz w:val="20"/>
          <w:szCs w:val="20"/>
          <w:color w:val="auto"/>
        </w:rPr>
      </w:pPr>
    </w:p>
    <w:p>
      <w:pPr>
        <w:sectPr>
          <w:pgSz w:w="11900" w:h="16838" w:orient="portrait"/>
          <w:cols w:equalWidth="0" w:num="2">
            <w:col w:w="5520" w:space="203"/>
            <w:col w:w="5537"/>
          </w:cols>
          <w:pgMar w:left="320" w:top="111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5" w:right="319" w:bottom="1440" w:gutter="0" w:footer="0" w:header="0"/>
          <w:type w:val="continuous"/>
        </w:sectPr>
      </w:pPr>
    </w:p>
    <w:bookmarkStart w:id="11" w:name="page12"/>
    <w:bookmarkEnd w:id="11"/>
    <w:tbl>
      <w:tblPr>
        <w:tblLayout w:type="fixed"/>
        <w:tblInd w:w="890" w:type="dxa"/>
        <w:tblCellMar>
          <w:top w:w="0" w:type="dxa"/>
          <w:left w:w="0" w:type="dxa"/>
          <w:bottom w:w="0" w:type="dxa"/>
          <w:right w:w="0" w:type="dxa"/>
        </w:tblCellMar>
      </w:tblPr>
      <w:tr>
        <w:trPr>
          <w:trHeight w:val="245"/>
        </w:trPr>
        <w:tc>
          <w:tcPr>
            <w:tcW w:w="9500" w:type="dxa"/>
            <w:vAlign w:val="bottom"/>
            <w:gridSpan w:val="11"/>
          </w:tcPr>
          <w:p>
            <w:pPr>
              <w:ind w:left="700"/>
              <w:spacing w:after="0"/>
              <w:rPr>
                <w:sz w:val="20"/>
                <w:szCs w:val="20"/>
                <w:color w:val="auto"/>
              </w:rPr>
            </w:pPr>
            <w:r>
              <w:rPr>
                <w:rFonts w:ascii="Arial" w:cs="Arial" w:eastAsia="Arial" w:hAnsi="Arial"/>
                <w:sz w:val="18"/>
                <w:szCs w:val="18"/>
                <w:b w:val="1"/>
                <w:bCs w:val="1"/>
                <w:i w:val="1"/>
                <w:iCs w:val="1"/>
                <w:color w:val="C00000"/>
              </w:rPr>
              <w:t>Immediately after the 2024 Annual Meeting, our Board will reflect the following characteristics:</w:t>
            </w:r>
          </w:p>
        </w:tc>
      </w:tr>
      <w:tr>
        <w:trPr>
          <w:trHeight w:val="110"/>
        </w:trPr>
        <w:tc>
          <w:tcPr>
            <w:tcW w:w="17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r>
      <w:tr>
        <w:trPr>
          <w:trHeight w:val="218"/>
        </w:trPr>
        <w:tc>
          <w:tcPr>
            <w:tcW w:w="2100" w:type="dxa"/>
            <w:vAlign w:val="bottom"/>
            <w:tcBorders>
              <w:left w:val="single" w:sz="8" w:color="auto"/>
            </w:tcBorders>
            <w:gridSpan w:val="2"/>
          </w:tcPr>
          <w:p>
            <w:pPr>
              <w:jc w:val="center"/>
              <w:ind w:left="870"/>
              <w:spacing w:after="0"/>
              <w:rPr>
                <w:sz w:val="20"/>
                <w:szCs w:val="20"/>
                <w:color w:val="auto"/>
              </w:rPr>
            </w:pPr>
            <w:r>
              <w:rPr>
                <w:rFonts w:ascii="Arial" w:cs="Arial" w:eastAsia="Arial" w:hAnsi="Arial"/>
                <w:sz w:val="18"/>
                <w:szCs w:val="18"/>
                <w:b w:val="1"/>
                <w:bCs w:val="1"/>
                <w:color w:val="C00000"/>
                <w:w w:val="99"/>
              </w:rPr>
              <w:t>Average Age</w:t>
            </w:r>
          </w:p>
        </w:tc>
        <w:tc>
          <w:tcPr>
            <w:tcW w:w="9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8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C00000"/>
                <w:w w:val="98"/>
              </w:rPr>
              <w:t>Average Tenure</w:t>
            </w:r>
          </w:p>
        </w:tc>
        <w:tc>
          <w:tcPr>
            <w:tcW w:w="7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C00000"/>
                <w:w w:val="99"/>
              </w:rPr>
              <w:t>New Directors in the</w:t>
            </w:r>
          </w:p>
        </w:tc>
      </w:tr>
      <w:tr>
        <w:trPr>
          <w:trHeight w:val="203"/>
        </w:trPr>
        <w:tc>
          <w:tcPr>
            <w:tcW w:w="2100" w:type="dxa"/>
            <w:vAlign w:val="bottom"/>
            <w:tcBorders>
              <w:left w:val="single" w:sz="8" w:color="auto"/>
            </w:tcBorders>
            <w:gridSpan w:val="2"/>
          </w:tcPr>
          <w:p>
            <w:pPr>
              <w:jc w:val="center"/>
              <w:ind w:left="890"/>
              <w:spacing w:after="0" w:line="202" w:lineRule="exact"/>
              <w:rPr>
                <w:sz w:val="20"/>
                <w:szCs w:val="20"/>
                <w:color w:val="auto"/>
              </w:rPr>
            </w:pPr>
            <w:r>
              <w:rPr>
                <w:rFonts w:ascii="Arial" w:cs="Arial" w:eastAsia="Arial" w:hAnsi="Arial"/>
                <w:sz w:val="18"/>
                <w:szCs w:val="18"/>
                <w:b w:val="1"/>
                <w:bCs w:val="1"/>
                <w:color w:val="auto"/>
                <w:w w:val="99"/>
              </w:rPr>
              <w:t>59 years</w:t>
            </w:r>
          </w:p>
        </w:tc>
        <w:tc>
          <w:tcPr>
            <w:tcW w:w="9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80" w:type="dxa"/>
            <w:vAlign w:val="bottom"/>
            <w:gridSpan w:val="3"/>
          </w:tcPr>
          <w:p>
            <w:pPr>
              <w:jc w:val="center"/>
              <w:ind w:left="610"/>
              <w:spacing w:after="0" w:line="202" w:lineRule="exact"/>
              <w:rPr>
                <w:sz w:val="20"/>
                <w:szCs w:val="20"/>
                <w:color w:val="auto"/>
              </w:rPr>
            </w:pPr>
            <w:r>
              <w:rPr>
                <w:rFonts w:ascii="Arial" w:cs="Arial" w:eastAsia="Arial" w:hAnsi="Arial"/>
                <w:sz w:val="18"/>
                <w:szCs w:val="18"/>
                <w:b w:val="1"/>
                <w:bCs w:val="1"/>
                <w:color w:val="auto"/>
                <w:w w:val="99"/>
              </w:rPr>
              <w:t>6 years</w:t>
            </w:r>
          </w:p>
        </w:tc>
        <w:tc>
          <w:tcPr>
            <w:tcW w:w="72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220" w:type="dxa"/>
            <w:vAlign w:val="bottom"/>
            <w:tcBorders>
              <w:right w:val="single" w:sz="8" w:color="auto"/>
            </w:tcBorders>
            <w:gridSpan w:val="2"/>
          </w:tcPr>
          <w:p>
            <w:pPr>
              <w:jc w:val="center"/>
              <w:ind w:right="20"/>
              <w:spacing w:after="0" w:line="202" w:lineRule="exact"/>
              <w:rPr>
                <w:sz w:val="20"/>
                <w:szCs w:val="20"/>
                <w:color w:val="auto"/>
              </w:rPr>
            </w:pPr>
            <w:r>
              <w:rPr>
                <w:rFonts w:ascii="Arial" w:cs="Arial" w:eastAsia="Arial" w:hAnsi="Arial"/>
                <w:sz w:val="18"/>
                <w:szCs w:val="18"/>
                <w:b w:val="1"/>
                <w:bCs w:val="1"/>
                <w:color w:val="C00000"/>
                <w:w w:val="98"/>
              </w:rPr>
              <w:t>Last 5 Years</w:t>
            </w:r>
          </w:p>
        </w:tc>
      </w:tr>
      <w:tr>
        <w:trPr>
          <w:trHeight w:val="248"/>
        </w:trPr>
        <w:tc>
          <w:tcPr>
            <w:tcW w:w="1740" w:type="dxa"/>
            <w:vAlign w:val="bottom"/>
            <w:tcBorders>
              <w:left w:val="single" w:sz="8" w:color="auto"/>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3</w:t>
            </w:r>
          </w:p>
        </w:tc>
      </w:tr>
      <w:tr>
        <w:trPr>
          <w:trHeight w:val="116"/>
        </w:trPr>
        <w:tc>
          <w:tcPr>
            <w:tcW w:w="1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700" w:type="dxa"/>
            <w:vAlign w:val="bottom"/>
            <w:gridSpan w:val="3"/>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140" w:type="dxa"/>
            <w:vAlign w:val="bottom"/>
            <w:gridSpan w:val="4"/>
          </w:tcPr>
          <w:p>
            <w:pPr>
              <w:spacing w:after="0"/>
              <w:rPr>
                <w:sz w:val="10"/>
                <w:szCs w:val="10"/>
                <w:color w:val="auto"/>
              </w:rPr>
            </w:pPr>
          </w:p>
        </w:tc>
      </w:tr>
      <w:tr>
        <w:trPr>
          <w:trHeight w:val="204"/>
        </w:trPr>
        <w:tc>
          <w:tcPr>
            <w:tcW w:w="1740" w:type="dxa"/>
            <w:vAlign w:val="bottom"/>
            <w:tcBorders>
              <w:right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700" w:type="dxa"/>
            <w:vAlign w:val="bottom"/>
            <w:tcBorders>
              <w:top w:val="single" w:sz="8" w:color="auto"/>
              <w:right w:val="single" w:sz="8" w:color="auto"/>
            </w:tcBorders>
            <w:gridSpan w:val="3"/>
          </w:tcPr>
          <w:p>
            <w:pPr>
              <w:jc w:val="center"/>
              <w:ind w:right="310"/>
              <w:spacing w:after="0" w:line="204" w:lineRule="exact"/>
              <w:rPr>
                <w:sz w:val="20"/>
                <w:szCs w:val="20"/>
                <w:color w:val="auto"/>
              </w:rPr>
            </w:pPr>
            <w:r>
              <w:rPr>
                <w:rFonts w:ascii="Arial" w:cs="Arial" w:eastAsia="Arial" w:hAnsi="Arial"/>
                <w:sz w:val="18"/>
                <w:szCs w:val="18"/>
                <w:b w:val="1"/>
                <w:bCs w:val="1"/>
                <w:color w:val="C00000"/>
                <w:w w:val="99"/>
              </w:rPr>
              <w:t>% of Directors who are</w:t>
            </w:r>
          </w:p>
        </w:tc>
        <w:tc>
          <w:tcPr>
            <w:tcW w:w="200" w:type="dxa"/>
            <w:vAlign w:val="bottom"/>
            <w:tcBorders>
              <w:right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40" w:type="dxa"/>
            <w:vAlign w:val="bottom"/>
            <w:tcBorders>
              <w:top w:val="single" w:sz="8" w:color="auto"/>
              <w:right w:val="single" w:sz="8" w:color="auto"/>
            </w:tcBorders>
            <w:gridSpan w:val="3"/>
          </w:tcPr>
          <w:p>
            <w:pPr>
              <w:jc w:val="center"/>
              <w:ind w:right="310"/>
              <w:spacing w:after="0" w:line="204" w:lineRule="exact"/>
              <w:rPr>
                <w:sz w:val="20"/>
                <w:szCs w:val="20"/>
                <w:color w:val="auto"/>
              </w:rPr>
            </w:pPr>
            <w:r>
              <w:rPr>
                <w:rFonts w:ascii="Arial" w:cs="Arial" w:eastAsia="Arial" w:hAnsi="Arial"/>
                <w:sz w:val="18"/>
                <w:szCs w:val="18"/>
                <w:b w:val="1"/>
                <w:bCs w:val="1"/>
                <w:color w:val="C00000"/>
              </w:rPr>
              <w:t>% of Directors who are</w:t>
            </w:r>
          </w:p>
        </w:tc>
        <w:tc>
          <w:tcPr>
            <w:tcW w:w="1700" w:type="dxa"/>
            <w:vAlign w:val="bottom"/>
          </w:tcPr>
          <w:p>
            <w:pPr>
              <w:spacing w:after="0"/>
              <w:rPr>
                <w:sz w:val="17"/>
                <w:szCs w:val="17"/>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tcBorders>
              <w:right w:val="single" w:sz="8" w:color="auto"/>
            </w:tcBorders>
            <w:gridSpan w:val="3"/>
          </w:tcPr>
          <w:p>
            <w:pPr>
              <w:jc w:val="center"/>
              <w:ind w:right="290"/>
              <w:spacing w:after="0"/>
              <w:rPr>
                <w:sz w:val="20"/>
                <w:szCs w:val="20"/>
                <w:color w:val="auto"/>
              </w:rPr>
            </w:pPr>
            <w:r>
              <w:rPr>
                <w:rFonts w:ascii="Arial" w:cs="Arial" w:eastAsia="Arial" w:hAnsi="Arial"/>
                <w:sz w:val="18"/>
                <w:szCs w:val="18"/>
                <w:b w:val="1"/>
                <w:bCs w:val="1"/>
                <w:color w:val="C00000"/>
                <w:w w:val="99"/>
              </w:rPr>
              <w:t>Racially/Ethnically Diverse</w:t>
            </w: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1010"/>
              <w:spacing w:after="0"/>
              <w:rPr>
                <w:sz w:val="20"/>
                <w:szCs w:val="20"/>
                <w:color w:val="auto"/>
              </w:rPr>
            </w:pPr>
            <w:r>
              <w:rPr>
                <w:rFonts w:ascii="Arial" w:cs="Arial" w:eastAsia="Arial" w:hAnsi="Arial"/>
                <w:sz w:val="18"/>
                <w:szCs w:val="18"/>
                <w:b w:val="1"/>
                <w:bCs w:val="1"/>
                <w:color w:val="C00000"/>
                <w:w w:val="95"/>
              </w:rPr>
              <w:t>Women</w:t>
            </w:r>
          </w:p>
        </w:tc>
        <w:tc>
          <w:tcPr>
            <w:tcW w:w="1700" w:type="dxa"/>
            <w:vAlign w:val="bottom"/>
          </w:tcPr>
          <w:p>
            <w:pPr>
              <w:spacing w:after="0"/>
              <w:rPr>
                <w:sz w:val="18"/>
                <w:szCs w:val="18"/>
                <w:color w:val="auto"/>
              </w:rPr>
            </w:pPr>
          </w:p>
        </w:tc>
      </w:tr>
      <w:tr>
        <w:trPr>
          <w:trHeight w:val="248"/>
        </w:trPr>
        <w:tc>
          <w:tcPr>
            <w:tcW w:w="1740" w:type="dxa"/>
            <w:vAlign w:val="bottom"/>
            <w:tcBorders>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700" w:type="dxa"/>
            <w:vAlign w:val="bottom"/>
            <w:tcBorders>
              <w:bottom w:val="single" w:sz="8" w:color="auto"/>
              <w:right w:val="single" w:sz="8" w:color="auto"/>
            </w:tcBorders>
            <w:gridSpan w:val="3"/>
          </w:tcPr>
          <w:p>
            <w:pPr>
              <w:jc w:val="center"/>
              <w:ind w:right="290"/>
              <w:spacing w:after="0"/>
              <w:rPr>
                <w:sz w:val="20"/>
                <w:szCs w:val="20"/>
                <w:color w:val="auto"/>
              </w:rPr>
            </w:pPr>
            <w:r>
              <w:rPr>
                <w:rFonts w:ascii="Arial" w:cs="Arial" w:eastAsia="Arial" w:hAnsi="Arial"/>
                <w:sz w:val="18"/>
                <w:szCs w:val="18"/>
                <w:b w:val="1"/>
                <w:bCs w:val="1"/>
                <w:color w:val="auto"/>
                <w:w w:val="99"/>
              </w:rPr>
              <w:t>22%</w:t>
            </w:r>
          </w:p>
        </w:tc>
        <w:tc>
          <w:tcPr>
            <w:tcW w:w="200" w:type="dxa"/>
            <w:vAlign w:val="bottom"/>
            <w:tcBorders>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440" w:type="dxa"/>
            <w:vAlign w:val="bottom"/>
            <w:tcBorders>
              <w:bottom w:val="single" w:sz="8" w:color="auto"/>
              <w:right w:val="single" w:sz="8" w:color="auto"/>
            </w:tcBorders>
            <w:gridSpan w:val="3"/>
          </w:tcPr>
          <w:p>
            <w:pPr>
              <w:jc w:val="center"/>
              <w:ind w:right="310"/>
              <w:spacing w:after="0"/>
              <w:rPr>
                <w:sz w:val="20"/>
                <w:szCs w:val="20"/>
                <w:color w:val="auto"/>
              </w:rPr>
            </w:pPr>
            <w:r>
              <w:rPr>
                <w:rFonts w:ascii="Arial" w:cs="Arial" w:eastAsia="Arial" w:hAnsi="Arial"/>
                <w:sz w:val="18"/>
                <w:szCs w:val="18"/>
                <w:b w:val="1"/>
                <w:bCs w:val="1"/>
                <w:color w:val="auto"/>
                <w:w w:val="99"/>
              </w:rPr>
              <w:t>33%</w:t>
            </w:r>
          </w:p>
        </w:tc>
        <w:tc>
          <w:tcPr>
            <w:tcW w:w="1700" w:type="dxa"/>
            <w:vAlign w:val="bottom"/>
          </w:tcPr>
          <w:p>
            <w:pPr>
              <w:spacing w:after="0"/>
              <w:rPr>
                <w:sz w:val="21"/>
                <w:szCs w:val="2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Information About our Board of Directors</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68"/>
        </w:trPr>
        <w:tc>
          <w:tcPr>
            <w:tcW w:w="660" w:type="dxa"/>
            <w:vAlign w:val="bottom"/>
          </w:tcPr>
          <w:p>
            <w:pPr>
              <w:spacing w:after="0"/>
              <w:rPr>
                <w:sz w:val="23"/>
                <w:szCs w:val="23"/>
                <w:color w:val="auto"/>
              </w:rPr>
            </w:pPr>
          </w:p>
        </w:tc>
        <w:tc>
          <w:tcPr>
            <w:tcW w:w="980" w:type="dxa"/>
            <w:vAlign w:val="bottom"/>
            <w:shd w:val="clear" w:color="auto" w:fill="BF2115"/>
          </w:tcPr>
          <w:p>
            <w:pPr>
              <w:spacing w:after="0"/>
              <w:rPr>
                <w:sz w:val="23"/>
                <w:szCs w:val="23"/>
                <w:color w:val="auto"/>
              </w:rPr>
            </w:pPr>
          </w:p>
        </w:tc>
        <w:tc>
          <w:tcPr>
            <w:tcW w:w="3060" w:type="dxa"/>
            <w:vAlign w:val="bottom"/>
            <w:shd w:val="clear" w:color="auto" w:fill="BF2115"/>
          </w:tcPr>
          <w:p>
            <w:pPr>
              <w:spacing w:after="0"/>
              <w:rPr>
                <w:sz w:val="23"/>
                <w:szCs w:val="23"/>
                <w:color w:val="auto"/>
              </w:rPr>
            </w:pPr>
          </w:p>
        </w:tc>
        <w:tc>
          <w:tcPr>
            <w:tcW w:w="540" w:type="dxa"/>
            <w:vAlign w:val="bottom"/>
            <w:shd w:val="clear" w:color="auto" w:fill="BF2115"/>
          </w:tcPr>
          <w:p>
            <w:pPr>
              <w:spacing w:after="0"/>
              <w:rPr>
                <w:sz w:val="23"/>
                <w:szCs w:val="23"/>
                <w:color w:val="auto"/>
              </w:rPr>
            </w:pPr>
          </w:p>
        </w:tc>
        <w:tc>
          <w:tcPr>
            <w:tcW w:w="88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Director</w:t>
            </w:r>
          </w:p>
        </w:tc>
        <w:tc>
          <w:tcPr>
            <w:tcW w:w="2180" w:type="dxa"/>
            <w:vAlign w:val="bottom"/>
            <w:gridSpan w:val="4"/>
            <w:shd w:val="clear" w:color="auto" w:fill="BF2115"/>
          </w:tcPr>
          <w:p>
            <w:pPr>
              <w:ind w:left="260"/>
              <w:spacing w:after="0"/>
              <w:rPr>
                <w:sz w:val="20"/>
                <w:szCs w:val="20"/>
                <w:color w:val="auto"/>
              </w:rPr>
            </w:pPr>
            <w:r>
              <w:rPr>
                <w:rFonts w:ascii="Arial" w:cs="Arial" w:eastAsia="Arial" w:hAnsi="Arial"/>
                <w:sz w:val="14"/>
                <w:szCs w:val="14"/>
                <w:b w:val="1"/>
                <w:bCs w:val="1"/>
                <w:color w:val="FFFFFF"/>
              </w:rPr>
              <w:t>Committee Memberships</w:t>
            </w:r>
          </w:p>
        </w:tc>
        <w:tc>
          <w:tcPr>
            <w:tcW w:w="1980" w:type="dxa"/>
            <w:vAlign w:val="bottom"/>
            <w:gridSpan w:val="2"/>
            <w:vMerge w:val="restart"/>
            <w:shd w:val="clear" w:color="auto" w:fill="BF2115"/>
          </w:tcPr>
          <w:p>
            <w:pPr>
              <w:ind w:left="80"/>
              <w:spacing w:after="0"/>
              <w:rPr>
                <w:sz w:val="20"/>
                <w:szCs w:val="20"/>
                <w:color w:val="auto"/>
              </w:rPr>
            </w:pPr>
            <w:r>
              <w:rPr>
                <w:rFonts w:ascii="Arial" w:cs="Arial" w:eastAsia="Arial" w:hAnsi="Arial"/>
                <w:sz w:val="14"/>
                <w:szCs w:val="14"/>
                <w:b w:val="1"/>
                <w:bCs w:val="1"/>
                <w:color w:val="FFFFFF"/>
              </w:rPr>
              <w:t>Other Public Racial/Gender</w:t>
            </w:r>
          </w:p>
        </w:tc>
        <w:tc>
          <w:tcPr>
            <w:tcW w:w="0" w:type="dxa"/>
            <w:vAlign w:val="bottom"/>
          </w:tcPr>
          <w:p>
            <w:pPr>
              <w:spacing w:after="0"/>
              <w:rPr>
                <w:sz w:val="1"/>
                <w:szCs w:val="1"/>
                <w:color w:val="auto"/>
              </w:rPr>
            </w:pPr>
          </w:p>
        </w:tc>
      </w:tr>
      <w:tr>
        <w:trPr>
          <w:trHeight w:val="83"/>
        </w:trPr>
        <w:tc>
          <w:tcPr>
            <w:tcW w:w="660" w:type="dxa"/>
            <w:vAlign w:val="bottom"/>
          </w:tcPr>
          <w:p>
            <w:pPr>
              <w:spacing w:after="0"/>
              <w:rPr>
                <w:sz w:val="7"/>
                <w:szCs w:val="7"/>
                <w:color w:val="auto"/>
              </w:rPr>
            </w:pPr>
          </w:p>
        </w:tc>
        <w:tc>
          <w:tcPr>
            <w:tcW w:w="4040" w:type="dxa"/>
            <w:vAlign w:val="bottom"/>
            <w:gridSpan w:val="2"/>
            <w:vMerge w:val="restart"/>
            <w:shd w:val="clear" w:color="auto" w:fill="BF2115"/>
          </w:tcPr>
          <w:p>
            <w:pPr>
              <w:spacing w:after="0"/>
              <w:rPr>
                <w:sz w:val="20"/>
                <w:szCs w:val="20"/>
                <w:color w:val="auto"/>
              </w:rPr>
            </w:pPr>
            <w:r>
              <w:rPr>
                <w:rFonts w:ascii="Arial" w:cs="Arial" w:eastAsia="Arial" w:hAnsi="Arial"/>
                <w:sz w:val="14"/>
                <w:szCs w:val="14"/>
                <w:b w:val="1"/>
                <w:bCs w:val="1"/>
                <w:color w:val="FFFFFF"/>
              </w:rPr>
              <w:t>Name and Title</w:t>
            </w:r>
          </w:p>
        </w:tc>
        <w:tc>
          <w:tcPr>
            <w:tcW w:w="54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Age</w:t>
            </w:r>
          </w:p>
        </w:tc>
        <w:tc>
          <w:tcPr>
            <w:tcW w:w="880" w:type="dxa"/>
            <w:vAlign w:val="bottom"/>
            <w:vMerge w:val="continue"/>
            <w:shd w:val="clear" w:color="auto" w:fill="BF2115"/>
          </w:tcPr>
          <w:p>
            <w:pPr>
              <w:spacing w:after="0"/>
              <w:rPr>
                <w:sz w:val="7"/>
                <w:szCs w:val="7"/>
                <w:color w:val="auto"/>
              </w:rPr>
            </w:pPr>
          </w:p>
        </w:tc>
        <w:tc>
          <w:tcPr>
            <w:tcW w:w="580" w:type="dxa"/>
            <w:vAlign w:val="bottom"/>
            <w:vMerge w:val="restart"/>
            <w:shd w:val="clear" w:color="auto" w:fill="BF2115"/>
          </w:tcPr>
          <w:p>
            <w:pPr>
              <w:ind w:left="220"/>
              <w:spacing w:after="0"/>
              <w:rPr>
                <w:sz w:val="20"/>
                <w:szCs w:val="20"/>
                <w:color w:val="auto"/>
              </w:rPr>
            </w:pPr>
            <w:r>
              <w:rPr>
                <w:rFonts w:ascii="Arial" w:cs="Arial" w:eastAsia="Arial" w:hAnsi="Arial"/>
                <w:sz w:val="14"/>
                <w:szCs w:val="14"/>
                <w:b w:val="1"/>
                <w:bCs w:val="1"/>
                <w:color w:val="FFFFFF"/>
              </w:rPr>
              <w:t>A</w:t>
            </w:r>
          </w:p>
        </w:tc>
        <w:tc>
          <w:tcPr>
            <w:tcW w:w="36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w w:val="92"/>
              </w:rPr>
              <w:t>F</w:t>
            </w:r>
          </w:p>
        </w:tc>
        <w:tc>
          <w:tcPr>
            <w:tcW w:w="440" w:type="dxa"/>
            <w:vAlign w:val="bottom"/>
            <w:vMerge w:val="restart"/>
            <w:shd w:val="clear" w:color="auto" w:fill="BF2115"/>
          </w:tcPr>
          <w:p>
            <w:pPr>
              <w:jc w:val="center"/>
              <w:ind w:left="37"/>
              <w:spacing w:after="0"/>
              <w:rPr>
                <w:sz w:val="20"/>
                <w:szCs w:val="20"/>
                <w:color w:val="auto"/>
              </w:rPr>
            </w:pPr>
            <w:r>
              <w:rPr>
                <w:rFonts w:ascii="Arial" w:cs="Arial" w:eastAsia="Arial" w:hAnsi="Arial"/>
                <w:sz w:val="14"/>
                <w:szCs w:val="14"/>
                <w:b w:val="1"/>
                <w:bCs w:val="1"/>
                <w:color w:val="FFFFFF"/>
              </w:rPr>
              <w:t>N&amp;G</w:t>
            </w:r>
          </w:p>
        </w:tc>
        <w:tc>
          <w:tcPr>
            <w:tcW w:w="800" w:type="dxa"/>
            <w:vAlign w:val="bottom"/>
            <w:vMerge w:val="restart"/>
            <w:shd w:val="clear" w:color="auto" w:fill="BF2115"/>
          </w:tcPr>
          <w:p>
            <w:pPr>
              <w:ind w:left="280"/>
              <w:spacing w:after="0"/>
              <w:rPr>
                <w:sz w:val="20"/>
                <w:szCs w:val="20"/>
                <w:color w:val="auto"/>
              </w:rPr>
            </w:pPr>
            <w:r>
              <w:rPr>
                <w:rFonts w:ascii="Arial" w:cs="Arial" w:eastAsia="Arial" w:hAnsi="Arial"/>
                <w:sz w:val="14"/>
                <w:szCs w:val="14"/>
                <w:b w:val="1"/>
                <w:bCs w:val="1"/>
                <w:color w:val="FFFFFF"/>
              </w:rPr>
              <w:t>C&amp;HR</w:t>
            </w:r>
          </w:p>
        </w:tc>
        <w:tc>
          <w:tcPr>
            <w:tcW w:w="1980" w:type="dxa"/>
            <w:vAlign w:val="bottom"/>
            <w:gridSpan w:val="2"/>
            <w:vMerge w:val="continue"/>
            <w:shd w:val="clear" w:color="auto" w:fill="BF2115"/>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040" w:type="dxa"/>
            <w:vAlign w:val="bottom"/>
            <w:gridSpan w:val="2"/>
            <w:vMerge w:val="continue"/>
            <w:shd w:val="clear" w:color="auto" w:fill="BF2115"/>
          </w:tcPr>
          <w:p>
            <w:pPr>
              <w:spacing w:after="0"/>
              <w:rPr>
                <w:sz w:val="16"/>
                <w:szCs w:val="16"/>
                <w:color w:val="auto"/>
              </w:rPr>
            </w:pPr>
          </w:p>
        </w:tc>
        <w:tc>
          <w:tcPr>
            <w:tcW w:w="540" w:type="dxa"/>
            <w:vAlign w:val="bottom"/>
            <w:vMerge w:val="continue"/>
            <w:shd w:val="clear" w:color="auto" w:fill="BF2115"/>
          </w:tcPr>
          <w:p>
            <w:pPr>
              <w:spacing w:after="0"/>
              <w:rPr>
                <w:sz w:val="16"/>
                <w:szCs w:val="16"/>
                <w:color w:val="auto"/>
              </w:rPr>
            </w:pPr>
          </w:p>
        </w:tc>
        <w:tc>
          <w:tcPr>
            <w:tcW w:w="8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Since</w:t>
            </w:r>
          </w:p>
        </w:tc>
        <w:tc>
          <w:tcPr>
            <w:tcW w:w="580" w:type="dxa"/>
            <w:vAlign w:val="bottom"/>
            <w:vMerge w:val="continue"/>
            <w:shd w:val="clear" w:color="auto" w:fill="BF2115"/>
          </w:tcPr>
          <w:p>
            <w:pPr>
              <w:spacing w:after="0"/>
              <w:rPr>
                <w:sz w:val="16"/>
                <w:szCs w:val="16"/>
                <w:color w:val="auto"/>
              </w:rPr>
            </w:pPr>
          </w:p>
        </w:tc>
        <w:tc>
          <w:tcPr>
            <w:tcW w:w="360" w:type="dxa"/>
            <w:vAlign w:val="bottom"/>
            <w:vMerge w:val="continue"/>
            <w:shd w:val="clear" w:color="auto" w:fill="BF2115"/>
          </w:tcPr>
          <w:p>
            <w:pPr>
              <w:spacing w:after="0"/>
              <w:rPr>
                <w:sz w:val="16"/>
                <w:szCs w:val="16"/>
                <w:color w:val="auto"/>
              </w:rPr>
            </w:pPr>
          </w:p>
        </w:tc>
        <w:tc>
          <w:tcPr>
            <w:tcW w:w="440" w:type="dxa"/>
            <w:vAlign w:val="bottom"/>
            <w:vMerge w:val="continue"/>
            <w:shd w:val="clear" w:color="auto" w:fill="BF2115"/>
          </w:tcPr>
          <w:p>
            <w:pPr>
              <w:spacing w:after="0"/>
              <w:rPr>
                <w:sz w:val="16"/>
                <w:szCs w:val="16"/>
                <w:color w:val="auto"/>
              </w:rPr>
            </w:pPr>
          </w:p>
        </w:tc>
        <w:tc>
          <w:tcPr>
            <w:tcW w:w="800" w:type="dxa"/>
            <w:vAlign w:val="bottom"/>
            <w:vMerge w:val="continue"/>
            <w:shd w:val="clear" w:color="auto" w:fill="BF2115"/>
          </w:tcPr>
          <w:p>
            <w:pPr>
              <w:spacing w:after="0"/>
              <w:rPr>
                <w:sz w:val="16"/>
                <w:szCs w:val="16"/>
                <w:color w:val="auto"/>
              </w:rPr>
            </w:pPr>
          </w:p>
        </w:tc>
        <w:tc>
          <w:tcPr>
            <w:tcW w:w="9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Boards</w:t>
            </w:r>
          </w:p>
        </w:tc>
        <w:tc>
          <w:tcPr>
            <w:tcW w:w="10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Diversity</w:t>
            </w: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4"/>
                <w:szCs w:val="14"/>
                <w:b w:val="1"/>
                <w:bCs w:val="1"/>
                <w:color w:val="C00000"/>
              </w:rPr>
              <w:t>Director Nominees</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4040" w:type="dxa"/>
            <w:vAlign w:val="bottom"/>
            <w:gridSpan w:val="2"/>
            <w:shd w:val="clear" w:color="auto" w:fill="DBDBDB"/>
          </w:tcPr>
          <w:p>
            <w:pPr>
              <w:spacing w:after="0"/>
              <w:rPr>
                <w:sz w:val="20"/>
                <w:szCs w:val="20"/>
                <w:color w:val="auto"/>
              </w:rPr>
            </w:pPr>
            <w:r>
              <w:rPr>
                <w:rFonts w:ascii="Arial" w:cs="Arial" w:eastAsia="Arial" w:hAnsi="Arial"/>
                <w:sz w:val="14"/>
                <w:szCs w:val="14"/>
                <w:b w:val="1"/>
                <w:bCs w:val="1"/>
                <w:color w:val="C00000"/>
              </w:rPr>
              <w:t>Gary L. Ellis – Lead Independent Director</w:t>
            </w:r>
          </w:p>
        </w:tc>
        <w:tc>
          <w:tcPr>
            <w:tcW w:w="5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580" w:type="dxa"/>
            <w:vAlign w:val="bottom"/>
            <w:vMerge w:val="restart"/>
            <w:shd w:val="clear" w:color="auto" w:fill="DBDBDB"/>
          </w:tcPr>
          <w:p>
            <w:pPr>
              <w:ind w:left="1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360" w:type="dxa"/>
            <w:vAlign w:val="bottom"/>
            <w:vMerge w:val="restart"/>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C00000"/>
              </w:rPr>
              <w:t>✓</w:t>
            </w:r>
          </w:p>
        </w:tc>
        <w:tc>
          <w:tcPr>
            <w:tcW w:w="44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040" w:type="dxa"/>
            <w:vAlign w:val="bottom"/>
            <w:gridSpan w:val="2"/>
            <w:shd w:val="clear" w:color="auto" w:fill="DBDBDB"/>
          </w:tcPr>
          <w:p>
            <w:pPr>
              <w:ind w:left="80"/>
              <w:spacing w:after="0"/>
              <w:rPr>
                <w:sz w:val="20"/>
                <w:szCs w:val="20"/>
                <w:color w:val="auto"/>
              </w:rPr>
            </w:pPr>
            <w:r>
              <w:rPr>
                <w:rFonts w:ascii="Arial" w:cs="Arial" w:eastAsia="Arial" w:hAnsi="Arial"/>
                <w:sz w:val="14"/>
                <w:szCs w:val="14"/>
                <w:color w:val="auto"/>
              </w:rPr>
              <w:t>Retired Executive Vice President,</w:t>
            </w:r>
          </w:p>
        </w:tc>
        <w:tc>
          <w:tcPr>
            <w:tcW w:w="5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67</w:t>
            </w: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2006</w:t>
            </w:r>
          </w:p>
        </w:tc>
        <w:tc>
          <w:tcPr>
            <w:tcW w:w="580" w:type="dxa"/>
            <w:vAlign w:val="bottom"/>
            <w:vMerge w:val="continue"/>
            <w:shd w:val="clear" w:color="auto" w:fill="DBDBDB"/>
          </w:tcPr>
          <w:p>
            <w:pPr>
              <w:spacing w:after="0"/>
              <w:rPr>
                <w:sz w:val="18"/>
                <w:szCs w:val="18"/>
                <w:color w:val="auto"/>
              </w:rPr>
            </w:pPr>
          </w:p>
        </w:tc>
        <w:tc>
          <w:tcPr>
            <w:tcW w:w="360" w:type="dxa"/>
            <w:vAlign w:val="bottom"/>
            <w:vMerge w:val="continue"/>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BF2115"/>
              </w:rPr>
              <w:t>1</w:t>
            </w:r>
          </w:p>
        </w:tc>
        <w:tc>
          <w:tcPr>
            <w:tcW w:w="10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60" w:type="dxa"/>
            <w:vAlign w:val="bottom"/>
          </w:tcPr>
          <w:p>
            <w:pPr>
              <w:spacing w:after="0"/>
              <w:rPr>
                <w:sz w:val="21"/>
                <w:szCs w:val="21"/>
                <w:color w:val="auto"/>
              </w:rPr>
            </w:pPr>
          </w:p>
        </w:tc>
        <w:tc>
          <w:tcPr>
            <w:tcW w:w="98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4"/>
                <w:szCs w:val="14"/>
                <w:color w:val="auto"/>
              </w:rPr>
              <w:t>Medtronic plc</w:t>
            </w:r>
          </w:p>
        </w:tc>
        <w:tc>
          <w:tcPr>
            <w:tcW w:w="3060" w:type="dxa"/>
            <w:vAlign w:val="bottom"/>
            <w:tcBorders>
              <w:bottom w:val="single" w:sz="8" w:color="DBDBDB"/>
            </w:tcBorders>
            <w:shd w:val="clear" w:color="auto" w:fill="DBDBDB"/>
          </w:tcPr>
          <w:p>
            <w:pPr>
              <w:spacing w:after="0"/>
              <w:rPr>
                <w:sz w:val="21"/>
                <w:szCs w:val="21"/>
                <w:color w:val="auto"/>
              </w:rPr>
            </w:pPr>
          </w:p>
        </w:tc>
        <w:tc>
          <w:tcPr>
            <w:tcW w:w="540" w:type="dxa"/>
            <w:vAlign w:val="bottom"/>
            <w:tcBorders>
              <w:bottom w:val="single" w:sz="8" w:color="DBDBDB"/>
            </w:tcBorders>
            <w:shd w:val="clear" w:color="auto" w:fill="DBDBDB"/>
          </w:tcPr>
          <w:p>
            <w:pPr>
              <w:spacing w:after="0"/>
              <w:rPr>
                <w:sz w:val="21"/>
                <w:szCs w:val="21"/>
                <w:color w:val="auto"/>
              </w:rPr>
            </w:pPr>
          </w:p>
        </w:tc>
        <w:tc>
          <w:tcPr>
            <w:tcW w:w="88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b w:val="1"/>
                <w:bCs w:val="1"/>
                <w:color w:val="C00000"/>
              </w:rPr>
              <w:t>E</w:t>
            </w:r>
          </w:p>
        </w:tc>
        <w:tc>
          <w:tcPr>
            <w:tcW w:w="36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spacing w:after="0"/>
              <w:rPr>
                <w:sz w:val="21"/>
                <w:szCs w:val="21"/>
                <w:color w:val="auto"/>
              </w:rPr>
            </w:pPr>
          </w:p>
        </w:tc>
        <w:tc>
          <w:tcPr>
            <w:tcW w:w="960" w:type="dxa"/>
            <w:vAlign w:val="bottom"/>
            <w:tcBorders>
              <w:bottom w:val="single" w:sz="8" w:color="DBDBDB"/>
            </w:tcBorders>
            <w:shd w:val="clear" w:color="auto" w:fill="DBDBDB"/>
          </w:tcPr>
          <w:p>
            <w:pPr>
              <w:spacing w:after="0"/>
              <w:rPr>
                <w:sz w:val="21"/>
                <w:szCs w:val="21"/>
                <w:color w:val="auto"/>
              </w:rPr>
            </w:pPr>
          </w:p>
        </w:tc>
        <w:tc>
          <w:tcPr>
            <w:tcW w:w="102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60" w:type="dxa"/>
            <w:vAlign w:val="bottom"/>
          </w:tcPr>
          <w:p>
            <w:pPr>
              <w:spacing w:after="0"/>
              <w:rPr>
                <w:sz w:val="23"/>
                <w:szCs w:val="23"/>
                <w:color w:val="auto"/>
              </w:rPr>
            </w:pPr>
          </w:p>
        </w:tc>
        <w:tc>
          <w:tcPr>
            <w:tcW w:w="4040" w:type="dxa"/>
            <w:vAlign w:val="bottom"/>
            <w:gridSpan w:val="2"/>
          </w:tcPr>
          <w:p>
            <w:pPr>
              <w:spacing w:after="0"/>
              <w:rPr>
                <w:sz w:val="20"/>
                <w:szCs w:val="20"/>
                <w:color w:val="auto"/>
              </w:rPr>
            </w:pPr>
            <w:r>
              <w:rPr>
                <w:rFonts w:ascii="Arial" w:cs="Arial" w:eastAsia="Arial" w:hAnsi="Arial"/>
                <w:sz w:val="14"/>
                <w:szCs w:val="14"/>
                <w:b w:val="1"/>
                <w:bCs w:val="1"/>
                <w:color w:val="C00000"/>
              </w:rPr>
              <w:t>Jill M. Pemberton</w:t>
            </w: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vMerge w:val="restart"/>
          </w:tcPr>
          <w:p>
            <w:pPr>
              <w:ind w:left="200"/>
              <w:spacing w:after="0"/>
              <w:rPr>
                <w:sz w:val="20"/>
                <w:szCs w:val="20"/>
                <w:color w:val="auto"/>
              </w:rPr>
            </w:pPr>
            <w:r>
              <w:rPr>
                <w:rFonts w:ascii="Arial" w:cs="Arial" w:eastAsia="Arial" w:hAnsi="Arial"/>
                <w:sz w:val="16"/>
                <w:szCs w:val="16"/>
                <w:b w:val="1"/>
                <w:bCs w:val="1"/>
                <w:color w:val="C00000"/>
              </w:rPr>
              <w:t>C</w:t>
            </w:r>
          </w:p>
        </w:tc>
        <w:tc>
          <w:tcPr>
            <w:tcW w:w="3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C00000"/>
              </w:rPr>
              <w:t>✓</w:t>
            </w: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BF2115"/>
              </w:rPr>
              <w:t>✓</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6"/>
                <w:szCs w:val="16"/>
                <w:color w:val="auto"/>
              </w:rPr>
            </w:pPr>
          </w:p>
        </w:tc>
        <w:tc>
          <w:tcPr>
            <w:tcW w:w="4040" w:type="dxa"/>
            <w:vAlign w:val="bottom"/>
            <w:gridSpan w:val="2"/>
          </w:tcPr>
          <w:p>
            <w:pPr>
              <w:ind w:left="100"/>
              <w:spacing w:after="0"/>
              <w:rPr>
                <w:sz w:val="20"/>
                <w:szCs w:val="20"/>
                <w:color w:val="auto"/>
              </w:rPr>
            </w:pPr>
            <w:r>
              <w:rPr>
                <w:rFonts w:ascii="Arial" w:cs="Arial" w:eastAsia="Arial" w:hAnsi="Arial"/>
                <w:sz w:val="14"/>
                <w:szCs w:val="14"/>
                <w:color w:val="auto"/>
              </w:rPr>
              <w:t>Chief Financial Officer, North America</w:t>
            </w:r>
          </w:p>
        </w:tc>
        <w:tc>
          <w:tcPr>
            <w:tcW w:w="540" w:type="dxa"/>
            <w:vAlign w:val="bottom"/>
          </w:tcPr>
          <w:p>
            <w:pPr>
              <w:jc w:val="center"/>
              <w:spacing w:after="0"/>
              <w:rPr>
                <w:sz w:val="20"/>
                <w:szCs w:val="20"/>
                <w:color w:val="auto"/>
              </w:rPr>
            </w:pPr>
            <w:r>
              <w:rPr>
                <w:rFonts w:ascii="Arial" w:cs="Arial" w:eastAsia="Arial" w:hAnsi="Arial"/>
                <w:sz w:val="14"/>
                <w:szCs w:val="14"/>
                <w:color w:val="auto"/>
              </w:rPr>
              <w:t>53</w:t>
            </w:r>
          </w:p>
        </w:tc>
        <w:tc>
          <w:tcPr>
            <w:tcW w:w="880" w:type="dxa"/>
            <w:vAlign w:val="bottom"/>
          </w:tcPr>
          <w:p>
            <w:pPr>
              <w:jc w:val="center"/>
              <w:spacing w:after="0"/>
              <w:rPr>
                <w:sz w:val="20"/>
                <w:szCs w:val="20"/>
                <w:color w:val="auto"/>
              </w:rPr>
            </w:pPr>
            <w:r>
              <w:rPr>
                <w:rFonts w:ascii="Arial" w:cs="Arial" w:eastAsia="Arial" w:hAnsi="Arial"/>
                <w:sz w:val="14"/>
                <w:szCs w:val="14"/>
                <w:color w:val="auto"/>
              </w:rPr>
              <w:t>2022</w:t>
            </w:r>
          </w:p>
        </w:tc>
        <w:tc>
          <w:tcPr>
            <w:tcW w:w="58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040" w:type="dxa"/>
            <w:vAlign w:val="bottom"/>
            <w:gridSpan w:val="2"/>
          </w:tcPr>
          <w:p>
            <w:pPr>
              <w:ind w:left="100"/>
              <w:spacing w:after="0"/>
              <w:rPr>
                <w:sz w:val="20"/>
                <w:szCs w:val="20"/>
                <w:color w:val="auto"/>
              </w:rPr>
            </w:pPr>
            <w:r>
              <w:rPr>
                <w:rFonts w:ascii="Arial" w:cs="Arial" w:eastAsia="Arial" w:hAnsi="Arial"/>
                <w:sz w:val="14"/>
                <w:szCs w:val="14"/>
                <w:color w:val="auto"/>
              </w:rPr>
              <w:t>LVMH Moët Hennessy Louis Vuitton</w:t>
            </w: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ind w:left="200"/>
              <w:spacing w:after="0"/>
              <w:rPr>
                <w:sz w:val="20"/>
                <w:szCs w:val="20"/>
                <w:color w:val="auto"/>
              </w:rPr>
            </w:pPr>
            <w:r>
              <w:rPr>
                <w:rFonts w:ascii="Arial" w:cs="Arial" w:eastAsia="Arial" w:hAnsi="Arial"/>
                <w:sz w:val="16"/>
                <w:szCs w:val="16"/>
                <w:b w:val="1"/>
                <w:bCs w:val="1"/>
                <w:color w:val="C00000"/>
              </w:rPr>
              <w:t>E</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3"/>
                <w:szCs w:val="3"/>
                <w:color w:val="auto"/>
              </w:rPr>
            </w:pPr>
          </w:p>
        </w:tc>
        <w:tc>
          <w:tcPr>
            <w:tcW w:w="404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4040" w:type="dxa"/>
            <w:vAlign w:val="bottom"/>
            <w:gridSpan w:val="2"/>
            <w:shd w:val="clear" w:color="auto" w:fill="DBDBDB"/>
          </w:tcPr>
          <w:p>
            <w:pPr>
              <w:spacing w:after="0"/>
              <w:rPr>
                <w:sz w:val="20"/>
                <w:szCs w:val="20"/>
                <w:color w:val="auto"/>
              </w:rPr>
            </w:pPr>
            <w:r>
              <w:rPr>
                <w:rFonts w:ascii="Arial" w:cs="Arial" w:eastAsia="Arial" w:hAnsi="Arial"/>
                <w:sz w:val="14"/>
                <w:szCs w:val="14"/>
                <w:b w:val="1"/>
                <w:bCs w:val="1"/>
                <w:color w:val="C00000"/>
              </w:rPr>
              <w:t>Continuing Directors</w:t>
            </w:r>
          </w:p>
        </w:tc>
        <w:tc>
          <w:tcPr>
            <w:tcW w:w="5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660" w:type="dxa"/>
            <w:vAlign w:val="bottom"/>
          </w:tcPr>
          <w:p>
            <w:pPr>
              <w:spacing w:after="0"/>
              <w:rPr>
                <w:sz w:val="23"/>
                <w:szCs w:val="23"/>
                <w:color w:val="auto"/>
              </w:rPr>
            </w:pPr>
          </w:p>
        </w:tc>
        <w:tc>
          <w:tcPr>
            <w:tcW w:w="4040" w:type="dxa"/>
            <w:vAlign w:val="bottom"/>
            <w:gridSpan w:val="2"/>
          </w:tcPr>
          <w:p>
            <w:pPr>
              <w:spacing w:after="0"/>
              <w:rPr>
                <w:sz w:val="20"/>
                <w:szCs w:val="20"/>
                <w:color w:val="auto"/>
              </w:rPr>
            </w:pPr>
            <w:r>
              <w:rPr>
                <w:rFonts w:ascii="Arial" w:cs="Arial" w:eastAsia="Arial" w:hAnsi="Arial"/>
                <w:sz w:val="14"/>
                <w:szCs w:val="14"/>
                <w:b w:val="1"/>
                <w:bCs w:val="1"/>
                <w:color w:val="C00000"/>
              </w:rPr>
              <w:t>Dianne C. Craig</w:t>
            </w: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3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C00000"/>
              </w:rPr>
              <w:t>✓</w:t>
            </w: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BF2115"/>
              </w:rPr>
              <w:t>✓</w:t>
            </w: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4040" w:type="dxa"/>
            <w:vAlign w:val="bottom"/>
            <w:gridSpan w:val="2"/>
          </w:tcPr>
          <w:p>
            <w:pPr>
              <w:ind w:left="100"/>
              <w:spacing w:after="0"/>
              <w:rPr>
                <w:sz w:val="20"/>
                <w:szCs w:val="20"/>
                <w:color w:val="auto"/>
              </w:rPr>
            </w:pPr>
            <w:r>
              <w:rPr>
                <w:rFonts w:ascii="Arial" w:cs="Arial" w:eastAsia="Arial" w:hAnsi="Arial"/>
                <w:sz w:val="14"/>
                <w:szCs w:val="14"/>
                <w:color w:val="auto"/>
              </w:rPr>
              <w:t>President, Lincoln,</w:t>
            </w:r>
          </w:p>
        </w:tc>
        <w:tc>
          <w:tcPr>
            <w:tcW w:w="540" w:type="dxa"/>
            <w:vAlign w:val="bottom"/>
          </w:tcPr>
          <w:p>
            <w:pPr>
              <w:jc w:val="center"/>
              <w:spacing w:after="0"/>
              <w:rPr>
                <w:sz w:val="20"/>
                <w:szCs w:val="20"/>
                <w:color w:val="auto"/>
              </w:rPr>
            </w:pPr>
            <w:r>
              <w:rPr>
                <w:rFonts w:ascii="Arial" w:cs="Arial" w:eastAsia="Arial" w:hAnsi="Arial"/>
                <w:sz w:val="14"/>
                <w:szCs w:val="14"/>
                <w:color w:val="auto"/>
              </w:rPr>
              <w:t>59</w:t>
            </w:r>
          </w:p>
        </w:tc>
        <w:tc>
          <w:tcPr>
            <w:tcW w:w="880" w:type="dxa"/>
            <w:vAlign w:val="bottom"/>
          </w:tcPr>
          <w:p>
            <w:pPr>
              <w:jc w:val="center"/>
              <w:spacing w:after="0"/>
              <w:rPr>
                <w:sz w:val="20"/>
                <w:szCs w:val="20"/>
                <w:color w:val="auto"/>
              </w:rPr>
            </w:pPr>
            <w:r>
              <w:rPr>
                <w:rFonts w:ascii="Arial" w:cs="Arial" w:eastAsia="Arial" w:hAnsi="Arial"/>
                <w:sz w:val="14"/>
                <w:szCs w:val="14"/>
                <w:color w:val="auto"/>
              </w:rPr>
              <w:t>2024</w:t>
            </w:r>
          </w:p>
        </w:tc>
        <w:tc>
          <w:tcPr>
            <w:tcW w:w="5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4040" w:type="dxa"/>
            <w:vAlign w:val="bottom"/>
            <w:gridSpan w:val="2"/>
          </w:tcPr>
          <w:p>
            <w:pPr>
              <w:ind w:left="100"/>
              <w:spacing w:after="0"/>
              <w:rPr>
                <w:sz w:val="20"/>
                <w:szCs w:val="20"/>
                <w:color w:val="auto"/>
              </w:rPr>
            </w:pPr>
            <w:r>
              <w:rPr>
                <w:rFonts w:ascii="Arial" w:cs="Arial" w:eastAsia="Arial" w:hAnsi="Arial"/>
                <w:sz w:val="14"/>
                <w:szCs w:val="14"/>
                <w:color w:val="auto"/>
              </w:rPr>
              <w:t>Ford Motor Company</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60" w:type="dxa"/>
            <w:vAlign w:val="bottom"/>
          </w:tcPr>
          <w:p>
            <w:pPr>
              <w:spacing w:after="0"/>
              <w:rPr>
                <w:sz w:val="18"/>
                <w:szCs w:val="18"/>
                <w:color w:val="auto"/>
              </w:rPr>
            </w:pPr>
          </w:p>
        </w:tc>
        <w:tc>
          <w:tcPr>
            <w:tcW w:w="4040" w:type="dxa"/>
            <w:vAlign w:val="bottom"/>
            <w:gridSpan w:val="2"/>
            <w:shd w:val="clear" w:color="auto" w:fill="DBDBDB"/>
          </w:tcPr>
          <w:p>
            <w:pPr>
              <w:spacing w:after="0"/>
              <w:rPr>
                <w:sz w:val="20"/>
                <w:szCs w:val="20"/>
                <w:color w:val="auto"/>
              </w:rPr>
            </w:pPr>
            <w:r>
              <w:rPr>
                <w:rFonts w:ascii="Arial" w:cs="Arial" w:eastAsia="Arial" w:hAnsi="Arial"/>
                <w:sz w:val="14"/>
                <w:szCs w:val="14"/>
                <w:b w:val="1"/>
                <w:bCs w:val="1"/>
                <w:color w:val="C00000"/>
              </w:rPr>
              <w:t>Jeffrey L. Harmening</w:t>
            </w:r>
          </w:p>
        </w:tc>
        <w:tc>
          <w:tcPr>
            <w:tcW w:w="5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580" w:type="dxa"/>
            <w:vAlign w:val="bottom"/>
            <w:vMerge w:val="restart"/>
            <w:shd w:val="clear" w:color="auto" w:fill="DBDBDB"/>
          </w:tcPr>
          <w:p>
            <w:pPr>
              <w:ind w:left="1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3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4040" w:type="dxa"/>
            <w:vAlign w:val="bottom"/>
            <w:gridSpan w:val="2"/>
            <w:shd w:val="clear" w:color="auto" w:fill="DBDBDB"/>
          </w:tcPr>
          <w:p>
            <w:pPr>
              <w:ind w:left="80"/>
              <w:spacing w:after="0"/>
              <w:rPr>
                <w:sz w:val="20"/>
                <w:szCs w:val="20"/>
                <w:color w:val="auto"/>
              </w:rPr>
            </w:pPr>
            <w:r>
              <w:rPr>
                <w:rFonts w:ascii="Arial" w:cs="Arial" w:eastAsia="Arial" w:hAnsi="Arial"/>
                <w:sz w:val="14"/>
                <w:szCs w:val="14"/>
                <w:color w:val="auto"/>
              </w:rPr>
              <w:t>Chairman and Chief Executive Officer,</w:t>
            </w:r>
          </w:p>
        </w:tc>
        <w:tc>
          <w:tcPr>
            <w:tcW w:w="5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57</w:t>
            </w: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2019</w:t>
            </w:r>
          </w:p>
        </w:tc>
        <w:tc>
          <w:tcPr>
            <w:tcW w:w="580" w:type="dxa"/>
            <w:vAlign w:val="bottom"/>
            <w:vMerge w:val="continue"/>
            <w:shd w:val="clear" w:color="auto" w:fill="DBDBDB"/>
          </w:tcPr>
          <w:p>
            <w:pPr>
              <w:spacing w:after="0"/>
              <w:rPr>
                <w:sz w:val="19"/>
                <w:szCs w:val="19"/>
                <w:color w:val="auto"/>
              </w:rPr>
            </w:pPr>
          </w:p>
        </w:tc>
        <w:tc>
          <w:tcPr>
            <w:tcW w:w="36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C00000"/>
              </w:rPr>
              <w:t>C</w:t>
            </w:r>
          </w:p>
        </w:tc>
        <w:tc>
          <w:tcPr>
            <w:tcW w:w="44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BF2115"/>
              </w:rPr>
              <w:t>1</w:t>
            </w:r>
          </w:p>
        </w:tc>
        <w:tc>
          <w:tcPr>
            <w:tcW w:w="10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4040" w:type="dxa"/>
            <w:vAlign w:val="bottom"/>
            <w:tcBorders>
              <w:bottom w:val="single" w:sz="8" w:color="DBDBDB"/>
            </w:tcBorders>
            <w:gridSpan w:val="2"/>
            <w:shd w:val="clear" w:color="auto" w:fill="DBDBDB"/>
          </w:tcPr>
          <w:p>
            <w:pPr>
              <w:ind w:left="80"/>
              <w:spacing w:after="0"/>
              <w:rPr>
                <w:sz w:val="20"/>
                <w:szCs w:val="20"/>
                <w:color w:val="auto"/>
              </w:rPr>
            </w:pPr>
            <w:r>
              <w:rPr>
                <w:rFonts w:ascii="Arial" w:cs="Arial" w:eastAsia="Arial" w:hAnsi="Arial"/>
                <w:sz w:val="14"/>
                <w:szCs w:val="14"/>
                <w:color w:val="auto"/>
              </w:rPr>
              <w:t>General Mills, Inc.</w:t>
            </w:r>
          </w:p>
        </w:tc>
        <w:tc>
          <w:tcPr>
            <w:tcW w:w="54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DBDBDB"/>
            </w:tcBorders>
            <w:shd w:val="clear" w:color="auto" w:fill="DBDBDB"/>
          </w:tcPr>
          <w:p>
            <w:pPr>
              <w:spacing w:after="0"/>
              <w:rPr>
                <w:sz w:val="16"/>
                <w:szCs w:val="16"/>
                <w:color w:val="auto"/>
              </w:rPr>
            </w:pPr>
          </w:p>
        </w:tc>
        <w:tc>
          <w:tcPr>
            <w:tcW w:w="44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660" w:type="dxa"/>
            <w:vAlign w:val="bottom"/>
          </w:tcPr>
          <w:p>
            <w:pPr>
              <w:spacing w:after="0"/>
              <w:rPr>
                <w:sz w:val="23"/>
                <w:szCs w:val="23"/>
                <w:color w:val="auto"/>
              </w:rPr>
            </w:pPr>
          </w:p>
        </w:tc>
        <w:tc>
          <w:tcPr>
            <w:tcW w:w="4040" w:type="dxa"/>
            <w:vAlign w:val="bottom"/>
            <w:gridSpan w:val="2"/>
          </w:tcPr>
          <w:p>
            <w:pPr>
              <w:spacing w:after="0"/>
              <w:rPr>
                <w:sz w:val="20"/>
                <w:szCs w:val="20"/>
                <w:color w:val="auto"/>
              </w:rPr>
            </w:pPr>
            <w:r>
              <w:rPr>
                <w:rFonts w:ascii="Arial" w:cs="Arial" w:eastAsia="Arial" w:hAnsi="Arial"/>
                <w:sz w:val="14"/>
                <w:szCs w:val="14"/>
                <w:b w:val="1"/>
                <w:bCs w:val="1"/>
                <w:color w:val="C00000"/>
              </w:rPr>
              <w:t>Joyce A. Mullen</w:t>
            </w: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vMerge w:val="restart"/>
          </w:tcPr>
          <w:p>
            <w:pPr>
              <w:ind w:left="20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0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60" w:type="dxa"/>
            <w:vAlign w:val="bottom"/>
          </w:tcPr>
          <w:p>
            <w:pPr>
              <w:spacing w:after="0"/>
              <w:rPr>
                <w:sz w:val="23"/>
                <w:szCs w:val="23"/>
                <w:color w:val="auto"/>
              </w:rPr>
            </w:pPr>
          </w:p>
        </w:tc>
        <w:tc>
          <w:tcPr>
            <w:tcW w:w="10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BF2115"/>
              </w:rPr>
              <w:t>✓</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040" w:type="dxa"/>
            <w:vAlign w:val="bottom"/>
            <w:gridSpan w:val="2"/>
          </w:tcPr>
          <w:p>
            <w:pPr>
              <w:ind w:left="80"/>
              <w:spacing w:after="0"/>
              <w:rPr>
                <w:sz w:val="20"/>
                <w:szCs w:val="20"/>
                <w:color w:val="auto"/>
              </w:rPr>
            </w:pPr>
            <w:r>
              <w:rPr>
                <w:rFonts w:ascii="Arial" w:cs="Arial" w:eastAsia="Arial" w:hAnsi="Arial"/>
                <w:sz w:val="14"/>
                <w:szCs w:val="14"/>
                <w:color w:val="auto"/>
              </w:rPr>
              <w:t>President and Chief Executive Officer,</w:t>
            </w:r>
          </w:p>
        </w:tc>
        <w:tc>
          <w:tcPr>
            <w:tcW w:w="540" w:type="dxa"/>
            <w:vAlign w:val="bottom"/>
          </w:tcPr>
          <w:p>
            <w:pPr>
              <w:jc w:val="center"/>
              <w:spacing w:after="0"/>
              <w:rPr>
                <w:sz w:val="20"/>
                <w:szCs w:val="20"/>
                <w:color w:val="auto"/>
              </w:rPr>
            </w:pPr>
            <w:r>
              <w:rPr>
                <w:rFonts w:ascii="Arial" w:cs="Arial" w:eastAsia="Arial" w:hAnsi="Arial"/>
                <w:sz w:val="14"/>
                <w:szCs w:val="14"/>
                <w:color w:val="auto"/>
              </w:rPr>
              <w:t>60</w:t>
            </w:r>
          </w:p>
        </w:tc>
        <w:tc>
          <w:tcPr>
            <w:tcW w:w="880" w:type="dxa"/>
            <w:vAlign w:val="bottom"/>
          </w:tcPr>
          <w:p>
            <w:pPr>
              <w:jc w:val="center"/>
              <w:spacing w:after="0"/>
              <w:rPr>
                <w:sz w:val="20"/>
                <w:szCs w:val="20"/>
                <w:color w:val="auto"/>
              </w:rPr>
            </w:pPr>
            <w:r>
              <w:rPr>
                <w:rFonts w:ascii="Arial" w:cs="Arial" w:eastAsia="Arial" w:hAnsi="Arial"/>
                <w:sz w:val="14"/>
                <w:szCs w:val="14"/>
                <w:color w:val="auto"/>
              </w:rPr>
              <w:t>2019</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BF2115"/>
              </w:rPr>
              <w:t>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4040" w:type="dxa"/>
            <w:vAlign w:val="bottom"/>
            <w:gridSpan w:val="2"/>
          </w:tcPr>
          <w:p>
            <w:pPr>
              <w:ind w:left="80"/>
              <w:spacing w:after="0"/>
              <w:rPr>
                <w:sz w:val="20"/>
                <w:szCs w:val="20"/>
                <w:color w:val="auto"/>
              </w:rPr>
            </w:pPr>
            <w:r>
              <w:rPr>
                <w:rFonts w:ascii="Arial" w:cs="Arial" w:eastAsia="Arial" w:hAnsi="Arial"/>
                <w:sz w:val="14"/>
                <w:szCs w:val="14"/>
                <w:color w:val="auto"/>
              </w:rPr>
              <w:t>Insight Enterprises, Inc.</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60" w:type="dxa"/>
            <w:vAlign w:val="bottom"/>
          </w:tcPr>
          <w:p>
            <w:pPr>
              <w:spacing w:after="0"/>
              <w:rPr>
                <w:sz w:val="18"/>
                <w:szCs w:val="18"/>
                <w:color w:val="auto"/>
              </w:rPr>
            </w:pPr>
          </w:p>
        </w:tc>
        <w:tc>
          <w:tcPr>
            <w:tcW w:w="4040" w:type="dxa"/>
            <w:vAlign w:val="bottom"/>
            <w:gridSpan w:val="2"/>
            <w:shd w:val="clear" w:color="auto" w:fill="DBDBDB"/>
          </w:tcPr>
          <w:p>
            <w:pPr>
              <w:spacing w:after="0"/>
              <w:rPr>
                <w:sz w:val="20"/>
                <w:szCs w:val="20"/>
                <w:color w:val="auto"/>
              </w:rPr>
            </w:pPr>
            <w:r>
              <w:rPr>
                <w:rFonts w:ascii="Arial" w:cs="Arial" w:eastAsia="Arial" w:hAnsi="Arial"/>
                <w:sz w:val="14"/>
                <w:szCs w:val="14"/>
                <w:b w:val="1"/>
                <w:bCs w:val="1"/>
                <w:color w:val="C00000"/>
              </w:rPr>
              <w:t>Richard M. Olson</w:t>
            </w:r>
          </w:p>
        </w:tc>
        <w:tc>
          <w:tcPr>
            <w:tcW w:w="5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4040" w:type="dxa"/>
            <w:vAlign w:val="bottom"/>
            <w:gridSpan w:val="2"/>
            <w:shd w:val="clear" w:color="auto" w:fill="DBDBDB"/>
          </w:tcPr>
          <w:p>
            <w:pPr>
              <w:ind w:left="80"/>
              <w:spacing w:after="0"/>
              <w:rPr>
                <w:sz w:val="20"/>
                <w:szCs w:val="20"/>
                <w:color w:val="auto"/>
              </w:rPr>
            </w:pPr>
            <w:r>
              <w:rPr>
                <w:rFonts w:ascii="Arial" w:cs="Arial" w:eastAsia="Arial" w:hAnsi="Arial"/>
                <w:sz w:val="14"/>
                <w:szCs w:val="14"/>
                <w:color w:val="auto"/>
              </w:rPr>
              <w:t>Chairman, President and Chief Executive Officer, The Toro</w:t>
            </w:r>
          </w:p>
        </w:tc>
        <w:tc>
          <w:tcPr>
            <w:tcW w:w="5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60</w:t>
            </w: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2016</w:t>
            </w:r>
          </w:p>
        </w:tc>
        <w:tc>
          <w:tcPr>
            <w:tcW w:w="5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BF2115"/>
              </w:rPr>
              <w:t>1</w:t>
            </w:r>
          </w:p>
        </w:tc>
        <w:tc>
          <w:tcPr>
            <w:tcW w:w="10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980" w:type="dxa"/>
            <w:vAlign w:val="bottom"/>
            <w:shd w:val="clear" w:color="auto" w:fill="DBDBDB"/>
          </w:tcPr>
          <w:p>
            <w:pPr>
              <w:ind w:left="80"/>
              <w:spacing w:after="0"/>
              <w:rPr>
                <w:sz w:val="20"/>
                <w:szCs w:val="20"/>
                <w:color w:val="auto"/>
              </w:rPr>
            </w:pPr>
            <w:r>
              <w:rPr>
                <w:rFonts w:ascii="Arial" w:cs="Arial" w:eastAsia="Arial" w:hAnsi="Arial"/>
                <w:sz w:val="14"/>
                <w:szCs w:val="14"/>
                <w:color w:val="auto"/>
              </w:rPr>
              <w:t>Company</w:t>
            </w:r>
          </w:p>
        </w:tc>
        <w:tc>
          <w:tcPr>
            <w:tcW w:w="306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4"/>
                <w:szCs w:val="14"/>
                <w:b w:val="1"/>
                <w:bCs w:val="1"/>
                <w:color w:val="C00000"/>
              </w:rPr>
              <w:t>James C. O'Rourke</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040" w:type="dxa"/>
            <w:vAlign w:val="bottom"/>
            <w:gridSpan w:val="2"/>
          </w:tcPr>
          <w:p>
            <w:pPr>
              <w:ind w:left="80"/>
              <w:spacing w:after="0"/>
              <w:rPr>
                <w:sz w:val="20"/>
                <w:szCs w:val="20"/>
                <w:color w:val="auto"/>
              </w:rPr>
            </w:pPr>
            <w:r>
              <w:rPr>
                <w:rFonts w:ascii="Arial" w:cs="Arial" w:eastAsia="Arial" w:hAnsi="Arial"/>
                <w:sz w:val="14"/>
                <w:szCs w:val="14"/>
                <w:color w:val="auto"/>
              </w:rPr>
              <w:t>Senior Advisor,</w:t>
            </w:r>
          </w:p>
        </w:tc>
        <w:tc>
          <w:tcPr>
            <w:tcW w:w="540" w:type="dxa"/>
            <w:vAlign w:val="bottom"/>
          </w:tcPr>
          <w:p>
            <w:pPr>
              <w:jc w:val="center"/>
              <w:spacing w:after="0"/>
              <w:rPr>
                <w:sz w:val="20"/>
                <w:szCs w:val="20"/>
                <w:color w:val="auto"/>
              </w:rPr>
            </w:pPr>
            <w:r>
              <w:rPr>
                <w:rFonts w:ascii="Arial" w:cs="Arial" w:eastAsia="Arial" w:hAnsi="Arial"/>
                <w:sz w:val="14"/>
                <w:szCs w:val="14"/>
                <w:color w:val="auto"/>
              </w:rPr>
              <w:t>63</w:t>
            </w:r>
          </w:p>
        </w:tc>
        <w:tc>
          <w:tcPr>
            <w:tcW w:w="880" w:type="dxa"/>
            <w:vAlign w:val="bottom"/>
          </w:tcPr>
          <w:p>
            <w:pPr>
              <w:jc w:val="center"/>
              <w:spacing w:after="0"/>
              <w:rPr>
                <w:sz w:val="20"/>
                <w:szCs w:val="20"/>
                <w:color w:val="auto"/>
              </w:rPr>
            </w:pPr>
            <w:r>
              <w:rPr>
                <w:rFonts w:ascii="Arial" w:cs="Arial" w:eastAsia="Arial" w:hAnsi="Arial"/>
                <w:sz w:val="14"/>
                <w:szCs w:val="14"/>
                <w:color w:val="auto"/>
              </w:rPr>
              <w:t>2012</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800" w:type="dxa"/>
            <w:vAlign w:val="bottom"/>
          </w:tcPr>
          <w:p>
            <w:pPr>
              <w:ind w:left="440"/>
              <w:spacing w:after="0"/>
              <w:rPr>
                <w:sz w:val="20"/>
                <w:szCs w:val="20"/>
                <w:color w:val="auto"/>
              </w:rPr>
            </w:pPr>
            <w:r>
              <w:rPr>
                <w:rFonts w:ascii="Arial" w:cs="Arial" w:eastAsia="Arial" w:hAnsi="Arial"/>
                <w:sz w:val="16"/>
                <w:szCs w:val="16"/>
                <w:b w:val="1"/>
                <w:bCs w:val="1"/>
                <w:color w:val="C00000"/>
              </w:rPr>
              <w:t>C</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BF2115"/>
              </w:rPr>
              <w:t>2</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4040" w:type="dxa"/>
            <w:vAlign w:val="bottom"/>
            <w:gridSpan w:val="2"/>
          </w:tcPr>
          <w:p>
            <w:pPr>
              <w:ind w:left="80"/>
              <w:spacing w:after="0"/>
              <w:rPr>
                <w:sz w:val="20"/>
                <w:szCs w:val="20"/>
                <w:color w:val="auto"/>
              </w:rPr>
            </w:pPr>
            <w:r>
              <w:rPr>
                <w:rFonts w:ascii="Arial" w:cs="Arial" w:eastAsia="Arial" w:hAnsi="Arial"/>
                <w:sz w:val="14"/>
                <w:szCs w:val="14"/>
                <w:color w:val="auto"/>
              </w:rPr>
              <w:t>The Mosaic Company</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60" w:type="dxa"/>
            <w:vAlign w:val="bottom"/>
          </w:tcPr>
          <w:p>
            <w:pPr>
              <w:spacing w:after="0"/>
              <w:rPr>
                <w:sz w:val="18"/>
                <w:szCs w:val="18"/>
                <w:color w:val="auto"/>
              </w:rPr>
            </w:pPr>
          </w:p>
        </w:tc>
        <w:tc>
          <w:tcPr>
            <w:tcW w:w="4040" w:type="dxa"/>
            <w:vAlign w:val="bottom"/>
            <w:gridSpan w:val="2"/>
            <w:shd w:val="clear" w:color="auto" w:fill="DBDBDB"/>
          </w:tcPr>
          <w:p>
            <w:pPr>
              <w:spacing w:after="0"/>
              <w:rPr>
                <w:sz w:val="20"/>
                <w:szCs w:val="20"/>
                <w:color w:val="auto"/>
              </w:rPr>
            </w:pPr>
            <w:r>
              <w:rPr>
                <w:rFonts w:ascii="Arial" w:cs="Arial" w:eastAsia="Arial" w:hAnsi="Arial"/>
                <w:sz w:val="14"/>
                <w:szCs w:val="14"/>
                <w:b w:val="1"/>
                <w:bCs w:val="1"/>
                <w:color w:val="C00000"/>
              </w:rPr>
              <w:t>Eric P. Hansotia</w:t>
            </w:r>
          </w:p>
        </w:tc>
        <w:tc>
          <w:tcPr>
            <w:tcW w:w="5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440" w:type="dxa"/>
            <w:vAlign w:val="bottom"/>
            <w:vMerge w:val="restart"/>
            <w:shd w:val="clear" w:color="auto" w:fill="DBDBDB"/>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00" w:type="dxa"/>
            <w:vAlign w:val="bottom"/>
            <w:vMerge w:val="restart"/>
            <w:shd w:val="clear" w:color="auto" w:fill="DBDBDB"/>
          </w:tcPr>
          <w:p>
            <w:pPr>
              <w:ind w:left="4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60" w:type="dxa"/>
            <w:vAlign w:val="bottom"/>
            <w:shd w:val="clear" w:color="auto" w:fill="DBDBDB"/>
          </w:tcPr>
          <w:p>
            <w:pPr>
              <w:spacing w:after="0"/>
              <w:rPr>
                <w:sz w:val="18"/>
                <w:szCs w:val="18"/>
                <w:color w:val="auto"/>
              </w:rPr>
            </w:pPr>
          </w:p>
        </w:tc>
        <w:tc>
          <w:tcPr>
            <w:tcW w:w="1020" w:type="dxa"/>
            <w:vAlign w:val="bottom"/>
            <w:vMerge w:val="restart"/>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C00000"/>
              </w:rPr>
              <w:t>✓</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040" w:type="dxa"/>
            <w:vAlign w:val="bottom"/>
            <w:gridSpan w:val="2"/>
            <w:shd w:val="clear" w:color="auto" w:fill="DBDBDB"/>
          </w:tcPr>
          <w:p>
            <w:pPr>
              <w:ind w:left="100"/>
              <w:spacing w:after="0"/>
              <w:rPr>
                <w:sz w:val="20"/>
                <w:szCs w:val="20"/>
                <w:color w:val="auto"/>
              </w:rPr>
            </w:pPr>
            <w:r>
              <w:rPr>
                <w:rFonts w:ascii="Arial" w:cs="Arial" w:eastAsia="Arial" w:hAnsi="Arial"/>
                <w:sz w:val="14"/>
                <w:szCs w:val="14"/>
                <w:color w:val="auto"/>
              </w:rPr>
              <w:t>Chairman, President and Chief Executive Officer,</w:t>
            </w:r>
          </w:p>
        </w:tc>
        <w:tc>
          <w:tcPr>
            <w:tcW w:w="5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55</w:t>
            </w: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2022</w:t>
            </w:r>
          </w:p>
        </w:tc>
        <w:tc>
          <w:tcPr>
            <w:tcW w:w="5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440" w:type="dxa"/>
            <w:vAlign w:val="bottom"/>
            <w:vMerge w:val="continue"/>
            <w:shd w:val="clear" w:color="auto" w:fill="DBDBDB"/>
          </w:tcPr>
          <w:p>
            <w:pPr>
              <w:spacing w:after="0"/>
              <w:rPr>
                <w:sz w:val="18"/>
                <w:szCs w:val="18"/>
                <w:color w:val="auto"/>
              </w:rPr>
            </w:pPr>
          </w:p>
        </w:tc>
        <w:tc>
          <w:tcPr>
            <w:tcW w:w="800" w:type="dxa"/>
            <w:vAlign w:val="bottom"/>
            <w:vMerge w:val="continue"/>
            <w:shd w:val="clear" w:color="auto" w:fill="DBDBDB"/>
          </w:tcPr>
          <w:p>
            <w:pPr>
              <w:spacing w:after="0"/>
              <w:rPr>
                <w:sz w:val="18"/>
                <w:szCs w:val="18"/>
                <w:color w:val="auto"/>
              </w:rPr>
            </w:pPr>
          </w:p>
        </w:tc>
        <w:tc>
          <w:tcPr>
            <w:tcW w:w="96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BF2115"/>
              </w:rPr>
              <w:t>1</w:t>
            </w:r>
          </w:p>
        </w:tc>
        <w:tc>
          <w:tcPr>
            <w:tcW w:w="102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4040" w:type="dxa"/>
            <w:vAlign w:val="bottom"/>
            <w:tcBorders>
              <w:bottom w:val="single" w:sz="8" w:color="DBDBDB"/>
            </w:tcBorders>
            <w:gridSpan w:val="2"/>
            <w:shd w:val="clear" w:color="auto" w:fill="DBDBDB"/>
          </w:tcPr>
          <w:p>
            <w:pPr>
              <w:ind w:left="100"/>
              <w:spacing w:after="0"/>
              <w:rPr>
                <w:sz w:val="20"/>
                <w:szCs w:val="20"/>
                <w:color w:val="auto"/>
              </w:rPr>
            </w:pPr>
            <w:r>
              <w:rPr>
                <w:rFonts w:ascii="Arial" w:cs="Arial" w:eastAsia="Arial" w:hAnsi="Arial"/>
                <w:sz w:val="14"/>
                <w:szCs w:val="14"/>
                <w:color w:val="auto"/>
              </w:rPr>
              <w:t>AGCO Corporation</w:t>
            </w:r>
          </w:p>
        </w:tc>
        <w:tc>
          <w:tcPr>
            <w:tcW w:w="54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DBDBDB"/>
            </w:tcBorders>
            <w:shd w:val="clear" w:color="auto" w:fill="DBDBDB"/>
          </w:tcPr>
          <w:p>
            <w:pPr>
              <w:spacing w:after="0"/>
              <w:rPr>
                <w:sz w:val="16"/>
                <w:szCs w:val="16"/>
                <w:color w:val="auto"/>
              </w:rPr>
            </w:pPr>
          </w:p>
        </w:tc>
        <w:tc>
          <w:tcPr>
            <w:tcW w:w="44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4"/>
                <w:szCs w:val="14"/>
                <w:b w:val="1"/>
                <w:bCs w:val="1"/>
                <w:color w:val="C00000"/>
              </w:rPr>
              <w:t>D. Christian Koch</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4040" w:type="dxa"/>
            <w:vAlign w:val="bottom"/>
            <w:gridSpan w:val="2"/>
          </w:tcPr>
          <w:p>
            <w:pPr>
              <w:ind w:left="80"/>
              <w:spacing w:after="0"/>
              <w:rPr>
                <w:sz w:val="20"/>
                <w:szCs w:val="20"/>
                <w:color w:val="auto"/>
              </w:rPr>
            </w:pPr>
            <w:r>
              <w:rPr>
                <w:rFonts w:ascii="Arial" w:cs="Arial" w:eastAsia="Arial" w:hAnsi="Arial"/>
                <w:sz w:val="14"/>
                <w:szCs w:val="14"/>
                <w:color w:val="auto"/>
              </w:rPr>
              <w:t>Chairman, President and Chief Executive Officer, Carlisle</w:t>
            </w:r>
          </w:p>
        </w:tc>
        <w:tc>
          <w:tcPr>
            <w:tcW w:w="540" w:type="dxa"/>
            <w:vAlign w:val="bottom"/>
          </w:tcPr>
          <w:p>
            <w:pPr>
              <w:jc w:val="center"/>
              <w:spacing w:after="0"/>
              <w:rPr>
                <w:sz w:val="20"/>
                <w:szCs w:val="20"/>
                <w:color w:val="auto"/>
              </w:rPr>
            </w:pPr>
            <w:r>
              <w:rPr>
                <w:rFonts w:ascii="Arial" w:cs="Arial" w:eastAsia="Arial" w:hAnsi="Arial"/>
                <w:sz w:val="14"/>
                <w:szCs w:val="14"/>
                <w:color w:val="auto"/>
              </w:rPr>
              <w:t>59</w:t>
            </w:r>
          </w:p>
        </w:tc>
        <w:tc>
          <w:tcPr>
            <w:tcW w:w="880" w:type="dxa"/>
            <w:vAlign w:val="bottom"/>
          </w:tcPr>
          <w:p>
            <w:pPr>
              <w:jc w:val="center"/>
              <w:spacing w:after="0"/>
              <w:rPr>
                <w:sz w:val="20"/>
                <w:szCs w:val="20"/>
                <w:color w:val="auto"/>
              </w:rPr>
            </w:pPr>
            <w:r>
              <w:rPr>
                <w:rFonts w:ascii="Arial" w:cs="Arial" w:eastAsia="Arial" w:hAnsi="Arial"/>
                <w:sz w:val="14"/>
                <w:szCs w:val="14"/>
                <w:color w:val="auto"/>
              </w:rPr>
              <w:t>2016</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jc w:val="center"/>
              <w:ind w:left="37"/>
              <w:spacing w:after="0"/>
              <w:rPr>
                <w:sz w:val="20"/>
                <w:szCs w:val="20"/>
                <w:color w:val="auto"/>
              </w:rPr>
            </w:pPr>
            <w:r>
              <w:rPr>
                <w:rFonts w:ascii="Arial" w:cs="Arial" w:eastAsia="Arial" w:hAnsi="Arial"/>
                <w:sz w:val="16"/>
                <w:szCs w:val="16"/>
                <w:b w:val="1"/>
                <w:bCs w:val="1"/>
                <w:color w:val="C00000"/>
              </w:rPr>
              <w:t>C</w:t>
            </w:r>
          </w:p>
        </w:tc>
        <w:tc>
          <w:tcPr>
            <w:tcW w:w="80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BF2115"/>
              </w:rPr>
              <w:t>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4040" w:type="dxa"/>
            <w:vAlign w:val="bottom"/>
            <w:gridSpan w:val="2"/>
          </w:tcPr>
          <w:p>
            <w:pPr>
              <w:ind w:left="80"/>
              <w:spacing w:after="0"/>
              <w:rPr>
                <w:sz w:val="20"/>
                <w:szCs w:val="20"/>
                <w:color w:val="auto"/>
              </w:rPr>
            </w:pPr>
            <w:r>
              <w:rPr>
                <w:rFonts w:ascii="Arial" w:cs="Arial" w:eastAsia="Arial" w:hAnsi="Arial"/>
                <w:sz w:val="14"/>
                <w:szCs w:val="14"/>
                <w:color w:val="auto"/>
              </w:rPr>
              <w:t>Companies Incorporated</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640" w:type="dxa"/>
            <w:vAlign w:val="bottom"/>
            <w:gridSpan w:val="2"/>
          </w:tcPr>
          <w:p>
            <w:pPr>
              <w:spacing w:after="0"/>
              <w:rPr>
                <w:sz w:val="20"/>
                <w:szCs w:val="20"/>
                <w:color w:val="auto"/>
              </w:rPr>
            </w:pPr>
            <w:r>
              <w:rPr>
                <w:rFonts w:ascii="Arial" w:cs="Arial" w:eastAsia="Arial" w:hAnsi="Arial"/>
                <w:sz w:val="16"/>
                <w:szCs w:val="16"/>
                <w:b w:val="1"/>
                <w:bCs w:val="1"/>
                <w:color w:val="C00000"/>
              </w:rPr>
              <w:t xml:space="preserve">A: </w:t>
            </w:r>
            <w:r>
              <w:rPr>
                <w:rFonts w:ascii="Arial" w:cs="Arial" w:eastAsia="Arial" w:hAnsi="Arial"/>
                <w:sz w:val="16"/>
                <w:szCs w:val="16"/>
                <w:color w:val="000000"/>
              </w:rPr>
              <w:t>Audit</w:t>
            </w:r>
          </w:p>
        </w:tc>
        <w:tc>
          <w:tcPr>
            <w:tcW w:w="3060" w:type="dxa"/>
            <w:vAlign w:val="bottom"/>
          </w:tcPr>
          <w:p>
            <w:pPr>
              <w:ind w:left="160"/>
              <w:spacing w:after="0"/>
              <w:rPr>
                <w:sz w:val="20"/>
                <w:szCs w:val="20"/>
                <w:color w:val="auto"/>
              </w:rPr>
            </w:pPr>
            <w:r>
              <w:rPr>
                <w:rFonts w:ascii="Arial" w:cs="Arial" w:eastAsia="Arial" w:hAnsi="Arial"/>
                <w:sz w:val="16"/>
                <w:szCs w:val="16"/>
                <w:b w:val="1"/>
                <w:bCs w:val="1"/>
                <w:color w:val="C00000"/>
              </w:rPr>
              <w:t xml:space="preserve">N&amp;G: </w:t>
            </w:r>
            <w:r>
              <w:rPr>
                <w:rFonts w:ascii="Arial" w:cs="Arial" w:eastAsia="Arial" w:hAnsi="Arial"/>
                <w:sz w:val="16"/>
                <w:szCs w:val="16"/>
                <w:color w:val="000000"/>
              </w:rPr>
              <w:t>Nominating &amp; Governance</w:t>
            </w:r>
          </w:p>
        </w:tc>
        <w:tc>
          <w:tcPr>
            <w:tcW w:w="540" w:type="dxa"/>
            <w:vAlign w:val="bottom"/>
          </w:tcPr>
          <w:p>
            <w:pPr>
              <w:spacing w:after="0"/>
              <w:rPr>
                <w:sz w:val="24"/>
                <w:szCs w:val="24"/>
                <w:color w:val="auto"/>
              </w:rPr>
            </w:pPr>
          </w:p>
        </w:tc>
        <w:tc>
          <w:tcPr>
            <w:tcW w:w="1460" w:type="dxa"/>
            <w:vAlign w:val="bottom"/>
            <w:gridSpan w:val="2"/>
          </w:tcPr>
          <w:p>
            <w:pPr>
              <w:ind w:left="560"/>
              <w:spacing w:after="0" w:line="196" w:lineRule="exact"/>
              <w:rPr>
                <w:sz w:val="20"/>
                <w:szCs w:val="20"/>
                <w:color w:val="auto"/>
              </w:rPr>
            </w:pPr>
            <w:r>
              <w:rPr>
                <w:rFonts w:ascii="MS PGothic" w:cs="MS PGothic" w:eastAsia="MS PGothic" w:hAnsi="MS PGothic"/>
                <w:sz w:val="17"/>
                <w:szCs w:val="17"/>
                <w:color w:val="000000"/>
                <w:shd w:val="clear" w:color="auto" w:fill="C00000"/>
              </w:rPr>
              <w:t>✓</w:t>
            </w:r>
            <w:r>
              <w:rPr>
                <w:rFonts w:ascii="Arial" w:cs="Arial" w:eastAsia="Arial" w:hAnsi="Arial"/>
                <w:sz w:val="16"/>
                <w:szCs w:val="16"/>
                <w:b w:val="1"/>
                <w:bCs w:val="1"/>
                <w:color w:val="C00000"/>
              </w:rPr>
              <w:t xml:space="preserve">: </w:t>
            </w:r>
            <w:r>
              <w:rPr>
                <w:rFonts w:ascii="Arial" w:cs="Arial" w:eastAsia="Arial" w:hAnsi="Arial"/>
                <w:sz w:val="16"/>
                <w:szCs w:val="16"/>
                <w:color w:val="000000"/>
              </w:rPr>
              <w:t>Member</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80" w:type="dxa"/>
            <w:vAlign w:val="bottom"/>
            <w:gridSpan w:val="3"/>
          </w:tcPr>
          <w:p>
            <w:pPr>
              <w:jc w:val="center"/>
              <w:ind w:right="54"/>
              <w:spacing w:after="0"/>
              <w:rPr>
                <w:sz w:val="20"/>
                <w:szCs w:val="20"/>
                <w:color w:val="auto"/>
              </w:rPr>
            </w:pPr>
            <w:r>
              <w:rPr>
                <w:rFonts w:ascii="Arial" w:cs="Arial" w:eastAsia="Arial" w:hAnsi="Arial"/>
                <w:sz w:val="16"/>
                <w:szCs w:val="16"/>
                <w:b w:val="1"/>
                <w:bCs w:val="1"/>
                <w:color w:val="C00000"/>
              </w:rPr>
              <w:t xml:space="preserve">E: </w:t>
            </w:r>
            <w:r>
              <w:rPr>
                <w:rFonts w:ascii="Arial" w:cs="Arial" w:eastAsia="Arial" w:hAnsi="Arial"/>
                <w:sz w:val="16"/>
                <w:szCs w:val="16"/>
                <w:color w:val="000000"/>
              </w:rPr>
              <w:t>Audit Committee Financial Expert</w:t>
            </w:r>
          </w:p>
        </w:tc>
        <w:tc>
          <w:tcPr>
            <w:tcW w:w="0" w:type="dxa"/>
            <w:vAlign w:val="bottom"/>
          </w:tcPr>
          <w:p>
            <w:pPr>
              <w:spacing w:after="0"/>
              <w:rPr>
                <w:sz w:val="1"/>
                <w:szCs w:val="1"/>
                <w:color w:val="auto"/>
              </w:rPr>
            </w:pPr>
          </w:p>
        </w:tc>
      </w:tr>
      <w:tr>
        <w:trPr>
          <w:trHeight w:val="275"/>
        </w:trPr>
        <w:tc>
          <w:tcPr>
            <w:tcW w:w="1640" w:type="dxa"/>
            <w:vAlign w:val="bottom"/>
            <w:gridSpan w:val="2"/>
          </w:tcPr>
          <w:p>
            <w:pPr>
              <w:spacing w:after="0"/>
              <w:rPr>
                <w:sz w:val="20"/>
                <w:szCs w:val="20"/>
                <w:color w:val="auto"/>
              </w:rPr>
            </w:pPr>
            <w:r>
              <w:rPr>
                <w:rFonts w:ascii="Arial" w:cs="Arial" w:eastAsia="Arial" w:hAnsi="Arial"/>
                <w:sz w:val="16"/>
                <w:szCs w:val="16"/>
                <w:b w:val="1"/>
                <w:bCs w:val="1"/>
                <w:color w:val="C00000"/>
              </w:rPr>
              <w:t xml:space="preserve">F: </w:t>
            </w:r>
            <w:r>
              <w:rPr>
                <w:rFonts w:ascii="Arial" w:cs="Arial" w:eastAsia="Arial" w:hAnsi="Arial"/>
                <w:sz w:val="16"/>
                <w:szCs w:val="16"/>
                <w:color w:val="000000"/>
              </w:rPr>
              <w:t>Finance</w:t>
            </w:r>
          </w:p>
        </w:tc>
        <w:tc>
          <w:tcPr>
            <w:tcW w:w="3600" w:type="dxa"/>
            <w:vAlign w:val="bottom"/>
            <w:gridSpan w:val="2"/>
          </w:tcPr>
          <w:p>
            <w:pPr>
              <w:ind w:left="40"/>
              <w:spacing w:after="0"/>
              <w:rPr>
                <w:sz w:val="20"/>
                <w:szCs w:val="20"/>
                <w:color w:val="auto"/>
              </w:rPr>
            </w:pPr>
            <w:r>
              <w:rPr>
                <w:rFonts w:ascii="Arial" w:cs="Arial" w:eastAsia="Arial" w:hAnsi="Arial"/>
                <w:sz w:val="16"/>
                <w:szCs w:val="16"/>
                <w:b w:val="1"/>
                <w:bCs w:val="1"/>
                <w:color w:val="C00000"/>
              </w:rPr>
              <w:t xml:space="preserve">C&amp;HR: </w:t>
            </w:r>
            <w:r>
              <w:rPr>
                <w:rFonts w:ascii="Arial" w:cs="Arial" w:eastAsia="Arial" w:hAnsi="Arial"/>
                <w:sz w:val="16"/>
                <w:szCs w:val="16"/>
                <w:color w:val="000000"/>
              </w:rPr>
              <w:t>Compensation &amp; Human Resources</w:t>
            </w:r>
          </w:p>
        </w:tc>
        <w:tc>
          <w:tcPr>
            <w:tcW w:w="1460" w:type="dxa"/>
            <w:vAlign w:val="bottom"/>
            <w:gridSpan w:val="2"/>
          </w:tcPr>
          <w:p>
            <w:pPr>
              <w:ind w:left="560"/>
              <w:spacing w:after="0"/>
              <w:rPr>
                <w:sz w:val="20"/>
                <w:szCs w:val="20"/>
                <w:color w:val="auto"/>
              </w:rPr>
            </w:pPr>
            <w:r>
              <w:rPr>
                <w:rFonts w:ascii="Arial" w:cs="Arial" w:eastAsia="Arial" w:hAnsi="Arial"/>
                <w:sz w:val="16"/>
                <w:szCs w:val="16"/>
                <w:b w:val="1"/>
                <w:bCs w:val="1"/>
                <w:color w:val="C00000"/>
              </w:rPr>
              <w:t xml:space="preserve">C: </w:t>
            </w:r>
            <w:r>
              <w:rPr>
                <w:rFonts w:ascii="Arial" w:cs="Arial" w:eastAsia="Arial" w:hAnsi="Arial"/>
                <w:sz w:val="16"/>
                <w:szCs w:val="16"/>
                <w:color w:val="000000"/>
              </w:rPr>
              <w:t>Chair</w:t>
            </w: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-1211580</wp:posOffset>
            </wp:positionV>
            <wp:extent cx="23317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3172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-2832100</wp:posOffset>
            </wp:positionV>
            <wp:extent cx="4629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-3388995</wp:posOffset>
            </wp:positionV>
            <wp:extent cx="23317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3172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-4589145</wp:posOffset>
            </wp:positionV>
            <wp:extent cx="14401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122" w:right="11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C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100330</wp:posOffset>
            </wp:positionV>
            <wp:extent cx="5949315" cy="480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49315" cy="480060"/>
                    </a:xfrm>
                    <a:prstGeom prst="rect">
                      <a:avLst/>
                    </a:prstGeom>
                    <a:noFill/>
                  </pic:spPr>
                </pic:pic>
              </a:graphicData>
            </a:graphic>
          </wp:anchor>
        </w:drawing>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C00000"/>
        </w:rPr>
        <w:t>Executive Compensation Program Philosophy</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Our executive compensation philosophy is to maintain a program that allows us to attract, retain, motivate and</w:t>
      </w:r>
    </w:p>
    <w:p>
      <w:pPr>
        <w:jc w:val="center"/>
        <w:ind w:right="-79"/>
        <w:spacing w:after="0"/>
        <w:rPr>
          <w:sz w:val="20"/>
          <w:szCs w:val="20"/>
          <w:color w:val="auto"/>
        </w:rPr>
      </w:pPr>
      <w:r>
        <w:rPr>
          <w:rFonts w:ascii="Arial" w:cs="Arial" w:eastAsia="Arial" w:hAnsi="Arial"/>
          <w:sz w:val="18"/>
          <w:szCs w:val="18"/>
          <w:color w:val="auto"/>
        </w:rPr>
        <w:t>reward highly qualified and talented executive officers.</w:t>
      </w:r>
    </w:p>
    <w:p>
      <w:pPr>
        <w:spacing w:after="0" w:line="125" w:lineRule="exact"/>
        <w:rPr>
          <w:sz w:val="20"/>
          <w:szCs w:val="20"/>
          <w:color w:val="auto"/>
        </w:rPr>
      </w:pPr>
    </w:p>
    <w:tbl>
      <w:tblPr>
        <w:tblLayout w:type="fixed"/>
        <w:tblInd w:w="970" w:type="dxa"/>
        <w:tblCellMar>
          <w:top w:w="0" w:type="dxa"/>
          <w:left w:w="0" w:type="dxa"/>
          <w:bottom w:w="0" w:type="dxa"/>
          <w:right w:w="0" w:type="dxa"/>
        </w:tblCellMar>
      </w:tblPr>
      <w:tr>
        <w:trPr>
          <w:trHeight w:val="278"/>
        </w:trPr>
        <w:tc>
          <w:tcPr>
            <w:tcW w:w="3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9"/>
              </w:rPr>
              <w:t>Align interests of executive</w:t>
            </w:r>
          </w:p>
        </w:tc>
        <w:tc>
          <w:tcPr>
            <w:tcW w:w="140" w:type="dxa"/>
            <w:vAlign w:val="bottom"/>
            <w:tcBorders>
              <w:right w:val="single" w:sz="8" w:color="auto"/>
            </w:tcBorders>
          </w:tcPr>
          <w:p>
            <w:pPr>
              <w:spacing w:after="0"/>
              <w:rPr>
                <w:sz w:val="24"/>
                <w:szCs w:val="24"/>
                <w:color w:val="auto"/>
              </w:rPr>
            </w:pP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rPr>
              <w:t>Link pay to</w:t>
            </w:r>
          </w:p>
        </w:tc>
        <w:tc>
          <w:tcPr>
            <w:tcW w:w="160" w:type="dxa"/>
            <w:vAlign w:val="bottom"/>
            <w:tcBorders>
              <w:right w:val="single" w:sz="8" w:color="auto"/>
            </w:tcBorders>
          </w:tcPr>
          <w:p>
            <w:pPr>
              <w:spacing w:after="0"/>
              <w:rPr>
                <w:sz w:val="24"/>
                <w:szCs w:val="24"/>
                <w:color w:val="auto"/>
              </w:rPr>
            </w:pPr>
          </w:p>
        </w:tc>
        <w:tc>
          <w:tcPr>
            <w:tcW w:w="3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9"/>
              </w:rPr>
              <w:t>Provide competitive target</w:t>
            </w:r>
          </w:p>
        </w:tc>
      </w:tr>
      <w:tr>
        <w:trPr>
          <w:trHeight w:val="203"/>
        </w:trPr>
        <w:tc>
          <w:tcPr>
            <w:tcW w:w="36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C00000"/>
                <w:w w:val="99"/>
              </w:rPr>
              <w:t>officers with shareholder</w:t>
            </w:r>
          </w:p>
        </w:tc>
        <w:tc>
          <w:tcPr>
            <w:tcW w:w="14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C00000"/>
                <w:w w:val="99"/>
              </w:rPr>
              <w:t>performance</w:t>
            </w:r>
          </w:p>
        </w:tc>
        <w:tc>
          <w:tcPr>
            <w:tcW w:w="160" w:type="dxa"/>
            <w:vAlign w:val="bottom"/>
            <w:tcBorders>
              <w:right w:val="single" w:sz="8" w:color="auto"/>
            </w:tcBorders>
          </w:tcPr>
          <w:p>
            <w:pPr>
              <w:spacing w:after="0"/>
              <w:rPr>
                <w:sz w:val="17"/>
                <w:szCs w:val="17"/>
                <w:color w:val="auto"/>
              </w:rPr>
            </w:pPr>
          </w:p>
        </w:tc>
        <w:tc>
          <w:tcPr>
            <w:tcW w:w="35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C00000"/>
                <w:w w:val="99"/>
              </w:rPr>
              <w:t>total direct compensation</w:t>
            </w:r>
          </w:p>
        </w:tc>
      </w:tr>
      <w:tr>
        <w:trPr>
          <w:trHeight w:val="247"/>
        </w:trPr>
        <w:tc>
          <w:tcPr>
            <w:tcW w:w="3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rPr>
              <w:t>interests</w:t>
            </w:r>
          </w:p>
        </w:tc>
        <w:tc>
          <w:tcPr>
            <w:tcW w:w="14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9"/>
              </w:rPr>
              <w:t>opportunities</w:t>
            </w:r>
          </w:p>
        </w:tc>
      </w:tr>
      <w:tr>
        <w:trPr>
          <w:trHeight w:val="69"/>
        </w:trPr>
        <w:tc>
          <w:tcPr>
            <w:tcW w:w="3600" w:type="dxa"/>
            <w:vAlign w:val="bottom"/>
            <w:tcBorders>
              <w:left w:val="single" w:sz="8" w:color="auto"/>
              <w:bottom w:val="single" w:sz="8" w:color="auto"/>
              <w:right w:val="single" w:sz="8" w:color="auto"/>
            </w:tcBorders>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3580" w:type="dxa"/>
            <w:vAlign w:val="bottom"/>
            <w:tcBorders>
              <w:bottom w:val="single" w:sz="8" w:color="auto"/>
              <w:right w:val="single" w:sz="8" w:color="auto"/>
            </w:tcBorders>
          </w:tcPr>
          <w:p>
            <w:pPr>
              <w:spacing w:after="0"/>
              <w:rPr>
                <w:sz w:val="6"/>
                <w:szCs w:val="6"/>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Fiscal 2023 Executive Compensation Summary</w:t>
      </w:r>
    </w:p>
    <w:p>
      <w:pPr>
        <w:spacing w:after="0" w:line="85"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A significant portion of our executive officers' target total direct compensation is comprised of short- and long-term variable performance-based, or at risk, compensation to directly link their pay to performance. Short-term variable compensation is in the form of annual cash</w:t>
      </w:r>
    </w:p>
    <w:p>
      <w:pPr>
        <w:ind w:right="140"/>
        <w:spacing w:after="0" w:line="237" w:lineRule="auto"/>
        <w:rPr>
          <w:sz w:val="20"/>
          <w:szCs w:val="20"/>
          <w:color w:val="auto"/>
        </w:rPr>
      </w:pPr>
      <w:r>
        <w:rPr>
          <w:rFonts w:ascii="Arial" w:cs="Arial" w:eastAsia="Arial" w:hAnsi="Arial"/>
          <w:sz w:val="18"/>
          <w:szCs w:val="18"/>
          <w:color w:val="auto"/>
        </w:rPr>
        <w:t>incentive awards. Long-term variable compensation is in the form of three-year performance share awards and stock options that vest over three years. The breakdown of variable, at-risk, pay compared to fixed pay for our Chairman and CEO for fiscal 2023 is shown below:</w:t>
      </w:r>
    </w:p>
    <w:p>
      <w:pPr>
        <w:spacing w:after="0" w:line="125" w:lineRule="exact"/>
        <w:rPr>
          <w:sz w:val="20"/>
          <w:szCs w:val="20"/>
          <w:color w:val="auto"/>
        </w:rPr>
      </w:pPr>
    </w:p>
    <w:p>
      <w:pPr>
        <w:jc w:val="center"/>
        <w:ind w:right="6560"/>
        <w:spacing w:after="0"/>
        <w:rPr>
          <w:sz w:val="20"/>
          <w:szCs w:val="20"/>
          <w:color w:val="auto"/>
        </w:rPr>
      </w:pPr>
      <w:r>
        <w:rPr>
          <w:rFonts w:ascii="Arial" w:cs="Arial" w:eastAsia="Arial" w:hAnsi="Arial"/>
          <w:sz w:val="16"/>
          <w:szCs w:val="16"/>
          <w:b w:val="1"/>
          <w:bCs w:val="1"/>
          <w:color w:val="FFFFFF"/>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922905"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22905" cy="240030"/>
                    </a:xfrm>
                    <a:prstGeom prst="rect">
                      <a:avLst/>
                    </a:prstGeom>
                    <a:noFill/>
                  </pic:spPr>
                </pic:pic>
              </a:graphicData>
            </a:graphic>
          </wp:anchor>
        </w:drawing>
      </w:r>
    </w:p>
    <w:p>
      <w:pPr>
        <w:jc w:val="center"/>
        <w:ind w:right="6560"/>
        <w:spacing w:after="0"/>
        <w:rPr>
          <w:sz w:val="20"/>
          <w:szCs w:val="20"/>
          <w:color w:val="auto"/>
        </w:rPr>
      </w:pPr>
      <w:r>
        <w:rPr>
          <w:rFonts w:ascii="Arial" w:cs="Arial" w:eastAsia="Arial" w:hAnsi="Arial"/>
          <w:sz w:val="16"/>
          <w:szCs w:val="16"/>
          <w:b w:val="1"/>
          <w:bCs w:val="1"/>
          <w:color w:val="FFFFFF"/>
        </w:rPr>
        <w:t>Target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36195</wp:posOffset>
            </wp:positionV>
            <wp:extent cx="2383155" cy="1628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8315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shd w:val="clear" w:color="auto" w:fill="BF2115"/>
          </w:tcPr>
          <w:p>
            <w:pPr>
              <w:spacing w:after="0"/>
              <w:rPr>
                <w:sz w:val="20"/>
                <w:szCs w:val="20"/>
                <w:color w:val="auto"/>
              </w:rPr>
            </w:pPr>
          </w:p>
        </w:tc>
        <w:tc>
          <w:tcPr>
            <w:tcW w:w="640" w:type="dxa"/>
            <w:vAlign w:val="bottom"/>
          </w:tcPr>
          <w:p>
            <w:pPr>
              <w:jc w:val="center"/>
              <w:ind w:left="230"/>
              <w:spacing w:after="0" w:line="181" w:lineRule="exact"/>
              <w:rPr>
                <w:sz w:val="20"/>
                <w:szCs w:val="20"/>
                <w:color w:val="auto"/>
              </w:rPr>
            </w:pPr>
            <w:r>
              <w:rPr>
                <w:rFonts w:ascii="MS PGothic" w:cs="MS PGothic" w:eastAsia="MS PGothic" w:hAnsi="MS PGothic"/>
                <w:sz w:val="18"/>
                <w:szCs w:val="18"/>
                <w:color w:val="auto"/>
                <w:w w:val="88"/>
                <w:shd w:val="clear" w:color="auto" w:fill="C00000"/>
              </w:rPr>
              <w:t>✓</w:t>
            </w:r>
          </w:p>
        </w:tc>
        <w:tc>
          <w:tcPr>
            <w:tcW w:w="8160" w:type="dxa"/>
            <w:vAlign w:val="bottom"/>
          </w:tcPr>
          <w:p>
            <w:pPr>
              <w:ind w:left="340"/>
              <w:spacing w:after="0"/>
              <w:rPr>
                <w:sz w:val="20"/>
                <w:szCs w:val="20"/>
                <w:color w:val="auto"/>
              </w:rPr>
            </w:pPr>
            <w:r>
              <w:rPr>
                <w:rFonts w:ascii="Arial" w:cs="Arial" w:eastAsia="Arial" w:hAnsi="Arial"/>
                <w:sz w:val="18"/>
                <w:szCs w:val="18"/>
                <w:color w:val="auto"/>
              </w:rPr>
              <w:t>Emphasize long-term performance in our equity-based incentive awards</w:t>
            </w:r>
          </w:p>
        </w:tc>
        <w:tc>
          <w:tcPr>
            <w:tcW w:w="0" w:type="dxa"/>
            <w:vAlign w:val="bottom"/>
          </w:tcPr>
          <w:p>
            <w:pPr>
              <w:spacing w:after="0"/>
              <w:rPr>
                <w:sz w:val="1"/>
                <w:szCs w:val="1"/>
                <w:color w:val="auto"/>
              </w:rPr>
            </w:pPr>
          </w:p>
        </w:tc>
      </w:tr>
      <w:tr>
        <w:trPr>
          <w:trHeight w:val="270"/>
        </w:trPr>
        <w:tc>
          <w:tcPr>
            <w:tcW w:w="2200" w:type="dxa"/>
            <w:vAlign w:val="bottom"/>
            <w:vMerge w:val="restart"/>
            <w:shd w:val="clear" w:color="auto" w:fill="BF2115"/>
          </w:tcPr>
          <w:p>
            <w:pPr>
              <w:jc w:val="center"/>
              <w:spacing w:after="0"/>
              <w:rPr>
                <w:sz w:val="20"/>
                <w:szCs w:val="20"/>
                <w:color w:val="auto"/>
              </w:rPr>
            </w:pPr>
            <w:r>
              <w:rPr>
                <w:rFonts w:ascii="Arial" w:cs="Arial" w:eastAsia="Arial" w:hAnsi="Arial"/>
                <w:sz w:val="18"/>
                <w:szCs w:val="18"/>
                <w:b w:val="1"/>
                <w:bCs w:val="1"/>
                <w:color w:val="FFFFFF"/>
                <w:w w:val="99"/>
              </w:rPr>
              <w:t>What we do</w:t>
            </w:r>
          </w:p>
        </w:tc>
        <w:tc>
          <w:tcPr>
            <w:tcW w:w="640" w:type="dxa"/>
            <w:vAlign w:val="bottom"/>
          </w:tcPr>
          <w:p>
            <w:pPr>
              <w:jc w:val="center"/>
              <w:ind w:left="230"/>
              <w:spacing w:after="0" w:line="181" w:lineRule="exact"/>
              <w:rPr>
                <w:sz w:val="20"/>
                <w:szCs w:val="20"/>
                <w:color w:val="auto"/>
              </w:rPr>
            </w:pPr>
            <w:r>
              <w:rPr>
                <w:rFonts w:ascii="MS PGothic" w:cs="MS PGothic" w:eastAsia="MS PGothic" w:hAnsi="MS PGothic"/>
                <w:sz w:val="18"/>
                <w:szCs w:val="18"/>
                <w:color w:val="auto"/>
                <w:w w:val="88"/>
                <w:shd w:val="clear" w:color="auto" w:fill="C00000"/>
              </w:rPr>
              <w:t>✓</w:t>
            </w:r>
          </w:p>
        </w:tc>
        <w:tc>
          <w:tcPr>
            <w:tcW w:w="8160" w:type="dxa"/>
            <w:vAlign w:val="bottom"/>
          </w:tcPr>
          <w:p>
            <w:pPr>
              <w:ind w:left="340"/>
              <w:spacing w:after="0"/>
              <w:rPr>
                <w:sz w:val="20"/>
                <w:szCs w:val="20"/>
                <w:color w:val="auto"/>
              </w:rPr>
            </w:pPr>
            <w:r>
              <w:rPr>
                <w:rFonts w:ascii="Arial" w:cs="Arial" w:eastAsia="Arial" w:hAnsi="Arial"/>
                <w:sz w:val="18"/>
                <w:szCs w:val="18"/>
                <w:color w:val="auto"/>
              </w:rPr>
              <w:t>Use a mix of performance measures in our incentive plans</w:t>
            </w:r>
          </w:p>
        </w:tc>
        <w:tc>
          <w:tcPr>
            <w:tcW w:w="0" w:type="dxa"/>
            <w:vAlign w:val="bottom"/>
          </w:tcPr>
          <w:p>
            <w:pPr>
              <w:spacing w:after="0"/>
              <w:rPr>
                <w:sz w:val="1"/>
                <w:szCs w:val="1"/>
                <w:color w:val="auto"/>
              </w:rPr>
            </w:pPr>
          </w:p>
        </w:tc>
      </w:tr>
      <w:tr>
        <w:trPr>
          <w:trHeight w:val="152"/>
        </w:trPr>
        <w:tc>
          <w:tcPr>
            <w:tcW w:w="2200" w:type="dxa"/>
            <w:vAlign w:val="bottom"/>
            <w:vMerge w:val="continue"/>
            <w:shd w:val="clear" w:color="auto" w:fill="BF2115"/>
          </w:tcPr>
          <w:p>
            <w:pPr>
              <w:spacing w:after="0"/>
              <w:rPr>
                <w:sz w:val="13"/>
                <w:szCs w:val="13"/>
                <w:color w:val="auto"/>
              </w:rPr>
            </w:pPr>
          </w:p>
        </w:tc>
        <w:tc>
          <w:tcPr>
            <w:tcW w:w="640" w:type="dxa"/>
            <w:vAlign w:val="bottom"/>
            <w:vMerge w:val="restart"/>
          </w:tcPr>
          <w:p>
            <w:pPr>
              <w:jc w:val="center"/>
              <w:ind w:left="230"/>
              <w:spacing w:after="0" w:line="181" w:lineRule="exact"/>
              <w:rPr>
                <w:sz w:val="20"/>
                <w:szCs w:val="20"/>
                <w:color w:val="auto"/>
              </w:rPr>
            </w:pPr>
            <w:r>
              <w:rPr>
                <w:rFonts w:ascii="MS PGothic" w:cs="MS PGothic" w:eastAsia="MS PGothic" w:hAnsi="MS PGothic"/>
                <w:sz w:val="18"/>
                <w:szCs w:val="18"/>
                <w:color w:val="auto"/>
                <w:w w:val="88"/>
                <w:shd w:val="clear" w:color="auto" w:fill="C00000"/>
              </w:rPr>
              <w:t>✓</w:t>
            </w:r>
          </w:p>
        </w:tc>
        <w:tc>
          <w:tcPr>
            <w:tcW w:w="8160" w:type="dxa"/>
            <w:vAlign w:val="bottom"/>
            <w:vMerge w:val="restart"/>
          </w:tcPr>
          <w:p>
            <w:pPr>
              <w:ind w:left="340"/>
              <w:spacing w:after="0"/>
              <w:rPr>
                <w:sz w:val="20"/>
                <w:szCs w:val="20"/>
                <w:color w:val="auto"/>
              </w:rPr>
            </w:pPr>
            <w:r>
              <w:rPr>
                <w:rFonts w:ascii="Arial" w:cs="Arial" w:eastAsia="Arial" w:hAnsi="Arial"/>
                <w:sz w:val="18"/>
                <w:szCs w:val="18"/>
                <w:color w:val="auto"/>
              </w:rPr>
              <w:t>Establish threshold levels of performance and caps on payouts</w:t>
            </w:r>
          </w:p>
        </w:tc>
        <w:tc>
          <w:tcPr>
            <w:tcW w:w="0" w:type="dxa"/>
            <w:vAlign w:val="bottom"/>
          </w:tcPr>
          <w:p>
            <w:pPr>
              <w:spacing w:after="0"/>
              <w:rPr>
                <w:sz w:val="1"/>
                <w:szCs w:val="1"/>
                <w:color w:val="auto"/>
              </w:rPr>
            </w:pPr>
          </w:p>
        </w:tc>
      </w:tr>
      <w:tr>
        <w:trPr>
          <w:trHeight w:val="118"/>
        </w:trPr>
        <w:tc>
          <w:tcPr>
            <w:tcW w:w="2200" w:type="dxa"/>
            <w:vAlign w:val="bottom"/>
            <w:shd w:val="clear" w:color="auto" w:fill="BF2115"/>
          </w:tcPr>
          <w:p>
            <w:pPr>
              <w:spacing w:after="0"/>
              <w:rPr>
                <w:sz w:val="10"/>
                <w:szCs w:val="10"/>
                <w:color w:val="auto"/>
              </w:rPr>
            </w:pPr>
          </w:p>
        </w:tc>
        <w:tc>
          <w:tcPr>
            <w:tcW w:w="640" w:type="dxa"/>
            <w:vAlign w:val="bottom"/>
            <w:vMerge w:val="continue"/>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200" w:type="dxa"/>
            <w:vAlign w:val="bottom"/>
            <w:tcBorders>
              <w:bottom w:val="single" w:sz="8" w:color="BF2115"/>
            </w:tcBorders>
            <w:shd w:val="clear" w:color="auto" w:fill="BF2115"/>
          </w:tcPr>
          <w:p>
            <w:pPr>
              <w:spacing w:after="0"/>
              <w:rPr>
                <w:sz w:val="24"/>
                <w:szCs w:val="24"/>
                <w:color w:val="auto"/>
              </w:rPr>
            </w:pPr>
          </w:p>
        </w:tc>
        <w:tc>
          <w:tcPr>
            <w:tcW w:w="640" w:type="dxa"/>
            <w:vAlign w:val="bottom"/>
            <w:tcBorders>
              <w:bottom w:val="single" w:sz="8" w:color="D9D9D9"/>
            </w:tcBorders>
          </w:tcPr>
          <w:p>
            <w:pPr>
              <w:jc w:val="center"/>
              <w:ind w:left="230"/>
              <w:spacing w:after="0" w:line="181" w:lineRule="exact"/>
              <w:rPr>
                <w:sz w:val="20"/>
                <w:szCs w:val="20"/>
                <w:color w:val="auto"/>
              </w:rPr>
            </w:pPr>
            <w:r>
              <w:rPr>
                <w:rFonts w:ascii="MS PGothic" w:cs="MS PGothic" w:eastAsia="MS PGothic" w:hAnsi="MS PGothic"/>
                <w:sz w:val="18"/>
                <w:szCs w:val="18"/>
                <w:color w:val="auto"/>
                <w:w w:val="88"/>
                <w:shd w:val="clear" w:color="auto" w:fill="C00000"/>
              </w:rPr>
              <w:t>✓</w:t>
            </w:r>
          </w:p>
        </w:tc>
        <w:tc>
          <w:tcPr>
            <w:tcW w:w="8160" w:type="dxa"/>
            <w:vAlign w:val="bottom"/>
            <w:tcBorders>
              <w:bottom w:val="single" w:sz="8" w:color="D9D9D9"/>
            </w:tcBorders>
          </w:tcPr>
          <w:p>
            <w:pPr>
              <w:ind w:left="340"/>
              <w:spacing w:after="0"/>
              <w:rPr>
                <w:sz w:val="20"/>
                <w:szCs w:val="20"/>
                <w:color w:val="auto"/>
              </w:rPr>
            </w:pPr>
            <w:r>
              <w:rPr>
                <w:rFonts w:ascii="Arial" w:cs="Arial" w:eastAsia="Arial" w:hAnsi="Arial"/>
                <w:sz w:val="18"/>
                <w:szCs w:val="18"/>
                <w:color w:val="auto"/>
              </w:rPr>
              <w:t>Maintain a robust clawback policy and provisions</w:t>
            </w:r>
          </w:p>
        </w:tc>
        <w:tc>
          <w:tcPr>
            <w:tcW w:w="0" w:type="dxa"/>
            <w:vAlign w:val="bottom"/>
          </w:tcPr>
          <w:p>
            <w:pPr>
              <w:spacing w:after="0"/>
              <w:rPr>
                <w:sz w:val="1"/>
                <w:szCs w:val="1"/>
                <w:color w:val="auto"/>
              </w:rPr>
            </w:pPr>
          </w:p>
        </w:tc>
      </w:tr>
      <w:tr>
        <w:trPr>
          <w:trHeight w:val="255"/>
        </w:trPr>
        <w:tc>
          <w:tcPr>
            <w:tcW w:w="2200" w:type="dxa"/>
            <w:vAlign w:val="bottom"/>
            <w:shd w:val="clear" w:color="auto" w:fill="BF2115"/>
          </w:tcPr>
          <w:p>
            <w:pPr>
              <w:spacing w:after="0"/>
              <w:rPr>
                <w:sz w:val="22"/>
                <w:szCs w:val="22"/>
                <w:color w:val="auto"/>
              </w:rPr>
            </w:pPr>
          </w:p>
        </w:tc>
        <w:tc>
          <w:tcPr>
            <w:tcW w:w="640" w:type="dxa"/>
            <w:vAlign w:val="bottom"/>
          </w:tcPr>
          <w:p>
            <w:pPr>
              <w:jc w:val="center"/>
              <w:ind w:left="230"/>
              <w:spacing w:after="0"/>
              <w:rPr>
                <w:sz w:val="20"/>
                <w:szCs w:val="20"/>
                <w:color w:val="auto"/>
              </w:rPr>
            </w:pPr>
            <w:r>
              <w:rPr>
                <w:rFonts w:ascii="Arial" w:cs="Arial" w:eastAsia="Arial" w:hAnsi="Arial"/>
                <w:sz w:val="18"/>
                <w:szCs w:val="18"/>
                <w:b w:val="1"/>
                <w:bCs w:val="1"/>
                <w:color w:val="BF2115"/>
                <w:w w:val="99"/>
              </w:rPr>
              <w:t>Х</w:t>
            </w:r>
          </w:p>
        </w:tc>
        <w:tc>
          <w:tcPr>
            <w:tcW w:w="8160" w:type="dxa"/>
            <w:vAlign w:val="bottom"/>
          </w:tcPr>
          <w:p>
            <w:pPr>
              <w:ind w:left="340"/>
              <w:spacing w:after="0"/>
              <w:rPr>
                <w:sz w:val="20"/>
                <w:szCs w:val="20"/>
                <w:color w:val="auto"/>
              </w:rPr>
            </w:pPr>
            <w:r>
              <w:rPr>
                <w:rFonts w:ascii="Arial" w:cs="Arial" w:eastAsia="Arial" w:hAnsi="Arial"/>
                <w:sz w:val="18"/>
                <w:szCs w:val="18"/>
                <w:color w:val="auto"/>
              </w:rPr>
              <w:t>No guaranteed salary increases</w:t>
            </w:r>
          </w:p>
        </w:tc>
        <w:tc>
          <w:tcPr>
            <w:tcW w:w="0" w:type="dxa"/>
            <w:vAlign w:val="bottom"/>
          </w:tcPr>
          <w:p>
            <w:pPr>
              <w:spacing w:after="0"/>
              <w:rPr>
                <w:sz w:val="1"/>
                <w:szCs w:val="1"/>
                <w:color w:val="auto"/>
              </w:rPr>
            </w:pPr>
          </w:p>
        </w:tc>
      </w:tr>
      <w:tr>
        <w:trPr>
          <w:trHeight w:val="270"/>
        </w:trPr>
        <w:tc>
          <w:tcPr>
            <w:tcW w:w="2200" w:type="dxa"/>
            <w:vAlign w:val="bottom"/>
            <w:vMerge w:val="restart"/>
            <w:shd w:val="clear" w:color="auto" w:fill="BF2115"/>
          </w:tcPr>
          <w:p>
            <w:pPr>
              <w:jc w:val="center"/>
              <w:spacing w:after="0"/>
              <w:rPr>
                <w:sz w:val="20"/>
                <w:szCs w:val="20"/>
                <w:color w:val="auto"/>
              </w:rPr>
            </w:pPr>
            <w:r>
              <w:rPr>
                <w:rFonts w:ascii="Arial" w:cs="Arial" w:eastAsia="Arial" w:hAnsi="Arial"/>
                <w:sz w:val="18"/>
                <w:szCs w:val="18"/>
                <w:b w:val="1"/>
                <w:bCs w:val="1"/>
                <w:color w:val="FFFFFF"/>
              </w:rPr>
              <w:t>What we</w:t>
            </w:r>
          </w:p>
        </w:tc>
        <w:tc>
          <w:tcPr>
            <w:tcW w:w="640" w:type="dxa"/>
            <w:vAlign w:val="bottom"/>
          </w:tcPr>
          <w:p>
            <w:pPr>
              <w:jc w:val="center"/>
              <w:ind w:left="230"/>
              <w:spacing w:after="0"/>
              <w:rPr>
                <w:sz w:val="20"/>
                <w:szCs w:val="20"/>
                <w:color w:val="auto"/>
              </w:rPr>
            </w:pPr>
            <w:r>
              <w:rPr>
                <w:rFonts w:ascii="Arial" w:cs="Arial" w:eastAsia="Arial" w:hAnsi="Arial"/>
                <w:sz w:val="18"/>
                <w:szCs w:val="18"/>
                <w:b w:val="1"/>
                <w:bCs w:val="1"/>
                <w:color w:val="BF2115"/>
                <w:w w:val="99"/>
              </w:rPr>
              <w:t>Х</w:t>
            </w:r>
          </w:p>
        </w:tc>
        <w:tc>
          <w:tcPr>
            <w:tcW w:w="8160" w:type="dxa"/>
            <w:vAlign w:val="bottom"/>
          </w:tcPr>
          <w:p>
            <w:pPr>
              <w:ind w:left="340"/>
              <w:spacing w:after="0"/>
              <w:rPr>
                <w:sz w:val="20"/>
                <w:szCs w:val="20"/>
                <w:color w:val="auto"/>
              </w:rPr>
            </w:pPr>
            <w:r>
              <w:rPr>
                <w:rFonts w:ascii="Arial" w:cs="Arial" w:eastAsia="Arial" w:hAnsi="Arial"/>
                <w:sz w:val="18"/>
                <w:szCs w:val="18"/>
                <w:color w:val="auto"/>
              </w:rPr>
              <w:t>No guaranteed bonuses</w:t>
            </w:r>
          </w:p>
        </w:tc>
        <w:tc>
          <w:tcPr>
            <w:tcW w:w="0" w:type="dxa"/>
            <w:vAlign w:val="bottom"/>
          </w:tcPr>
          <w:p>
            <w:pPr>
              <w:spacing w:after="0"/>
              <w:rPr>
                <w:sz w:val="1"/>
                <w:szCs w:val="1"/>
                <w:color w:val="auto"/>
              </w:rPr>
            </w:pPr>
          </w:p>
        </w:tc>
      </w:tr>
      <w:tr>
        <w:trPr>
          <w:trHeight w:val="172"/>
        </w:trPr>
        <w:tc>
          <w:tcPr>
            <w:tcW w:w="2200" w:type="dxa"/>
            <w:vAlign w:val="bottom"/>
            <w:vMerge w:val="continue"/>
            <w:shd w:val="clear" w:color="auto" w:fill="BF2115"/>
          </w:tcPr>
          <w:p>
            <w:pPr>
              <w:spacing w:after="0"/>
              <w:rPr>
                <w:sz w:val="14"/>
                <w:szCs w:val="14"/>
                <w:color w:val="auto"/>
              </w:rPr>
            </w:pPr>
          </w:p>
        </w:tc>
        <w:tc>
          <w:tcPr>
            <w:tcW w:w="640" w:type="dxa"/>
            <w:vAlign w:val="bottom"/>
            <w:vMerge w:val="restart"/>
          </w:tcPr>
          <w:p>
            <w:pPr>
              <w:jc w:val="center"/>
              <w:ind w:left="230"/>
              <w:spacing w:after="0"/>
              <w:rPr>
                <w:sz w:val="20"/>
                <w:szCs w:val="20"/>
                <w:color w:val="auto"/>
              </w:rPr>
            </w:pPr>
            <w:r>
              <w:rPr>
                <w:rFonts w:ascii="Arial" w:cs="Arial" w:eastAsia="Arial" w:hAnsi="Arial"/>
                <w:sz w:val="18"/>
                <w:szCs w:val="18"/>
                <w:b w:val="1"/>
                <w:bCs w:val="1"/>
                <w:color w:val="BF2115"/>
                <w:w w:val="99"/>
              </w:rPr>
              <w:t>Х</w:t>
            </w:r>
          </w:p>
        </w:tc>
        <w:tc>
          <w:tcPr>
            <w:tcW w:w="8160" w:type="dxa"/>
            <w:vAlign w:val="bottom"/>
            <w:vMerge w:val="restart"/>
          </w:tcPr>
          <w:p>
            <w:pPr>
              <w:ind w:left="340"/>
              <w:spacing w:after="0"/>
              <w:rPr>
                <w:sz w:val="20"/>
                <w:szCs w:val="20"/>
                <w:color w:val="auto"/>
              </w:rPr>
            </w:pPr>
            <w:r>
              <w:rPr>
                <w:rFonts w:ascii="Arial" w:cs="Arial" w:eastAsia="Arial" w:hAnsi="Arial"/>
                <w:sz w:val="18"/>
                <w:szCs w:val="18"/>
                <w:color w:val="auto"/>
              </w:rPr>
              <w:t>No excessive perquisites</w:t>
            </w:r>
          </w:p>
        </w:tc>
        <w:tc>
          <w:tcPr>
            <w:tcW w:w="0" w:type="dxa"/>
            <w:vAlign w:val="bottom"/>
          </w:tcPr>
          <w:p>
            <w:pPr>
              <w:spacing w:after="0"/>
              <w:rPr>
                <w:sz w:val="1"/>
                <w:szCs w:val="1"/>
                <w:color w:val="auto"/>
              </w:rPr>
            </w:pPr>
          </w:p>
        </w:tc>
      </w:tr>
      <w:tr>
        <w:trPr>
          <w:trHeight w:val="98"/>
        </w:trPr>
        <w:tc>
          <w:tcPr>
            <w:tcW w:w="2200" w:type="dxa"/>
            <w:vAlign w:val="bottom"/>
            <w:vMerge w:val="restart"/>
            <w:shd w:val="clear" w:color="auto" w:fill="BF2115"/>
          </w:tcPr>
          <w:p>
            <w:pPr>
              <w:jc w:val="center"/>
              <w:spacing w:after="0"/>
              <w:rPr>
                <w:sz w:val="20"/>
                <w:szCs w:val="20"/>
                <w:color w:val="auto"/>
              </w:rPr>
            </w:pPr>
            <w:r>
              <w:rPr>
                <w:rFonts w:ascii="Arial" w:cs="Arial" w:eastAsia="Arial" w:hAnsi="Arial"/>
                <w:sz w:val="18"/>
                <w:szCs w:val="18"/>
                <w:b w:val="1"/>
                <w:bCs w:val="1"/>
                <w:color w:val="FFFFFF"/>
                <w:w w:val="99"/>
              </w:rPr>
              <w:t>don't do</w:t>
            </w:r>
          </w:p>
        </w:tc>
        <w:tc>
          <w:tcPr>
            <w:tcW w:w="640" w:type="dxa"/>
            <w:vAlign w:val="bottom"/>
            <w:vMerge w:val="continue"/>
          </w:tcPr>
          <w:p>
            <w:pPr>
              <w:spacing w:after="0"/>
              <w:rPr>
                <w:sz w:val="8"/>
                <w:szCs w:val="8"/>
                <w:color w:val="auto"/>
              </w:rPr>
            </w:pPr>
          </w:p>
        </w:tc>
        <w:tc>
          <w:tcPr>
            <w:tcW w:w="8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00" w:type="dxa"/>
            <w:vAlign w:val="bottom"/>
            <w:vMerge w:val="continue"/>
            <w:shd w:val="clear" w:color="auto" w:fill="BF2115"/>
          </w:tcPr>
          <w:p>
            <w:pPr>
              <w:spacing w:after="0"/>
              <w:rPr>
                <w:sz w:val="12"/>
                <w:szCs w:val="12"/>
                <w:color w:val="auto"/>
              </w:rPr>
            </w:pPr>
          </w:p>
        </w:tc>
        <w:tc>
          <w:tcPr>
            <w:tcW w:w="640" w:type="dxa"/>
            <w:vAlign w:val="bottom"/>
            <w:vMerge w:val="restart"/>
          </w:tcPr>
          <w:p>
            <w:pPr>
              <w:jc w:val="center"/>
              <w:ind w:left="230"/>
              <w:spacing w:after="0"/>
              <w:rPr>
                <w:sz w:val="20"/>
                <w:szCs w:val="20"/>
                <w:color w:val="auto"/>
              </w:rPr>
            </w:pPr>
            <w:r>
              <w:rPr>
                <w:rFonts w:ascii="Arial" w:cs="Arial" w:eastAsia="Arial" w:hAnsi="Arial"/>
                <w:sz w:val="18"/>
                <w:szCs w:val="18"/>
                <w:b w:val="1"/>
                <w:bCs w:val="1"/>
                <w:color w:val="BF2115"/>
                <w:w w:val="99"/>
              </w:rPr>
              <w:t>Х</w:t>
            </w:r>
          </w:p>
        </w:tc>
        <w:tc>
          <w:tcPr>
            <w:tcW w:w="8160" w:type="dxa"/>
            <w:vAlign w:val="bottom"/>
            <w:vMerge w:val="restart"/>
          </w:tcPr>
          <w:p>
            <w:pPr>
              <w:ind w:left="340"/>
              <w:spacing w:after="0"/>
              <w:rPr>
                <w:sz w:val="20"/>
                <w:szCs w:val="20"/>
                <w:color w:val="auto"/>
              </w:rPr>
            </w:pPr>
            <w:r>
              <w:rPr>
                <w:rFonts w:ascii="Arial" w:cs="Arial" w:eastAsia="Arial" w:hAnsi="Arial"/>
                <w:sz w:val="18"/>
                <w:szCs w:val="18"/>
                <w:color w:val="auto"/>
              </w:rPr>
              <w:t>No individual executive employment agreements</w:t>
            </w:r>
          </w:p>
        </w:tc>
        <w:tc>
          <w:tcPr>
            <w:tcW w:w="0" w:type="dxa"/>
            <w:vAlign w:val="bottom"/>
          </w:tcPr>
          <w:p>
            <w:pPr>
              <w:spacing w:after="0"/>
              <w:rPr>
                <w:sz w:val="1"/>
                <w:szCs w:val="1"/>
                <w:color w:val="auto"/>
              </w:rPr>
            </w:pPr>
          </w:p>
        </w:tc>
      </w:tr>
      <w:tr>
        <w:trPr>
          <w:trHeight w:val="121"/>
        </w:trPr>
        <w:tc>
          <w:tcPr>
            <w:tcW w:w="2200" w:type="dxa"/>
            <w:vAlign w:val="bottom"/>
            <w:shd w:val="clear" w:color="auto" w:fill="BF2115"/>
          </w:tcPr>
          <w:p>
            <w:pPr>
              <w:spacing w:after="0"/>
              <w:rPr>
                <w:sz w:val="10"/>
                <w:szCs w:val="10"/>
                <w:color w:val="auto"/>
              </w:rPr>
            </w:pPr>
          </w:p>
        </w:tc>
        <w:tc>
          <w:tcPr>
            <w:tcW w:w="640" w:type="dxa"/>
            <w:vAlign w:val="bottom"/>
            <w:vMerge w:val="continue"/>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5"/>
        </w:trPr>
        <w:tc>
          <w:tcPr>
            <w:tcW w:w="2200" w:type="dxa"/>
            <w:vAlign w:val="bottom"/>
            <w:shd w:val="clear" w:color="auto" w:fill="BF2115"/>
          </w:tcPr>
          <w:p>
            <w:pPr>
              <w:spacing w:after="0"/>
              <w:rPr>
                <w:sz w:val="24"/>
                <w:szCs w:val="24"/>
                <w:color w:val="auto"/>
              </w:rPr>
            </w:pPr>
          </w:p>
        </w:tc>
        <w:tc>
          <w:tcPr>
            <w:tcW w:w="640" w:type="dxa"/>
            <w:vAlign w:val="bottom"/>
          </w:tcPr>
          <w:p>
            <w:pPr>
              <w:jc w:val="center"/>
              <w:ind w:left="230"/>
              <w:spacing w:after="0"/>
              <w:rPr>
                <w:sz w:val="20"/>
                <w:szCs w:val="20"/>
                <w:color w:val="auto"/>
              </w:rPr>
            </w:pPr>
            <w:r>
              <w:rPr>
                <w:rFonts w:ascii="Arial" w:cs="Arial" w:eastAsia="Arial" w:hAnsi="Arial"/>
                <w:sz w:val="18"/>
                <w:szCs w:val="18"/>
                <w:b w:val="1"/>
                <w:bCs w:val="1"/>
                <w:color w:val="BF2115"/>
                <w:w w:val="99"/>
              </w:rPr>
              <w:t>Х</w:t>
            </w:r>
          </w:p>
        </w:tc>
        <w:tc>
          <w:tcPr>
            <w:tcW w:w="8160" w:type="dxa"/>
            <w:vAlign w:val="bottom"/>
          </w:tcPr>
          <w:p>
            <w:pPr>
              <w:ind w:left="340"/>
              <w:spacing w:after="0"/>
              <w:rPr>
                <w:sz w:val="20"/>
                <w:szCs w:val="20"/>
                <w:color w:val="auto"/>
              </w:rPr>
            </w:pPr>
            <w:r>
              <w:rPr>
                <w:rFonts w:ascii="Arial" w:cs="Arial" w:eastAsia="Arial" w:hAnsi="Arial"/>
                <w:sz w:val="18"/>
                <w:szCs w:val="18"/>
                <w:color w:val="auto"/>
              </w:rPr>
              <w:t>No gross-up payments</w:t>
            </w:r>
          </w:p>
        </w:tc>
        <w:tc>
          <w:tcPr>
            <w:tcW w:w="0" w:type="dxa"/>
            <w:vAlign w:val="bottom"/>
          </w:tcPr>
          <w:p>
            <w:pPr>
              <w:spacing w:after="0"/>
              <w:rPr>
                <w:sz w:val="1"/>
                <w:szCs w:val="1"/>
                <w:color w:val="auto"/>
              </w:rPr>
            </w:pPr>
          </w:p>
        </w:tc>
      </w:tr>
      <w:tr>
        <w:trPr>
          <w:trHeight w:val="376"/>
        </w:trPr>
        <w:tc>
          <w:tcPr>
            <w:tcW w:w="2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160" w:type="dxa"/>
            <w:vAlign w:val="bottom"/>
          </w:tcPr>
          <w:p>
            <w:pPr>
              <w:ind w:left="100"/>
              <w:spacing w:after="0"/>
              <w:rPr>
                <w:sz w:val="20"/>
                <w:szCs w:val="20"/>
                <w:color w:val="auto"/>
              </w:rPr>
            </w:pPr>
            <w:r>
              <w:rPr>
                <w:rFonts w:ascii="Arial" w:cs="Arial" w:eastAsia="Arial" w:hAnsi="Arial"/>
                <w:sz w:val="18"/>
                <w:szCs w:val="18"/>
                <w:b w:val="1"/>
                <w:bCs w:val="1"/>
                <w:color w:val="auto"/>
              </w:rPr>
              <w:t>Our fiscal 2023 financial performance resulted in the following:</w:t>
            </w:r>
          </w:p>
        </w:tc>
        <w:tc>
          <w:tcPr>
            <w:tcW w:w="0" w:type="dxa"/>
            <w:vAlign w:val="bottom"/>
          </w:tcPr>
          <w:p>
            <w:pPr>
              <w:spacing w:after="0"/>
              <w:rPr>
                <w:sz w:val="1"/>
                <w:szCs w:val="1"/>
                <w:color w:val="auto"/>
              </w:rPr>
            </w:pPr>
          </w:p>
        </w:tc>
      </w:tr>
      <w:tr>
        <w:trPr>
          <w:trHeight w:val="248"/>
        </w:trPr>
        <w:tc>
          <w:tcPr>
            <w:tcW w:w="2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160" w:type="dxa"/>
            <w:vAlign w:val="bottom"/>
          </w:tcPr>
          <w:p>
            <w:pPr>
              <w:ind w:left="760"/>
              <w:spacing w:after="0"/>
              <w:rPr>
                <w:sz w:val="20"/>
                <w:szCs w:val="20"/>
                <w:color w:val="auto"/>
              </w:rPr>
            </w:pPr>
            <w:r>
              <w:rPr>
                <w:rFonts w:ascii="Arial" w:cs="Arial" w:eastAsia="Arial" w:hAnsi="Arial"/>
                <w:sz w:val="18"/>
                <w:szCs w:val="18"/>
                <w:color w:val="auto"/>
              </w:rPr>
              <w:t>Annual cash incentives were paid at 29% of target.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-1278890</wp:posOffset>
            </wp:positionV>
            <wp:extent cx="139700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97000" cy="2540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Three-year performance awards for the fiscal 2021 to fiscal 2023 performance period</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were paid at 130.7% of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5" w:right="3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5"/>
          <w:szCs w:val="25"/>
          <w:b w:val="1"/>
          <w:bCs w:val="1"/>
          <w:color w:val="C00000"/>
        </w:rPr>
        <w:t>THE TORO COMPANY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8111 Lyndale Avenue South</w:t>
      </w:r>
    </w:p>
    <w:p>
      <w:pPr>
        <w:jc w:val="center"/>
        <w:ind w:right="-19"/>
        <w:spacing w:after="0"/>
        <w:rPr>
          <w:sz w:val="20"/>
          <w:szCs w:val="20"/>
          <w:color w:val="auto"/>
        </w:rPr>
      </w:pPr>
      <w:r>
        <w:rPr>
          <w:rFonts w:ascii="Arial" w:cs="Arial" w:eastAsia="Arial" w:hAnsi="Arial"/>
          <w:sz w:val="18"/>
          <w:szCs w:val="18"/>
          <w:color w:val="auto"/>
        </w:rPr>
        <w:t>Bloomington, Minnesota 55420-1196</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C00000"/>
        </w:rPr>
        <w:t>PROXY STATEMENT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2024 ANNUAL MEETING OF SHAREHOLDERS</w:t>
      </w:r>
    </w:p>
    <w:p>
      <w:pPr>
        <w:jc w:val="center"/>
        <w:ind w:right="-19"/>
        <w:spacing w:after="0" w:line="234" w:lineRule="auto"/>
        <w:rPr>
          <w:sz w:val="20"/>
          <w:szCs w:val="20"/>
          <w:color w:val="auto"/>
        </w:rPr>
      </w:pPr>
      <w:r>
        <w:rPr>
          <w:rFonts w:ascii="Arial" w:cs="Arial" w:eastAsia="Arial" w:hAnsi="Arial"/>
          <w:sz w:val="18"/>
          <w:szCs w:val="18"/>
          <w:color w:val="auto"/>
        </w:rPr>
        <w:t>TUESDAY, MARCH 19, 2024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 p.m. Central Daylight Time</w:t>
      </w:r>
    </w:p>
    <w:p>
      <w:pPr>
        <w:spacing w:after="0" w:line="153" w:lineRule="exact"/>
        <w:rPr>
          <w:sz w:val="20"/>
          <w:szCs w:val="20"/>
          <w:color w:val="auto"/>
        </w:rPr>
      </w:pPr>
    </w:p>
    <w:p>
      <w:pPr>
        <w:ind w:right="280" w:firstLine="324"/>
        <w:spacing w:after="0" w:line="251" w:lineRule="auto"/>
        <w:rPr>
          <w:sz w:val="20"/>
          <w:szCs w:val="20"/>
          <w:color w:val="auto"/>
        </w:rPr>
      </w:pPr>
      <w:r>
        <w:rPr>
          <w:rFonts w:ascii="Arial" w:cs="Arial" w:eastAsia="Arial" w:hAnsi="Arial"/>
          <w:sz w:val="17"/>
          <w:szCs w:val="17"/>
          <w:color w:val="auto"/>
        </w:rPr>
        <w:t>The Toro Company Board of Directors is using this proxy statement to solicit your proxy for use at The Toro Company 2024 Annual Meeting of Shareholders. We intend to send a Notice Regarding the Availability of Proxy Materials for the annual meeting and make proxy</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materials available to shareholders (or for certain shareholders and for those who request, a paper version of this proxy statement and the form of proxy) on or about February 6, 2024.</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GENERAL INFORMATION ABOUT THE 2024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-158750</wp:posOffset>
            </wp:positionV>
            <wp:extent cx="701230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2305" cy="188595"/>
                    </a:xfrm>
                    <a:prstGeom prst="rect">
                      <a:avLst/>
                    </a:prstGeom>
                    <a:noFill/>
                  </pic:spPr>
                </pic:pic>
              </a:graphicData>
            </a:graphic>
          </wp:anchor>
        </w:drawing>
      </w:r>
    </w:p>
    <w:p>
      <w:pPr>
        <w:spacing w:after="0" w:line="312" w:lineRule="exact"/>
        <w:rPr>
          <w:sz w:val="20"/>
          <w:szCs w:val="20"/>
          <w:color w:val="auto"/>
        </w:rPr>
      </w:pPr>
    </w:p>
    <w:p>
      <w:pPr>
        <w:ind w:right="480"/>
        <w:spacing w:after="0" w:line="270" w:lineRule="auto"/>
        <w:rPr>
          <w:sz w:val="20"/>
          <w:szCs w:val="20"/>
          <w:color w:val="auto"/>
        </w:rPr>
      </w:pPr>
      <w:r>
        <w:rPr>
          <w:rFonts w:ascii="Arial" w:cs="Arial" w:eastAsia="Arial" w:hAnsi="Arial"/>
          <w:sz w:val="20"/>
          <w:szCs w:val="20"/>
          <w:b w:val="1"/>
          <w:bCs w:val="1"/>
          <w:color w:val="C00000"/>
        </w:rPr>
        <w:t>Important Notice Regarding the Availability of Proxy Materials for the Shareholder Meeting To Be Held on Tuesday, March 19, 2024.</w:t>
      </w:r>
    </w:p>
    <w:p>
      <w:pPr>
        <w:spacing w:after="0" w:line="14" w:lineRule="exact"/>
        <w:rPr>
          <w:sz w:val="20"/>
          <w:szCs w:val="20"/>
          <w:color w:val="auto"/>
        </w:rPr>
      </w:pPr>
    </w:p>
    <w:p>
      <w:pPr>
        <w:ind w:right="40" w:firstLine="324"/>
        <w:spacing w:after="0" w:line="271" w:lineRule="auto"/>
        <w:rPr>
          <w:sz w:val="20"/>
          <w:szCs w:val="20"/>
          <w:color w:val="auto"/>
        </w:rPr>
      </w:pPr>
      <w:r>
        <w:rPr>
          <w:rFonts w:ascii="Arial" w:cs="Arial" w:eastAsia="Arial" w:hAnsi="Arial"/>
          <w:sz w:val="18"/>
          <w:szCs w:val="18"/>
          <w:color w:val="auto"/>
        </w:rPr>
        <w:t>This proxy statement and our 2023 Annual Report, which includes our Annual Report on Form 10-K for the fiscal year ended October 31, 2023, or fiscal 2023, are available at www.thetorocompany.com/proxy.</w:t>
      </w:r>
    </w:p>
    <w:p>
      <w:pPr>
        <w:spacing w:after="0" w:line="46"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Pursuant to rules adopted by the SEC, we have elected to provide access to our proxy materials over the Internet. Accordingly, we are sending a Notice Regarding the Availability of Proxy Materials to some of our shareholders. Shareholders have the ability to access our proxy</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materials on the website referred to in the Notice Regarding the Availability of Proxy Materials (www.proxyvote.com) or request to receive printed proxy materials. Instructions on how to access our proxy materials over the Internet or request a printed copy of our proxy materials</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may be found in the Notice Regarding the Availability of Proxy Materials. In addition, shareholders may request to receive proxy materials in printed form by mail or electronically by e-mail on an ongoing basis.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When and Where Will the Annual Meeting Be Held?</w:t>
      </w:r>
    </w:p>
    <w:p>
      <w:pPr>
        <w:spacing w:after="0" w:line="99" w:lineRule="exact"/>
        <w:rPr>
          <w:sz w:val="20"/>
          <w:szCs w:val="20"/>
          <w:color w:val="auto"/>
        </w:rPr>
      </w:pPr>
    </w:p>
    <w:p>
      <w:pPr>
        <w:ind w:right="2360" w:firstLine="393"/>
        <w:spacing w:after="0" w:line="256" w:lineRule="auto"/>
        <w:rPr>
          <w:sz w:val="20"/>
          <w:szCs w:val="20"/>
          <w:color w:val="auto"/>
        </w:rPr>
      </w:pPr>
      <w:r>
        <w:rPr>
          <w:rFonts w:ascii="Arial" w:cs="Arial" w:eastAsia="Arial" w:hAnsi="Arial"/>
          <w:sz w:val="18"/>
          <w:szCs w:val="18"/>
          <w:color w:val="auto"/>
        </w:rPr>
        <w:t>The annual meeting will be held virtually on Tuesday, March 19, 2024 at 2:00 p.m. Central Daylight Time at www.virtualshareholdermeeting.com/TTC2024.</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Can I Attend the Virtual Annual Meeting?</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Shareholders at the close of business on the record date may attend the annual meeting by visiting</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www.virtualshareholdermeeting.com/TTC2024 and logging in with the 16-digit control number included on your proxy card, voting instruction form or Notice Regarding the Availability of Proxy Materials. On the day of our annual meeting, we recommend that you log into our virtual</w:t>
      </w:r>
    </w:p>
    <w:p>
      <w:pPr>
        <w:spacing w:after="0" w:line="235" w:lineRule="auto"/>
        <w:rPr>
          <w:sz w:val="20"/>
          <w:szCs w:val="20"/>
          <w:color w:val="auto"/>
        </w:rPr>
      </w:pPr>
      <w:r>
        <w:rPr>
          <w:rFonts w:ascii="Arial" w:cs="Arial" w:eastAsia="Arial" w:hAnsi="Arial"/>
          <w:sz w:val="18"/>
          <w:szCs w:val="18"/>
          <w:color w:val="auto"/>
        </w:rPr>
        <w:t>meeting at least 15 minutes before the scheduled start time to ensure that you can access the meeting. If you encounter any difficulties while</w:t>
      </w:r>
    </w:p>
    <w:p>
      <w:pPr>
        <w:ind w:right="80"/>
        <w:spacing w:after="0" w:line="226" w:lineRule="auto"/>
        <w:rPr>
          <w:sz w:val="20"/>
          <w:szCs w:val="20"/>
          <w:color w:val="auto"/>
        </w:rPr>
      </w:pPr>
      <w:r>
        <w:rPr>
          <w:rFonts w:ascii="Arial" w:cs="Arial" w:eastAsia="Arial" w:hAnsi="Arial"/>
          <w:sz w:val="18"/>
          <w:szCs w:val="18"/>
          <w:color w:val="auto"/>
        </w:rPr>
        <w:t>accessing the virtual meeting during the check-in or meeting time, a technical assistance phone number will be made available on the virtual meeting registration page 15 minutes prior to the start time of the meeting. Rules governing the conduct of the annual meeting will be posted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on the virtual meeting platform along with an agenda.</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What Are the Purposes of the Annual Meeting?</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purposes of the 2024 Annual Meeting of Shareholders are to vote on the following items described in this proxy statement:</w:t>
      </w:r>
    </w:p>
    <w:p>
      <w:pPr>
        <w:spacing w:after="0" w:line="52" w:lineRule="exact"/>
        <w:rPr>
          <w:sz w:val="20"/>
          <w:szCs w:val="20"/>
          <w:color w:val="auto"/>
        </w:rPr>
      </w:pPr>
    </w:p>
    <w:tbl>
      <w:tblPr>
        <w:tblLayout w:type="fixed"/>
        <w:tblInd w:w="120" w:type="dxa"/>
        <w:tblCellMar>
          <w:top w:w="0" w:type="dxa"/>
          <w:left w:w="0" w:type="dxa"/>
          <w:bottom w:w="0" w:type="dxa"/>
          <w:right w:w="0" w:type="dxa"/>
        </w:tblCellMar>
      </w:tblPr>
      <w:tr>
        <w:trPr>
          <w:trHeight w:val="246"/>
        </w:trPr>
        <w:tc>
          <w:tcPr>
            <w:tcW w:w="1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Proposal One</w:t>
            </w:r>
          </w:p>
        </w:tc>
        <w:tc>
          <w:tcPr>
            <w:tcW w:w="9560" w:type="dxa"/>
            <w:vAlign w:val="bottom"/>
            <w:shd w:val="clear" w:color="auto" w:fill="DBDBDB"/>
          </w:tcPr>
          <w:p>
            <w:pPr>
              <w:ind w:left="200"/>
              <w:spacing w:after="0"/>
              <w:rPr>
                <w:sz w:val="20"/>
                <w:szCs w:val="20"/>
                <w:color w:val="auto"/>
              </w:rPr>
            </w:pPr>
            <w:r>
              <w:rPr>
                <w:rFonts w:ascii="Arial" w:cs="Arial" w:eastAsia="Arial" w:hAnsi="Arial"/>
                <w:sz w:val="18"/>
                <w:szCs w:val="18"/>
                <w:color w:val="auto"/>
              </w:rPr>
              <w:t>Election of Directors</w:t>
            </w:r>
          </w:p>
        </w:tc>
      </w:tr>
      <w:tr>
        <w:trPr>
          <w:trHeight w:val="252"/>
        </w:trPr>
        <w:tc>
          <w:tcPr>
            <w:tcW w:w="1460" w:type="dxa"/>
            <w:vAlign w:val="bottom"/>
          </w:tcPr>
          <w:p>
            <w:pPr>
              <w:ind w:left="20"/>
              <w:spacing w:after="0"/>
              <w:rPr>
                <w:sz w:val="20"/>
                <w:szCs w:val="20"/>
                <w:color w:val="auto"/>
              </w:rPr>
            </w:pPr>
            <w:r>
              <w:rPr>
                <w:rFonts w:ascii="Arial" w:cs="Arial" w:eastAsia="Arial" w:hAnsi="Arial"/>
                <w:sz w:val="18"/>
                <w:szCs w:val="18"/>
                <w:color w:val="auto"/>
              </w:rPr>
              <w:t>Proposal Two</w:t>
            </w:r>
          </w:p>
        </w:tc>
        <w:tc>
          <w:tcPr>
            <w:tcW w:w="9560" w:type="dxa"/>
            <w:vAlign w:val="bottom"/>
          </w:tcPr>
          <w:p>
            <w:pPr>
              <w:ind w:left="200"/>
              <w:spacing w:after="0"/>
              <w:rPr>
                <w:sz w:val="20"/>
                <w:szCs w:val="20"/>
                <w:color w:val="auto"/>
              </w:rPr>
            </w:pPr>
            <w:r>
              <w:rPr>
                <w:rFonts w:ascii="Arial" w:cs="Arial" w:eastAsia="Arial" w:hAnsi="Arial"/>
                <w:sz w:val="18"/>
                <w:szCs w:val="18"/>
                <w:color w:val="auto"/>
              </w:rPr>
              <w:t>Ratification of Selection of Independent Registered Public Accounting Firm</w:t>
            </w:r>
          </w:p>
        </w:tc>
      </w:tr>
      <w:tr>
        <w:trPr>
          <w:trHeight w:val="261"/>
        </w:trPr>
        <w:tc>
          <w:tcPr>
            <w:tcW w:w="1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Proposal Three</w:t>
            </w:r>
          </w:p>
        </w:tc>
        <w:tc>
          <w:tcPr>
            <w:tcW w:w="9560" w:type="dxa"/>
            <w:vAlign w:val="bottom"/>
            <w:shd w:val="clear" w:color="auto" w:fill="DBDBDB"/>
          </w:tcPr>
          <w:p>
            <w:pPr>
              <w:ind w:left="200"/>
              <w:spacing w:after="0"/>
              <w:rPr>
                <w:sz w:val="20"/>
                <w:szCs w:val="20"/>
                <w:color w:val="auto"/>
              </w:rPr>
            </w:pPr>
            <w:r>
              <w:rPr>
                <w:rFonts w:ascii="Arial" w:cs="Arial" w:eastAsia="Arial" w:hAnsi="Arial"/>
                <w:sz w:val="18"/>
                <w:szCs w:val="18"/>
                <w:color w:val="auto"/>
              </w:rPr>
              <w:t>Advisory Approval of our Executive Compensation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C00000"/>
        </w:rPr>
        <w:t>Are There Any Matters To Be Voted On at the Annual Meeting that Are Not Included in this Proxy Statement?</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are not aware of any business to be acted upon at the annual meeting other than as described in this proxy statement. If,</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however, other matters are properly brought before the annual meeting, or any adjournment or postponement of the annual meeting, your proxy includes discretionary authority on the part of the individuals appointed to vote your shares or act on those matters according to their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best judgment.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Who Is Entitled to Vote and How Many Shares Must Be Present to Hold the Annual Meeting?</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Shareholders of record at the close of business on January 22, 2024, the record date, will be entitled to vote at the annual meeting or</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any adjournment or postponement of the annual meeting. As of January 22, 2024, there were 104,397,901 outstanding shares of our common stock. Each share of our common stock is entitled to one vote on each matter to be voted on at the annual meeting. Shares of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common stock that are held by us in our treasury are not counted as outstanding shares and will not be voted.</w:t>
      </w:r>
    </w:p>
    <w:p>
      <w:pPr>
        <w:spacing w:after="0" w:line="86"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Shareholders holding a majority of the voting power of the outstanding shares of our common stock must be present at the virtual annual meeting or by proxy in order for us to have a quorum for the transaction of business at the annual meeting. Your shares will be counted</w:t>
      </w:r>
    </w:p>
    <w:p>
      <w:pPr>
        <w:spacing w:after="0" w:line="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toward the quorum if you submit a proxy or vote at the annual meeting. Shares represented by proxies marked "abstain" and "broker non-votes" also are counted in determining whether a quorum is present.</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Do I Vote My Shares?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your shares are registered in your name, you may vote your shares by one of the five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7115175" cy="6940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694055"/>
                    </a:xfrm>
                    <a:prstGeom prst="rect">
                      <a:avLst/>
                    </a:prstGeom>
                    <a:noFill/>
                  </pic:spPr>
                </pic:pic>
              </a:graphicData>
            </a:graphic>
          </wp:anchor>
        </w:drawing>
      </w:r>
    </w:p>
    <w:p>
      <w:pPr>
        <w:sectPr>
          <w:pgSz w:w="11900" w:h="16838" w:orient="portrait"/>
          <w:cols w:equalWidth="0" w:num="1">
            <w:col w:w="11180"/>
          </w:cols>
          <w:pgMar w:left="320" w:top="1169" w:right="399" w:bottom="1440" w:gutter="0" w:footer="0" w:header="0"/>
        </w:sectPr>
      </w:pPr>
    </w:p>
    <w:p>
      <w:pPr>
        <w:spacing w:after="0" w:line="1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Vote by Internet</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Vote by Telephone</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Vote by Mail</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Vote by Mobile Device</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Vote at the Virtual Meeting</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Go to www.proxyvote.com and follow the instructions for Internet voting shown on your Notice Regarding the Availability of Proxy Materials or proxy card.</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Call 800-690-6903 and follow the instructions for telephone voting shown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-2030730</wp:posOffset>
            </wp:positionH>
            <wp:positionV relativeFrom="paragraph">
              <wp:posOffset>166370</wp:posOffset>
            </wp:positionV>
            <wp:extent cx="7115175" cy="5829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58293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Complete, sign, date and mail your proxy card in the envelope provided if you received paper proxy materials.</w:t>
      </w:r>
    </w:p>
    <w:p>
      <w:pPr>
        <w:spacing w:after="0"/>
        <w:rPr>
          <w:sz w:val="20"/>
          <w:szCs w:val="20"/>
          <w:color w:val="auto"/>
        </w:rPr>
      </w:pPr>
      <w:r>
        <w:rPr>
          <w:rFonts w:ascii="Arial" w:cs="Arial" w:eastAsia="Arial" w:hAnsi="Arial"/>
          <w:sz w:val="16"/>
          <w:szCs w:val="16"/>
          <w:color w:val="auto"/>
        </w:rPr>
        <w:t>If you vote by Internet, telephone or mobile device, please do not mail your proxy card.</w:t>
      </w:r>
    </w:p>
    <w:p>
      <w:pPr>
        <w:spacing w:after="0" w:line="138"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Scan the QR code on your Notice Regarding the Availability of Proxy Materials or proxy card and follow the links.</w:t>
      </w:r>
    </w:p>
    <w:p>
      <w:pPr>
        <w:spacing w:after="0" w:line="47"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Attend our virtual meeting and vote your shares electronically by visiting www.virtualshareholdermeeting.com/TTC2024. You will need the 16-digit control number included on your proxy card voting instruction form or Notice Regarding the Availability of Proxy Materials to enter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-2030730</wp:posOffset>
            </wp:positionH>
            <wp:positionV relativeFrom="paragraph">
              <wp:posOffset>-491490</wp:posOffset>
            </wp:positionV>
            <wp:extent cx="7115175" cy="5054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505460"/>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2500" w:space="720"/>
            <w:col w:w="7960"/>
          </w:cols>
          <w:pgMar w:left="320" w:top="1169" w:right="399" w:bottom="1440" w:gutter="0" w:footer="0" w:header="0"/>
          <w:type w:val="continuous"/>
        </w:sectPr>
      </w:pPr>
    </w:p>
    <w:p>
      <w:pPr>
        <w:ind w:right="260" w:firstLine="324"/>
        <w:spacing w:after="0" w:line="237" w:lineRule="auto"/>
        <w:rPr>
          <w:sz w:val="20"/>
          <w:szCs w:val="20"/>
          <w:color w:val="auto"/>
        </w:rPr>
      </w:pPr>
      <w:r>
        <w:rPr>
          <w:rFonts w:ascii="Arial" w:cs="Arial" w:eastAsia="Arial" w:hAnsi="Arial"/>
          <w:sz w:val="18"/>
          <w:szCs w:val="18"/>
          <w:color w:val="auto"/>
        </w:rPr>
        <w:t>If you hold shares as a participant in certain TTC employee benefit plans, you may vote your shares by one of the five methods noted above. If your shares are held in "street name," you may receive a separate voting instruction form with this proxy statement or you may</w:t>
      </w:r>
    </w:p>
    <w:p>
      <w:pPr>
        <w:spacing w:after="0" w:line="235" w:lineRule="auto"/>
        <w:rPr>
          <w:sz w:val="20"/>
          <w:szCs w:val="20"/>
          <w:color w:val="auto"/>
        </w:rPr>
      </w:pPr>
      <w:r>
        <w:rPr>
          <w:rFonts w:ascii="Arial" w:cs="Arial" w:eastAsia="Arial" w:hAnsi="Arial"/>
          <w:sz w:val="18"/>
          <w:szCs w:val="18"/>
          <w:color w:val="auto"/>
        </w:rPr>
        <w:t>need to contact your broker, bank or other nominee to determine whether you will be able to vote electronically using the Internet, telephone</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or mobile device. On the day of the annual meeting, you may go to www.virtualshareholdermeeting.com/TTC2024, and log in by entering the 16-digit control number found on your voting instruction form. If you do not have your control number, you will be able register as a guest;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however, you will not be able to vote or submit questions during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9" w:right="3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b w:val="1"/>
          <w:bCs w:val="1"/>
          <w:color w:val="C00000"/>
        </w:rPr>
        <w:t>How Does the Board Recommend that I Vote and What Vote is Required for Each Proposal?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40" w:type="dxa"/>
            <w:vAlign w:val="bottom"/>
            <w:shd w:val="clear" w:color="auto" w:fill="BF2115"/>
          </w:tcPr>
          <w:p>
            <w:pPr>
              <w:spacing w:after="0"/>
              <w:rPr>
                <w:sz w:val="19"/>
                <w:szCs w:val="19"/>
                <w:color w:val="auto"/>
              </w:rPr>
            </w:pPr>
          </w:p>
        </w:tc>
        <w:tc>
          <w:tcPr>
            <w:tcW w:w="2620" w:type="dxa"/>
            <w:vAlign w:val="bottom"/>
            <w:vMerge w:val="restart"/>
            <w:shd w:val="clear" w:color="auto" w:fill="BF2115"/>
          </w:tcPr>
          <w:p>
            <w:pPr>
              <w:ind w:left="1180"/>
              <w:spacing w:after="0"/>
              <w:rPr>
                <w:sz w:val="20"/>
                <w:szCs w:val="20"/>
                <w:color w:val="auto"/>
              </w:rPr>
            </w:pPr>
            <w:r>
              <w:rPr>
                <w:rFonts w:ascii="Arial" w:cs="Arial" w:eastAsia="Arial" w:hAnsi="Arial"/>
                <w:sz w:val="14"/>
                <w:szCs w:val="14"/>
                <w:b w:val="1"/>
                <w:bCs w:val="1"/>
                <w:color w:val="FFFFFF"/>
              </w:rPr>
              <w:t>Board</w:t>
            </w:r>
          </w:p>
        </w:tc>
        <w:tc>
          <w:tcPr>
            <w:tcW w:w="1740" w:type="dxa"/>
            <w:vAlign w:val="bottom"/>
            <w:vMerge w:val="restart"/>
            <w:shd w:val="clear" w:color="auto" w:fill="BF2115"/>
          </w:tcPr>
          <w:p>
            <w:pPr>
              <w:ind w:left="220"/>
              <w:spacing w:after="0"/>
              <w:rPr>
                <w:sz w:val="20"/>
                <w:szCs w:val="20"/>
                <w:color w:val="auto"/>
              </w:rPr>
            </w:pPr>
            <w:r>
              <w:rPr>
                <w:rFonts w:ascii="Arial" w:cs="Arial" w:eastAsia="Arial" w:hAnsi="Arial"/>
                <w:sz w:val="14"/>
                <w:szCs w:val="14"/>
                <w:b w:val="1"/>
                <w:bCs w:val="1"/>
                <w:color w:val="FFFFFF"/>
              </w:rPr>
              <w:t>Available Voting</w:t>
            </w:r>
          </w:p>
        </w:tc>
        <w:tc>
          <w:tcPr>
            <w:tcW w:w="1820" w:type="dxa"/>
            <w:vAlign w:val="bottom"/>
            <w:vMerge w:val="restart"/>
            <w:shd w:val="clear" w:color="auto" w:fill="BF2115"/>
          </w:tcPr>
          <w:p>
            <w:pPr>
              <w:ind w:left="420"/>
              <w:spacing w:after="0"/>
              <w:rPr>
                <w:sz w:val="20"/>
                <w:szCs w:val="20"/>
                <w:color w:val="auto"/>
              </w:rPr>
            </w:pPr>
            <w:r>
              <w:rPr>
                <w:rFonts w:ascii="Arial" w:cs="Arial" w:eastAsia="Arial" w:hAnsi="Arial"/>
                <w:sz w:val="14"/>
                <w:szCs w:val="14"/>
                <w:b w:val="1"/>
                <w:bCs w:val="1"/>
                <w:color w:val="FFFFFF"/>
              </w:rPr>
              <w:t>Voting Approval</w:t>
            </w:r>
          </w:p>
        </w:tc>
        <w:tc>
          <w:tcPr>
            <w:tcW w:w="140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Effect of</w:t>
            </w:r>
          </w:p>
        </w:tc>
        <w:tc>
          <w:tcPr>
            <w:tcW w:w="1500" w:type="dxa"/>
            <w:vAlign w:val="bottom"/>
            <w:shd w:val="clear" w:color="auto" w:fill="BF2115"/>
          </w:tcPr>
          <w:p>
            <w:pPr>
              <w:ind w:left="280"/>
              <w:spacing w:after="0"/>
              <w:rPr>
                <w:sz w:val="20"/>
                <w:szCs w:val="20"/>
                <w:color w:val="auto"/>
              </w:rPr>
            </w:pPr>
            <w:r>
              <w:rPr>
                <w:rFonts w:ascii="Arial" w:cs="Arial" w:eastAsia="Arial" w:hAnsi="Arial"/>
                <w:sz w:val="14"/>
                <w:szCs w:val="14"/>
                <w:b w:val="1"/>
                <w:bCs w:val="1"/>
                <w:color w:val="FFFFFF"/>
              </w:rPr>
              <w:t>Effect of</w:t>
            </w:r>
          </w:p>
        </w:tc>
        <w:tc>
          <w:tcPr>
            <w:tcW w:w="0" w:type="dxa"/>
            <w:vAlign w:val="bottom"/>
          </w:tcPr>
          <w:p>
            <w:pPr>
              <w:spacing w:after="0"/>
              <w:rPr>
                <w:sz w:val="1"/>
                <w:szCs w:val="1"/>
                <w:color w:val="auto"/>
              </w:rPr>
            </w:pPr>
          </w:p>
        </w:tc>
      </w:tr>
      <w:tr>
        <w:trPr>
          <w:trHeight w:val="175"/>
        </w:trPr>
        <w:tc>
          <w:tcPr>
            <w:tcW w:w="1840" w:type="dxa"/>
            <w:vAlign w:val="bottom"/>
            <w:shd w:val="clear" w:color="auto" w:fill="BF2115"/>
          </w:tcPr>
          <w:p>
            <w:pPr>
              <w:spacing w:after="0"/>
              <w:rPr>
                <w:sz w:val="15"/>
                <w:szCs w:val="15"/>
                <w:color w:val="auto"/>
              </w:rPr>
            </w:pPr>
          </w:p>
        </w:tc>
        <w:tc>
          <w:tcPr>
            <w:tcW w:w="2620" w:type="dxa"/>
            <w:vAlign w:val="bottom"/>
            <w:vMerge w:val="continue"/>
            <w:shd w:val="clear" w:color="auto" w:fill="BF2115"/>
          </w:tcPr>
          <w:p>
            <w:pPr>
              <w:spacing w:after="0"/>
              <w:rPr>
                <w:sz w:val="15"/>
                <w:szCs w:val="15"/>
                <w:color w:val="auto"/>
              </w:rPr>
            </w:pPr>
          </w:p>
        </w:tc>
        <w:tc>
          <w:tcPr>
            <w:tcW w:w="1740" w:type="dxa"/>
            <w:vAlign w:val="bottom"/>
            <w:vMerge w:val="continue"/>
            <w:shd w:val="clear" w:color="auto" w:fill="BF2115"/>
          </w:tcPr>
          <w:p>
            <w:pPr>
              <w:spacing w:after="0"/>
              <w:rPr>
                <w:sz w:val="15"/>
                <w:szCs w:val="15"/>
                <w:color w:val="auto"/>
              </w:rPr>
            </w:pPr>
          </w:p>
        </w:tc>
        <w:tc>
          <w:tcPr>
            <w:tcW w:w="1820" w:type="dxa"/>
            <w:vAlign w:val="bottom"/>
            <w:vMerge w:val="continue"/>
            <w:shd w:val="clear" w:color="auto" w:fill="BF2115"/>
          </w:tcPr>
          <w:p>
            <w:pPr>
              <w:spacing w:after="0"/>
              <w:rPr>
                <w:sz w:val="15"/>
                <w:szCs w:val="15"/>
                <w:color w:val="auto"/>
              </w:rPr>
            </w:pPr>
          </w:p>
        </w:tc>
        <w:tc>
          <w:tcPr>
            <w:tcW w:w="140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Withhold or</w:t>
            </w:r>
          </w:p>
        </w:tc>
        <w:tc>
          <w:tcPr>
            <w:tcW w:w="1500" w:type="dxa"/>
            <w:vAlign w:val="bottom"/>
            <w:shd w:val="clear" w:color="auto" w:fill="BF2115"/>
          </w:tcPr>
          <w:p>
            <w:pPr>
              <w:ind w:left="280"/>
              <w:spacing w:after="0"/>
              <w:rPr>
                <w:sz w:val="20"/>
                <w:szCs w:val="20"/>
                <w:color w:val="auto"/>
              </w:rPr>
            </w:pPr>
            <w:r>
              <w:rPr>
                <w:rFonts w:ascii="Arial" w:cs="Arial" w:eastAsia="Arial" w:hAnsi="Arial"/>
                <w:sz w:val="14"/>
                <w:szCs w:val="14"/>
                <w:b w:val="1"/>
                <w:bCs w:val="1"/>
                <w:color w:val="FFFFFF"/>
              </w:rPr>
              <w:t>Broker Non-</w:t>
            </w:r>
          </w:p>
        </w:tc>
        <w:tc>
          <w:tcPr>
            <w:tcW w:w="0" w:type="dxa"/>
            <w:vAlign w:val="bottom"/>
          </w:tcPr>
          <w:p>
            <w:pPr>
              <w:spacing w:after="0"/>
              <w:rPr>
                <w:sz w:val="1"/>
                <w:szCs w:val="1"/>
                <w:color w:val="auto"/>
              </w:rPr>
            </w:pPr>
          </w:p>
        </w:tc>
      </w:tr>
      <w:tr>
        <w:trPr>
          <w:trHeight w:val="225"/>
        </w:trPr>
        <w:tc>
          <w:tcPr>
            <w:tcW w:w="18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Proposal</w:t>
            </w:r>
          </w:p>
        </w:tc>
        <w:tc>
          <w:tcPr>
            <w:tcW w:w="2620" w:type="dxa"/>
            <w:vAlign w:val="bottom"/>
            <w:shd w:val="clear" w:color="auto" w:fill="BF2115"/>
          </w:tcPr>
          <w:p>
            <w:pPr>
              <w:ind w:left="1180"/>
              <w:spacing w:after="0"/>
              <w:rPr>
                <w:sz w:val="20"/>
                <w:szCs w:val="20"/>
                <w:color w:val="auto"/>
              </w:rPr>
            </w:pPr>
            <w:r>
              <w:rPr>
                <w:rFonts w:ascii="Arial" w:cs="Arial" w:eastAsia="Arial" w:hAnsi="Arial"/>
                <w:sz w:val="14"/>
                <w:szCs w:val="14"/>
                <w:b w:val="1"/>
                <w:bCs w:val="1"/>
                <w:color w:val="FFFFFF"/>
              </w:rPr>
              <w:t>Recommendation</w:t>
            </w:r>
          </w:p>
        </w:tc>
        <w:tc>
          <w:tcPr>
            <w:tcW w:w="1740" w:type="dxa"/>
            <w:vAlign w:val="bottom"/>
            <w:shd w:val="clear" w:color="auto" w:fill="BF2115"/>
          </w:tcPr>
          <w:p>
            <w:pPr>
              <w:ind w:left="220"/>
              <w:spacing w:after="0"/>
              <w:rPr>
                <w:sz w:val="20"/>
                <w:szCs w:val="20"/>
                <w:color w:val="auto"/>
              </w:rPr>
            </w:pPr>
            <w:r>
              <w:rPr>
                <w:rFonts w:ascii="Arial" w:cs="Arial" w:eastAsia="Arial" w:hAnsi="Arial"/>
                <w:sz w:val="14"/>
                <w:szCs w:val="14"/>
                <w:b w:val="1"/>
                <w:bCs w:val="1"/>
                <w:color w:val="FFFFFF"/>
              </w:rPr>
              <w:t>Selections</w:t>
            </w:r>
          </w:p>
        </w:tc>
        <w:tc>
          <w:tcPr>
            <w:tcW w:w="1820" w:type="dxa"/>
            <w:vAlign w:val="bottom"/>
            <w:shd w:val="clear" w:color="auto" w:fill="BF2115"/>
          </w:tcPr>
          <w:p>
            <w:pPr>
              <w:ind w:left="420"/>
              <w:spacing w:after="0"/>
              <w:rPr>
                <w:sz w:val="20"/>
                <w:szCs w:val="20"/>
                <w:color w:val="auto"/>
              </w:rPr>
            </w:pPr>
            <w:r>
              <w:rPr>
                <w:rFonts w:ascii="Arial" w:cs="Arial" w:eastAsia="Arial" w:hAnsi="Arial"/>
                <w:sz w:val="14"/>
                <w:szCs w:val="14"/>
                <w:b w:val="1"/>
                <w:bCs w:val="1"/>
                <w:color w:val="FFFFFF"/>
              </w:rPr>
              <w:t>Standard</w:t>
            </w:r>
          </w:p>
        </w:tc>
        <w:tc>
          <w:tcPr>
            <w:tcW w:w="140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Abstention</w:t>
            </w:r>
          </w:p>
        </w:tc>
        <w:tc>
          <w:tcPr>
            <w:tcW w:w="1500" w:type="dxa"/>
            <w:vAlign w:val="bottom"/>
            <w:shd w:val="clear" w:color="auto" w:fill="BF2115"/>
          </w:tcPr>
          <w:p>
            <w:pPr>
              <w:ind w:left="280"/>
              <w:spacing w:after="0"/>
              <w:rPr>
                <w:sz w:val="20"/>
                <w:szCs w:val="20"/>
                <w:color w:val="auto"/>
              </w:rPr>
            </w:pPr>
            <w:r>
              <w:rPr>
                <w:rFonts w:ascii="Arial" w:cs="Arial" w:eastAsia="Arial" w:hAnsi="Arial"/>
                <w:sz w:val="14"/>
                <w:szCs w:val="14"/>
                <w:b w:val="1"/>
                <w:bCs w:val="1"/>
                <w:color w:val="FFFFFF"/>
              </w:rPr>
              <w:t>Vote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115" w:right="359" w:bottom="1440" w:gutter="0" w:footer="0" w:header="0"/>
        </w:sectPr>
      </w:pP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40" w:type="dxa"/>
            <w:vAlign w:val="bottom"/>
          </w:tcPr>
          <w:p>
            <w:pPr>
              <w:jc w:val="right"/>
              <w:ind w:right="19"/>
              <w:spacing w:after="0"/>
              <w:rPr>
                <w:sz w:val="20"/>
                <w:szCs w:val="20"/>
                <w:color w:val="auto"/>
              </w:rPr>
            </w:pPr>
            <w:r>
              <w:rPr>
                <w:rFonts w:ascii="Arial" w:cs="Arial" w:eastAsia="Arial" w:hAnsi="Arial"/>
                <w:sz w:val="16"/>
                <w:szCs w:val="16"/>
                <w:color w:val="auto"/>
                <w:w w:val="89"/>
              </w:rPr>
              <w:t>1.</w:t>
            </w:r>
          </w:p>
        </w:tc>
        <w:tc>
          <w:tcPr>
            <w:tcW w:w="2720" w:type="dxa"/>
            <w:vAlign w:val="bottom"/>
          </w:tcPr>
          <w:p>
            <w:pPr>
              <w:ind w:left="100"/>
              <w:spacing w:after="0"/>
              <w:rPr>
                <w:sz w:val="20"/>
                <w:szCs w:val="20"/>
                <w:color w:val="auto"/>
              </w:rPr>
            </w:pPr>
            <w:r>
              <w:rPr>
                <w:rFonts w:ascii="Arial" w:cs="Arial" w:eastAsia="Arial" w:hAnsi="Arial"/>
                <w:sz w:val="16"/>
                <w:szCs w:val="16"/>
                <w:color w:val="auto"/>
              </w:rPr>
              <w:t>Election of two directors</w:t>
            </w:r>
          </w:p>
        </w:tc>
        <w:tc>
          <w:tcPr>
            <w:tcW w:w="980" w:type="dxa"/>
            <w:vAlign w:val="bottom"/>
          </w:tcPr>
          <w:p>
            <w:pPr>
              <w:ind w:left="40"/>
              <w:spacing w:after="0"/>
              <w:rPr>
                <w:sz w:val="20"/>
                <w:szCs w:val="20"/>
                <w:color w:val="auto"/>
              </w:rPr>
            </w:pPr>
            <w:r>
              <w:rPr>
                <w:rFonts w:ascii="Arial" w:cs="Arial" w:eastAsia="Arial" w:hAnsi="Arial"/>
                <w:sz w:val="16"/>
                <w:szCs w:val="16"/>
                <w:b w:val="1"/>
                <w:bCs w:val="1"/>
                <w:color w:val="auto"/>
              </w:rPr>
              <w:t xml:space="preserve">FOR the </w:t>
            </w:r>
            <w:r>
              <w:rPr>
                <w:rFonts w:ascii="Arial" w:cs="Arial" w:eastAsia="Arial" w:hAnsi="Arial"/>
                <w:sz w:val="16"/>
                <w:szCs w:val="16"/>
                <w:color w:val="auto"/>
              </w:rPr>
              <w:t>two</w:t>
            </w:r>
          </w:p>
        </w:tc>
      </w:tr>
      <w:tr>
        <w:trPr>
          <w:trHeight w:val="215"/>
        </w:trPr>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80" w:type="dxa"/>
            <w:vAlign w:val="bottom"/>
          </w:tcPr>
          <w:p>
            <w:pPr>
              <w:ind w:left="40"/>
              <w:spacing w:after="0"/>
              <w:rPr>
                <w:sz w:val="20"/>
                <w:szCs w:val="20"/>
                <w:color w:val="auto"/>
              </w:rPr>
            </w:pPr>
            <w:r>
              <w:rPr>
                <w:rFonts w:ascii="Arial" w:cs="Arial" w:eastAsia="Arial" w:hAnsi="Arial"/>
                <w:sz w:val="16"/>
                <w:szCs w:val="16"/>
                <w:color w:val="auto"/>
              </w:rPr>
              <w:t>nominees</w:t>
            </w:r>
          </w:p>
        </w:tc>
      </w:tr>
      <w:tr>
        <w:trPr>
          <w:trHeight w:val="960"/>
        </w:trPr>
        <w:tc>
          <w:tcPr>
            <w:tcW w:w="240" w:type="dxa"/>
            <w:vAlign w:val="bottom"/>
          </w:tcPr>
          <w:p>
            <w:pPr>
              <w:jc w:val="right"/>
              <w:ind w:right="19"/>
              <w:spacing w:after="0"/>
              <w:rPr>
                <w:sz w:val="20"/>
                <w:szCs w:val="20"/>
                <w:color w:val="auto"/>
              </w:rPr>
            </w:pPr>
            <w:r>
              <w:rPr>
                <w:rFonts w:ascii="Arial" w:cs="Arial" w:eastAsia="Arial" w:hAnsi="Arial"/>
                <w:sz w:val="16"/>
                <w:szCs w:val="16"/>
                <w:color w:val="auto"/>
                <w:w w:val="89"/>
              </w:rPr>
              <w:t>2.</w:t>
            </w:r>
          </w:p>
        </w:tc>
        <w:tc>
          <w:tcPr>
            <w:tcW w:w="2720" w:type="dxa"/>
            <w:vAlign w:val="bottom"/>
          </w:tcPr>
          <w:p>
            <w:pPr>
              <w:ind w:left="100"/>
              <w:spacing w:after="0"/>
              <w:rPr>
                <w:sz w:val="20"/>
                <w:szCs w:val="20"/>
                <w:color w:val="auto"/>
              </w:rPr>
            </w:pPr>
            <w:r>
              <w:rPr>
                <w:rFonts w:ascii="Arial" w:cs="Arial" w:eastAsia="Arial" w:hAnsi="Arial"/>
                <w:sz w:val="16"/>
                <w:szCs w:val="16"/>
                <w:color w:val="auto"/>
              </w:rPr>
              <w:t>Ratification of the selection of</w:t>
            </w:r>
          </w:p>
        </w:tc>
        <w:tc>
          <w:tcPr>
            <w:tcW w:w="980" w:type="dxa"/>
            <w:vAlign w:val="bottom"/>
          </w:tcPr>
          <w:p>
            <w:pPr>
              <w:ind w:left="40"/>
              <w:spacing w:after="0"/>
              <w:rPr>
                <w:sz w:val="20"/>
                <w:szCs w:val="20"/>
                <w:color w:val="auto"/>
              </w:rPr>
            </w:pPr>
            <w:r>
              <w:rPr>
                <w:rFonts w:ascii="Arial" w:cs="Arial" w:eastAsia="Arial" w:hAnsi="Arial"/>
                <w:sz w:val="16"/>
                <w:szCs w:val="16"/>
                <w:b w:val="1"/>
                <w:bCs w:val="1"/>
                <w:color w:val="auto"/>
              </w:rPr>
              <w:t>FOR</w:t>
            </w:r>
          </w:p>
        </w:tc>
      </w:tr>
      <w:tr>
        <w:trPr>
          <w:trHeight w:val="175"/>
        </w:trPr>
        <w:tc>
          <w:tcPr>
            <w:tcW w:w="240" w:type="dxa"/>
            <w:vAlign w:val="bottom"/>
          </w:tcPr>
          <w:p>
            <w:pPr>
              <w:spacing w:after="0"/>
              <w:rPr>
                <w:sz w:val="15"/>
                <w:szCs w:val="15"/>
                <w:color w:val="auto"/>
              </w:rPr>
            </w:pPr>
          </w:p>
        </w:tc>
        <w:tc>
          <w:tcPr>
            <w:tcW w:w="2720" w:type="dxa"/>
            <w:vAlign w:val="bottom"/>
          </w:tcPr>
          <w:p>
            <w:pPr>
              <w:ind w:left="100"/>
              <w:spacing w:after="0" w:line="175" w:lineRule="exact"/>
              <w:rPr>
                <w:sz w:val="20"/>
                <w:szCs w:val="20"/>
                <w:color w:val="auto"/>
              </w:rPr>
            </w:pPr>
            <w:r>
              <w:rPr>
                <w:rFonts w:ascii="Arial" w:cs="Arial" w:eastAsia="Arial" w:hAnsi="Arial"/>
                <w:sz w:val="16"/>
                <w:szCs w:val="16"/>
                <w:color w:val="auto"/>
              </w:rPr>
              <w:t>KPMG LLP as our independent</w:t>
            </w:r>
          </w:p>
        </w:tc>
        <w:tc>
          <w:tcPr>
            <w:tcW w:w="980" w:type="dxa"/>
            <w:vAlign w:val="bottom"/>
          </w:tcPr>
          <w:p>
            <w:pPr>
              <w:spacing w:after="0"/>
              <w:rPr>
                <w:sz w:val="15"/>
                <w:szCs w:val="15"/>
                <w:color w:val="auto"/>
              </w:rPr>
            </w:pPr>
          </w:p>
        </w:tc>
      </w:tr>
      <w:tr>
        <w:trPr>
          <w:trHeight w:val="189"/>
        </w:trPr>
        <w:tc>
          <w:tcPr>
            <w:tcW w:w="240" w:type="dxa"/>
            <w:vAlign w:val="bottom"/>
          </w:tcPr>
          <w:p>
            <w:pPr>
              <w:spacing w:after="0"/>
              <w:rPr>
                <w:sz w:val="16"/>
                <w:szCs w:val="16"/>
                <w:color w:val="auto"/>
              </w:rPr>
            </w:pPr>
          </w:p>
        </w:tc>
        <w:tc>
          <w:tcPr>
            <w:tcW w:w="2720" w:type="dxa"/>
            <w:vAlign w:val="bottom"/>
          </w:tcPr>
          <w:p>
            <w:pPr>
              <w:ind w:left="100"/>
              <w:spacing w:after="0"/>
              <w:rPr>
                <w:sz w:val="20"/>
                <w:szCs w:val="20"/>
                <w:color w:val="auto"/>
              </w:rPr>
            </w:pPr>
            <w:r>
              <w:rPr>
                <w:rFonts w:ascii="Arial" w:cs="Arial" w:eastAsia="Arial" w:hAnsi="Arial"/>
                <w:sz w:val="16"/>
                <w:szCs w:val="16"/>
                <w:color w:val="auto"/>
              </w:rPr>
              <w:t>registered public accounting firm for</w:t>
            </w:r>
          </w:p>
        </w:tc>
        <w:tc>
          <w:tcPr>
            <w:tcW w:w="980" w:type="dxa"/>
            <w:vAlign w:val="bottom"/>
          </w:tcPr>
          <w:p>
            <w:pPr>
              <w:spacing w:after="0"/>
              <w:rPr>
                <w:sz w:val="16"/>
                <w:szCs w:val="16"/>
                <w:color w:val="auto"/>
              </w:rPr>
            </w:pPr>
          </w:p>
        </w:tc>
      </w:tr>
      <w:tr>
        <w:trPr>
          <w:trHeight w:val="189"/>
        </w:trPr>
        <w:tc>
          <w:tcPr>
            <w:tcW w:w="240" w:type="dxa"/>
            <w:vAlign w:val="bottom"/>
          </w:tcPr>
          <w:p>
            <w:pPr>
              <w:spacing w:after="0"/>
              <w:rPr>
                <w:sz w:val="16"/>
                <w:szCs w:val="16"/>
                <w:color w:val="auto"/>
              </w:rPr>
            </w:pPr>
          </w:p>
        </w:tc>
        <w:tc>
          <w:tcPr>
            <w:tcW w:w="2720" w:type="dxa"/>
            <w:vAlign w:val="bottom"/>
          </w:tcPr>
          <w:p>
            <w:pPr>
              <w:ind w:left="100"/>
              <w:spacing w:after="0"/>
              <w:rPr>
                <w:sz w:val="20"/>
                <w:szCs w:val="20"/>
                <w:color w:val="auto"/>
              </w:rPr>
            </w:pPr>
            <w:r>
              <w:rPr>
                <w:rFonts w:ascii="Arial" w:cs="Arial" w:eastAsia="Arial" w:hAnsi="Arial"/>
                <w:sz w:val="16"/>
                <w:szCs w:val="16"/>
                <w:color w:val="auto"/>
              </w:rPr>
              <w:t>our fiscal year ending October 31,</w:t>
            </w:r>
          </w:p>
        </w:tc>
        <w:tc>
          <w:tcPr>
            <w:tcW w:w="980" w:type="dxa"/>
            <w:vAlign w:val="bottom"/>
          </w:tcPr>
          <w:p>
            <w:pPr>
              <w:spacing w:after="0"/>
              <w:rPr>
                <w:sz w:val="16"/>
                <w:szCs w:val="16"/>
                <w:color w:val="auto"/>
              </w:rPr>
            </w:pPr>
          </w:p>
        </w:tc>
      </w:tr>
      <w:tr>
        <w:trPr>
          <w:trHeight w:val="215"/>
        </w:trPr>
        <w:tc>
          <w:tcPr>
            <w:tcW w:w="240" w:type="dxa"/>
            <w:vAlign w:val="bottom"/>
          </w:tcPr>
          <w:p>
            <w:pPr>
              <w:spacing w:after="0"/>
              <w:rPr>
                <w:sz w:val="18"/>
                <w:szCs w:val="18"/>
                <w:color w:val="auto"/>
              </w:rPr>
            </w:pPr>
          </w:p>
        </w:tc>
        <w:tc>
          <w:tcPr>
            <w:tcW w:w="2720" w:type="dxa"/>
            <w:vAlign w:val="bottom"/>
          </w:tcPr>
          <w:p>
            <w:pPr>
              <w:ind w:left="100"/>
              <w:spacing w:after="0"/>
              <w:rPr>
                <w:sz w:val="20"/>
                <w:szCs w:val="20"/>
                <w:color w:val="auto"/>
              </w:rPr>
            </w:pPr>
            <w:r>
              <w:rPr>
                <w:rFonts w:ascii="Arial" w:cs="Arial" w:eastAsia="Arial" w:hAnsi="Arial"/>
                <w:sz w:val="16"/>
                <w:szCs w:val="16"/>
                <w:color w:val="auto"/>
              </w:rPr>
              <w:t>2024</w:t>
            </w:r>
          </w:p>
        </w:tc>
        <w:tc>
          <w:tcPr>
            <w:tcW w:w="980" w:type="dxa"/>
            <w:vAlign w:val="bottom"/>
          </w:tcPr>
          <w:p>
            <w:pPr>
              <w:spacing w:after="0"/>
              <w:rPr>
                <w:sz w:val="18"/>
                <w:szCs w:val="18"/>
                <w:color w:val="auto"/>
              </w:rPr>
            </w:pPr>
          </w:p>
        </w:tc>
      </w:tr>
      <w:tr>
        <w:trPr>
          <w:trHeight w:val="217"/>
        </w:trPr>
        <w:tc>
          <w:tcPr>
            <w:tcW w:w="240" w:type="dxa"/>
            <w:vAlign w:val="bottom"/>
          </w:tcPr>
          <w:p>
            <w:pPr>
              <w:jc w:val="right"/>
              <w:ind w:right="19"/>
              <w:spacing w:after="0"/>
              <w:rPr>
                <w:sz w:val="20"/>
                <w:szCs w:val="20"/>
                <w:color w:val="auto"/>
              </w:rPr>
            </w:pPr>
            <w:r>
              <w:rPr>
                <w:rFonts w:ascii="Arial" w:cs="Arial" w:eastAsia="Arial" w:hAnsi="Arial"/>
                <w:sz w:val="16"/>
                <w:szCs w:val="16"/>
                <w:color w:val="auto"/>
                <w:w w:val="89"/>
              </w:rPr>
              <w:t>3.</w:t>
            </w:r>
          </w:p>
        </w:tc>
        <w:tc>
          <w:tcPr>
            <w:tcW w:w="2720" w:type="dxa"/>
            <w:vAlign w:val="bottom"/>
          </w:tcPr>
          <w:p>
            <w:pPr>
              <w:ind w:left="100"/>
              <w:spacing w:after="0"/>
              <w:rPr>
                <w:sz w:val="20"/>
                <w:szCs w:val="20"/>
                <w:color w:val="auto"/>
              </w:rPr>
            </w:pPr>
            <w:r>
              <w:rPr>
                <w:rFonts w:ascii="Arial" w:cs="Arial" w:eastAsia="Arial" w:hAnsi="Arial"/>
                <w:sz w:val="16"/>
                <w:szCs w:val="16"/>
                <w:color w:val="auto"/>
              </w:rPr>
              <w:t>Approval of, on an advisory basis,</w:t>
            </w:r>
          </w:p>
        </w:tc>
        <w:tc>
          <w:tcPr>
            <w:tcW w:w="980" w:type="dxa"/>
            <w:vAlign w:val="bottom"/>
          </w:tcPr>
          <w:p>
            <w:pPr>
              <w:ind w:left="40"/>
              <w:spacing w:after="0"/>
              <w:rPr>
                <w:sz w:val="20"/>
                <w:szCs w:val="20"/>
                <w:color w:val="auto"/>
              </w:rPr>
            </w:pPr>
            <w:r>
              <w:rPr>
                <w:rFonts w:ascii="Arial" w:cs="Arial" w:eastAsia="Arial" w:hAnsi="Arial"/>
                <w:sz w:val="16"/>
                <w:szCs w:val="16"/>
                <w:b w:val="1"/>
                <w:bCs w:val="1"/>
                <w:color w:val="auto"/>
              </w:rPr>
              <w:t>FOR</w:t>
            </w:r>
          </w:p>
        </w:tc>
      </w:tr>
      <w:tr>
        <w:trPr>
          <w:trHeight w:val="286"/>
        </w:trPr>
        <w:tc>
          <w:tcPr>
            <w:tcW w:w="240" w:type="dxa"/>
            <w:vAlign w:val="bottom"/>
          </w:tcPr>
          <w:p>
            <w:pPr>
              <w:spacing w:after="0"/>
              <w:rPr>
                <w:sz w:val="24"/>
                <w:szCs w:val="24"/>
                <w:color w:val="auto"/>
              </w:rPr>
            </w:pPr>
          </w:p>
        </w:tc>
        <w:tc>
          <w:tcPr>
            <w:tcW w:w="2720" w:type="dxa"/>
            <w:vAlign w:val="bottom"/>
          </w:tcPr>
          <w:p>
            <w:pPr>
              <w:ind w:left="100"/>
              <w:spacing w:after="0"/>
              <w:rPr>
                <w:sz w:val="20"/>
                <w:szCs w:val="20"/>
                <w:color w:val="auto"/>
              </w:rPr>
            </w:pPr>
            <w:r>
              <w:rPr>
                <w:rFonts w:ascii="Arial" w:cs="Arial" w:eastAsia="Arial" w:hAnsi="Arial"/>
                <w:sz w:val="16"/>
                <w:szCs w:val="16"/>
                <w:color w:val="auto"/>
              </w:rPr>
              <w:t>our executive compensation</w:t>
            </w:r>
            <w:r>
              <w:rPr>
                <w:rFonts w:ascii="Arial" w:cs="Arial" w:eastAsia="Arial" w:hAnsi="Arial"/>
                <w:sz w:val="21"/>
                <w:szCs w:val="21"/>
                <w:color w:val="auto"/>
                <w:vertAlign w:val="superscript"/>
              </w:rPr>
              <w:t>3</w:t>
            </w: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24688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840" w:type="dxa"/>
            <w:vAlign w:val="bottom"/>
          </w:tcPr>
          <w:p>
            <w:pPr>
              <w:spacing w:after="0"/>
              <w:rPr>
                <w:sz w:val="20"/>
                <w:szCs w:val="20"/>
                <w:color w:val="auto"/>
              </w:rPr>
            </w:pPr>
            <w:r>
              <w:rPr>
                <w:rFonts w:ascii="Arial" w:cs="Arial" w:eastAsia="Arial" w:hAnsi="Arial"/>
                <w:sz w:val="16"/>
                <w:szCs w:val="16"/>
                <w:color w:val="auto"/>
              </w:rPr>
              <w:t>FOR both nominees;</w:t>
            </w:r>
          </w:p>
        </w:tc>
        <w:tc>
          <w:tcPr>
            <w:tcW w:w="1700" w:type="dxa"/>
            <w:vAlign w:val="bottom"/>
          </w:tcPr>
          <w:p>
            <w:pPr>
              <w:ind w:left="100"/>
              <w:spacing w:after="0"/>
              <w:rPr>
                <w:sz w:val="20"/>
                <w:szCs w:val="20"/>
                <w:color w:val="auto"/>
              </w:rPr>
            </w:pPr>
            <w:r>
              <w:rPr>
                <w:rFonts w:ascii="Arial" w:cs="Arial" w:eastAsia="Arial" w:hAnsi="Arial"/>
                <w:sz w:val="16"/>
                <w:szCs w:val="16"/>
                <w:color w:val="auto"/>
              </w:rPr>
              <w:t>Plurality: the two</w:t>
            </w:r>
          </w:p>
        </w:tc>
        <w:tc>
          <w:tcPr>
            <w:tcW w:w="1120" w:type="dxa"/>
            <w:vAlign w:val="bottom"/>
          </w:tcPr>
          <w:p>
            <w:pPr>
              <w:ind w:left="100"/>
              <w:spacing w:after="0"/>
              <w:rPr>
                <w:sz w:val="20"/>
                <w:szCs w:val="20"/>
                <w:color w:val="auto"/>
              </w:rPr>
            </w:pPr>
            <w:r>
              <w:rPr>
                <w:rFonts w:ascii="Arial" w:cs="Arial" w:eastAsia="Arial" w:hAnsi="Arial"/>
                <w:sz w:val="16"/>
                <w:szCs w:val="16"/>
                <w:color w:val="auto"/>
              </w:rPr>
              <w:t>No effect</w:t>
            </w:r>
          </w:p>
        </w:tc>
        <w:tc>
          <w:tcPr>
            <w:tcW w:w="1460" w:type="dxa"/>
            <w:vAlign w:val="bottom"/>
          </w:tcPr>
          <w:p>
            <w:pPr>
              <w:ind w:left="360"/>
              <w:spacing w:after="0"/>
              <w:rPr>
                <w:sz w:val="20"/>
                <w:szCs w:val="20"/>
                <w:color w:val="auto"/>
              </w:rPr>
            </w:pPr>
            <w:r>
              <w:rPr>
                <w:rFonts w:ascii="Arial" w:cs="Arial" w:eastAsia="Arial" w:hAnsi="Arial"/>
                <w:sz w:val="16"/>
                <w:szCs w:val="16"/>
                <w:color w:val="auto"/>
              </w:rPr>
              <w:t>No effect</w:t>
            </w:r>
          </w:p>
        </w:tc>
      </w:tr>
      <w:tr>
        <w:trPr>
          <w:trHeight w:val="176"/>
        </w:trPr>
        <w:tc>
          <w:tcPr>
            <w:tcW w:w="1840" w:type="dxa"/>
            <w:vAlign w:val="bottom"/>
          </w:tcPr>
          <w:p>
            <w:pPr>
              <w:spacing w:after="0" w:line="176" w:lineRule="exact"/>
              <w:rPr>
                <w:sz w:val="20"/>
                <w:szCs w:val="20"/>
                <w:color w:val="auto"/>
              </w:rPr>
            </w:pPr>
            <w:r>
              <w:rPr>
                <w:rFonts w:ascii="Arial" w:cs="Arial" w:eastAsia="Arial" w:hAnsi="Arial"/>
                <w:sz w:val="16"/>
                <w:szCs w:val="16"/>
                <w:color w:val="auto"/>
              </w:rPr>
              <w:t>WITHHOLD from both</w:t>
            </w:r>
          </w:p>
        </w:tc>
        <w:tc>
          <w:tcPr>
            <w:tcW w:w="1700" w:type="dxa"/>
            <w:vAlign w:val="bottom"/>
          </w:tcPr>
          <w:p>
            <w:pPr>
              <w:ind w:left="100"/>
              <w:spacing w:after="0" w:line="176" w:lineRule="exact"/>
              <w:rPr>
                <w:sz w:val="20"/>
                <w:szCs w:val="20"/>
                <w:color w:val="auto"/>
              </w:rPr>
            </w:pPr>
            <w:r>
              <w:rPr>
                <w:rFonts w:ascii="Arial" w:cs="Arial" w:eastAsia="Arial" w:hAnsi="Arial"/>
                <w:sz w:val="16"/>
                <w:szCs w:val="16"/>
                <w:color w:val="auto"/>
              </w:rPr>
              <w:t>individuals who</w:t>
            </w:r>
          </w:p>
        </w:tc>
        <w:tc>
          <w:tcPr>
            <w:tcW w:w="11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9"/>
        </w:trPr>
        <w:tc>
          <w:tcPr>
            <w:tcW w:w="1840" w:type="dxa"/>
            <w:vAlign w:val="bottom"/>
          </w:tcPr>
          <w:p>
            <w:pPr>
              <w:spacing w:after="0"/>
              <w:rPr>
                <w:sz w:val="20"/>
                <w:szCs w:val="20"/>
                <w:color w:val="auto"/>
              </w:rPr>
            </w:pPr>
            <w:r>
              <w:rPr>
                <w:rFonts w:ascii="Arial" w:cs="Arial" w:eastAsia="Arial" w:hAnsi="Arial"/>
                <w:sz w:val="16"/>
                <w:szCs w:val="16"/>
                <w:color w:val="auto"/>
              </w:rPr>
              <w:t>nominees; or</w:t>
            </w:r>
          </w:p>
        </w:tc>
        <w:tc>
          <w:tcPr>
            <w:tcW w:w="1700" w:type="dxa"/>
            <w:vAlign w:val="bottom"/>
          </w:tcPr>
          <w:p>
            <w:pPr>
              <w:ind w:left="100"/>
              <w:spacing w:after="0"/>
              <w:rPr>
                <w:sz w:val="20"/>
                <w:szCs w:val="20"/>
                <w:color w:val="auto"/>
              </w:rPr>
            </w:pPr>
            <w:r>
              <w:rPr>
                <w:rFonts w:ascii="Arial" w:cs="Arial" w:eastAsia="Arial" w:hAnsi="Arial"/>
                <w:sz w:val="16"/>
                <w:szCs w:val="16"/>
                <w:color w:val="auto"/>
              </w:rPr>
              <w:t>receive the greatest</w:t>
            </w:r>
          </w:p>
        </w:tc>
        <w:tc>
          <w:tcPr>
            <w:tcW w:w="1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1840" w:type="dxa"/>
            <w:vAlign w:val="bottom"/>
          </w:tcPr>
          <w:p>
            <w:pPr>
              <w:spacing w:after="0"/>
              <w:rPr>
                <w:sz w:val="20"/>
                <w:szCs w:val="20"/>
                <w:color w:val="auto"/>
              </w:rPr>
            </w:pPr>
            <w:r>
              <w:rPr>
                <w:rFonts w:ascii="Arial" w:cs="Arial" w:eastAsia="Arial" w:hAnsi="Arial"/>
                <w:sz w:val="16"/>
                <w:szCs w:val="16"/>
                <w:color w:val="auto"/>
              </w:rPr>
              <w:t>WITHHOLD from one of</w:t>
            </w:r>
          </w:p>
        </w:tc>
        <w:tc>
          <w:tcPr>
            <w:tcW w:w="1700" w:type="dxa"/>
            <w:vAlign w:val="bottom"/>
          </w:tcPr>
          <w:p>
            <w:pPr>
              <w:ind w:left="100"/>
              <w:spacing w:after="0"/>
              <w:rPr>
                <w:sz w:val="20"/>
                <w:szCs w:val="20"/>
                <w:color w:val="auto"/>
              </w:rPr>
            </w:pPr>
            <w:r>
              <w:rPr>
                <w:rFonts w:ascii="Arial" w:cs="Arial" w:eastAsia="Arial" w:hAnsi="Arial"/>
                <w:sz w:val="16"/>
                <w:szCs w:val="16"/>
                <w:color w:val="auto"/>
              </w:rPr>
              <w:t>number of votes cast</w:t>
            </w:r>
          </w:p>
        </w:tc>
        <w:tc>
          <w:tcPr>
            <w:tcW w:w="1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2"/>
        </w:trPr>
        <w:tc>
          <w:tcPr>
            <w:tcW w:w="1840" w:type="dxa"/>
            <w:vAlign w:val="bottom"/>
          </w:tcPr>
          <w:p>
            <w:pPr>
              <w:spacing w:after="0"/>
              <w:rPr>
                <w:sz w:val="20"/>
                <w:szCs w:val="20"/>
                <w:color w:val="auto"/>
              </w:rPr>
            </w:pPr>
            <w:r>
              <w:rPr>
                <w:rFonts w:ascii="Arial" w:cs="Arial" w:eastAsia="Arial" w:hAnsi="Arial"/>
                <w:sz w:val="16"/>
                <w:szCs w:val="16"/>
                <w:color w:val="auto"/>
              </w:rPr>
              <w:t>the nominees</w:t>
            </w:r>
          </w:p>
        </w:tc>
        <w:tc>
          <w:tcPr>
            <w:tcW w:w="1700" w:type="dxa"/>
            <w:vAlign w:val="bottom"/>
          </w:tcPr>
          <w:p>
            <w:pPr>
              <w:ind w:left="100"/>
              <w:spacing w:after="0"/>
              <w:rPr>
                <w:sz w:val="20"/>
                <w:szCs w:val="20"/>
                <w:color w:val="auto"/>
              </w:rPr>
            </w:pPr>
            <w:r>
              <w:rPr>
                <w:rFonts w:ascii="Arial" w:cs="Arial" w:eastAsia="Arial" w:hAnsi="Arial"/>
                <w:sz w:val="16"/>
                <w:szCs w:val="16"/>
                <w:color w:val="auto"/>
              </w:rPr>
              <w:t>"for" are elected as</w:t>
            </w: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57"/>
        </w:trPr>
        <w:tc>
          <w:tcPr>
            <w:tcW w:w="1840" w:type="dxa"/>
            <w:vAlign w:val="bottom"/>
          </w:tcPr>
          <w:p>
            <w:pPr>
              <w:spacing w:after="0"/>
              <w:rPr>
                <w:sz w:val="22"/>
                <w:szCs w:val="22"/>
                <w:color w:val="auto"/>
              </w:rPr>
            </w:pPr>
          </w:p>
        </w:tc>
        <w:tc>
          <w:tcPr>
            <w:tcW w:w="1700" w:type="dxa"/>
            <w:vAlign w:val="bottom"/>
          </w:tcPr>
          <w:p>
            <w:pPr>
              <w:ind w:left="100"/>
              <w:spacing w:after="0"/>
              <w:rPr>
                <w:sz w:val="20"/>
                <w:szCs w:val="20"/>
                <w:color w:val="auto"/>
              </w:rPr>
            </w:pPr>
            <w:r>
              <w:rPr>
                <w:rFonts w:ascii="Arial" w:cs="Arial" w:eastAsia="Arial" w:hAnsi="Arial"/>
                <w:sz w:val="16"/>
                <w:szCs w:val="16"/>
                <w:color w:val="auto"/>
              </w:rPr>
              <w:t>directors</w:t>
            </w:r>
            <w:r>
              <w:rPr>
                <w:rFonts w:ascii="Arial" w:cs="Arial" w:eastAsia="Arial" w:hAnsi="Arial"/>
                <w:sz w:val="21"/>
                <w:szCs w:val="21"/>
                <w:color w:val="auto"/>
                <w:vertAlign w:val="superscript"/>
              </w:rPr>
              <w:t>1</w:t>
            </w:r>
          </w:p>
        </w:tc>
        <w:tc>
          <w:tcPr>
            <w:tcW w:w="11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6"/>
                <w:szCs w:val="16"/>
                <w:color w:val="auto"/>
              </w:rPr>
              <w:t>FOR; AGAINST;</w:t>
            </w:r>
          </w:p>
        </w:tc>
        <w:tc>
          <w:tcPr>
            <w:tcW w:w="1700" w:type="dxa"/>
            <w:vAlign w:val="bottom"/>
          </w:tcPr>
          <w:p>
            <w:pPr>
              <w:ind w:left="100"/>
              <w:spacing w:after="0"/>
              <w:rPr>
                <w:sz w:val="20"/>
                <w:szCs w:val="20"/>
                <w:color w:val="auto"/>
              </w:rPr>
            </w:pPr>
            <w:r>
              <w:rPr>
                <w:rFonts w:ascii="Arial" w:cs="Arial" w:eastAsia="Arial" w:hAnsi="Arial"/>
                <w:sz w:val="16"/>
                <w:szCs w:val="16"/>
                <w:color w:val="auto"/>
              </w:rPr>
              <w:t>Majority of votes cast</w:t>
            </w:r>
          </w:p>
        </w:tc>
        <w:tc>
          <w:tcPr>
            <w:tcW w:w="1120" w:type="dxa"/>
            <w:vAlign w:val="bottom"/>
          </w:tcPr>
          <w:p>
            <w:pPr>
              <w:ind w:left="100"/>
              <w:spacing w:after="0"/>
              <w:rPr>
                <w:sz w:val="20"/>
                <w:szCs w:val="20"/>
                <w:color w:val="auto"/>
              </w:rPr>
            </w:pPr>
            <w:r>
              <w:rPr>
                <w:rFonts w:ascii="Arial" w:cs="Arial" w:eastAsia="Arial" w:hAnsi="Arial"/>
                <w:sz w:val="16"/>
                <w:szCs w:val="16"/>
                <w:color w:val="auto"/>
              </w:rPr>
              <w:t>No effect</w:t>
            </w:r>
          </w:p>
        </w:tc>
        <w:tc>
          <w:tcPr>
            <w:tcW w:w="1460" w:type="dxa"/>
            <w:vAlign w:val="bottom"/>
          </w:tcPr>
          <w:p>
            <w:pPr>
              <w:ind w:left="360"/>
              <w:spacing w:after="0" w:line="216" w:lineRule="exact"/>
              <w:rPr>
                <w:sz w:val="20"/>
                <w:szCs w:val="20"/>
                <w:color w:val="auto"/>
              </w:rPr>
            </w:pPr>
            <w:r>
              <w:rPr>
                <w:rFonts w:ascii="Arial" w:cs="Arial" w:eastAsia="Arial" w:hAnsi="Arial"/>
                <w:sz w:val="16"/>
                <w:szCs w:val="16"/>
                <w:color w:val="auto"/>
                <w:w w:val="98"/>
              </w:rPr>
              <w:t>Not applicable</w:t>
            </w:r>
            <w:r>
              <w:rPr>
                <w:rFonts w:ascii="Arial" w:cs="Arial" w:eastAsia="Arial" w:hAnsi="Arial"/>
                <w:sz w:val="21"/>
                <w:szCs w:val="21"/>
                <w:color w:val="auto"/>
                <w:w w:val="98"/>
                <w:vertAlign w:val="superscript"/>
              </w:rPr>
              <w:t>2</w:t>
            </w:r>
          </w:p>
        </w:tc>
      </w:tr>
      <w:tr>
        <w:trPr>
          <w:trHeight w:val="215"/>
        </w:trPr>
        <w:tc>
          <w:tcPr>
            <w:tcW w:w="1840" w:type="dxa"/>
            <w:vAlign w:val="bottom"/>
          </w:tcPr>
          <w:p>
            <w:pPr>
              <w:spacing w:after="0"/>
              <w:rPr>
                <w:sz w:val="20"/>
                <w:szCs w:val="20"/>
                <w:color w:val="auto"/>
              </w:rPr>
            </w:pPr>
            <w:r>
              <w:rPr>
                <w:rFonts w:ascii="Arial" w:cs="Arial" w:eastAsia="Arial" w:hAnsi="Arial"/>
                <w:sz w:val="16"/>
                <w:szCs w:val="16"/>
                <w:color w:val="auto"/>
              </w:rPr>
              <w:t>or ABSTAIN</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757"/>
        </w:trPr>
        <w:tc>
          <w:tcPr>
            <w:tcW w:w="1840" w:type="dxa"/>
            <w:vAlign w:val="bottom"/>
          </w:tcPr>
          <w:p>
            <w:pPr>
              <w:spacing w:after="0"/>
              <w:rPr>
                <w:sz w:val="20"/>
                <w:szCs w:val="20"/>
                <w:color w:val="auto"/>
              </w:rPr>
            </w:pPr>
            <w:r>
              <w:rPr>
                <w:rFonts w:ascii="Arial" w:cs="Arial" w:eastAsia="Arial" w:hAnsi="Arial"/>
                <w:sz w:val="16"/>
                <w:szCs w:val="16"/>
                <w:color w:val="auto"/>
              </w:rPr>
              <w:t>FOR; AGAINST;</w:t>
            </w:r>
          </w:p>
        </w:tc>
        <w:tc>
          <w:tcPr>
            <w:tcW w:w="1700" w:type="dxa"/>
            <w:vAlign w:val="bottom"/>
          </w:tcPr>
          <w:p>
            <w:pPr>
              <w:ind w:left="100"/>
              <w:spacing w:after="0"/>
              <w:rPr>
                <w:sz w:val="20"/>
                <w:szCs w:val="20"/>
                <w:color w:val="auto"/>
              </w:rPr>
            </w:pPr>
            <w:r>
              <w:rPr>
                <w:rFonts w:ascii="Arial" w:cs="Arial" w:eastAsia="Arial" w:hAnsi="Arial"/>
                <w:sz w:val="16"/>
                <w:szCs w:val="16"/>
                <w:color w:val="auto"/>
              </w:rPr>
              <w:t>Majority of votes cast</w:t>
            </w:r>
          </w:p>
        </w:tc>
        <w:tc>
          <w:tcPr>
            <w:tcW w:w="1120" w:type="dxa"/>
            <w:vAlign w:val="bottom"/>
          </w:tcPr>
          <w:p>
            <w:pPr>
              <w:ind w:left="100"/>
              <w:spacing w:after="0"/>
              <w:rPr>
                <w:sz w:val="20"/>
                <w:szCs w:val="20"/>
                <w:color w:val="auto"/>
              </w:rPr>
            </w:pPr>
            <w:r>
              <w:rPr>
                <w:rFonts w:ascii="Arial" w:cs="Arial" w:eastAsia="Arial" w:hAnsi="Arial"/>
                <w:sz w:val="16"/>
                <w:szCs w:val="16"/>
                <w:color w:val="auto"/>
              </w:rPr>
              <w:t>No effect</w:t>
            </w:r>
          </w:p>
        </w:tc>
        <w:tc>
          <w:tcPr>
            <w:tcW w:w="1460" w:type="dxa"/>
            <w:vAlign w:val="bottom"/>
          </w:tcPr>
          <w:p>
            <w:pPr>
              <w:ind w:left="360"/>
              <w:spacing w:after="0"/>
              <w:rPr>
                <w:sz w:val="20"/>
                <w:szCs w:val="20"/>
                <w:color w:val="auto"/>
              </w:rPr>
            </w:pPr>
            <w:r>
              <w:rPr>
                <w:rFonts w:ascii="Arial" w:cs="Arial" w:eastAsia="Arial" w:hAnsi="Arial"/>
                <w:sz w:val="16"/>
                <w:szCs w:val="16"/>
                <w:color w:val="auto"/>
              </w:rPr>
              <w:t>No effect</w:t>
            </w:r>
          </w:p>
        </w:tc>
      </w:tr>
      <w:tr>
        <w:trPr>
          <w:trHeight w:val="215"/>
        </w:trPr>
        <w:tc>
          <w:tcPr>
            <w:tcW w:w="1840" w:type="dxa"/>
            <w:vAlign w:val="bottom"/>
          </w:tcPr>
          <w:p>
            <w:pPr>
              <w:spacing w:after="0"/>
              <w:rPr>
                <w:sz w:val="20"/>
                <w:szCs w:val="20"/>
                <w:color w:val="auto"/>
              </w:rPr>
            </w:pPr>
            <w:r>
              <w:rPr>
                <w:rFonts w:ascii="Arial" w:cs="Arial" w:eastAsia="Arial" w:hAnsi="Arial"/>
                <w:sz w:val="16"/>
                <w:szCs w:val="16"/>
                <w:color w:val="auto"/>
              </w:rPr>
              <w:t>or ABSTAIN</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-889635</wp:posOffset>
            </wp:positionV>
            <wp:extent cx="6934835" cy="6172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34835" cy="617220"/>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2">
            <w:col w:w="3960" w:space="720"/>
            <w:col w:w="6540"/>
          </w:cols>
          <w:pgMar w:left="320" w:top="1115" w:right="359" w:bottom="1440" w:gutter="0" w:footer="0" w:header="0"/>
          <w:type w:val="continuous"/>
        </w:sectPr>
      </w:pPr>
    </w:p>
    <w:p>
      <w:pPr>
        <w:spacing w:after="0" w:line="158" w:lineRule="exact"/>
        <w:rPr>
          <w:sz w:val="20"/>
          <w:szCs w:val="20"/>
          <w:color w:val="auto"/>
        </w:rPr>
      </w:pPr>
    </w:p>
    <w:p>
      <w:pPr>
        <w:ind w:left="340" w:right="60" w:hanging="332"/>
        <w:spacing w:after="0" w:line="236"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 our Amended and Restated Bylaws, if any nominee for director in an uncontested election as to whom a majority of the votes of the shares present at the virtual meeting or represented by proxy at the annual meeting and entitled to vote on the election of directors are designated to be “withheld” from or are voted “against,” that director must tender a resignation for consideration by our Nominating &amp; Governance Committee. Our Nominating &amp; Governance Committee then must evaluate the best interests of our Company and shareholders and recommend the action to be taken by the Board with respect to such tendered resignation.</w:t>
      </w:r>
    </w:p>
    <w:p>
      <w:pPr>
        <w:spacing w:after="0" w:line="21" w:lineRule="exact"/>
        <w:rPr>
          <w:rFonts w:ascii="Arial" w:cs="Arial" w:eastAsia="Arial" w:hAnsi="Arial"/>
          <w:sz w:val="18"/>
          <w:szCs w:val="18"/>
          <w:color w:val="auto"/>
        </w:rPr>
      </w:pPr>
    </w:p>
    <w:p>
      <w:pPr>
        <w:ind w:left="340" w:hanging="332"/>
        <w:spacing w:after="0" w:line="245"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 applicable New York Stock Exchange, or NYSE, rules, brokers and custodians may vote on the ratification of KPMG LLP as our independent registered public accounting firm for fiscal 2024 in their discretion, and, therefore, we do not expect any broker non-votes on this matter.</w:t>
      </w:r>
    </w:p>
    <w:p>
      <w:pPr>
        <w:spacing w:after="0" w:line="14" w:lineRule="exact"/>
        <w:rPr>
          <w:rFonts w:ascii="Arial" w:cs="Arial" w:eastAsia="Arial" w:hAnsi="Arial"/>
          <w:sz w:val="18"/>
          <w:szCs w:val="18"/>
          <w:color w:val="auto"/>
        </w:rPr>
      </w:pPr>
    </w:p>
    <w:p>
      <w:pPr>
        <w:ind w:left="340" w:right="240" w:hanging="332"/>
        <w:spacing w:after="0" w:line="256"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While an advisory vote, our Compensation &amp; Human Resources Committee and Board expect to take into account the outcome of this vote when considering future 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Will My Shares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100330</wp:posOffset>
            </wp:positionV>
            <wp:extent cx="7046595" cy="282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46595" cy="282575"/>
                    </a:xfrm>
                    <a:prstGeom prst="rect">
                      <a:avLst/>
                    </a:prstGeom>
                    <a:noFill/>
                  </pic:spPr>
                </pic:pic>
              </a:graphicData>
            </a:graphic>
          </wp:anchor>
        </w:drawing>
      </w:r>
    </w:p>
    <w:p>
      <w:pPr>
        <w:sectPr>
          <w:pgSz w:w="11900" w:h="16838" w:orient="portrait"/>
          <w:cols w:equalWidth="0" w:num="1">
            <w:col w:w="11220"/>
          </w:cols>
          <w:pgMar w:left="320" w:top="1115" w:right="359" w:bottom="1440" w:gutter="0" w:footer="0" w:header="0"/>
          <w:type w:val="continuous"/>
        </w:sectPr>
      </w:pPr>
    </w:p>
    <w:p>
      <w:pPr>
        <w:spacing w:after="0" w:line="189"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FFFFFF"/>
        </w:rPr>
        <w:t>How Your Shares will be Voted If You</w:t>
      </w:r>
    </w:p>
    <w:p>
      <w:pPr>
        <w:spacing w:after="0" w:line="35" w:lineRule="exact"/>
        <w:rPr>
          <w:sz w:val="20"/>
          <w:szCs w:val="20"/>
          <w:color w:val="auto"/>
        </w:rPr>
      </w:pPr>
    </w:p>
    <w:p>
      <w:pPr>
        <w:ind w:left="140"/>
        <w:spacing w:after="0"/>
        <w:tabs>
          <w:tab w:leader="none" w:pos="2740" w:val="left"/>
        </w:tabs>
        <w:rPr>
          <w:sz w:val="20"/>
          <w:szCs w:val="20"/>
          <w:color w:val="auto"/>
        </w:rPr>
      </w:pPr>
      <w:r>
        <w:rPr>
          <w:rFonts w:ascii="Arial" w:cs="Arial" w:eastAsia="Arial" w:hAnsi="Arial"/>
          <w:sz w:val="14"/>
          <w:szCs w:val="14"/>
          <w:b w:val="1"/>
          <w:bCs w:val="1"/>
          <w:color w:val="FFFFFF"/>
        </w:rPr>
        <w:t>How Your Shares are Held</w:t>
      </w:r>
      <w:r>
        <w:rPr>
          <w:sz w:val="20"/>
          <w:szCs w:val="20"/>
          <w:color w:val="auto"/>
        </w:rPr>
        <w:tab/>
      </w:r>
      <w:r>
        <w:rPr>
          <w:rFonts w:ascii="Arial" w:cs="Arial" w:eastAsia="Arial" w:hAnsi="Arial"/>
          <w:sz w:val="14"/>
          <w:szCs w:val="14"/>
          <w:b w:val="1"/>
          <w:bCs w:val="1"/>
          <w:color w:val="FFFFFF"/>
        </w:rPr>
        <w:t>Specify How to Vote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How Your Shares will be Voted If You</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Do Not Specify How to Vote</w:t>
      </w:r>
    </w:p>
    <w:p>
      <w:pPr>
        <w:spacing w:after="0" w:line="56" w:lineRule="exact"/>
        <w:rPr>
          <w:sz w:val="20"/>
          <w:szCs w:val="20"/>
          <w:color w:val="auto"/>
        </w:rPr>
      </w:pPr>
    </w:p>
    <w:p>
      <w:pPr>
        <w:sectPr>
          <w:pgSz w:w="11900" w:h="16838" w:orient="portrait"/>
          <w:cols w:equalWidth="0" w:num="2">
            <w:col w:w="6260" w:space="720"/>
            <w:col w:w="4240"/>
          </w:cols>
          <w:pgMar w:left="320" w:top="1115" w:right="359" w:bottom="1440" w:gutter="0" w:footer="0" w:header="0"/>
          <w:type w:val="continuous"/>
        </w:sectPr>
      </w:pPr>
    </w:p>
    <w:tbl>
      <w:tblPr>
        <w:tblLayout w:type="fixed"/>
        <w:tblInd w:w="80" w:type="dxa"/>
        <w:tblCellMar>
          <w:top w:w="0" w:type="dxa"/>
          <w:left w:w="0" w:type="dxa"/>
          <w:bottom w:w="0" w:type="dxa"/>
          <w:right w:w="0" w:type="dxa"/>
        </w:tblCellMar>
      </w:tblPr>
      <w:tr>
        <w:trPr>
          <w:trHeight w:val="236"/>
        </w:trPr>
        <w:tc>
          <w:tcPr>
            <w:tcW w:w="2480" w:type="dxa"/>
            <w:vAlign w:val="bottom"/>
          </w:tcPr>
          <w:p>
            <w:pPr>
              <w:ind w:left="20"/>
              <w:spacing w:after="0"/>
              <w:rPr>
                <w:sz w:val="20"/>
                <w:szCs w:val="20"/>
                <w:color w:val="auto"/>
              </w:rPr>
            </w:pPr>
            <w:r>
              <w:rPr>
                <w:rFonts w:ascii="Arial" w:cs="Arial" w:eastAsia="Arial" w:hAnsi="Arial"/>
                <w:sz w:val="16"/>
                <w:szCs w:val="16"/>
                <w:color w:val="auto"/>
              </w:rPr>
              <w:t>Shares registered in your name</w:t>
            </w:r>
          </w:p>
        </w:tc>
        <w:tc>
          <w:tcPr>
            <w:tcW w:w="4240" w:type="dxa"/>
            <w:vAlign w:val="bottom"/>
          </w:tcPr>
          <w:p>
            <w:pPr>
              <w:ind w:left="200"/>
              <w:spacing w:after="0"/>
              <w:rPr>
                <w:sz w:val="20"/>
                <w:szCs w:val="20"/>
                <w:color w:val="auto"/>
              </w:rPr>
            </w:pPr>
            <w:r>
              <w:rPr>
                <w:rFonts w:ascii="Arial" w:cs="Arial" w:eastAsia="Arial" w:hAnsi="Arial"/>
                <w:sz w:val="16"/>
                <w:szCs w:val="16"/>
                <w:color w:val="auto"/>
              </w:rPr>
              <w:t>The named proxies will vote your shares as you direct</w:t>
            </w:r>
          </w:p>
        </w:tc>
        <w:tc>
          <w:tcPr>
            <w:tcW w:w="4380" w:type="dxa"/>
            <w:vAlign w:val="bottom"/>
          </w:tcPr>
          <w:p>
            <w:pPr>
              <w:ind w:left="180"/>
              <w:spacing w:after="0"/>
              <w:rPr>
                <w:sz w:val="20"/>
                <w:szCs w:val="20"/>
                <w:color w:val="auto"/>
              </w:rPr>
            </w:pPr>
            <w:r>
              <w:rPr>
                <w:rFonts w:ascii="Arial" w:cs="Arial" w:eastAsia="Arial" w:hAnsi="Arial"/>
                <w:sz w:val="16"/>
                <w:szCs w:val="16"/>
                <w:color w:val="auto"/>
              </w:rPr>
              <w:t xml:space="preserve">The named proxies will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all proposals</w:t>
            </w:r>
          </w:p>
        </w:tc>
      </w:tr>
      <w:tr>
        <w:trPr>
          <w:trHeight w:val="35"/>
        </w:trPr>
        <w:tc>
          <w:tcPr>
            <w:tcW w:w="2480" w:type="dxa"/>
            <w:vAlign w:val="bottom"/>
          </w:tcPr>
          <w:p>
            <w:pPr>
              <w:spacing w:after="0"/>
              <w:rPr>
                <w:sz w:val="3"/>
                <w:szCs w:val="3"/>
                <w:color w:val="auto"/>
              </w:rPr>
            </w:pPr>
          </w:p>
        </w:tc>
        <w:tc>
          <w:tcPr>
            <w:tcW w:w="424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175"/>
        </w:trPr>
        <w:tc>
          <w:tcPr>
            <w:tcW w:w="248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Shares held in street name</w:t>
            </w:r>
          </w:p>
        </w:tc>
        <w:tc>
          <w:tcPr>
            <w:tcW w:w="4240" w:type="dxa"/>
            <w:vAlign w:val="bottom"/>
            <w:shd w:val="clear" w:color="auto" w:fill="DBDBDB"/>
          </w:tcPr>
          <w:p>
            <w:pPr>
              <w:ind w:left="200"/>
              <w:spacing w:after="0" w:line="175" w:lineRule="exact"/>
              <w:rPr>
                <w:sz w:val="20"/>
                <w:szCs w:val="20"/>
                <w:color w:val="auto"/>
              </w:rPr>
            </w:pPr>
            <w:r>
              <w:rPr>
                <w:rFonts w:ascii="Arial" w:cs="Arial" w:eastAsia="Arial" w:hAnsi="Arial"/>
                <w:sz w:val="16"/>
                <w:szCs w:val="16"/>
                <w:color w:val="auto"/>
              </w:rPr>
              <w:t>Your broker will vote your shares as you direct</w:t>
            </w:r>
          </w:p>
        </w:tc>
        <w:tc>
          <w:tcPr>
            <w:tcW w:w="4380" w:type="dxa"/>
            <w:vAlign w:val="bottom"/>
            <w:shd w:val="clear" w:color="auto" w:fill="DBDBDB"/>
          </w:tcPr>
          <w:p>
            <w:pPr>
              <w:ind w:left="180"/>
              <w:spacing w:after="0" w:line="175" w:lineRule="exact"/>
              <w:rPr>
                <w:sz w:val="20"/>
                <w:szCs w:val="20"/>
                <w:color w:val="auto"/>
              </w:rPr>
            </w:pPr>
            <w:r>
              <w:rPr>
                <w:rFonts w:ascii="Arial" w:cs="Arial" w:eastAsia="Arial" w:hAnsi="Arial"/>
                <w:sz w:val="16"/>
                <w:szCs w:val="16"/>
                <w:color w:val="auto"/>
              </w:rPr>
              <w:t>Your broker may vote only on routine items in the absence</w:t>
            </w:r>
          </w:p>
        </w:tc>
      </w:tr>
      <w:tr>
        <w:trPr>
          <w:trHeight w:val="284"/>
        </w:trPr>
        <w:tc>
          <w:tcPr>
            <w:tcW w:w="2480" w:type="dxa"/>
            <w:vAlign w:val="bottom"/>
            <w:shd w:val="clear" w:color="auto" w:fill="DBDBDB"/>
          </w:tcPr>
          <w:p>
            <w:pPr>
              <w:spacing w:after="0"/>
              <w:rPr>
                <w:sz w:val="24"/>
                <w:szCs w:val="24"/>
                <w:color w:val="auto"/>
              </w:rPr>
            </w:pPr>
          </w:p>
        </w:tc>
        <w:tc>
          <w:tcPr>
            <w:tcW w:w="4240" w:type="dxa"/>
            <w:vAlign w:val="bottom"/>
            <w:shd w:val="clear" w:color="auto" w:fill="DBDBDB"/>
          </w:tcPr>
          <w:p>
            <w:pPr>
              <w:spacing w:after="0"/>
              <w:rPr>
                <w:sz w:val="24"/>
                <w:szCs w:val="24"/>
                <w:color w:val="auto"/>
              </w:rPr>
            </w:pPr>
          </w:p>
        </w:tc>
        <w:tc>
          <w:tcPr>
            <w:tcW w:w="4380" w:type="dxa"/>
            <w:vAlign w:val="bottom"/>
            <w:shd w:val="clear" w:color="auto" w:fill="DBDBDB"/>
          </w:tcPr>
          <w:p>
            <w:pPr>
              <w:ind w:left="180"/>
              <w:spacing w:after="0" w:line="284" w:lineRule="exact"/>
              <w:rPr>
                <w:sz w:val="20"/>
                <w:szCs w:val="20"/>
                <w:color w:val="auto"/>
              </w:rPr>
            </w:pPr>
            <w:r>
              <w:rPr>
                <w:rFonts w:ascii="Arial" w:cs="Arial" w:eastAsia="Arial" w:hAnsi="Arial"/>
                <w:sz w:val="16"/>
                <w:szCs w:val="16"/>
                <w:color w:val="auto"/>
              </w:rPr>
              <w:t>of your instruction how to vote</w:t>
            </w:r>
            <w:r>
              <w:rPr>
                <w:rFonts w:ascii="Arial" w:cs="Arial" w:eastAsia="Arial" w:hAnsi="Arial"/>
                <w:sz w:val="28"/>
                <w:szCs w:val="28"/>
                <w:color w:val="auto"/>
                <w:vertAlign w:val="superscript"/>
              </w:rPr>
              <w:t>1</w:t>
            </w:r>
          </w:p>
        </w:tc>
      </w:tr>
    </w:tbl>
    <w:p>
      <w:pPr>
        <w:spacing w:after="0" w:line="1" w:lineRule="exact"/>
        <w:rPr>
          <w:sz w:val="20"/>
          <w:szCs w:val="20"/>
          <w:color w:val="auto"/>
        </w:rPr>
      </w:pPr>
    </w:p>
    <w:p>
      <w:pPr>
        <w:sectPr>
          <w:pgSz w:w="11900" w:h="16838" w:orient="portrait"/>
          <w:cols w:equalWidth="0" w:num="1">
            <w:col w:w="11220"/>
          </w:cols>
          <w:pgMar w:left="320" w:top="1115" w:right="359" w:bottom="1440" w:gutter="0" w:footer="0" w:header="0"/>
          <w:type w:val="continuous"/>
        </w:sectPr>
      </w:pPr>
    </w:p>
    <w:p>
      <w:pPr>
        <w:ind w:left="100" w:right="20"/>
        <w:spacing w:after="0" w:line="285" w:lineRule="auto"/>
        <w:rPr>
          <w:sz w:val="20"/>
          <w:szCs w:val="20"/>
          <w:color w:val="auto"/>
        </w:rPr>
      </w:pPr>
      <w:r>
        <w:rPr>
          <w:rFonts w:ascii="Arial" w:cs="Arial" w:eastAsia="Arial" w:hAnsi="Arial"/>
          <w:sz w:val="16"/>
          <w:szCs w:val="16"/>
          <w:color w:val="auto"/>
        </w:rPr>
        <w:t>Shares held in certain TTC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24688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The plan trustee will vote your shares confidentially as you direct</w:t>
      </w:r>
    </w:p>
    <w:p>
      <w:pPr>
        <w:spacing w:after="0" w:line="20" w:lineRule="exact"/>
        <w:rPr>
          <w:sz w:val="20"/>
          <w:szCs w:val="20"/>
          <w:color w:val="auto"/>
        </w:rPr>
      </w:pPr>
      <w:r>
        <w:rPr>
          <w:sz w:val="20"/>
          <w:szCs w:val="20"/>
          <w:color w:val="auto"/>
        </w:rPr>
        <w:br w:type="column"/>
      </w:r>
    </w:p>
    <w:p>
      <w:pPr>
        <w:ind w:right="560"/>
        <w:spacing w:after="0" w:line="285" w:lineRule="auto"/>
        <w:rPr>
          <w:sz w:val="20"/>
          <w:szCs w:val="20"/>
          <w:color w:val="auto"/>
        </w:rPr>
      </w:pPr>
      <w:r>
        <w:rPr>
          <w:rFonts w:ascii="Arial" w:cs="Arial" w:eastAsia="Arial" w:hAnsi="Arial"/>
          <w:sz w:val="16"/>
          <w:szCs w:val="16"/>
          <w:color w:val="auto"/>
        </w:rPr>
        <w:t>The plan trustee will vote your shares in the same proportion as the votes actually cast by participants</w:t>
      </w:r>
    </w:p>
    <w:p>
      <w:pPr>
        <w:spacing w:after="0" w:line="200" w:lineRule="exact"/>
        <w:rPr>
          <w:sz w:val="20"/>
          <w:szCs w:val="20"/>
          <w:color w:val="auto"/>
        </w:rPr>
      </w:pPr>
    </w:p>
    <w:p>
      <w:pPr>
        <w:sectPr>
          <w:pgSz w:w="11900" w:h="16838" w:orient="portrait"/>
          <w:cols w:equalWidth="0" w:num="3">
            <w:col w:w="2040" w:space="720"/>
            <w:col w:w="3880" w:space="340"/>
            <w:col w:w="4240"/>
          </w:cols>
          <w:pgMar w:left="320" w:top="1115" w:right="359" w:bottom="1440" w:gutter="0" w:footer="0" w:header="0"/>
          <w:type w:val="continuous"/>
        </w:sectPr>
      </w:pPr>
    </w:p>
    <w:p>
      <w:pPr>
        <w:spacing w:after="0" w:line="141" w:lineRule="exact"/>
        <w:rPr>
          <w:sz w:val="20"/>
          <w:szCs w:val="20"/>
          <w:color w:val="auto"/>
        </w:rPr>
      </w:pPr>
    </w:p>
    <w:p>
      <w:pPr>
        <w:ind w:left="340" w:right="60" w:hanging="332"/>
        <w:spacing w:after="0" w:line="234"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your shares are held in “street name” and you do not indicate how you wish to vote, under NYSE rules your broker is permitted to exercise its discretion to vote your shares only on certain “routine” matters. Proposal One—Election of Directors and Proposal Three— Advisory Approval of our Executive Compensation are not “routine” matters. Accordingly, if you do not direct your broker how to vote on those proposals, your broker may not exercise discretionary voting authority and may not vote your shares on these proposals. This is called a “broker non-vote” and although your shares will be considered to be represented by proxy at the annual meeting for purposes of establishing quorum, as discussed on page 2, they are not considered to be votes cast at the annual meeting and will not be counted as having been voted on the applicable proposal. Proposal Two—Ratification of Selection of Independent Registered Public Accounting Firm is a “routine” matter, and your broker is permitted to exercise discretionary voting authority to vote your shares “for” or “against” the proposal in the absence of your instruction.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5"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color w:val="C00000"/>
        </w:rPr>
        <w:t>What Does It Mean If I Receive More Than One Notice or Set of Proxy Materials?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hold your shares in more than one account, you may receive multiple copies of the Notice Regarding the Availability of Proxy</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Materials and/or electronic or paper copies of our proxy materials. If you are a participant in the dividend reinvestment feature of our Direct Stock Purchase Plan, shares registered in your name are combined with shares you hold in that plan. Similarly, where possible, shares</w:t>
      </w:r>
    </w:p>
    <w:p>
      <w:pPr>
        <w:spacing w:after="0" w:line="2"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registered in your name are combined with shares you hold, if any, as a participant in certain TTC employee benefit plans. However, shares you hold in "street name" (through a broker, bank or other nominee) are not combined with shares registered in your name or held as a</w:t>
      </w:r>
    </w:p>
    <w:p>
      <w:pPr>
        <w:spacing w:after="0" w:line="235" w:lineRule="auto"/>
        <w:rPr>
          <w:sz w:val="20"/>
          <w:szCs w:val="20"/>
          <w:color w:val="auto"/>
        </w:rPr>
      </w:pPr>
      <w:r>
        <w:rPr>
          <w:rFonts w:ascii="Arial" w:cs="Arial" w:eastAsia="Arial" w:hAnsi="Arial"/>
          <w:sz w:val="18"/>
          <w:szCs w:val="18"/>
          <w:color w:val="auto"/>
        </w:rPr>
        <w:t>participant in TTC employee benefit plans. If you receive more than one Notice Regarding the Availability of Proxy Materials and/or electronic</w:t>
      </w:r>
    </w:p>
    <w:p>
      <w:pPr>
        <w:ind w:right="300"/>
        <w:spacing w:after="0" w:line="237" w:lineRule="auto"/>
        <w:rPr>
          <w:sz w:val="20"/>
          <w:szCs w:val="20"/>
          <w:color w:val="auto"/>
        </w:rPr>
      </w:pPr>
      <w:r>
        <w:rPr>
          <w:rFonts w:ascii="Arial" w:cs="Arial" w:eastAsia="Arial" w:hAnsi="Arial"/>
          <w:sz w:val="18"/>
          <w:szCs w:val="18"/>
          <w:color w:val="auto"/>
        </w:rPr>
        <w:t>or paper copies of our proxy materials, you must vote separately for each notice, e-mail notification or proxy and/or voting instruction card having a unique control number to ensure that all of your shares are voted.</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Can I Revoke or Change My Vote?</w:t>
      </w:r>
    </w:p>
    <w:p>
      <w:pPr>
        <w:spacing w:after="0" w:line="99" w:lineRule="exact"/>
        <w:rPr>
          <w:sz w:val="20"/>
          <w:szCs w:val="20"/>
          <w:color w:val="auto"/>
        </w:rPr>
      </w:pPr>
    </w:p>
    <w:p>
      <w:pPr>
        <w:ind w:right="180" w:firstLine="324"/>
        <w:spacing w:after="0" w:line="267" w:lineRule="auto"/>
        <w:rPr>
          <w:sz w:val="20"/>
          <w:szCs w:val="20"/>
          <w:color w:val="auto"/>
        </w:rPr>
      </w:pPr>
      <w:r>
        <w:rPr>
          <w:rFonts w:ascii="Arial" w:cs="Arial" w:eastAsia="Arial" w:hAnsi="Arial"/>
          <w:sz w:val="18"/>
          <w:szCs w:val="18"/>
          <w:color w:val="auto"/>
        </w:rPr>
        <w:t>You may revoke your proxy or change your vote at any time before your shares are voted at the annual meeting by one of the following methods: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05"/>
        </w:trPr>
        <w:tc>
          <w:tcPr>
            <w:tcW w:w="248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How Your Shares are Held</w:t>
            </w:r>
          </w:p>
        </w:tc>
        <w:tc>
          <w:tcPr>
            <w:tcW w:w="8620" w:type="dxa"/>
            <w:vAlign w:val="bottom"/>
            <w:gridSpan w:val="2"/>
            <w:shd w:val="clear" w:color="auto" w:fill="BF2115"/>
          </w:tcPr>
          <w:p>
            <w:pPr>
              <w:ind w:left="200"/>
              <w:spacing w:after="0"/>
              <w:rPr>
                <w:sz w:val="20"/>
                <w:szCs w:val="20"/>
                <w:color w:val="auto"/>
              </w:rPr>
            </w:pPr>
            <w:r>
              <w:rPr>
                <w:rFonts w:ascii="Arial" w:cs="Arial" w:eastAsia="Arial" w:hAnsi="Arial"/>
                <w:sz w:val="14"/>
                <w:szCs w:val="14"/>
                <w:b w:val="1"/>
                <w:bCs w:val="1"/>
                <w:color w:val="FFFFFF"/>
              </w:rPr>
              <w:t>Method to Revoke or Change Your Vote</w:t>
            </w:r>
          </w:p>
        </w:tc>
      </w:tr>
      <w:tr>
        <w:trPr>
          <w:trHeight w:val="202"/>
        </w:trPr>
        <w:tc>
          <w:tcPr>
            <w:tcW w:w="2480" w:type="dxa"/>
            <w:vAlign w:val="bottom"/>
          </w:tcPr>
          <w:p>
            <w:pPr>
              <w:ind w:left="20"/>
              <w:spacing w:after="0"/>
              <w:rPr>
                <w:sz w:val="20"/>
                <w:szCs w:val="20"/>
                <w:color w:val="auto"/>
              </w:rPr>
            </w:pPr>
            <w:r>
              <w:rPr>
                <w:rFonts w:ascii="Arial" w:cs="Arial" w:eastAsia="Arial" w:hAnsi="Arial"/>
                <w:sz w:val="16"/>
                <w:szCs w:val="16"/>
                <w:color w:val="auto"/>
              </w:rPr>
              <w:t>Shares registered in your name</w:t>
            </w:r>
          </w:p>
        </w:tc>
        <w:tc>
          <w:tcPr>
            <w:tcW w:w="320" w:type="dxa"/>
            <w:vAlign w:val="bottom"/>
          </w:tcPr>
          <w:p>
            <w:pPr>
              <w:ind w:left="200"/>
              <w:spacing w:after="0"/>
              <w:rPr>
                <w:sz w:val="20"/>
                <w:szCs w:val="20"/>
                <w:color w:val="auto"/>
              </w:rPr>
            </w:pPr>
            <w:r>
              <w:rPr>
                <w:rFonts w:ascii="Arial" w:cs="Arial" w:eastAsia="Arial" w:hAnsi="Arial"/>
                <w:sz w:val="16"/>
                <w:szCs w:val="16"/>
                <w:color w:val="auto"/>
              </w:rPr>
              <w:t>•</w:t>
            </w:r>
          </w:p>
        </w:tc>
        <w:tc>
          <w:tcPr>
            <w:tcW w:w="8300" w:type="dxa"/>
            <w:vAlign w:val="bottom"/>
          </w:tcPr>
          <w:p>
            <w:pPr>
              <w:ind w:left="40"/>
              <w:spacing w:after="0"/>
              <w:rPr>
                <w:sz w:val="20"/>
                <w:szCs w:val="20"/>
                <w:color w:val="auto"/>
              </w:rPr>
            </w:pPr>
            <w:r>
              <w:rPr>
                <w:rFonts w:ascii="Arial" w:cs="Arial" w:eastAsia="Arial" w:hAnsi="Arial"/>
                <w:sz w:val="16"/>
                <w:szCs w:val="16"/>
                <w:color w:val="auto"/>
              </w:rPr>
              <w:t>Submit another proper proxy with a more recent date than that of the proxy first given by following the Internet,</w:t>
            </w:r>
          </w:p>
        </w:tc>
      </w:tr>
      <w:tr>
        <w:trPr>
          <w:trHeight w:val="215"/>
        </w:trPr>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300" w:type="dxa"/>
            <w:vAlign w:val="bottom"/>
          </w:tcPr>
          <w:p>
            <w:pPr>
              <w:ind w:left="40"/>
              <w:spacing w:after="0"/>
              <w:rPr>
                <w:sz w:val="20"/>
                <w:szCs w:val="20"/>
                <w:color w:val="auto"/>
              </w:rPr>
            </w:pPr>
            <w:r>
              <w:rPr>
                <w:rFonts w:ascii="Arial" w:cs="Arial" w:eastAsia="Arial" w:hAnsi="Arial"/>
                <w:sz w:val="16"/>
                <w:szCs w:val="16"/>
                <w:color w:val="auto"/>
              </w:rPr>
              <w:t>telephone or mobile device voting instructions or complete, sign, date and mail a proxy card;</w:t>
            </w:r>
          </w:p>
        </w:tc>
      </w:tr>
      <w:tr>
        <w:trPr>
          <w:trHeight w:val="204"/>
        </w:trPr>
        <w:tc>
          <w:tcPr>
            <w:tcW w:w="2480" w:type="dxa"/>
            <w:vAlign w:val="bottom"/>
          </w:tcPr>
          <w:p>
            <w:pPr>
              <w:spacing w:after="0"/>
              <w:rPr>
                <w:sz w:val="17"/>
                <w:szCs w:val="17"/>
                <w:color w:val="auto"/>
              </w:rPr>
            </w:pPr>
          </w:p>
        </w:tc>
        <w:tc>
          <w:tcPr>
            <w:tcW w:w="320" w:type="dxa"/>
            <w:vAlign w:val="bottom"/>
          </w:tcPr>
          <w:p>
            <w:pPr>
              <w:ind w:left="200"/>
              <w:spacing w:after="0"/>
              <w:rPr>
                <w:sz w:val="20"/>
                <w:szCs w:val="20"/>
                <w:color w:val="auto"/>
              </w:rPr>
            </w:pPr>
            <w:r>
              <w:rPr>
                <w:rFonts w:ascii="Arial" w:cs="Arial" w:eastAsia="Arial" w:hAnsi="Arial"/>
                <w:sz w:val="16"/>
                <w:szCs w:val="16"/>
                <w:color w:val="auto"/>
              </w:rPr>
              <w:t>•</w:t>
            </w:r>
          </w:p>
        </w:tc>
        <w:tc>
          <w:tcPr>
            <w:tcW w:w="8300" w:type="dxa"/>
            <w:vAlign w:val="bottom"/>
          </w:tcPr>
          <w:p>
            <w:pPr>
              <w:ind w:left="40"/>
              <w:spacing w:after="0"/>
              <w:rPr>
                <w:sz w:val="20"/>
                <w:szCs w:val="20"/>
                <w:color w:val="auto"/>
              </w:rPr>
            </w:pPr>
            <w:r>
              <w:rPr>
                <w:rFonts w:ascii="Arial" w:cs="Arial" w:eastAsia="Arial" w:hAnsi="Arial"/>
                <w:sz w:val="16"/>
                <w:szCs w:val="16"/>
                <w:color w:val="auto"/>
              </w:rPr>
              <w:t>Attend the annual meeting virtually and vote electronically at the meeting; or</w:t>
            </w:r>
          </w:p>
        </w:tc>
      </w:tr>
      <w:tr>
        <w:trPr>
          <w:trHeight w:val="215"/>
        </w:trPr>
        <w:tc>
          <w:tcPr>
            <w:tcW w:w="248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6"/>
                <w:szCs w:val="16"/>
                <w:color w:val="auto"/>
              </w:rPr>
              <w:t>•</w:t>
            </w:r>
          </w:p>
        </w:tc>
        <w:tc>
          <w:tcPr>
            <w:tcW w:w="8300" w:type="dxa"/>
            <w:vAlign w:val="bottom"/>
          </w:tcPr>
          <w:p>
            <w:pPr>
              <w:ind w:left="40"/>
              <w:spacing w:after="0"/>
              <w:rPr>
                <w:sz w:val="20"/>
                <w:szCs w:val="20"/>
                <w:color w:val="auto"/>
              </w:rPr>
            </w:pPr>
            <w:r>
              <w:rPr>
                <w:rFonts w:ascii="Arial" w:cs="Arial" w:eastAsia="Arial" w:hAnsi="Arial"/>
                <w:sz w:val="16"/>
                <w:szCs w:val="16"/>
                <w:color w:val="auto"/>
              </w:rPr>
              <w:t>Send written notice of revocation to our General Counsel.</w:t>
            </w:r>
          </w:p>
        </w:tc>
      </w:tr>
      <w:tr>
        <w:trPr>
          <w:trHeight w:val="43"/>
        </w:trPr>
        <w:tc>
          <w:tcPr>
            <w:tcW w:w="2480" w:type="dxa"/>
            <w:vAlign w:val="bottom"/>
          </w:tcPr>
          <w:p>
            <w:pPr>
              <w:spacing w:after="0"/>
              <w:rPr>
                <w:sz w:val="3"/>
                <w:szCs w:val="3"/>
                <w:color w:val="auto"/>
              </w:rPr>
            </w:pPr>
          </w:p>
        </w:tc>
        <w:tc>
          <w:tcPr>
            <w:tcW w:w="8620" w:type="dxa"/>
            <w:vAlign w:val="bottom"/>
            <w:gridSpan w:val="2"/>
          </w:tcPr>
          <w:p>
            <w:pPr>
              <w:spacing w:after="0"/>
              <w:rPr>
                <w:sz w:val="3"/>
                <w:szCs w:val="3"/>
                <w:color w:val="auto"/>
              </w:rPr>
            </w:pPr>
          </w:p>
        </w:tc>
      </w:tr>
      <w:tr>
        <w:trPr>
          <w:trHeight w:val="223"/>
        </w:trPr>
        <w:tc>
          <w:tcPr>
            <w:tcW w:w="2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Shares held in street name</w:t>
            </w:r>
          </w:p>
        </w:tc>
        <w:tc>
          <w:tcPr>
            <w:tcW w:w="8620" w:type="dxa"/>
            <w:vAlign w:val="bottom"/>
            <w:tcBorders>
              <w:bottom w:val="single" w:sz="8" w:color="DBDBDB"/>
            </w:tcBorders>
            <w:gridSpan w:val="2"/>
            <w:shd w:val="clear" w:color="auto" w:fill="DBDBDB"/>
          </w:tcPr>
          <w:p>
            <w:pPr>
              <w:ind w:left="200"/>
              <w:spacing w:after="0"/>
              <w:rPr>
                <w:sz w:val="20"/>
                <w:szCs w:val="20"/>
                <w:color w:val="auto"/>
              </w:rPr>
            </w:pPr>
            <w:r>
              <w:rPr>
                <w:rFonts w:ascii="Arial" w:cs="Arial" w:eastAsia="Arial" w:hAnsi="Arial"/>
                <w:sz w:val="16"/>
                <w:szCs w:val="16"/>
                <w:color w:val="auto"/>
              </w:rPr>
              <w:t>Follow instructions provided by your broker, bank or other nominee.</w:t>
            </w:r>
          </w:p>
        </w:tc>
      </w:tr>
      <w:tr>
        <w:trPr>
          <w:trHeight w:val="188"/>
        </w:trPr>
        <w:tc>
          <w:tcPr>
            <w:tcW w:w="2480" w:type="dxa"/>
            <w:vAlign w:val="bottom"/>
          </w:tcPr>
          <w:p>
            <w:pPr>
              <w:ind w:left="20"/>
              <w:spacing w:after="0"/>
              <w:rPr>
                <w:sz w:val="20"/>
                <w:szCs w:val="20"/>
                <w:color w:val="auto"/>
              </w:rPr>
            </w:pPr>
            <w:r>
              <w:rPr>
                <w:rFonts w:ascii="Arial" w:cs="Arial" w:eastAsia="Arial" w:hAnsi="Arial"/>
                <w:sz w:val="16"/>
                <w:szCs w:val="16"/>
                <w:color w:val="auto"/>
              </w:rPr>
              <w:t>Shares held in certain TTC</w:t>
            </w:r>
          </w:p>
        </w:tc>
        <w:tc>
          <w:tcPr>
            <w:tcW w:w="8620" w:type="dxa"/>
            <w:vAlign w:val="bottom"/>
            <w:gridSpan w:val="2"/>
          </w:tcPr>
          <w:p>
            <w:pPr>
              <w:ind w:left="200"/>
              <w:spacing w:after="0"/>
              <w:rPr>
                <w:sz w:val="20"/>
                <w:szCs w:val="20"/>
                <w:color w:val="auto"/>
              </w:rPr>
            </w:pPr>
            <w:r>
              <w:rPr>
                <w:rFonts w:ascii="Arial" w:cs="Arial" w:eastAsia="Arial" w:hAnsi="Arial"/>
                <w:sz w:val="16"/>
                <w:szCs w:val="16"/>
                <w:color w:val="auto"/>
              </w:rPr>
              <w:t>Submit another proper proxy with a more recent date than that of the proxy first given by following the Internet,</w:t>
            </w: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employee benefit plans</w:t>
            </w:r>
          </w:p>
        </w:tc>
        <w:tc>
          <w:tcPr>
            <w:tcW w:w="8620" w:type="dxa"/>
            <w:vAlign w:val="bottom"/>
            <w:gridSpan w:val="2"/>
          </w:tcPr>
          <w:p>
            <w:pPr>
              <w:ind w:left="200"/>
              <w:spacing w:after="0"/>
              <w:rPr>
                <w:sz w:val="20"/>
                <w:szCs w:val="20"/>
                <w:color w:val="auto"/>
              </w:rPr>
            </w:pPr>
            <w:r>
              <w:rPr>
                <w:rFonts w:ascii="Arial" w:cs="Arial" w:eastAsia="Arial" w:hAnsi="Arial"/>
                <w:sz w:val="16"/>
                <w:szCs w:val="16"/>
                <w:color w:val="auto"/>
              </w:rPr>
              <w:t>telephone or mobile device voting instructions or complete, sign, date and mail a proxy card.</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Who Will Count the Votes?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Broadridge Financial Solutions, Inc. has been engaged to tabulate shareholder votes. An agent of Broadridge Financial Solutions, Inc.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will act as our independent inspector of elections for the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Will Business Be Conducted at the Annual Meeting?</w:t>
      </w:r>
    </w:p>
    <w:p>
      <w:pPr>
        <w:spacing w:after="0" w:line="99" w:lineRule="exact"/>
        <w:rPr>
          <w:sz w:val="20"/>
          <w:szCs w:val="20"/>
          <w:color w:val="auto"/>
        </w:rPr>
      </w:pPr>
    </w:p>
    <w:p>
      <w:pPr>
        <w:ind w:right="260" w:firstLine="324"/>
        <w:spacing w:after="0" w:line="237" w:lineRule="auto"/>
        <w:rPr>
          <w:sz w:val="20"/>
          <w:szCs w:val="20"/>
          <w:color w:val="auto"/>
        </w:rPr>
      </w:pPr>
      <w:r>
        <w:rPr>
          <w:rFonts w:ascii="Arial" w:cs="Arial" w:eastAsia="Arial" w:hAnsi="Arial"/>
          <w:sz w:val="18"/>
          <w:szCs w:val="18"/>
          <w:color w:val="auto"/>
        </w:rPr>
        <w:t>The presiding officer at the annual meeting will determine how business at the meeting will be conducted. Only nominations and other proposals brought before the annual meeting in accordance with the advance notice and information requirements of our Amended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Restated Bylaws will be considered, and no such nominations or other proposals were received.</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Can I Ask Questions in Advance of and During the Annual Meeting?</w:t>
      </w:r>
    </w:p>
    <w:p>
      <w:pPr>
        <w:spacing w:after="0" w:line="99" w:lineRule="exact"/>
        <w:rPr>
          <w:sz w:val="20"/>
          <w:szCs w:val="20"/>
          <w:color w:val="auto"/>
        </w:rPr>
      </w:pPr>
    </w:p>
    <w:p>
      <w:pPr>
        <w:ind w:right="40" w:firstLine="324"/>
        <w:spacing w:after="0" w:line="237" w:lineRule="auto"/>
        <w:rPr>
          <w:sz w:val="20"/>
          <w:szCs w:val="20"/>
          <w:color w:val="auto"/>
        </w:rPr>
      </w:pPr>
      <w:r>
        <w:rPr>
          <w:rFonts w:ascii="Arial" w:cs="Arial" w:eastAsia="Arial" w:hAnsi="Arial"/>
          <w:sz w:val="18"/>
          <w:szCs w:val="18"/>
          <w:color w:val="auto"/>
        </w:rPr>
        <w:t>Shareholders may submit questions in advance of the annual meeting, from February 6, 2024 to March 18, 2024, and during a portion of the annual meeting. If you wish to submit a question in advance of the annual meeting, you may log into www.proxyvote.com using your 16-</w:t>
      </w:r>
    </w:p>
    <w:p>
      <w:pPr>
        <w:spacing w:after="0" w:line="235" w:lineRule="auto"/>
        <w:rPr>
          <w:sz w:val="20"/>
          <w:szCs w:val="20"/>
          <w:color w:val="auto"/>
        </w:rPr>
      </w:pPr>
      <w:r>
        <w:rPr>
          <w:rFonts w:ascii="Arial" w:cs="Arial" w:eastAsia="Arial" w:hAnsi="Arial"/>
          <w:sz w:val="18"/>
          <w:szCs w:val="18"/>
          <w:color w:val="auto"/>
        </w:rPr>
        <w:t>digit control number and follow the instructions to submit a question. If you wish to submit a question during the annual meeting, log into the</w:t>
      </w:r>
    </w:p>
    <w:p>
      <w:pPr>
        <w:spacing w:after="0" w:line="1"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virtual meeting platform at www.virtualshareholdermeeting.com/TTC2024 using the 16-digit control number included on your proxy card, voting instruction form or Notice Regarding the Availability of Proxy Materials and follow the instructions to submit a question. Questions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pertinent to meeting matters will be answered during the annual meeting, subject to time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9"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FFFFFF"/>
        </w:rPr>
        <w:t>PROPOSAL ONE—ELECTION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 Size and Structure</w:t>
      </w:r>
    </w:p>
    <w:p>
      <w:pPr>
        <w:spacing w:after="0" w:line="85" w:lineRule="exact"/>
        <w:rPr>
          <w:sz w:val="20"/>
          <w:szCs w:val="20"/>
          <w:color w:val="auto"/>
        </w:rPr>
      </w:pPr>
    </w:p>
    <w:p>
      <w:pPr>
        <w:ind w:right="180" w:firstLine="324"/>
        <w:spacing w:after="0" w:line="237" w:lineRule="auto"/>
        <w:rPr>
          <w:sz w:val="20"/>
          <w:szCs w:val="20"/>
          <w:color w:val="auto"/>
        </w:rPr>
      </w:pPr>
      <w:r>
        <w:rPr>
          <w:rFonts w:ascii="Arial" w:cs="Arial" w:eastAsia="Arial" w:hAnsi="Arial"/>
          <w:sz w:val="18"/>
          <w:szCs w:val="18"/>
          <w:color w:val="auto"/>
        </w:rPr>
        <w:t>Our Restated Certificate of Incorporation provides that our Board of Directors may be comprised of between eight and twelve directors. As provided in our Restated Certificate of Incorporation, our Board is divided into three staggered classes of directors of the same or nearly</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same number, with each class elected in a different year for a term of three years. Our current directors and their respective current terms are as follows:</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263"/>
        </w:trPr>
        <w:tc>
          <w:tcPr>
            <w:tcW w:w="36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Current Term Ending at</w:t>
            </w:r>
          </w:p>
        </w:tc>
        <w:tc>
          <w:tcPr>
            <w:tcW w:w="37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Current Term Ending at</w:t>
            </w:r>
          </w:p>
        </w:tc>
        <w:tc>
          <w:tcPr>
            <w:tcW w:w="36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Current Term Ending at</w:t>
            </w:r>
          </w:p>
        </w:tc>
      </w:tr>
      <w:tr>
        <w:trPr>
          <w:trHeight w:val="258"/>
        </w:trPr>
        <w:tc>
          <w:tcPr>
            <w:tcW w:w="366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6"/>
                <w:szCs w:val="16"/>
                <w:b w:val="1"/>
                <w:bCs w:val="1"/>
                <w:color w:val="FFFFFF"/>
              </w:rPr>
              <w:t>2024 Annual Meeting</w:t>
            </w:r>
          </w:p>
        </w:tc>
        <w:tc>
          <w:tcPr>
            <w:tcW w:w="370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6"/>
                <w:szCs w:val="16"/>
                <w:b w:val="1"/>
                <w:bCs w:val="1"/>
                <w:color w:val="FFFFFF"/>
              </w:rPr>
              <w:t>2025 Annual Meeting</w:t>
            </w:r>
          </w:p>
        </w:tc>
        <w:tc>
          <w:tcPr>
            <w:tcW w:w="366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6"/>
                <w:szCs w:val="16"/>
                <w:b w:val="1"/>
                <w:bCs w:val="1"/>
                <w:color w:val="FFFFFF"/>
              </w:rPr>
              <w:t>2026 Annual Meeting</w:t>
            </w:r>
          </w:p>
        </w:tc>
      </w:tr>
      <w:tr>
        <w:trPr>
          <w:trHeight w:val="247"/>
        </w:trPr>
        <w:tc>
          <w:tcPr>
            <w:tcW w:w="36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Janet K. Cooper</w:t>
            </w:r>
          </w:p>
        </w:tc>
        <w:tc>
          <w:tcPr>
            <w:tcW w:w="3700" w:type="dxa"/>
            <w:vAlign w:val="bottom"/>
          </w:tcPr>
          <w:p>
            <w:pPr>
              <w:jc w:val="center"/>
              <w:spacing w:after="0"/>
              <w:rPr>
                <w:sz w:val="20"/>
                <w:szCs w:val="20"/>
                <w:color w:val="auto"/>
              </w:rPr>
            </w:pPr>
            <w:r>
              <w:rPr>
                <w:rFonts w:ascii="Arial" w:cs="Arial" w:eastAsia="Arial" w:hAnsi="Arial"/>
                <w:sz w:val="18"/>
                <w:szCs w:val="18"/>
                <w:color w:val="auto"/>
                <w:w w:val="99"/>
              </w:rPr>
              <w:t>Jeffrey L. Harmening</w:t>
            </w:r>
          </w:p>
        </w:tc>
        <w:tc>
          <w:tcPr>
            <w:tcW w:w="36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Dianne C. Craig</w:t>
            </w:r>
          </w:p>
        </w:tc>
      </w:tr>
      <w:tr>
        <w:trPr>
          <w:trHeight w:val="256"/>
        </w:trPr>
        <w:tc>
          <w:tcPr>
            <w:tcW w:w="366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Gary L. Ellis</w:t>
            </w:r>
          </w:p>
        </w:tc>
        <w:tc>
          <w:tcPr>
            <w:tcW w:w="3700" w:type="dxa"/>
            <w:vAlign w:val="bottom"/>
          </w:tcPr>
          <w:p>
            <w:pPr>
              <w:jc w:val="center"/>
              <w:spacing w:after="0"/>
              <w:rPr>
                <w:sz w:val="20"/>
                <w:szCs w:val="20"/>
                <w:color w:val="auto"/>
              </w:rPr>
            </w:pPr>
            <w:r>
              <w:rPr>
                <w:rFonts w:ascii="Arial" w:cs="Arial" w:eastAsia="Arial" w:hAnsi="Arial"/>
                <w:sz w:val="18"/>
                <w:szCs w:val="18"/>
                <w:color w:val="auto"/>
              </w:rPr>
              <w:t>Joyce A. Mullen</w:t>
            </w:r>
          </w:p>
        </w:tc>
        <w:tc>
          <w:tcPr>
            <w:tcW w:w="36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Eric P. Hansotia</w:t>
            </w:r>
          </w:p>
        </w:tc>
      </w:tr>
      <w:tr>
        <w:trPr>
          <w:trHeight w:val="257"/>
        </w:trPr>
        <w:tc>
          <w:tcPr>
            <w:tcW w:w="36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Jill M. Pemberton</w:t>
            </w:r>
          </w:p>
        </w:tc>
        <w:tc>
          <w:tcPr>
            <w:tcW w:w="3700" w:type="dxa"/>
            <w:vAlign w:val="bottom"/>
          </w:tcPr>
          <w:p>
            <w:pPr>
              <w:jc w:val="center"/>
              <w:spacing w:after="0"/>
              <w:rPr>
                <w:sz w:val="20"/>
                <w:szCs w:val="20"/>
                <w:color w:val="auto"/>
              </w:rPr>
            </w:pPr>
            <w:r>
              <w:rPr>
                <w:rFonts w:ascii="Arial" w:cs="Arial" w:eastAsia="Arial" w:hAnsi="Arial"/>
                <w:sz w:val="18"/>
                <w:szCs w:val="18"/>
                <w:color w:val="auto"/>
              </w:rPr>
              <w:t>Richard M. Olson</w:t>
            </w:r>
          </w:p>
        </w:tc>
        <w:tc>
          <w:tcPr>
            <w:tcW w:w="36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D. Christian Koch</w:t>
            </w:r>
          </w:p>
        </w:tc>
      </w:tr>
      <w:tr>
        <w:trPr>
          <w:trHeight w:val="266"/>
        </w:trPr>
        <w:tc>
          <w:tcPr>
            <w:tcW w:w="3660" w:type="dxa"/>
            <w:vAlign w:val="bottom"/>
            <w:shd w:val="clear" w:color="auto" w:fill="DBDBDB"/>
          </w:tcPr>
          <w:p>
            <w:pPr>
              <w:spacing w:after="0"/>
              <w:rPr>
                <w:sz w:val="23"/>
                <w:szCs w:val="23"/>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9"/>
              </w:rPr>
              <w:t>James C. O'Rourke</w:t>
            </w:r>
          </w:p>
        </w:tc>
        <w:tc>
          <w:tcPr>
            <w:tcW w:w="3660" w:type="dxa"/>
            <w:vAlign w:val="bottom"/>
            <w:shd w:val="clear" w:color="auto" w:fill="DBDBDB"/>
          </w:tcPr>
          <w:p>
            <w:pPr>
              <w:spacing w:after="0"/>
              <w:rPr>
                <w:sz w:val="23"/>
                <w:szCs w:val="23"/>
                <w:color w:val="auto"/>
              </w:rPr>
            </w:pPr>
          </w:p>
        </w:tc>
      </w:tr>
    </w:tbl>
    <w:p>
      <w:pPr>
        <w:spacing w:after="0" w:line="305" w:lineRule="exact"/>
        <w:rPr>
          <w:sz w:val="20"/>
          <w:szCs w:val="20"/>
          <w:color w:val="auto"/>
        </w:rPr>
      </w:pPr>
    </w:p>
    <w:p>
      <w:pPr>
        <w:ind w:right="40" w:firstLine="324"/>
        <w:spacing w:after="0"/>
        <w:rPr>
          <w:sz w:val="20"/>
          <w:szCs w:val="20"/>
          <w:color w:val="auto"/>
        </w:rPr>
      </w:pPr>
      <w:r>
        <w:rPr>
          <w:rFonts w:ascii="Arial" w:cs="Arial" w:eastAsia="Arial" w:hAnsi="Arial"/>
          <w:sz w:val="18"/>
          <w:szCs w:val="18"/>
          <w:color w:val="auto"/>
        </w:rPr>
        <w:t>Ms. Cooper attained the age of 70 during her current term and, in accordance with our Corporate Governance Guidelines, will retire from the Board at the expiration of such term at the annual meeting. Ms. Cooper has served as a director for 30 years, and the Board thanks Ms. Cooper for her many years of dedicated service to the Company. In light of her retirement from the Board, the Board has voted to reduce its size from ten to nine directors effective immediately prior to the annual meeting, and thereafter our Board will be comprised of nine directors until the Board determines to change the number. Since our Restated Certificate of Incorporation requires our three classes of directors to be of the same or nearly the same number, the Board intends to rebalance the classes at a future date by adding one or more additional directors or taking other actions. In seeking new directors, the Board intends to continue to prioritize all diversity attributes, including gender and racial/ethnic diversity considerations.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Nominees for Director</w:t>
      </w:r>
    </w:p>
    <w:p>
      <w:pPr>
        <w:spacing w:after="0" w:line="99" w:lineRule="exact"/>
        <w:rPr>
          <w:sz w:val="20"/>
          <w:szCs w:val="20"/>
          <w:color w:val="auto"/>
        </w:rPr>
      </w:pPr>
    </w:p>
    <w:p>
      <w:pPr>
        <w:ind w:right="100" w:firstLine="324"/>
        <w:spacing w:after="0" w:line="237" w:lineRule="auto"/>
        <w:rPr>
          <w:sz w:val="20"/>
          <w:szCs w:val="20"/>
          <w:color w:val="auto"/>
        </w:rPr>
      </w:pPr>
      <w:r>
        <w:rPr>
          <w:rFonts w:ascii="Arial" w:cs="Arial" w:eastAsia="Arial" w:hAnsi="Arial"/>
          <w:sz w:val="18"/>
          <w:szCs w:val="18"/>
          <w:color w:val="auto"/>
        </w:rPr>
        <w:t>The Board has nominated Gary L. Ellis and Jill M. Pemberton for election to the Board, each to serve for a three-year term ending at the 2027 Annual Meeting of Shareholders. Both Mr. Ellis and Ms. Pemberton are current members of the Board and have consented to serve if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elected. Proxies only can be voted for the number of persons named as nominees in this proxy statement, which is two.</w:t>
      </w:r>
    </w:p>
    <w:p>
      <w:pPr>
        <w:spacing w:after="0" w:line="86" w:lineRule="exact"/>
        <w:rPr>
          <w:sz w:val="20"/>
          <w:szCs w:val="20"/>
          <w:color w:val="auto"/>
        </w:rPr>
      </w:pPr>
    </w:p>
    <w:p>
      <w:pPr>
        <w:ind w:right="60" w:firstLine="324"/>
        <w:spacing w:after="0" w:line="251" w:lineRule="auto"/>
        <w:rPr>
          <w:sz w:val="20"/>
          <w:szCs w:val="20"/>
          <w:color w:val="auto"/>
        </w:rPr>
      </w:pPr>
      <w:r>
        <w:rPr>
          <w:rFonts w:ascii="Arial" w:cs="Arial" w:eastAsia="Arial" w:hAnsi="Arial"/>
          <w:sz w:val="17"/>
          <w:szCs w:val="17"/>
          <w:color w:val="auto"/>
        </w:rPr>
        <w:t>If prior to the annual meeting the Board learns that any nominee will be unable to serve for any reason, the proxies that otherwise would have been voted for that nominee will be voted for a substitute nominee as selected by the Board. Alternatively, at the Board's discretion, the</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proxies may be voted for that fewer number of nominees as results from the inability of any nominee to serve. The Board has no reason to believe that either of the two nominees will be unable to serve.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500"/>
        </w:trPr>
        <w:tc>
          <w:tcPr>
            <w:tcW w:w="9820" w:type="dxa"/>
            <w:vAlign w:val="bottom"/>
            <w:vMerge w:val="restart"/>
            <w:shd w:val="clear" w:color="auto" w:fill="BF2115"/>
          </w:tcPr>
          <w:p>
            <w:pPr>
              <w:ind w:left="1260"/>
              <w:spacing w:after="0"/>
              <w:rPr>
                <w:sz w:val="20"/>
                <w:szCs w:val="20"/>
                <w:color w:val="auto"/>
              </w:rPr>
            </w:pPr>
            <w:r>
              <w:rPr>
                <w:rFonts w:ascii="Arial" w:cs="Arial" w:eastAsia="Arial" w:hAnsi="Arial"/>
                <w:sz w:val="22"/>
                <w:szCs w:val="22"/>
                <w:b w:val="1"/>
                <w:bCs w:val="1"/>
                <w:color w:val="FFFFFF"/>
              </w:rPr>
              <w:t>The Board of Directors Recommends a Vote FOR Each Nominee for Director</w:t>
            </w:r>
          </w:p>
        </w:tc>
        <w:tc>
          <w:tcPr>
            <w:tcW w:w="1420" w:type="dxa"/>
            <w:vAlign w:val="bottom"/>
            <w:shd w:val="clear" w:color="auto" w:fill="BF2115"/>
          </w:tcPr>
          <w:p>
            <w:pPr>
              <w:ind w:left="740"/>
              <w:spacing w:after="0" w:line="501" w:lineRule="exact"/>
              <w:rPr>
                <w:sz w:val="20"/>
                <w:szCs w:val="20"/>
                <w:color w:val="auto"/>
              </w:rPr>
            </w:pPr>
            <w:r>
              <w:rPr>
                <w:rFonts w:ascii="MS PGothic" w:cs="MS PGothic" w:eastAsia="MS PGothic" w:hAnsi="MS PGothic"/>
                <w:sz w:val="50"/>
                <w:szCs w:val="50"/>
                <w:color w:val="auto"/>
                <w:highlight w:val="white"/>
              </w:rPr>
              <w:t>☑</w:t>
            </w:r>
          </w:p>
        </w:tc>
        <w:tc>
          <w:tcPr>
            <w:tcW w:w="0" w:type="dxa"/>
            <w:vAlign w:val="bottom"/>
          </w:tcPr>
          <w:p>
            <w:pPr>
              <w:spacing w:after="0"/>
              <w:rPr>
                <w:sz w:val="1"/>
                <w:szCs w:val="1"/>
                <w:color w:val="auto"/>
              </w:rPr>
            </w:pPr>
          </w:p>
        </w:tc>
      </w:tr>
      <w:tr>
        <w:trPr>
          <w:trHeight w:val="80"/>
        </w:trPr>
        <w:tc>
          <w:tcPr>
            <w:tcW w:w="9820" w:type="dxa"/>
            <w:vAlign w:val="bottom"/>
            <w:vMerge w:val="continue"/>
            <w:shd w:val="clear" w:color="auto" w:fill="BF2115"/>
          </w:tcPr>
          <w:p>
            <w:pPr>
              <w:spacing w:after="0"/>
              <w:rPr>
                <w:sz w:val="6"/>
                <w:szCs w:val="6"/>
                <w:color w:val="auto"/>
              </w:rPr>
            </w:pPr>
          </w:p>
        </w:tc>
        <w:tc>
          <w:tcPr>
            <w:tcW w:w="1420" w:type="dxa"/>
            <w:vAlign w:val="bottom"/>
            <w:shd w:val="clear" w:color="auto" w:fill="BF2115"/>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9820" w:type="dxa"/>
            <w:vAlign w:val="bottom"/>
            <w:shd w:val="clear" w:color="auto" w:fill="BF2115"/>
          </w:tcPr>
          <w:p>
            <w:pPr>
              <w:spacing w:after="0"/>
              <w:rPr>
                <w:sz w:val="15"/>
                <w:szCs w:val="15"/>
                <w:color w:val="auto"/>
              </w:rPr>
            </w:pPr>
          </w:p>
        </w:tc>
        <w:tc>
          <w:tcPr>
            <w:tcW w:w="142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Information About Director Nominees and Continuing Directors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pages provide information about the nominees for election to the Board at the annual meeting, both of whom are current</w:t>
      </w:r>
    </w:p>
    <w:p>
      <w:pPr>
        <w:spacing w:after="0" w:line="14" w:lineRule="exact"/>
        <w:rPr>
          <w:sz w:val="20"/>
          <w:szCs w:val="20"/>
          <w:color w:val="auto"/>
        </w:rPr>
      </w:pPr>
    </w:p>
    <w:p>
      <w:pPr>
        <w:ind w:right="680"/>
        <w:spacing w:after="0" w:line="237" w:lineRule="auto"/>
        <w:rPr>
          <w:sz w:val="20"/>
          <w:szCs w:val="20"/>
          <w:color w:val="auto"/>
        </w:rPr>
      </w:pPr>
      <w:r>
        <w:rPr>
          <w:rFonts w:ascii="Arial" w:cs="Arial" w:eastAsia="Arial" w:hAnsi="Arial"/>
          <w:sz w:val="18"/>
          <w:szCs w:val="18"/>
          <w:color w:val="auto"/>
        </w:rPr>
        <w:t>Board members, and each of the other continuing members of the Board. We believe that all of our director nominees and continuing directors display:</w:t>
      </w:r>
    </w:p>
    <w:p>
      <w:pPr>
        <w:spacing w:after="0" w:line="1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appropriate levels of education and business experience;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strong business acumen;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appropriate level of understanding of our business, industries and other relevant industries;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and willingness to devote adequate time to the work of our Board and its committees;</w:t>
      </w:r>
    </w:p>
    <w:p>
      <w:pPr>
        <w:spacing w:after="0" w:line="36" w:lineRule="exact"/>
        <w:rPr>
          <w:rFonts w:ascii="Arial" w:cs="Arial" w:eastAsia="Arial" w:hAnsi="Arial"/>
          <w:sz w:val="18"/>
          <w:szCs w:val="18"/>
          <w:color w:val="auto"/>
        </w:rPr>
      </w:pPr>
    </w:p>
    <w:p>
      <w:pPr>
        <w:ind w:left="660" w:right="12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fit of skills and personality with those of our other directors that helps build a Board that is effective, collegial and responsive to the needs of our Company;</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 thinking acumen and a willingness to share ideas;</w:t>
      </w:r>
    </w:p>
    <w:p>
      <w:pPr>
        <w:sectPr>
          <w:pgSz w:w="11900" w:h="16838" w:orient="portrait"/>
          <w:cols w:equalWidth="0" w:num="1">
            <w:col w:w="11240"/>
          </w:cols>
          <w:pgMar w:left="320" w:top="11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type w:val="continuous"/>
        </w:sectPr>
      </w:pPr>
    </w:p>
    <w:bookmarkStart w:id="18" w:name="page19"/>
    <w:bookmarkEnd w:id="18"/>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diversity of experiences, expertise and backgrounds, including racial, ethnic and gender diversity;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represent the interests of all of our shareholders.</w:t>
      </w:r>
    </w:p>
    <w:p>
      <w:pPr>
        <w:spacing w:after="0" w:line="90" w:lineRule="exact"/>
        <w:rPr>
          <w:sz w:val="20"/>
          <w:szCs w:val="20"/>
          <w:color w:val="auto"/>
        </w:rPr>
      </w:pPr>
    </w:p>
    <w:p>
      <w:pPr>
        <w:ind w:right="840" w:firstLine="324"/>
        <w:spacing w:after="0" w:line="271" w:lineRule="auto"/>
        <w:rPr>
          <w:sz w:val="20"/>
          <w:szCs w:val="20"/>
          <w:color w:val="auto"/>
        </w:rPr>
      </w:pPr>
      <w:r>
        <w:rPr>
          <w:rFonts w:ascii="Arial" w:cs="Arial" w:eastAsia="Arial" w:hAnsi="Arial"/>
          <w:sz w:val="18"/>
          <w:szCs w:val="18"/>
          <w:color w:val="auto"/>
        </w:rPr>
        <w:t>All of our director nominees and continuing directors bring to our Board a wealth of executive leadership experience. The Board considers the following skills and experience to be integral to the success of our Company:</w:t>
      </w:r>
    </w:p>
    <w:p>
      <w:pPr>
        <w:sectPr>
          <w:pgSz w:w="11900" w:h="16838" w:orient="portrait"/>
          <w:cols w:equalWidth="0" w:num="1">
            <w:col w:w="11300"/>
          </w:cols>
          <w:pgMar w:left="320" w:top="1106" w:right="279" w:bottom="1440" w:gutter="0" w:footer="0" w:header="0"/>
        </w:sectPr>
      </w:pPr>
    </w:p>
    <w:p>
      <w:pPr>
        <w:spacing w:after="0" w:line="100" w:lineRule="exact"/>
        <w:rPr>
          <w:sz w:val="20"/>
          <w:szCs w:val="20"/>
          <w:color w:val="auto"/>
        </w:rPr>
      </w:pPr>
    </w:p>
    <w:p>
      <w:pPr>
        <w:ind w:left="360" w:right="60"/>
        <w:spacing w:after="0" w:line="251" w:lineRule="auto"/>
        <w:rPr>
          <w:sz w:val="20"/>
          <w:szCs w:val="20"/>
          <w:color w:val="auto"/>
        </w:rPr>
      </w:pPr>
      <w:r>
        <w:rPr>
          <w:rFonts w:ascii="Arial" w:cs="Arial" w:eastAsia="Arial" w:hAnsi="Arial"/>
          <w:sz w:val="17"/>
          <w:szCs w:val="17"/>
          <w:b w:val="1"/>
          <w:bCs w:val="1"/>
          <w:color w:val="C00000"/>
        </w:rPr>
        <w:t xml:space="preserve">Current/Former CEO. </w:t>
      </w:r>
      <w:r>
        <w:rPr>
          <w:rFonts w:ascii="Arial" w:cs="Arial" w:eastAsia="Arial" w:hAnsi="Arial"/>
          <w:sz w:val="17"/>
          <w:szCs w:val="17"/>
          <w:color w:val="000000"/>
        </w:rPr>
        <w:t>Current or former experience as a chief</w:t>
      </w:r>
      <w:r>
        <w:rPr>
          <w:rFonts w:ascii="Arial" w:cs="Arial" w:eastAsia="Arial" w:hAnsi="Arial"/>
          <w:sz w:val="17"/>
          <w:szCs w:val="17"/>
          <w:b w:val="1"/>
          <w:bCs w:val="1"/>
          <w:color w:val="C00000"/>
        </w:rPr>
        <w:t xml:space="preserve"> </w:t>
      </w:r>
      <w:r>
        <w:rPr>
          <w:rFonts w:ascii="Arial" w:cs="Arial" w:eastAsia="Arial" w:hAnsi="Arial"/>
          <w:sz w:val="17"/>
          <w:szCs w:val="17"/>
          <w:color w:val="000000"/>
        </w:rPr>
        <w:t>executive officer is important for providing unique insights on complex</w:t>
      </w:r>
    </w:p>
    <w:p>
      <w:pPr>
        <w:spacing w:after="0" w:line="1" w:lineRule="exact"/>
        <w:rPr>
          <w:sz w:val="20"/>
          <w:szCs w:val="20"/>
          <w:color w:val="auto"/>
        </w:rPr>
      </w:pPr>
    </w:p>
    <w:p>
      <w:pPr>
        <w:ind w:left="360" w:right="360"/>
        <w:spacing w:after="0" w:line="247" w:lineRule="auto"/>
        <w:rPr>
          <w:sz w:val="20"/>
          <w:szCs w:val="20"/>
          <w:color w:val="auto"/>
        </w:rPr>
      </w:pPr>
      <w:r>
        <w:rPr>
          <w:rFonts w:ascii="Arial" w:cs="Arial" w:eastAsia="Arial" w:hAnsi="Arial"/>
          <w:sz w:val="18"/>
          <w:szCs w:val="18"/>
          <w:color w:val="auto"/>
        </w:rPr>
        <w:t>global organizations, strategy, risk management, and how to drive change and growth.</w:t>
      </w:r>
    </w:p>
    <w:p>
      <w:pPr>
        <w:spacing w:after="0" w:line="1" w:lineRule="exact"/>
        <w:rPr>
          <w:sz w:val="20"/>
          <w:szCs w:val="20"/>
          <w:color w:val="auto"/>
        </w:rPr>
      </w:pPr>
    </w:p>
    <w:p>
      <w:pPr>
        <w:ind w:left="360" w:right="100"/>
        <w:spacing w:after="0" w:line="250" w:lineRule="auto"/>
        <w:rPr>
          <w:sz w:val="20"/>
          <w:szCs w:val="20"/>
          <w:color w:val="auto"/>
        </w:rPr>
      </w:pPr>
      <w:r>
        <w:rPr>
          <w:rFonts w:ascii="Arial" w:cs="Arial" w:eastAsia="Arial" w:hAnsi="Arial"/>
          <w:sz w:val="18"/>
          <w:szCs w:val="18"/>
          <w:b w:val="1"/>
          <w:bCs w:val="1"/>
          <w:color w:val="C00000"/>
        </w:rPr>
        <w:t xml:space="preserve">Finance/Financial Oversight. </w:t>
      </w:r>
      <w:r>
        <w:rPr>
          <w:rFonts w:ascii="Arial" w:cs="Arial" w:eastAsia="Arial" w:hAnsi="Arial"/>
          <w:sz w:val="18"/>
          <w:szCs w:val="18"/>
          <w:color w:val="000000"/>
        </w:rPr>
        <w:t>A strong understanding of accounting</w:t>
      </w:r>
      <w:r>
        <w:rPr>
          <w:rFonts w:ascii="Arial" w:cs="Arial" w:eastAsia="Arial" w:hAnsi="Arial"/>
          <w:sz w:val="18"/>
          <w:szCs w:val="18"/>
          <w:b w:val="1"/>
          <w:bCs w:val="1"/>
          <w:color w:val="C00000"/>
        </w:rPr>
        <w:t xml:space="preserve"> </w:t>
      </w:r>
      <w:r>
        <w:rPr>
          <w:rFonts w:ascii="Arial" w:cs="Arial" w:eastAsia="Arial" w:hAnsi="Arial"/>
          <w:sz w:val="18"/>
          <w:szCs w:val="18"/>
          <w:color w:val="000000"/>
        </w:rPr>
        <w:t>and finance is important for ensuring the integrity of our financial reporting and critically evaluating our performance.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C00000"/>
        </w:rPr>
        <w:t xml:space="preserve">Public Company Board (other than TTC). </w:t>
      </w:r>
      <w:r>
        <w:rPr>
          <w:rFonts w:ascii="Arial" w:cs="Arial" w:eastAsia="Arial" w:hAnsi="Arial"/>
          <w:sz w:val="18"/>
          <w:szCs w:val="18"/>
          <w:color w:val="000000"/>
        </w:rPr>
        <w:t>A deep understanding of</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duties and responsibilities of a public company board of directors</w:t>
      </w:r>
    </w:p>
    <w:p>
      <w:pPr>
        <w:ind w:left="360"/>
        <w:spacing w:after="0" w:line="237" w:lineRule="auto"/>
        <w:rPr>
          <w:sz w:val="20"/>
          <w:szCs w:val="20"/>
          <w:color w:val="auto"/>
        </w:rPr>
      </w:pPr>
      <w:r>
        <w:rPr>
          <w:rFonts w:ascii="Arial" w:cs="Arial" w:eastAsia="Arial" w:hAnsi="Arial"/>
          <w:sz w:val="18"/>
          <w:szCs w:val="18"/>
          <w:color w:val="auto"/>
        </w:rPr>
        <w:t>enhances board effectiveness and ensures independent oversight that is aligned with shareholder interests.</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C00000"/>
        </w:rPr>
        <w:t xml:space="preserve">Manufacturing/Supply Chain/Operations. </w:t>
      </w:r>
      <w:r>
        <w:rPr>
          <w:rFonts w:ascii="Arial" w:cs="Arial" w:eastAsia="Arial" w:hAnsi="Arial"/>
          <w:sz w:val="18"/>
          <w:szCs w:val="18"/>
          <w:color w:val="000000"/>
        </w:rPr>
        <w:t>Experience in</w:t>
      </w:r>
    </w:p>
    <w:p>
      <w:pPr>
        <w:spacing w:after="0" w:line="14" w:lineRule="exact"/>
        <w:rPr>
          <w:sz w:val="20"/>
          <w:szCs w:val="20"/>
          <w:color w:val="auto"/>
        </w:rPr>
      </w:pPr>
    </w:p>
    <w:p>
      <w:pPr>
        <w:ind w:left="360" w:right="80"/>
        <w:spacing w:after="0"/>
        <w:rPr>
          <w:sz w:val="20"/>
          <w:szCs w:val="20"/>
          <w:color w:val="auto"/>
        </w:rPr>
      </w:pPr>
      <w:r>
        <w:rPr>
          <w:rFonts w:ascii="Arial" w:cs="Arial" w:eastAsia="Arial" w:hAnsi="Arial"/>
          <w:sz w:val="17"/>
          <w:szCs w:val="17"/>
          <w:color w:val="auto"/>
        </w:rPr>
        <w:t>manufacturing, supply chain and operations is important for providing oversight of optimal manufacturing processes, supplier relationships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and the capital needs of the Company.</w:t>
      </w:r>
    </w:p>
    <w:p>
      <w:pPr>
        <w:spacing w:after="0" w:line="18" w:lineRule="exact"/>
        <w:rPr>
          <w:sz w:val="20"/>
          <w:szCs w:val="20"/>
          <w:color w:val="auto"/>
        </w:rPr>
      </w:pPr>
    </w:p>
    <w:p>
      <w:pPr>
        <w:ind w:left="360" w:right="140"/>
        <w:spacing w:after="0" w:line="250" w:lineRule="auto"/>
        <w:rPr>
          <w:sz w:val="20"/>
          <w:szCs w:val="20"/>
          <w:color w:val="auto"/>
        </w:rPr>
      </w:pPr>
      <w:r>
        <w:rPr>
          <w:rFonts w:ascii="Arial" w:cs="Arial" w:eastAsia="Arial" w:hAnsi="Arial"/>
          <w:sz w:val="18"/>
          <w:szCs w:val="18"/>
          <w:b w:val="1"/>
          <w:bCs w:val="1"/>
          <w:color w:val="C00000"/>
        </w:rPr>
        <w:t xml:space="preserve">Distribution Channel. </w:t>
      </w:r>
      <w:r>
        <w:rPr>
          <w:rFonts w:ascii="Arial" w:cs="Arial" w:eastAsia="Arial" w:hAnsi="Arial"/>
          <w:sz w:val="18"/>
          <w:szCs w:val="18"/>
          <w:color w:val="000000"/>
        </w:rPr>
        <w:t>Understanding our distribution channel is key</w:t>
      </w:r>
      <w:r>
        <w:rPr>
          <w:rFonts w:ascii="Arial" w:cs="Arial" w:eastAsia="Arial" w:hAnsi="Arial"/>
          <w:sz w:val="18"/>
          <w:szCs w:val="18"/>
          <w:b w:val="1"/>
          <w:bCs w:val="1"/>
          <w:color w:val="C00000"/>
        </w:rPr>
        <w:t xml:space="preserve"> </w:t>
      </w:r>
      <w:r>
        <w:rPr>
          <w:rFonts w:ascii="Arial" w:cs="Arial" w:eastAsia="Arial" w:hAnsi="Arial"/>
          <w:sz w:val="18"/>
          <w:szCs w:val="18"/>
          <w:color w:val="000000"/>
        </w:rPr>
        <w:t>to providing important perspectives on our relationships with our distribution partners.</w:t>
      </w:r>
    </w:p>
    <w:p>
      <w:pPr>
        <w:spacing w:after="0" w:line="1" w:lineRule="exact"/>
        <w:rPr>
          <w:sz w:val="20"/>
          <w:szCs w:val="20"/>
          <w:color w:val="auto"/>
        </w:rPr>
      </w:pPr>
    </w:p>
    <w:p>
      <w:pPr>
        <w:jc w:val="both"/>
        <w:ind w:left="360" w:right="160"/>
        <w:spacing w:after="0" w:line="250" w:lineRule="auto"/>
        <w:rPr>
          <w:sz w:val="20"/>
          <w:szCs w:val="20"/>
          <w:color w:val="auto"/>
        </w:rPr>
      </w:pPr>
      <w:r>
        <w:rPr>
          <w:rFonts w:ascii="Arial" w:cs="Arial" w:eastAsia="Arial" w:hAnsi="Arial"/>
          <w:sz w:val="18"/>
          <w:szCs w:val="18"/>
          <w:b w:val="1"/>
          <w:bCs w:val="1"/>
          <w:color w:val="C00000"/>
        </w:rPr>
        <w:t xml:space="preserve">Strategic Planning. </w:t>
      </w:r>
      <w:r>
        <w:rPr>
          <w:rFonts w:ascii="Arial" w:cs="Arial" w:eastAsia="Arial" w:hAnsi="Arial"/>
          <w:sz w:val="18"/>
          <w:szCs w:val="18"/>
          <w:color w:val="000000"/>
        </w:rPr>
        <w:t>Strong strategic planning experience is vital to</w:t>
      </w:r>
      <w:r>
        <w:rPr>
          <w:rFonts w:ascii="Arial" w:cs="Arial" w:eastAsia="Arial" w:hAnsi="Arial"/>
          <w:sz w:val="18"/>
          <w:szCs w:val="18"/>
          <w:b w:val="1"/>
          <w:bCs w:val="1"/>
          <w:color w:val="C00000"/>
        </w:rPr>
        <w:t xml:space="preserve"> </w:t>
      </w:r>
      <w:r>
        <w:rPr>
          <w:rFonts w:ascii="Arial" w:cs="Arial" w:eastAsia="Arial" w:hAnsi="Arial"/>
          <w:sz w:val="18"/>
          <w:szCs w:val="18"/>
          <w:color w:val="000000"/>
        </w:rPr>
        <w:t>assisting us with our short- and long-term strategic planning and key strategic decisions</w:t>
      </w:r>
    </w:p>
    <w:p>
      <w:pPr>
        <w:spacing w:after="0" w:line="1" w:lineRule="exact"/>
        <w:rPr>
          <w:sz w:val="20"/>
          <w:szCs w:val="20"/>
          <w:color w:val="auto"/>
        </w:rPr>
      </w:pPr>
    </w:p>
    <w:p>
      <w:pPr>
        <w:ind w:left="360" w:right="40"/>
        <w:spacing w:after="0" w:line="253" w:lineRule="auto"/>
        <w:rPr>
          <w:sz w:val="20"/>
          <w:szCs w:val="20"/>
          <w:color w:val="auto"/>
        </w:rPr>
      </w:pPr>
      <w:r>
        <w:rPr>
          <w:rFonts w:ascii="Arial" w:cs="Arial" w:eastAsia="Arial" w:hAnsi="Arial"/>
          <w:sz w:val="18"/>
          <w:szCs w:val="18"/>
          <w:b w:val="1"/>
          <w:bCs w:val="1"/>
          <w:color w:val="C00000"/>
        </w:rPr>
        <w:t xml:space="preserve">Regulatory/Government. </w:t>
      </w:r>
      <w:r>
        <w:rPr>
          <w:rFonts w:ascii="Arial" w:cs="Arial" w:eastAsia="Arial" w:hAnsi="Arial"/>
          <w:sz w:val="18"/>
          <w:szCs w:val="18"/>
          <w:color w:val="000000"/>
        </w:rPr>
        <w:t>Significant governmental and policymaking</w:t>
      </w:r>
      <w:r>
        <w:rPr>
          <w:rFonts w:ascii="Arial" w:cs="Arial" w:eastAsia="Arial" w:hAnsi="Arial"/>
          <w:sz w:val="18"/>
          <w:szCs w:val="18"/>
          <w:b w:val="1"/>
          <w:bCs w:val="1"/>
          <w:color w:val="C00000"/>
        </w:rPr>
        <w:t xml:space="preserve"> </w:t>
      </w:r>
      <w:r>
        <w:rPr>
          <w:rFonts w:ascii="Arial" w:cs="Arial" w:eastAsia="Arial" w:hAnsi="Arial"/>
          <w:sz w:val="18"/>
          <w:szCs w:val="18"/>
          <w:color w:val="000000"/>
        </w:rPr>
        <w:t>experience play an increasingly important role on our Board as our products become more heavily regulated.</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b w:val="1"/>
          <w:bCs w:val="1"/>
          <w:color w:val="C00000"/>
        </w:rPr>
        <w:t xml:space="preserve">Health and Safety. </w:t>
      </w:r>
      <w:r>
        <w:rPr>
          <w:rFonts w:ascii="Arial" w:cs="Arial" w:eastAsia="Arial" w:hAnsi="Arial"/>
          <w:sz w:val="17"/>
          <w:szCs w:val="17"/>
          <w:color w:val="000000"/>
        </w:rPr>
        <w:t>Ability to provide oversight of our</w:t>
      </w:r>
      <w:r>
        <w:rPr>
          <w:rFonts w:ascii="Arial" w:cs="Arial" w:eastAsia="Arial" w:hAnsi="Arial"/>
          <w:sz w:val="17"/>
          <w:szCs w:val="17"/>
          <w:b w:val="1"/>
          <w:bCs w:val="1"/>
          <w:color w:val="C00000"/>
        </w:rPr>
        <w:t xml:space="preserve"> </w:t>
      </w:r>
      <w:r>
        <w:rPr>
          <w:rFonts w:ascii="Arial" w:cs="Arial" w:eastAsia="Arial" w:hAnsi="Arial"/>
          <w:sz w:val="17"/>
          <w:szCs w:val="17"/>
          <w:color w:val="000000"/>
        </w:rPr>
        <w:t>manufacturing operations and employee programs supports</w:t>
      </w:r>
    </w:p>
    <w:p>
      <w:pPr>
        <w:spacing w:after="0" w:line="1" w:lineRule="exact"/>
        <w:rPr>
          <w:sz w:val="20"/>
          <w:szCs w:val="20"/>
          <w:color w:val="auto"/>
        </w:rPr>
      </w:pPr>
    </w:p>
    <w:p>
      <w:pPr>
        <w:ind w:right="980"/>
        <w:spacing w:after="0" w:line="262" w:lineRule="auto"/>
        <w:rPr>
          <w:sz w:val="20"/>
          <w:szCs w:val="20"/>
          <w:color w:val="auto"/>
        </w:rPr>
      </w:pPr>
      <w:r>
        <w:rPr>
          <w:rFonts w:ascii="Arial" w:cs="Arial" w:eastAsia="Arial" w:hAnsi="Arial"/>
          <w:sz w:val="17"/>
          <w:szCs w:val="17"/>
          <w:color w:val="auto"/>
        </w:rPr>
        <w:t>our focus on a culture of wellness and safety in our manufacturing facilities and office environments.</w:t>
      </w:r>
    </w:p>
    <w:p>
      <w:pPr>
        <w:spacing w:after="0" w:line="1" w:lineRule="exact"/>
        <w:rPr>
          <w:sz w:val="20"/>
          <w:szCs w:val="20"/>
          <w:color w:val="auto"/>
        </w:rPr>
      </w:pPr>
    </w:p>
    <w:p>
      <w:pPr>
        <w:ind w:right="580"/>
        <w:spacing w:after="0" w:line="265" w:lineRule="auto"/>
        <w:rPr>
          <w:sz w:val="20"/>
          <w:szCs w:val="20"/>
          <w:color w:val="auto"/>
        </w:rPr>
      </w:pPr>
      <w:r>
        <w:rPr>
          <w:rFonts w:ascii="Arial" w:cs="Arial" w:eastAsia="Arial" w:hAnsi="Arial"/>
          <w:sz w:val="17"/>
          <w:szCs w:val="17"/>
          <w:b w:val="1"/>
          <w:bCs w:val="1"/>
          <w:color w:val="C00000"/>
        </w:rPr>
        <w:t xml:space="preserve">Sustainability/Climate. </w:t>
      </w:r>
      <w:r>
        <w:rPr>
          <w:rFonts w:ascii="Arial" w:cs="Arial" w:eastAsia="Arial" w:hAnsi="Arial"/>
          <w:sz w:val="17"/>
          <w:szCs w:val="17"/>
          <w:color w:val="000000"/>
        </w:rPr>
        <w:t>Our commitment to integrating</w:t>
      </w:r>
      <w:r>
        <w:rPr>
          <w:rFonts w:ascii="Arial" w:cs="Arial" w:eastAsia="Arial" w:hAnsi="Arial"/>
          <w:sz w:val="17"/>
          <w:szCs w:val="17"/>
          <w:b w:val="1"/>
          <w:bCs w:val="1"/>
          <w:color w:val="C00000"/>
        </w:rPr>
        <w:t xml:space="preserve"> </w:t>
      </w:r>
      <w:r>
        <w:rPr>
          <w:rFonts w:ascii="Arial" w:cs="Arial" w:eastAsia="Arial" w:hAnsi="Arial"/>
          <w:sz w:val="17"/>
          <w:szCs w:val="17"/>
          <w:color w:val="000000"/>
        </w:rPr>
        <w:t>sustainability considerations across our businesses is enhanced by the Board’s ability to support these efforts.</w:t>
      </w:r>
    </w:p>
    <w:p>
      <w:pPr>
        <w:ind w:right="400"/>
        <w:spacing w:after="0" w:line="259" w:lineRule="auto"/>
        <w:rPr>
          <w:sz w:val="20"/>
          <w:szCs w:val="20"/>
          <w:color w:val="auto"/>
        </w:rPr>
      </w:pPr>
      <w:r>
        <w:rPr>
          <w:rFonts w:ascii="Arial" w:cs="Arial" w:eastAsia="Arial" w:hAnsi="Arial"/>
          <w:sz w:val="17"/>
          <w:szCs w:val="17"/>
          <w:b w:val="1"/>
          <w:bCs w:val="1"/>
          <w:color w:val="C00000"/>
        </w:rPr>
        <w:t xml:space="preserve">Mergers and Acquisitions. </w:t>
      </w:r>
      <w:r>
        <w:rPr>
          <w:rFonts w:ascii="Arial" w:cs="Arial" w:eastAsia="Arial" w:hAnsi="Arial"/>
          <w:sz w:val="17"/>
          <w:szCs w:val="17"/>
          <w:color w:val="000000"/>
        </w:rPr>
        <w:t>Experience with mergers and</w:t>
      </w:r>
      <w:r>
        <w:rPr>
          <w:rFonts w:ascii="Arial" w:cs="Arial" w:eastAsia="Arial" w:hAnsi="Arial"/>
          <w:sz w:val="17"/>
          <w:szCs w:val="17"/>
          <w:b w:val="1"/>
          <w:bCs w:val="1"/>
          <w:color w:val="C00000"/>
        </w:rPr>
        <w:t xml:space="preserve"> </w:t>
      </w:r>
      <w:r>
        <w:rPr>
          <w:rFonts w:ascii="Arial" w:cs="Arial" w:eastAsia="Arial" w:hAnsi="Arial"/>
          <w:sz w:val="17"/>
          <w:szCs w:val="17"/>
          <w:color w:val="000000"/>
        </w:rPr>
        <w:t>acquisitions is critical to sound decisions for strategically</w:t>
      </w:r>
    </w:p>
    <w:p>
      <w:pPr>
        <w:spacing w:after="0" w:line="1" w:lineRule="exact"/>
        <w:rPr>
          <w:sz w:val="20"/>
          <w:szCs w:val="20"/>
          <w:color w:val="auto"/>
        </w:rPr>
      </w:pPr>
    </w:p>
    <w:p>
      <w:pPr>
        <w:ind w:right="500"/>
        <w:spacing w:after="0"/>
        <w:rPr>
          <w:sz w:val="20"/>
          <w:szCs w:val="20"/>
          <w:color w:val="auto"/>
        </w:rPr>
      </w:pPr>
      <w:r>
        <w:rPr>
          <w:rFonts w:ascii="Arial" w:cs="Arial" w:eastAsia="Arial" w:hAnsi="Arial"/>
          <w:sz w:val="17"/>
          <w:szCs w:val="17"/>
          <w:color w:val="auto"/>
        </w:rPr>
        <w:t>pursuing acquisitions that are complementary to our businesses and grow our customer base and geographic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penetration.</w:t>
      </w:r>
    </w:p>
    <w:p>
      <w:pPr>
        <w:spacing w:after="0" w:line="32" w:lineRule="exact"/>
        <w:rPr>
          <w:sz w:val="20"/>
          <w:szCs w:val="20"/>
          <w:color w:val="auto"/>
        </w:rPr>
      </w:pPr>
    </w:p>
    <w:p>
      <w:pPr>
        <w:spacing w:after="0" w:line="251" w:lineRule="auto"/>
        <w:rPr>
          <w:sz w:val="20"/>
          <w:szCs w:val="20"/>
          <w:color w:val="auto"/>
        </w:rPr>
      </w:pPr>
      <w:r>
        <w:rPr>
          <w:rFonts w:ascii="Arial" w:cs="Arial" w:eastAsia="Arial" w:hAnsi="Arial"/>
          <w:sz w:val="17"/>
          <w:szCs w:val="17"/>
          <w:b w:val="1"/>
          <w:bCs w:val="1"/>
          <w:color w:val="C00000"/>
        </w:rPr>
        <w:t xml:space="preserve">International Operations. </w:t>
      </w:r>
      <w:r>
        <w:rPr>
          <w:rFonts w:ascii="Arial" w:cs="Arial" w:eastAsia="Arial" w:hAnsi="Arial"/>
          <w:sz w:val="17"/>
          <w:szCs w:val="17"/>
          <w:color w:val="000000"/>
        </w:rPr>
        <w:t>Experience with international</w:t>
      </w:r>
      <w:r>
        <w:rPr>
          <w:rFonts w:ascii="Arial" w:cs="Arial" w:eastAsia="Arial" w:hAnsi="Arial"/>
          <w:sz w:val="17"/>
          <w:szCs w:val="17"/>
          <w:b w:val="1"/>
          <w:bCs w:val="1"/>
          <w:color w:val="C00000"/>
        </w:rPr>
        <w:t xml:space="preserve"> </w:t>
      </w:r>
      <w:r>
        <w:rPr>
          <w:rFonts w:ascii="Arial" w:cs="Arial" w:eastAsia="Arial" w:hAnsi="Arial"/>
          <w:sz w:val="17"/>
          <w:szCs w:val="17"/>
          <w:color w:val="000000"/>
        </w:rPr>
        <w:t>operations is important in light of our global footprint and desire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grow our international business.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 xml:space="preserve">Information Systems/Cybersecurity. </w:t>
      </w:r>
      <w:r>
        <w:rPr>
          <w:rFonts w:ascii="Arial" w:cs="Arial" w:eastAsia="Arial" w:hAnsi="Arial"/>
          <w:sz w:val="18"/>
          <w:szCs w:val="18"/>
          <w:color w:val="000000"/>
        </w:rPr>
        <w:t>Board oversight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information systems and cybersecurity risk is critical in light of</w:t>
      </w:r>
    </w:p>
    <w:p>
      <w:pPr>
        <w:ind w:right="160"/>
        <w:spacing w:after="0" w:line="262" w:lineRule="auto"/>
        <w:rPr>
          <w:sz w:val="20"/>
          <w:szCs w:val="20"/>
          <w:color w:val="auto"/>
        </w:rPr>
      </w:pPr>
      <w:r>
        <w:rPr>
          <w:rFonts w:ascii="Arial" w:cs="Arial" w:eastAsia="Arial" w:hAnsi="Arial"/>
          <w:sz w:val="17"/>
          <w:szCs w:val="17"/>
          <w:color w:val="auto"/>
        </w:rPr>
        <w:t>the increasing prevalence of cyber attacks that could result in reputational, legal, and operational issues for the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 xml:space="preserve">Previously Resided Outside the United States. </w:t>
      </w:r>
      <w:r>
        <w:rPr>
          <w:rFonts w:ascii="Arial" w:cs="Arial" w:eastAsia="Arial" w:hAnsi="Arial"/>
          <w:sz w:val="18"/>
          <w:szCs w:val="18"/>
          <w:color w:val="000000"/>
        </w:rPr>
        <w:t>A solid</w:t>
      </w:r>
    </w:p>
    <w:p>
      <w:pPr>
        <w:spacing w:after="0" w:line="1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understanding of our global workforce and customers assists the Company with further developing our international strategy.</w:t>
      </w:r>
    </w:p>
    <w:p>
      <w:pPr>
        <w:spacing w:after="0" w:line="651" w:lineRule="exact"/>
        <w:rPr>
          <w:sz w:val="20"/>
          <w:szCs w:val="20"/>
          <w:color w:val="auto"/>
        </w:rPr>
      </w:pPr>
    </w:p>
    <w:p>
      <w:pPr>
        <w:sectPr>
          <w:pgSz w:w="11900" w:h="16838" w:orient="portrait"/>
          <w:cols w:equalWidth="0" w:num="2">
            <w:col w:w="5940" w:space="340"/>
            <w:col w:w="5020"/>
          </w:cols>
          <w:pgMar w:left="320" w:top="1106"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06" w:right="279" w:bottom="1440" w:gutter="0" w:footer="0" w:header="0"/>
          <w:type w:val="continuous"/>
        </w:sectPr>
      </w:pPr>
    </w:p>
    <w:bookmarkStart w:id="19" w:name="page20"/>
    <w:bookmarkEnd w:id="19"/>
    <w:p>
      <w:pPr>
        <w:ind w:right="20" w:firstLine="324"/>
        <w:spacing w:after="0" w:line="271" w:lineRule="auto"/>
        <w:rPr>
          <w:sz w:val="20"/>
          <w:szCs w:val="20"/>
          <w:color w:val="auto"/>
        </w:rPr>
      </w:pPr>
      <w:r>
        <w:rPr>
          <w:rFonts w:ascii="Arial" w:cs="Arial" w:eastAsia="Arial" w:hAnsi="Arial"/>
          <w:sz w:val="18"/>
          <w:szCs w:val="18"/>
          <w:color w:val="auto"/>
        </w:rPr>
        <w:t>The following chart summarizes the key experience of each director nominee and continuing director in these critical areas, and provides certain demographic information:</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80" w:type="dxa"/>
            <w:vAlign w:val="bottom"/>
            <w:shd w:val="clear" w:color="auto" w:fill="BF2115"/>
          </w:tcPr>
          <w:p>
            <w:pPr>
              <w:spacing w:after="0"/>
              <w:rPr>
                <w:sz w:val="16"/>
                <w:szCs w:val="16"/>
                <w:color w:val="auto"/>
              </w:rPr>
            </w:pPr>
          </w:p>
        </w:tc>
        <w:tc>
          <w:tcPr>
            <w:tcW w:w="92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rPr>
              <w:t>Dianne</w:t>
            </w:r>
          </w:p>
        </w:tc>
        <w:tc>
          <w:tcPr>
            <w:tcW w:w="70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rPr>
              <w:t>Gary</w:t>
            </w:r>
          </w:p>
        </w:tc>
        <w:tc>
          <w:tcPr>
            <w:tcW w:w="86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Eric</w:t>
            </w:r>
          </w:p>
        </w:tc>
        <w:tc>
          <w:tcPr>
            <w:tcW w:w="98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Jeffrey</w:t>
            </w:r>
          </w:p>
        </w:tc>
        <w:tc>
          <w:tcPr>
            <w:tcW w:w="8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D.</w:t>
            </w:r>
          </w:p>
        </w:tc>
        <w:tc>
          <w:tcPr>
            <w:tcW w:w="74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rPr>
              <w:t>Joyce</w:t>
            </w:r>
          </w:p>
        </w:tc>
        <w:tc>
          <w:tcPr>
            <w:tcW w:w="82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rPr>
              <w:t>Richard</w:t>
            </w:r>
          </w:p>
        </w:tc>
        <w:tc>
          <w:tcPr>
            <w:tcW w:w="98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rPr>
              <w:t>James</w:t>
            </w:r>
          </w:p>
        </w:tc>
        <w:tc>
          <w:tcPr>
            <w:tcW w:w="840" w:type="dxa"/>
            <w:vAlign w:val="bottom"/>
            <w:vMerge w:val="restart"/>
            <w:shd w:val="clear" w:color="auto" w:fill="BF2115"/>
          </w:tcPr>
          <w:p>
            <w:pPr>
              <w:ind w:left="260"/>
              <w:spacing w:after="0"/>
              <w:rPr>
                <w:sz w:val="20"/>
                <w:szCs w:val="20"/>
                <w:color w:val="auto"/>
              </w:rPr>
            </w:pPr>
            <w:r>
              <w:rPr>
                <w:rFonts w:ascii="Arial" w:cs="Arial" w:eastAsia="Arial" w:hAnsi="Arial"/>
                <w:sz w:val="16"/>
                <w:szCs w:val="16"/>
                <w:b w:val="1"/>
                <w:bCs w:val="1"/>
                <w:color w:val="FFFFFF"/>
              </w:rPr>
              <w:t>Jill</w:t>
            </w:r>
          </w:p>
        </w:tc>
        <w:tc>
          <w:tcPr>
            <w:tcW w:w="0" w:type="dxa"/>
            <w:vAlign w:val="bottom"/>
          </w:tcPr>
          <w:p>
            <w:pPr>
              <w:spacing w:after="0"/>
              <w:rPr>
                <w:sz w:val="1"/>
                <w:szCs w:val="1"/>
                <w:color w:val="auto"/>
              </w:rPr>
            </w:pPr>
          </w:p>
        </w:tc>
      </w:tr>
      <w:tr>
        <w:trPr>
          <w:trHeight w:val="81"/>
        </w:trPr>
        <w:tc>
          <w:tcPr>
            <w:tcW w:w="3480" w:type="dxa"/>
            <w:vAlign w:val="bottom"/>
            <w:vMerge w:val="restart"/>
            <w:shd w:val="clear" w:color="auto" w:fill="BF2115"/>
          </w:tcPr>
          <w:p>
            <w:pPr>
              <w:ind w:left="20"/>
              <w:spacing w:after="0"/>
              <w:rPr>
                <w:sz w:val="20"/>
                <w:szCs w:val="20"/>
                <w:color w:val="auto"/>
              </w:rPr>
            </w:pPr>
            <w:r>
              <w:rPr>
                <w:rFonts w:ascii="Arial" w:cs="Arial" w:eastAsia="Arial" w:hAnsi="Arial"/>
                <w:sz w:val="16"/>
                <w:szCs w:val="16"/>
                <w:b w:val="1"/>
                <w:bCs w:val="1"/>
                <w:color w:val="FFFFFF"/>
              </w:rPr>
              <w:t>Experience as an Executive Leader in the</w:t>
            </w:r>
          </w:p>
        </w:tc>
        <w:tc>
          <w:tcPr>
            <w:tcW w:w="920" w:type="dxa"/>
            <w:vAlign w:val="bottom"/>
            <w:vMerge w:val="continue"/>
            <w:shd w:val="clear" w:color="auto" w:fill="BF2115"/>
          </w:tcPr>
          <w:p>
            <w:pPr>
              <w:spacing w:after="0"/>
              <w:rPr>
                <w:sz w:val="7"/>
                <w:szCs w:val="7"/>
                <w:color w:val="auto"/>
              </w:rPr>
            </w:pPr>
          </w:p>
        </w:tc>
        <w:tc>
          <w:tcPr>
            <w:tcW w:w="700" w:type="dxa"/>
            <w:vAlign w:val="bottom"/>
            <w:vMerge w:val="continue"/>
            <w:shd w:val="clear" w:color="auto" w:fill="BF2115"/>
          </w:tcPr>
          <w:p>
            <w:pPr>
              <w:spacing w:after="0"/>
              <w:rPr>
                <w:sz w:val="7"/>
                <w:szCs w:val="7"/>
                <w:color w:val="auto"/>
              </w:rPr>
            </w:pPr>
          </w:p>
        </w:tc>
        <w:tc>
          <w:tcPr>
            <w:tcW w:w="860" w:type="dxa"/>
            <w:vAlign w:val="bottom"/>
            <w:vMerge w:val="continue"/>
            <w:shd w:val="clear" w:color="auto" w:fill="BF2115"/>
          </w:tcPr>
          <w:p>
            <w:pPr>
              <w:spacing w:after="0"/>
              <w:rPr>
                <w:sz w:val="7"/>
                <w:szCs w:val="7"/>
                <w:color w:val="auto"/>
              </w:rPr>
            </w:pPr>
          </w:p>
        </w:tc>
        <w:tc>
          <w:tcPr>
            <w:tcW w:w="980" w:type="dxa"/>
            <w:vAlign w:val="bottom"/>
            <w:vMerge w:val="continue"/>
            <w:shd w:val="clear" w:color="auto" w:fill="BF2115"/>
          </w:tcPr>
          <w:p>
            <w:pPr>
              <w:spacing w:after="0"/>
              <w:rPr>
                <w:sz w:val="7"/>
                <w:szCs w:val="7"/>
                <w:color w:val="auto"/>
              </w:rPr>
            </w:pPr>
          </w:p>
        </w:tc>
        <w:tc>
          <w:tcPr>
            <w:tcW w:w="86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rPr>
              <w:t>Christian</w:t>
            </w:r>
          </w:p>
        </w:tc>
        <w:tc>
          <w:tcPr>
            <w:tcW w:w="740" w:type="dxa"/>
            <w:vAlign w:val="bottom"/>
            <w:vMerge w:val="continue"/>
            <w:shd w:val="clear" w:color="auto" w:fill="BF2115"/>
          </w:tcPr>
          <w:p>
            <w:pPr>
              <w:spacing w:after="0"/>
              <w:rPr>
                <w:sz w:val="7"/>
                <w:szCs w:val="7"/>
                <w:color w:val="auto"/>
              </w:rPr>
            </w:pPr>
          </w:p>
        </w:tc>
        <w:tc>
          <w:tcPr>
            <w:tcW w:w="820" w:type="dxa"/>
            <w:vAlign w:val="bottom"/>
            <w:vMerge w:val="continue"/>
            <w:shd w:val="clear" w:color="auto" w:fill="BF2115"/>
          </w:tcPr>
          <w:p>
            <w:pPr>
              <w:spacing w:after="0"/>
              <w:rPr>
                <w:sz w:val="7"/>
                <w:szCs w:val="7"/>
                <w:color w:val="auto"/>
              </w:rPr>
            </w:pPr>
          </w:p>
        </w:tc>
        <w:tc>
          <w:tcPr>
            <w:tcW w:w="980" w:type="dxa"/>
            <w:vAlign w:val="bottom"/>
            <w:vMerge w:val="continue"/>
            <w:shd w:val="clear" w:color="auto" w:fill="BF2115"/>
          </w:tcPr>
          <w:p>
            <w:pPr>
              <w:spacing w:after="0"/>
              <w:rPr>
                <w:sz w:val="7"/>
                <w:szCs w:val="7"/>
                <w:color w:val="auto"/>
              </w:rPr>
            </w:pPr>
          </w:p>
        </w:tc>
        <w:tc>
          <w:tcPr>
            <w:tcW w:w="840" w:type="dxa"/>
            <w:vAlign w:val="bottom"/>
            <w:vMerge w:val="continue"/>
            <w:shd w:val="clear" w:color="auto" w:fill="BF2115"/>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480" w:type="dxa"/>
            <w:vAlign w:val="bottom"/>
            <w:vMerge w:val="continue"/>
            <w:shd w:val="clear" w:color="auto" w:fill="BF2115"/>
          </w:tcPr>
          <w:p>
            <w:pPr>
              <w:spacing w:after="0"/>
              <w:rPr>
                <w:sz w:val="15"/>
                <w:szCs w:val="15"/>
                <w:color w:val="auto"/>
              </w:rPr>
            </w:pPr>
          </w:p>
        </w:tc>
        <w:tc>
          <w:tcPr>
            <w:tcW w:w="920" w:type="dxa"/>
            <w:vAlign w:val="bottom"/>
            <w:shd w:val="clear" w:color="auto" w:fill="BF2115"/>
          </w:tcPr>
          <w:p>
            <w:pPr>
              <w:jc w:val="center"/>
              <w:spacing w:after="0" w:line="176" w:lineRule="exact"/>
              <w:rPr>
                <w:sz w:val="20"/>
                <w:szCs w:val="20"/>
                <w:color w:val="auto"/>
              </w:rPr>
            </w:pPr>
            <w:r>
              <w:rPr>
                <w:rFonts w:ascii="Arial" w:cs="Arial" w:eastAsia="Arial" w:hAnsi="Arial"/>
                <w:sz w:val="16"/>
                <w:szCs w:val="16"/>
                <w:b w:val="1"/>
                <w:bCs w:val="1"/>
                <w:color w:val="FFFFFF"/>
              </w:rPr>
              <w:t>Craig</w:t>
            </w:r>
          </w:p>
        </w:tc>
        <w:tc>
          <w:tcPr>
            <w:tcW w:w="700" w:type="dxa"/>
            <w:vAlign w:val="bottom"/>
            <w:shd w:val="clear" w:color="auto" w:fill="BF2115"/>
          </w:tcPr>
          <w:p>
            <w:pPr>
              <w:jc w:val="center"/>
              <w:spacing w:after="0" w:line="176" w:lineRule="exact"/>
              <w:rPr>
                <w:sz w:val="20"/>
                <w:szCs w:val="20"/>
                <w:color w:val="auto"/>
              </w:rPr>
            </w:pPr>
            <w:r>
              <w:rPr>
                <w:rFonts w:ascii="Arial" w:cs="Arial" w:eastAsia="Arial" w:hAnsi="Arial"/>
                <w:sz w:val="16"/>
                <w:szCs w:val="16"/>
                <w:b w:val="1"/>
                <w:bCs w:val="1"/>
                <w:color w:val="FFFFFF"/>
              </w:rPr>
              <w:t>Ellis</w:t>
            </w:r>
          </w:p>
        </w:tc>
        <w:tc>
          <w:tcPr>
            <w:tcW w:w="1840" w:type="dxa"/>
            <w:vAlign w:val="bottom"/>
            <w:gridSpan w:val="2"/>
            <w:shd w:val="clear" w:color="auto" w:fill="BF2115"/>
          </w:tcPr>
          <w:p>
            <w:pPr>
              <w:ind w:left="140"/>
              <w:spacing w:after="0" w:line="176" w:lineRule="exact"/>
              <w:rPr>
                <w:sz w:val="20"/>
                <w:szCs w:val="20"/>
                <w:color w:val="auto"/>
              </w:rPr>
            </w:pPr>
            <w:r>
              <w:rPr>
                <w:rFonts w:ascii="Arial" w:cs="Arial" w:eastAsia="Arial" w:hAnsi="Arial"/>
                <w:sz w:val="16"/>
                <w:szCs w:val="16"/>
                <w:b w:val="1"/>
                <w:bCs w:val="1"/>
                <w:color w:val="FFFFFF"/>
              </w:rPr>
              <w:t>Hansotia  Harmening</w:t>
            </w:r>
          </w:p>
        </w:tc>
        <w:tc>
          <w:tcPr>
            <w:tcW w:w="860" w:type="dxa"/>
            <w:vAlign w:val="bottom"/>
            <w:vMerge w:val="continue"/>
            <w:shd w:val="clear" w:color="auto" w:fill="BF2115"/>
          </w:tcPr>
          <w:p>
            <w:pPr>
              <w:spacing w:after="0"/>
              <w:rPr>
                <w:sz w:val="15"/>
                <w:szCs w:val="15"/>
                <w:color w:val="auto"/>
              </w:rPr>
            </w:pPr>
          </w:p>
        </w:tc>
        <w:tc>
          <w:tcPr>
            <w:tcW w:w="740" w:type="dxa"/>
            <w:vAlign w:val="bottom"/>
            <w:shd w:val="clear" w:color="auto" w:fill="BF2115"/>
          </w:tcPr>
          <w:p>
            <w:pPr>
              <w:jc w:val="center"/>
              <w:spacing w:after="0" w:line="176" w:lineRule="exact"/>
              <w:rPr>
                <w:sz w:val="20"/>
                <w:szCs w:val="20"/>
                <w:color w:val="auto"/>
              </w:rPr>
            </w:pPr>
            <w:r>
              <w:rPr>
                <w:rFonts w:ascii="Arial" w:cs="Arial" w:eastAsia="Arial" w:hAnsi="Arial"/>
                <w:sz w:val="16"/>
                <w:szCs w:val="16"/>
                <w:b w:val="1"/>
                <w:bCs w:val="1"/>
                <w:color w:val="FFFFFF"/>
              </w:rPr>
              <w:t>Mullen</w:t>
            </w:r>
          </w:p>
        </w:tc>
        <w:tc>
          <w:tcPr>
            <w:tcW w:w="820" w:type="dxa"/>
            <w:vAlign w:val="bottom"/>
            <w:shd w:val="clear" w:color="auto" w:fill="BF2115"/>
          </w:tcPr>
          <w:p>
            <w:pPr>
              <w:jc w:val="center"/>
              <w:spacing w:after="0" w:line="176" w:lineRule="exact"/>
              <w:rPr>
                <w:sz w:val="20"/>
                <w:szCs w:val="20"/>
                <w:color w:val="auto"/>
              </w:rPr>
            </w:pPr>
            <w:r>
              <w:rPr>
                <w:rFonts w:ascii="Arial" w:cs="Arial" w:eastAsia="Arial" w:hAnsi="Arial"/>
                <w:sz w:val="16"/>
                <w:szCs w:val="16"/>
                <w:b w:val="1"/>
                <w:bCs w:val="1"/>
                <w:color w:val="FFFFFF"/>
              </w:rPr>
              <w:t>Olson</w:t>
            </w:r>
          </w:p>
        </w:tc>
        <w:tc>
          <w:tcPr>
            <w:tcW w:w="1820" w:type="dxa"/>
            <w:vAlign w:val="bottom"/>
            <w:gridSpan w:val="2"/>
            <w:shd w:val="clear" w:color="auto" w:fill="BF2115"/>
          </w:tcPr>
          <w:p>
            <w:pPr>
              <w:ind w:left="100"/>
              <w:spacing w:after="0" w:line="176" w:lineRule="exact"/>
              <w:rPr>
                <w:sz w:val="20"/>
                <w:szCs w:val="20"/>
                <w:color w:val="auto"/>
              </w:rPr>
            </w:pPr>
            <w:r>
              <w:rPr>
                <w:rFonts w:ascii="Arial" w:cs="Arial" w:eastAsia="Arial" w:hAnsi="Arial"/>
                <w:sz w:val="16"/>
                <w:szCs w:val="16"/>
                <w:b w:val="1"/>
                <w:bCs w:val="1"/>
                <w:color w:val="FFFFFF"/>
              </w:rPr>
              <w:t>O'Rourke Pemberton</w:t>
            </w:r>
          </w:p>
        </w:tc>
        <w:tc>
          <w:tcPr>
            <w:tcW w:w="0" w:type="dxa"/>
            <w:vAlign w:val="bottom"/>
          </w:tcPr>
          <w:p>
            <w:pPr>
              <w:spacing w:after="0"/>
              <w:rPr>
                <w:sz w:val="1"/>
                <w:szCs w:val="1"/>
                <w:color w:val="auto"/>
              </w:rPr>
            </w:pPr>
          </w:p>
        </w:tc>
      </w:tr>
      <w:tr>
        <w:trPr>
          <w:trHeight w:val="162"/>
        </w:trPr>
        <w:tc>
          <w:tcPr>
            <w:tcW w:w="3480" w:type="dxa"/>
            <w:vAlign w:val="bottom"/>
            <w:shd w:val="clear" w:color="auto" w:fill="BF2115"/>
          </w:tcPr>
          <w:p>
            <w:pPr>
              <w:ind w:left="20"/>
              <w:spacing w:after="0" w:line="162" w:lineRule="exact"/>
              <w:rPr>
                <w:sz w:val="20"/>
                <w:szCs w:val="20"/>
                <w:color w:val="auto"/>
              </w:rPr>
            </w:pPr>
            <w:r>
              <w:rPr>
                <w:rFonts w:ascii="Arial" w:cs="Arial" w:eastAsia="Arial" w:hAnsi="Arial"/>
                <w:sz w:val="16"/>
                <w:szCs w:val="16"/>
                <w:b w:val="1"/>
                <w:bCs w:val="1"/>
                <w:color w:val="FFFFFF"/>
              </w:rPr>
              <w:t>Following Areas</w:t>
            </w:r>
          </w:p>
        </w:tc>
        <w:tc>
          <w:tcPr>
            <w:tcW w:w="920" w:type="dxa"/>
            <w:vAlign w:val="bottom"/>
            <w:shd w:val="clear" w:color="auto" w:fill="BF2115"/>
          </w:tcPr>
          <w:p>
            <w:pPr>
              <w:spacing w:after="0"/>
              <w:rPr>
                <w:sz w:val="14"/>
                <w:szCs w:val="14"/>
                <w:color w:val="auto"/>
              </w:rPr>
            </w:pPr>
          </w:p>
        </w:tc>
        <w:tc>
          <w:tcPr>
            <w:tcW w:w="700" w:type="dxa"/>
            <w:vAlign w:val="bottom"/>
            <w:shd w:val="clear" w:color="auto" w:fill="BF2115"/>
          </w:tcPr>
          <w:p>
            <w:pPr>
              <w:spacing w:after="0"/>
              <w:rPr>
                <w:sz w:val="14"/>
                <w:szCs w:val="14"/>
                <w:color w:val="auto"/>
              </w:rPr>
            </w:pPr>
          </w:p>
        </w:tc>
        <w:tc>
          <w:tcPr>
            <w:tcW w:w="860" w:type="dxa"/>
            <w:vAlign w:val="bottom"/>
            <w:shd w:val="clear" w:color="auto" w:fill="BF2115"/>
          </w:tcPr>
          <w:p>
            <w:pPr>
              <w:spacing w:after="0"/>
              <w:rPr>
                <w:sz w:val="14"/>
                <w:szCs w:val="14"/>
                <w:color w:val="auto"/>
              </w:rPr>
            </w:pPr>
          </w:p>
        </w:tc>
        <w:tc>
          <w:tcPr>
            <w:tcW w:w="980" w:type="dxa"/>
            <w:vAlign w:val="bottom"/>
            <w:shd w:val="clear" w:color="auto" w:fill="BF2115"/>
          </w:tcPr>
          <w:p>
            <w:pPr>
              <w:spacing w:after="0"/>
              <w:rPr>
                <w:sz w:val="14"/>
                <w:szCs w:val="14"/>
                <w:color w:val="auto"/>
              </w:rPr>
            </w:pPr>
          </w:p>
        </w:tc>
        <w:tc>
          <w:tcPr>
            <w:tcW w:w="860" w:type="dxa"/>
            <w:vAlign w:val="bottom"/>
            <w:shd w:val="clear" w:color="auto" w:fill="BF2115"/>
          </w:tcPr>
          <w:p>
            <w:pPr>
              <w:jc w:val="center"/>
              <w:spacing w:after="0" w:line="162" w:lineRule="exact"/>
              <w:rPr>
                <w:sz w:val="20"/>
                <w:szCs w:val="20"/>
                <w:color w:val="auto"/>
              </w:rPr>
            </w:pPr>
            <w:r>
              <w:rPr>
                <w:rFonts w:ascii="Arial" w:cs="Arial" w:eastAsia="Arial" w:hAnsi="Arial"/>
                <w:sz w:val="16"/>
                <w:szCs w:val="16"/>
                <w:b w:val="1"/>
                <w:bCs w:val="1"/>
                <w:color w:val="FFFFFF"/>
                <w:w w:val="99"/>
              </w:rPr>
              <w:t>Koch</w:t>
            </w:r>
          </w:p>
        </w:tc>
        <w:tc>
          <w:tcPr>
            <w:tcW w:w="740" w:type="dxa"/>
            <w:vAlign w:val="bottom"/>
            <w:shd w:val="clear" w:color="auto" w:fill="BF2115"/>
          </w:tcPr>
          <w:p>
            <w:pPr>
              <w:spacing w:after="0"/>
              <w:rPr>
                <w:sz w:val="14"/>
                <w:szCs w:val="14"/>
                <w:color w:val="auto"/>
              </w:rPr>
            </w:pPr>
          </w:p>
        </w:tc>
        <w:tc>
          <w:tcPr>
            <w:tcW w:w="820" w:type="dxa"/>
            <w:vAlign w:val="bottom"/>
            <w:shd w:val="clear" w:color="auto" w:fill="BF2115"/>
          </w:tcPr>
          <w:p>
            <w:pPr>
              <w:spacing w:after="0"/>
              <w:rPr>
                <w:sz w:val="14"/>
                <w:szCs w:val="14"/>
                <w:color w:val="auto"/>
              </w:rPr>
            </w:pPr>
          </w:p>
        </w:tc>
        <w:tc>
          <w:tcPr>
            <w:tcW w:w="980" w:type="dxa"/>
            <w:vAlign w:val="bottom"/>
            <w:shd w:val="clear" w:color="auto" w:fill="BF2115"/>
          </w:tcPr>
          <w:p>
            <w:pPr>
              <w:spacing w:after="0"/>
              <w:rPr>
                <w:sz w:val="14"/>
                <w:szCs w:val="14"/>
                <w:color w:val="auto"/>
              </w:rPr>
            </w:pPr>
          </w:p>
        </w:tc>
        <w:tc>
          <w:tcPr>
            <w:tcW w:w="840" w:type="dxa"/>
            <w:vAlign w:val="bottom"/>
            <w:shd w:val="clear" w:color="auto" w:fill="BF2115"/>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3480" w:type="dxa"/>
            <w:vAlign w:val="bottom"/>
          </w:tcPr>
          <w:p>
            <w:pPr>
              <w:ind w:left="20"/>
              <w:spacing w:after="0"/>
              <w:rPr>
                <w:sz w:val="20"/>
                <w:szCs w:val="20"/>
                <w:color w:val="auto"/>
              </w:rPr>
            </w:pPr>
            <w:r>
              <w:rPr>
                <w:rFonts w:ascii="Arial" w:cs="Arial" w:eastAsia="Arial" w:hAnsi="Arial"/>
                <w:sz w:val="18"/>
                <w:szCs w:val="18"/>
                <w:color w:val="auto"/>
              </w:rPr>
              <w:t>Current/Former CEO</w:t>
            </w:r>
          </w:p>
        </w:tc>
        <w:tc>
          <w:tcPr>
            <w:tcW w:w="9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00" w:type="dxa"/>
            <w:vAlign w:val="bottom"/>
          </w:tcPr>
          <w:p>
            <w:pPr>
              <w:spacing w:after="0"/>
              <w:rPr>
                <w:sz w:val="24"/>
                <w:szCs w:val="24"/>
                <w:color w:val="auto"/>
              </w:rPr>
            </w:pPr>
          </w:p>
        </w:tc>
        <w:tc>
          <w:tcPr>
            <w:tcW w:w="8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shd w:val="clear" w:color="auto" w:fill="C00000"/>
              </w:rPr>
              <w:t>✓</w:t>
            </w:r>
          </w:p>
        </w:tc>
        <w:tc>
          <w:tcPr>
            <w:tcW w:w="9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9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Finance/Financial Oversight</w:t>
            </w:r>
          </w:p>
        </w:tc>
        <w:tc>
          <w:tcPr>
            <w:tcW w:w="92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0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90"/>
                <w:shd w:val="clear" w:color="auto" w:fill="C00000"/>
              </w:rPr>
              <w:t>✓</w:t>
            </w:r>
          </w:p>
        </w:tc>
        <w:tc>
          <w:tcPr>
            <w:tcW w:w="98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4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2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98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40" w:type="dxa"/>
            <w:vAlign w:val="bottom"/>
            <w:shd w:val="clear" w:color="auto" w:fill="DBDBDB"/>
          </w:tcPr>
          <w:p>
            <w:pPr>
              <w:ind w:left="280"/>
              <w:spacing w:after="0" w:line="221" w:lineRule="exact"/>
              <w:rPr>
                <w:sz w:val="20"/>
                <w:szCs w:val="20"/>
                <w:color w:val="auto"/>
              </w:rPr>
            </w:pPr>
            <w:r>
              <w:rPr>
                <w:rFonts w:ascii="MS PGothic" w:cs="MS PGothic" w:eastAsia="MS PGothic" w:hAnsi="MS PGothic"/>
                <w:sz w:val="22"/>
                <w:szCs w:val="22"/>
                <w:color w:val="auto"/>
                <w:shd w:val="clear" w:color="auto" w:fill="C00000"/>
              </w:rPr>
              <w:t>✓</w:t>
            </w:r>
          </w:p>
        </w:tc>
        <w:tc>
          <w:tcPr>
            <w:tcW w:w="0" w:type="dxa"/>
            <w:vAlign w:val="bottom"/>
          </w:tcPr>
          <w:p>
            <w:pPr>
              <w:spacing w:after="0"/>
              <w:rPr>
                <w:sz w:val="1"/>
                <w:szCs w:val="1"/>
                <w:color w:val="auto"/>
              </w:rPr>
            </w:pPr>
          </w:p>
        </w:tc>
      </w:tr>
      <w:tr>
        <w:trPr>
          <w:trHeight w:val="176"/>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rPr>
              <w:t>Public Company Board</w:t>
            </w:r>
          </w:p>
        </w:tc>
        <w:tc>
          <w:tcPr>
            <w:tcW w:w="920" w:type="dxa"/>
            <w:vAlign w:val="bottom"/>
          </w:tcPr>
          <w:p>
            <w:pPr>
              <w:spacing w:after="0"/>
              <w:rPr>
                <w:sz w:val="15"/>
                <w:szCs w:val="15"/>
                <w:color w:val="auto"/>
              </w:rPr>
            </w:pPr>
          </w:p>
        </w:tc>
        <w:tc>
          <w:tcPr>
            <w:tcW w:w="7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shd w:val="clear" w:color="auto" w:fill="C00000"/>
              </w:rPr>
              <w:t>✓</w:t>
            </w:r>
          </w:p>
        </w:tc>
        <w:tc>
          <w:tcPr>
            <w:tcW w:w="9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2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9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480" w:type="dxa"/>
            <w:vAlign w:val="bottom"/>
          </w:tcPr>
          <w:p>
            <w:pPr>
              <w:ind w:left="20"/>
              <w:spacing w:after="0"/>
              <w:rPr>
                <w:sz w:val="20"/>
                <w:szCs w:val="20"/>
                <w:color w:val="auto"/>
              </w:rPr>
            </w:pPr>
            <w:r>
              <w:rPr>
                <w:rFonts w:ascii="Arial" w:cs="Arial" w:eastAsia="Arial" w:hAnsi="Arial"/>
                <w:sz w:val="18"/>
                <w:szCs w:val="18"/>
                <w:color w:val="auto"/>
              </w:rPr>
              <w:t>(other than TTC)</w:t>
            </w:r>
          </w:p>
        </w:tc>
        <w:tc>
          <w:tcPr>
            <w:tcW w:w="92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3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Manufacturing/Supply Chain/ Operations</w:t>
            </w:r>
          </w:p>
        </w:tc>
        <w:tc>
          <w:tcPr>
            <w:tcW w:w="92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00" w:type="dxa"/>
            <w:vAlign w:val="bottom"/>
            <w:shd w:val="clear" w:color="auto" w:fill="DBDBDB"/>
          </w:tcPr>
          <w:p>
            <w:pPr>
              <w:spacing w:after="0"/>
              <w:rPr>
                <w:sz w:val="24"/>
                <w:szCs w:val="24"/>
                <w:color w:val="auto"/>
              </w:rPr>
            </w:pPr>
          </w:p>
        </w:tc>
        <w:tc>
          <w:tcPr>
            <w:tcW w:w="86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90"/>
                <w:shd w:val="clear" w:color="auto" w:fill="C00000"/>
              </w:rPr>
              <w:t>✓</w:t>
            </w:r>
          </w:p>
        </w:tc>
        <w:tc>
          <w:tcPr>
            <w:tcW w:w="98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4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2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98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40" w:type="dxa"/>
            <w:vAlign w:val="bottom"/>
            <w:shd w:val="clear" w:color="auto" w:fill="DBDBDB"/>
          </w:tcPr>
          <w:p>
            <w:pPr>
              <w:ind w:left="280"/>
              <w:spacing w:after="0" w:line="221" w:lineRule="exact"/>
              <w:rPr>
                <w:sz w:val="20"/>
                <w:szCs w:val="20"/>
                <w:color w:val="auto"/>
              </w:rPr>
            </w:pPr>
            <w:r>
              <w:rPr>
                <w:rFonts w:ascii="MS PGothic" w:cs="MS PGothic" w:eastAsia="MS PGothic" w:hAnsi="MS PGothic"/>
                <w:sz w:val="22"/>
                <w:szCs w:val="22"/>
                <w:color w:val="auto"/>
                <w:shd w:val="clear" w:color="auto" w:fill="C00000"/>
              </w:rPr>
              <w:t>✓</w:t>
            </w:r>
          </w:p>
        </w:tc>
        <w:tc>
          <w:tcPr>
            <w:tcW w:w="0" w:type="dxa"/>
            <w:vAlign w:val="bottom"/>
          </w:tcPr>
          <w:p>
            <w:pPr>
              <w:spacing w:after="0"/>
              <w:rPr>
                <w:sz w:val="1"/>
                <w:szCs w:val="1"/>
                <w:color w:val="auto"/>
              </w:rPr>
            </w:pPr>
          </w:p>
        </w:tc>
      </w:tr>
      <w:tr>
        <w:trPr>
          <w:trHeight w:val="297"/>
        </w:trPr>
        <w:tc>
          <w:tcPr>
            <w:tcW w:w="3480" w:type="dxa"/>
            <w:vAlign w:val="bottom"/>
          </w:tcPr>
          <w:p>
            <w:pPr>
              <w:ind w:left="20"/>
              <w:spacing w:after="0"/>
              <w:rPr>
                <w:sz w:val="20"/>
                <w:szCs w:val="20"/>
                <w:color w:val="auto"/>
              </w:rPr>
            </w:pPr>
            <w:r>
              <w:rPr>
                <w:rFonts w:ascii="Arial" w:cs="Arial" w:eastAsia="Arial" w:hAnsi="Arial"/>
                <w:sz w:val="18"/>
                <w:szCs w:val="18"/>
                <w:color w:val="auto"/>
              </w:rPr>
              <w:t>Distribution Channel</w:t>
            </w:r>
          </w:p>
        </w:tc>
        <w:tc>
          <w:tcPr>
            <w:tcW w:w="9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00" w:type="dxa"/>
            <w:vAlign w:val="bottom"/>
          </w:tcPr>
          <w:p>
            <w:pPr>
              <w:spacing w:after="0"/>
              <w:rPr>
                <w:sz w:val="24"/>
                <w:szCs w:val="24"/>
                <w:color w:val="auto"/>
              </w:rPr>
            </w:pPr>
          </w:p>
        </w:tc>
        <w:tc>
          <w:tcPr>
            <w:tcW w:w="8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shd w:val="clear" w:color="auto" w:fill="C00000"/>
              </w:rPr>
              <w:t>✓</w:t>
            </w:r>
          </w:p>
        </w:tc>
        <w:tc>
          <w:tcPr>
            <w:tcW w:w="9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980" w:type="dxa"/>
            <w:vAlign w:val="bottom"/>
          </w:tcPr>
          <w:p>
            <w:pPr>
              <w:spacing w:after="0"/>
              <w:rPr>
                <w:sz w:val="24"/>
                <w:szCs w:val="24"/>
                <w:color w:val="auto"/>
              </w:rPr>
            </w:pPr>
          </w:p>
        </w:tc>
        <w:tc>
          <w:tcPr>
            <w:tcW w:w="840" w:type="dxa"/>
            <w:vAlign w:val="bottom"/>
          </w:tcPr>
          <w:p>
            <w:pPr>
              <w:ind w:left="280"/>
              <w:spacing w:after="0" w:line="221" w:lineRule="exact"/>
              <w:rPr>
                <w:sz w:val="20"/>
                <w:szCs w:val="20"/>
                <w:color w:val="auto"/>
              </w:rPr>
            </w:pPr>
            <w:r>
              <w:rPr>
                <w:rFonts w:ascii="MS PGothic" w:cs="MS PGothic" w:eastAsia="MS PGothic" w:hAnsi="MS PGothic"/>
                <w:sz w:val="22"/>
                <w:szCs w:val="22"/>
                <w:color w:val="auto"/>
                <w:shd w:val="clear" w:color="auto" w:fill="C00000"/>
              </w:rPr>
              <w:t>✓</w:t>
            </w:r>
          </w:p>
        </w:tc>
        <w:tc>
          <w:tcPr>
            <w:tcW w:w="0" w:type="dxa"/>
            <w:vAlign w:val="bottom"/>
          </w:tcPr>
          <w:p>
            <w:pPr>
              <w:spacing w:after="0"/>
              <w:rPr>
                <w:sz w:val="1"/>
                <w:szCs w:val="1"/>
                <w:color w:val="auto"/>
              </w:rPr>
            </w:pPr>
          </w:p>
        </w:tc>
      </w:tr>
      <w:tr>
        <w:trPr>
          <w:trHeight w:val="297"/>
        </w:trPr>
        <w:tc>
          <w:tcPr>
            <w:tcW w:w="3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Strategic Planning</w:t>
            </w:r>
          </w:p>
        </w:tc>
        <w:tc>
          <w:tcPr>
            <w:tcW w:w="92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0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90"/>
                <w:shd w:val="clear" w:color="auto" w:fill="C00000"/>
              </w:rPr>
              <w:t>✓</w:t>
            </w:r>
          </w:p>
        </w:tc>
        <w:tc>
          <w:tcPr>
            <w:tcW w:w="98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4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2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98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40" w:type="dxa"/>
            <w:vAlign w:val="bottom"/>
            <w:shd w:val="clear" w:color="auto" w:fill="DBDBDB"/>
          </w:tcPr>
          <w:p>
            <w:pPr>
              <w:ind w:left="280"/>
              <w:spacing w:after="0" w:line="221" w:lineRule="exact"/>
              <w:rPr>
                <w:sz w:val="20"/>
                <w:szCs w:val="20"/>
                <w:color w:val="auto"/>
              </w:rPr>
            </w:pPr>
            <w:r>
              <w:rPr>
                <w:rFonts w:ascii="MS PGothic" w:cs="MS PGothic" w:eastAsia="MS PGothic" w:hAnsi="MS PGothic"/>
                <w:sz w:val="22"/>
                <w:szCs w:val="22"/>
                <w:color w:val="auto"/>
                <w:shd w:val="clear" w:color="auto" w:fill="C00000"/>
              </w:rPr>
              <w:t>✓</w:t>
            </w:r>
          </w:p>
        </w:tc>
        <w:tc>
          <w:tcPr>
            <w:tcW w:w="0" w:type="dxa"/>
            <w:vAlign w:val="bottom"/>
          </w:tcPr>
          <w:p>
            <w:pPr>
              <w:spacing w:after="0"/>
              <w:rPr>
                <w:sz w:val="1"/>
                <w:szCs w:val="1"/>
                <w:color w:val="auto"/>
              </w:rPr>
            </w:pPr>
          </w:p>
        </w:tc>
      </w:tr>
      <w:tr>
        <w:trPr>
          <w:trHeight w:val="297"/>
        </w:trPr>
        <w:tc>
          <w:tcPr>
            <w:tcW w:w="3480" w:type="dxa"/>
            <w:vAlign w:val="bottom"/>
          </w:tcPr>
          <w:p>
            <w:pPr>
              <w:ind w:left="20"/>
              <w:spacing w:after="0"/>
              <w:rPr>
                <w:sz w:val="20"/>
                <w:szCs w:val="20"/>
                <w:color w:val="auto"/>
              </w:rPr>
            </w:pPr>
            <w:r>
              <w:rPr>
                <w:rFonts w:ascii="Arial" w:cs="Arial" w:eastAsia="Arial" w:hAnsi="Arial"/>
                <w:sz w:val="18"/>
                <w:szCs w:val="18"/>
                <w:color w:val="auto"/>
              </w:rPr>
              <w:t>Regulatory/Government</w:t>
            </w:r>
          </w:p>
        </w:tc>
        <w:tc>
          <w:tcPr>
            <w:tcW w:w="9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tcPr>
          <w:p>
            <w:pPr>
              <w:spacing w:after="0"/>
              <w:rPr>
                <w:sz w:val="24"/>
                <w:szCs w:val="24"/>
                <w:color w:val="auto"/>
              </w:rPr>
            </w:pPr>
          </w:p>
        </w:tc>
        <w:tc>
          <w:tcPr>
            <w:tcW w:w="9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BF2115"/>
              </w:rPr>
              <w:t>✓</w:t>
            </w:r>
          </w:p>
        </w:tc>
        <w:tc>
          <w:tcPr>
            <w:tcW w:w="7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9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Health and Safety</w:t>
            </w:r>
          </w:p>
        </w:tc>
        <w:tc>
          <w:tcPr>
            <w:tcW w:w="92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00" w:type="dxa"/>
            <w:vAlign w:val="bottom"/>
            <w:shd w:val="clear" w:color="auto" w:fill="DBDBDB"/>
          </w:tcPr>
          <w:p>
            <w:pPr>
              <w:spacing w:after="0"/>
              <w:rPr>
                <w:sz w:val="24"/>
                <w:szCs w:val="24"/>
                <w:color w:val="auto"/>
              </w:rPr>
            </w:pPr>
          </w:p>
        </w:tc>
        <w:tc>
          <w:tcPr>
            <w:tcW w:w="860" w:type="dxa"/>
            <w:vAlign w:val="bottom"/>
            <w:shd w:val="clear" w:color="auto" w:fill="DBDBDB"/>
          </w:tcPr>
          <w:p>
            <w:pPr>
              <w:spacing w:after="0"/>
              <w:rPr>
                <w:sz w:val="24"/>
                <w:szCs w:val="24"/>
                <w:color w:val="auto"/>
              </w:rPr>
            </w:pPr>
          </w:p>
        </w:tc>
        <w:tc>
          <w:tcPr>
            <w:tcW w:w="98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40" w:type="dxa"/>
            <w:vAlign w:val="bottom"/>
            <w:shd w:val="clear" w:color="auto" w:fill="DBDBDB"/>
          </w:tcPr>
          <w:p>
            <w:pPr>
              <w:spacing w:after="0"/>
              <w:rPr>
                <w:sz w:val="24"/>
                <w:szCs w:val="24"/>
                <w:color w:val="auto"/>
              </w:rPr>
            </w:pPr>
          </w:p>
        </w:tc>
        <w:tc>
          <w:tcPr>
            <w:tcW w:w="82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98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4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tcPr>
          <w:p>
            <w:pPr>
              <w:ind w:left="20"/>
              <w:spacing w:after="0"/>
              <w:rPr>
                <w:sz w:val="20"/>
                <w:szCs w:val="20"/>
                <w:color w:val="auto"/>
              </w:rPr>
            </w:pPr>
            <w:r>
              <w:rPr>
                <w:rFonts w:ascii="Arial" w:cs="Arial" w:eastAsia="Arial" w:hAnsi="Arial"/>
                <w:sz w:val="18"/>
                <w:szCs w:val="18"/>
                <w:color w:val="auto"/>
              </w:rPr>
              <w:t>Sustainability/Climate</w:t>
            </w:r>
          </w:p>
        </w:tc>
        <w:tc>
          <w:tcPr>
            <w:tcW w:w="920" w:type="dxa"/>
            <w:vAlign w:val="bottom"/>
          </w:tcPr>
          <w:p>
            <w:pPr>
              <w:spacing w:after="0"/>
              <w:rPr>
                <w:sz w:val="24"/>
                <w:szCs w:val="24"/>
                <w:color w:val="auto"/>
              </w:rPr>
            </w:pPr>
          </w:p>
        </w:tc>
        <w:tc>
          <w:tcPr>
            <w:tcW w:w="7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shd w:val="clear" w:color="auto" w:fill="C00000"/>
              </w:rPr>
              <w:t>✓</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Mergers &amp; Acquisitions</w:t>
            </w:r>
          </w:p>
        </w:tc>
        <w:tc>
          <w:tcPr>
            <w:tcW w:w="920" w:type="dxa"/>
            <w:vAlign w:val="bottom"/>
            <w:shd w:val="clear" w:color="auto" w:fill="DBDBDB"/>
          </w:tcPr>
          <w:p>
            <w:pPr>
              <w:spacing w:after="0"/>
              <w:rPr>
                <w:sz w:val="24"/>
                <w:szCs w:val="24"/>
                <w:color w:val="auto"/>
              </w:rPr>
            </w:pPr>
          </w:p>
        </w:tc>
        <w:tc>
          <w:tcPr>
            <w:tcW w:w="70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90"/>
                <w:shd w:val="clear" w:color="auto" w:fill="C00000"/>
              </w:rPr>
              <w:t>✓</w:t>
            </w:r>
          </w:p>
        </w:tc>
        <w:tc>
          <w:tcPr>
            <w:tcW w:w="98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4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2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98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40" w:type="dxa"/>
            <w:vAlign w:val="bottom"/>
            <w:shd w:val="clear" w:color="auto" w:fill="DBDBDB"/>
          </w:tcPr>
          <w:p>
            <w:pPr>
              <w:ind w:left="280"/>
              <w:spacing w:after="0" w:line="221" w:lineRule="exact"/>
              <w:rPr>
                <w:sz w:val="20"/>
                <w:szCs w:val="20"/>
                <w:color w:val="auto"/>
              </w:rPr>
            </w:pPr>
            <w:r>
              <w:rPr>
                <w:rFonts w:ascii="MS PGothic" w:cs="MS PGothic" w:eastAsia="MS PGothic" w:hAnsi="MS PGothic"/>
                <w:sz w:val="22"/>
                <w:szCs w:val="22"/>
                <w:color w:val="auto"/>
                <w:shd w:val="clear" w:color="auto" w:fill="C00000"/>
              </w:rPr>
              <w:t>✓</w:t>
            </w:r>
          </w:p>
        </w:tc>
        <w:tc>
          <w:tcPr>
            <w:tcW w:w="0" w:type="dxa"/>
            <w:vAlign w:val="bottom"/>
          </w:tcPr>
          <w:p>
            <w:pPr>
              <w:spacing w:after="0"/>
              <w:rPr>
                <w:sz w:val="1"/>
                <w:szCs w:val="1"/>
                <w:color w:val="auto"/>
              </w:rPr>
            </w:pPr>
          </w:p>
        </w:tc>
      </w:tr>
      <w:tr>
        <w:trPr>
          <w:trHeight w:val="297"/>
        </w:trPr>
        <w:tc>
          <w:tcPr>
            <w:tcW w:w="3480" w:type="dxa"/>
            <w:vAlign w:val="bottom"/>
          </w:tcPr>
          <w:p>
            <w:pPr>
              <w:ind w:left="20"/>
              <w:spacing w:after="0"/>
              <w:rPr>
                <w:sz w:val="20"/>
                <w:szCs w:val="20"/>
                <w:color w:val="auto"/>
              </w:rPr>
            </w:pPr>
            <w:r>
              <w:rPr>
                <w:rFonts w:ascii="Arial" w:cs="Arial" w:eastAsia="Arial" w:hAnsi="Arial"/>
                <w:sz w:val="18"/>
                <w:szCs w:val="18"/>
                <w:color w:val="auto"/>
              </w:rPr>
              <w:t>International Operations</w:t>
            </w:r>
          </w:p>
        </w:tc>
        <w:tc>
          <w:tcPr>
            <w:tcW w:w="9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shd w:val="clear" w:color="auto" w:fill="C00000"/>
              </w:rPr>
              <w:t>✓</w:t>
            </w:r>
          </w:p>
        </w:tc>
        <w:tc>
          <w:tcPr>
            <w:tcW w:w="9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9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40" w:type="dxa"/>
            <w:vAlign w:val="bottom"/>
          </w:tcPr>
          <w:p>
            <w:pPr>
              <w:ind w:left="280"/>
              <w:spacing w:after="0" w:line="221" w:lineRule="exact"/>
              <w:rPr>
                <w:sz w:val="20"/>
                <w:szCs w:val="20"/>
                <w:color w:val="auto"/>
              </w:rPr>
            </w:pPr>
            <w:r>
              <w:rPr>
                <w:rFonts w:ascii="MS PGothic" w:cs="MS PGothic" w:eastAsia="MS PGothic" w:hAnsi="MS PGothic"/>
                <w:sz w:val="22"/>
                <w:szCs w:val="22"/>
                <w:color w:val="auto"/>
                <w:shd w:val="clear" w:color="auto" w:fill="C00000"/>
              </w:rPr>
              <w:t>✓</w:t>
            </w:r>
          </w:p>
        </w:tc>
        <w:tc>
          <w:tcPr>
            <w:tcW w:w="0" w:type="dxa"/>
            <w:vAlign w:val="bottom"/>
          </w:tcPr>
          <w:p>
            <w:pPr>
              <w:spacing w:after="0"/>
              <w:rPr>
                <w:sz w:val="1"/>
                <w:szCs w:val="1"/>
                <w:color w:val="auto"/>
              </w:rPr>
            </w:pPr>
          </w:p>
        </w:tc>
      </w:tr>
      <w:tr>
        <w:trPr>
          <w:trHeight w:val="297"/>
        </w:trPr>
        <w:tc>
          <w:tcPr>
            <w:tcW w:w="3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Information Systems/ Cybersecurity</w:t>
            </w:r>
          </w:p>
        </w:tc>
        <w:tc>
          <w:tcPr>
            <w:tcW w:w="920" w:type="dxa"/>
            <w:vAlign w:val="bottom"/>
            <w:shd w:val="clear" w:color="auto" w:fill="DBDBDB"/>
          </w:tcPr>
          <w:p>
            <w:pPr>
              <w:spacing w:after="0"/>
              <w:rPr>
                <w:sz w:val="24"/>
                <w:szCs w:val="24"/>
                <w:color w:val="auto"/>
              </w:rPr>
            </w:pPr>
          </w:p>
        </w:tc>
        <w:tc>
          <w:tcPr>
            <w:tcW w:w="70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90"/>
                <w:shd w:val="clear" w:color="auto" w:fill="C00000"/>
              </w:rPr>
              <w:t>✓</w:t>
            </w:r>
          </w:p>
        </w:tc>
        <w:tc>
          <w:tcPr>
            <w:tcW w:w="98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4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2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98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40" w:type="dxa"/>
            <w:vAlign w:val="bottom"/>
            <w:shd w:val="clear" w:color="auto" w:fill="DBDBDB"/>
          </w:tcPr>
          <w:p>
            <w:pPr>
              <w:ind w:left="280"/>
              <w:spacing w:after="0" w:line="221" w:lineRule="exact"/>
              <w:rPr>
                <w:sz w:val="20"/>
                <w:szCs w:val="20"/>
                <w:color w:val="auto"/>
              </w:rPr>
            </w:pPr>
            <w:r>
              <w:rPr>
                <w:rFonts w:ascii="MS PGothic" w:cs="MS PGothic" w:eastAsia="MS PGothic" w:hAnsi="MS PGothic"/>
                <w:sz w:val="22"/>
                <w:szCs w:val="22"/>
                <w:color w:val="auto"/>
                <w:shd w:val="clear" w:color="auto" w:fill="C00000"/>
              </w:rPr>
              <w:t>✓</w:t>
            </w:r>
          </w:p>
        </w:tc>
        <w:tc>
          <w:tcPr>
            <w:tcW w:w="0" w:type="dxa"/>
            <w:vAlign w:val="bottom"/>
          </w:tcPr>
          <w:p>
            <w:pPr>
              <w:spacing w:after="0"/>
              <w:rPr>
                <w:sz w:val="1"/>
                <w:szCs w:val="1"/>
                <w:color w:val="auto"/>
              </w:rPr>
            </w:pPr>
          </w:p>
        </w:tc>
      </w:tr>
      <w:tr>
        <w:trPr>
          <w:trHeight w:val="211"/>
        </w:trPr>
        <w:tc>
          <w:tcPr>
            <w:tcW w:w="3480" w:type="dxa"/>
            <w:vAlign w:val="bottom"/>
          </w:tcPr>
          <w:p>
            <w:pPr>
              <w:ind w:left="20"/>
              <w:spacing w:after="0"/>
              <w:rPr>
                <w:sz w:val="20"/>
                <w:szCs w:val="20"/>
                <w:color w:val="auto"/>
              </w:rPr>
            </w:pPr>
            <w:r>
              <w:rPr>
                <w:rFonts w:ascii="Arial" w:cs="Arial" w:eastAsia="Arial" w:hAnsi="Arial"/>
                <w:sz w:val="18"/>
                <w:szCs w:val="18"/>
                <w:color w:val="auto"/>
              </w:rPr>
              <w:t>Previously Resided Outside the United</w:t>
            </w:r>
          </w:p>
        </w:tc>
        <w:tc>
          <w:tcPr>
            <w:tcW w:w="92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shd w:val="clear" w:color="auto" w:fill="C00000"/>
              </w:rPr>
              <w:t>✓</w:t>
            </w:r>
          </w:p>
        </w:tc>
        <w:tc>
          <w:tcPr>
            <w:tcW w:w="9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20" w:type="dxa"/>
            <w:vAlign w:val="bottom"/>
          </w:tcPr>
          <w:p>
            <w:pPr>
              <w:spacing w:after="0"/>
              <w:rPr>
                <w:sz w:val="18"/>
                <w:szCs w:val="18"/>
                <w:color w:val="auto"/>
              </w:rPr>
            </w:pPr>
          </w:p>
        </w:tc>
        <w:tc>
          <w:tcPr>
            <w:tcW w:w="9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40" w:type="dxa"/>
            <w:vAlign w:val="bottom"/>
            <w:vMerge w:val="restart"/>
          </w:tcPr>
          <w:p>
            <w:pPr>
              <w:ind w:left="280"/>
              <w:spacing w:after="0" w:line="221" w:lineRule="exact"/>
              <w:rPr>
                <w:sz w:val="20"/>
                <w:szCs w:val="20"/>
                <w:color w:val="auto"/>
              </w:rPr>
            </w:pPr>
            <w:r>
              <w:rPr>
                <w:rFonts w:ascii="MS PGothic" w:cs="MS PGothic" w:eastAsia="MS PGothic" w:hAnsi="MS PGothic"/>
                <w:sz w:val="22"/>
                <w:szCs w:val="22"/>
                <w:color w:val="auto"/>
                <w:shd w:val="clear" w:color="auto" w:fill="C00000"/>
              </w:rPr>
              <w:t>✓</w:t>
            </w:r>
          </w:p>
        </w:tc>
        <w:tc>
          <w:tcPr>
            <w:tcW w:w="0" w:type="dxa"/>
            <w:vAlign w:val="bottom"/>
          </w:tcPr>
          <w:p>
            <w:pPr>
              <w:spacing w:after="0"/>
              <w:rPr>
                <w:sz w:val="1"/>
                <w:szCs w:val="1"/>
                <w:color w:val="auto"/>
              </w:rPr>
            </w:pPr>
          </w:p>
        </w:tc>
      </w:tr>
      <w:tr>
        <w:trPr>
          <w:trHeight w:val="244"/>
        </w:trPr>
        <w:tc>
          <w:tcPr>
            <w:tcW w:w="3480" w:type="dxa"/>
            <w:vAlign w:val="bottom"/>
          </w:tcPr>
          <w:p>
            <w:pPr>
              <w:ind w:left="20"/>
              <w:spacing w:after="0"/>
              <w:rPr>
                <w:sz w:val="20"/>
                <w:szCs w:val="20"/>
                <w:color w:val="auto"/>
              </w:rPr>
            </w:pPr>
            <w:r>
              <w:rPr>
                <w:rFonts w:ascii="Arial" w:cs="Arial" w:eastAsia="Arial" w:hAnsi="Arial"/>
                <w:sz w:val="18"/>
                <w:szCs w:val="18"/>
                <w:color w:val="auto"/>
              </w:rPr>
              <w:t>States</w:t>
            </w:r>
          </w:p>
        </w:tc>
        <w:tc>
          <w:tcPr>
            <w:tcW w:w="92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80" w:type="dxa"/>
            <w:vAlign w:val="bottom"/>
            <w:tcBorders>
              <w:bottom w:val="single" w:sz="8" w:color="BF2115"/>
            </w:tcBorders>
            <w:shd w:val="clear" w:color="auto" w:fill="BF2115"/>
          </w:tcPr>
          <w:p>
            <w:pPr>
              <w:ind w:left="20"/>
              <w:spacing w:after="0"/>
              <w:rPr>
                <w:sz w:val="20"/>
                <w:szCs w:val="20"/>
                <w:color w:val="auto"/>
              </w:rPr>
            </w:pPr>
            <w:r>
              <w:rPr>
                <w:rFonts w:ascii="Arial" w:cs="Arial" w:eastAsia="Arial" w:hAnsi="Arial"/>
                <w:sz w:val="16"/>
                <w:szCs w:val="16"/>
                <w:b w:val="1"/>
                <w:bCs w:val="1"/>
                <w:color w:val="FFFFFF"/>
              </w:rPr>
              <w:t>Demographics</w:t>
            </w:r>
          </w:p>
        </w:tc>
        <w:tc>
          <w:tcPr>
            <w:tcW w:w="920" w:type="dxa"/>
            <w:vAlign w:val="bottom"/>
            <w:tcBorders>
              <w:bottom w:val="single" w:sz="8" w:color="BF2115"/>
            </w:tcBorders>
            <w:shd w:val="clear" w:color="auto" w:fill="BF2115"/>
          </w:tcPr>
          <w:p>
            <w:pPr>
              <w:spacing w:after="0"/>
              <w:rPr>
                <w:sz w:val="24"/>
                <w:szCs w:val="24"/>
                <w:color w:val="auto"/>
              </w:rPr>
            </w:pPr>
          </w:p>
        </w:tc>
        <w:tc>
          <w:tcPr>
            <w:tcW w:w="700" w:type="dxa"/>
            <w:vAlign w:val="bottom"/>
            <w:tcBorders>
              <w:bottom w:val="single" w:sz="8" w:color="BF2115"/>
            </w:tcBorders>
            <w:shd w:val="clear" w:color="auto" w:fill="BF2115"/>
          </w:tcPr>
          <w:p>
            <w:pPr>
              <w:spacing w:after="0"/>
              <w:rPr>
                <w:sz w:val="24"/>
                <w:szCs w:val="24"/>
                <w:color w:val="auto"/>
              </w:rPr>
            </w:pPr>
          </w:p>
        </w:tc>
        <w:tc>
          <w:tcPr>
            <w:tcW w:w="860" w:type="dxa"/>
            <w:vAlign w:val="bottom"/>
            <w:tcBorders>
              <w:bottom w:val="single" w:sz="8" w:color="BF2115"/>
            </w:tcBorders>
            <w:shd w:val="clear" w:color="auto" w:fill="BF2115"/>
          </w:tcPr>
          <w:p>
            <w:pPr>
              <w:spacing w:after="0"/>
              <w:rPr>
                <w:sz w:val="24"/>
                <w:szCs w:val="24"/>
                <w:color w:val="auto"/>
              </w:rPr>
            </w:pPr>
          </w:p>
        </w:tc>
        <w:tc>
          <w:tcPr>
            <w:tcW w:w="980" w:type="dxa"/>
            <w:vAlign w:val="bottom"/>
            <w:tcBorders>
              <w:bottom w:val="single" w:sz="8" w:color="BF2115"/>
            </w:tcBorders>
            <w:shd w:val="clear" w:color="auto" w:fill="BF2115"/>
          </w:tcPr>
          <w:p>
            <w:pPr>
              <w:spacing w:after="0"/>
              <w:rPr>
                <w:sz w:val="24"/>
                <w:szCs w:val="24"/>
                <w:color w:val="auto"/>
              </w:rPr>
            </w:pPr>
          </w:p>
        </w:tc>
        <w:tc>
          <w:tcPr>
            <w:tcW w:w="860" w:type="dxa"/>
            <w:vAlign w:val="bottom"/>
            <w:tcBorders>
              <w:bottom w:val="single" w:sz="8" w:color="BF2115"/>
            </w:tcBorders>
            <w:shd w:val="clear" w:color="auto" w:fill="BF2115"/>
          </w:tcPr>
          <w:p>
            <w:pPr>
              <w:spacing w:after="0"/>
              <w:rPr>
                <w:sz w:val="24"/>
                <w:szCs w:val="24"/>
                <w:color w:val="auto"/>
              </w:rPr>
            </w:pPr>
          </w:p>
        </w:tc>
        <w:tc>
          <w:tcPr>
            <w:tcW w:w="740" w:type="dxa"/>
            <w:vAlign w:val="bottom"/>
            <w:tcBorders>
              <w:bottom w:val="single" w:sz="8" w:color="BF2115"/>
            </w:tcBorders>
            <w:shd w:val="clear" w:color="auto" w:fill="BF2115"/>
          </w:tcPr>
          <w:p>
            <w:pPr>
              <w:spacing w:after="0"/>
              <w:rPr>
                <w:sz w:val="24"/>
                <w:szCs w:val="24"/>
                <w:color w:val="auto"/>
              </w:rPr>
            </w:pPr>
          </w:p>
        </w:tc>
        <w:tc>
          <w:tcPr>
            <w:tcW w:w="820" w:type="dxa"/>
            <w:vAlign w:val="bottom"/>
            <w:tcBorders>
              <w:bottom w:val="single" w:sz="8" w:color="BF2115"/>
            </w:tcBorders>
            <w:shd w:val="clear" w:color="auto" w:fill="BF2115"/>
          </w:tcPr>
          <w:p>
            <w:pPr>
              <w:spacing w:after="0"/>
              <w:rPr>
                <w:sz w:val="24"/>
                <w:szCs w:val="24"/>
                <w:color w:val="auto"/>
              </w:rPr>
            </w:pPr>
          </w:p>
        </w:tc>
        <w:tc>
          <w:tcPr>
            <w:tcW w:w="980" w:type="dxa"/>
            <w:vAlign w:val="bottom"/>
            <w:tcBorders>
              <w:bottom w:val="single" w:sz="8" w:color="BF2115"/>
            </w:tcBorders>
            <w:shd w:val="clear" w:color="auto" w:fill="BF2115"/>
          </w:tcPr>
          <w:p>
            <w:pPr>
              <w:spacing w:after="0"/>
              <w:rPr>
                <w:sz w:val="24"/>
                <w:szCs w:val="24"/>
                <w:color w:val="auto"/>
              </w:rPr>
            </w:pPr>
          </w:p>
        </w:tc>
        <w:tc>
          <w:tcPr>
            <w:tcW w:w="840" w:type="dxa"/>
            <w:vAlign w:val="bottom"/>
            <w:tcBorders>
              <w:bottom w:val="single" w:sz="8" w:color="BF2115"/>
            </w:tcBorders>
            <w:shd w:val="clear" w:color="auto" w:fill="BF2115"/>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Race/Ethnicity</w:t>
            </w: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3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480" w:type="dxa"/>
            <w:vAlign w:val="bottom"/>
            <w:shd w:val="clear" w:color="auto" w:fill="DBDBDB"/>
          </w:tcPr>
          <w:p>
            <w:pPr>
              <w:ind w:left="320"/>
              <w:spacing w:after="0"/>
              <w:rPr>
                <w:sz w:val="20"/>
                <w:szCs w:val="20"/>
                <w:color w:val="auto"/>
              </w:rPr>
            </w:pPr>
            <w:r>
              <w:rPr>
                <w:rFonts w:ascii="Arial" w:cs="Arial" w:eastAsia="Arial" w:hAnsi="Arial"/>
                <w:sz w:val="18"/>
                <w:szCs w:val="18"/>
                <w:color w:val="auto"/>
              </w:rPr>
              <w:t>African American</w:t>
            </w:r>
          </w:p>
        </w:tc>
        <w:tc>
          <w:tcPr>
            <w:tcW w:w="920" w:type="dxa"/>
            <w:vAlign w:val="bottom"/>
            <w:shd w:val="clear" w:color="auto" w:fill="DBDBDB"/>
          </w:tcPr>
          <w:p>
            <w:pPr>
              <w:spacing w:after="0"/>
              <w:rPr>
                <w:sz w:val="24"/>
                <w:szCs w:val="24"/>
                <w:color w:val="auto"/>
              </w:rPr>
            </w:pPr>
          </w:p>
        </w:tc>
        <w:tc>
          <w:tcPr>
            <w:tcW w:w="700" w:type="dxa"/>
            <w:vAlign w:val="bottom"/>
            <w:shd w:val="clear" w:color="auto" w:fill="DBDBDB"/>
          </w:tcPr>
          <w:p>
            <w:pPr>
              <w:spacing w:after="0"/>
              <w:rPr>
                <w:sz w:val="24"/>
                <w:szCs w:val="24"/>
                <w:color w:val="auto"/>
              </w:rPr>
            </w:pPr>
          </w:p>
        </w:tc>
        <w:tc>
          <w:tcPr>
            <w:tcW w:w="860" w:type="dxa"/>
            <w:vAlign w:val="bottom"/>
            <w:shd w:val="clear" w:color="auto" w:fill="DBDBDB"/>
          </w:tcPr>
          <w:p>
            <w:pPr>
              <w:spacing w:after="0"/>
              <w:rPr>
                <w:sz w:val="24"/>
                <w:szCs w:val="24"/>
                <w:color w:val="auto"/>
              </w:rPr>
            </w:pPr>
          </w:p>
        </w:tc>
        <w:tc>
          <w:tcPr>
            <w:tcW w:w="980" w:type="dxa"/>
            <w:vAlign w:val="bottom"/>
            <w:shd w:val="clear" w:color="auto" w:fill="DBDBDB"/>
          </w:tcPr>
          <w:p>
            <w:pPr>
              <w:spacing w:after="0"/>
              <w:rPr>
                <w:sz w:val="24"/>
                <w:szCs w:val="24"/>
                <w:color w:val="auto"/>
              </w:rPr>
            </w:pPr>
          </w:p>
        </w:tc>
        <w:tc>
          <w:tcPr>
            <w:tcW w:w="860" w:type="dxa"/>
            <w:vAlign w:val="bottom"/>
            <w:shd w:val="clear" w:color="auto" w:fill="DBDBDB"/>
          </w:tcPr>
          <w:p>
            <w:pPr>
              <w:spacing w:after="0"/>
              <w:rPr>
                <w:sz w:val="24"/>
                <w:szCs w:val="24"/>
                <w:color w:val="auto"/>
              </w:rPr>
            </w:pPr>
          </w:p>
        </w:tc>
        <w:tc>
          <w:tcPr>
            <w:tcW w:w="740" w:type="dxa"/>
            <w:vAlign w:val="bottom"/>
            <w:shd w:val="clear" w:color="auto" w:fill="DBDBDB"/>
          </w:tcPr>
          <w:p>
            <w:pPr>
              <w:spacing w:after="0"/>
              <w:rPr>
                <w:sz w:val="24"/>
                <w:szCs w:val="24"/>
                <w:color w:val="auto"/>
              </w:rPr>
            </w:pPr>
          </w:p>
        </w:tc>
        <w:tc>
          <w:tcPr>
            <w:tcW w:w="820" w:type="dxa"/>
            <w:vAlign w:val="bottom"/>
            <w:shd w:val="clear" w:color="auto" w:fill="DBDBDB"/>
          </w:tcPr>
          <w:p>
            <w:pPr>
              <w:spacing w:after="0"/>
              <w:rPr>
                <w:sz w:val="24"/>
                <w:szCs w:val="24"/>
                <w:color w:val="auto"/>
              </w:rPr>
            </w:pPr>
          </w:p>
        </w:tc>
        <w:tc>
          <w:tcPr>
            <w:tcW w:w="980" w:type="dxa"/>
            <w:vAlign w:val="bottom"/>
            <w:shd w:val="clear" w:color="auto" w:fill="DBDBDB"/>
          </w:tcPr>
          <w:p>
            <w:pPr>
              <w:spacing w:after="0"/>
              <w:rPr>
                <w:sz w:val="24"/>
                <w:szCs w:val="24"/>
                <w:color w:val="auto"/>
              </w:rPr>
            </w:pPr>
          </w:p>
        </w:tc>
        <w:tc>
          <w:tcPr>
            <w:tcW w:w="840" w:type="dxa"/>
            <w:vAlign w:val="bottom"/>
            <w:shd w:val="clear" w:color="auto" w:fill="DBDBDB"/>
          </w:tcPr>
          <w:p>
            <w:pPr>
              <w:ind w:left="280"/>
              <w:spacing w:after="0" w:line="221" w:lineRule="exact"/>
              <w:rPr>
                <w:sz w:val="20"/>
                <w:szCs w:val="20"/>
                <w:color w:val="auto"/>
              </w:rPr>
            </w:pPr>
            <w:r>
              <w:rPr>
                <w:rFonts w:ascii="MS PGothic" w:cs="MS PGothic" w:eastAsia="MS PGothic" w:hAnsi="MS PGothic"/>
                <w:sz w:val="22"/>
                <w:szCs w:val="22"/>
                <w:color w:val="auto"/>
                <w:shd w:val="clear" w:color="auto" w:fill="C00000"/>
              </w:rPr>
              <w:t>✓</w:t>
            </w:r>
          </w:p>
        </w:tc>
        <w:tc>
          <w:tcPr>
            <w:tcW w:w="0" w:type="dxa"/>
            <w:vAlign w:val="bottom"/>
          </w:tcPr>
          <w:p>
            <w:pPr>
              <w:spacing w:after="0"/>
              <w:rPr>
                <w:sz w:val="1"/>
                <w:szCs w:val="1"/>
                <w:color w:val="auto"/>
              </w:rPr>
            </w:pPr>
          </w:p>
        </w:tc>
      </w:tr>
      <w:tr>
        <w:trPr>
          <w:trHeight w:val="297"/>
        </w:trPr>
        <w:tc>
          <w:tcPr>
            <w:tcW w:w="3480" w:type="dxa"/>
            <w:vAlign w:val="bottom"/>
          </w:tcPr>
          <w:p>
            <w:pPr>
              <w:ind w:left="320"/>
              <w:spacing w:after="0"/>
              <w:rPr>
                <w:sz w:val="20"/>
                <w:szCs w:val="20"/>
                <w:color w:val="auto"/>
              </w:rPr>
            </w:pPr>
            <w:r>
              <w:rPr>
                <w:rFonts w:ascii="Arial" w:cs="Arial" w:eastAsia="Arial" w:hAnsi="Arial"/>
                <w:sz w:val="18"/>
                <w:szCs w:val="18"/>
                <w:color w:val="auto"/>
              </w:rPr>
              <w:t>Asian/Pacific Islander</w:t>
            </w: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shd w:val="clear" w:color="auto" w:fill="C00000"/>
              </w:rPr>
              <w:t>✓</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shd w:val="clear" w:color="auto" w:fill="DBDBDB"/>
          </w:tcPr>
          <w:p>
            <w:pPr>
              <w:ind w:left="320"/>
              <w:spacing w:after="0"/>
              <w:rPr>
                <w:sz w:val="20"/>
                <w:szCs w:val="20"/>
                <w:color w:val="auto"/>
              </w:rPr>
            </w:pPr>
            <w:r>
              <w:rPr>
                <w:rFonts w:ascii="Arial" w:cs="Arial" w:eastAsia="Arial" w:hAnsi="Arial"/>
                <w:sz w:val="18"/>
                <w:szCs w:val="18"/>
                <w:color w:val="auto"/>
              </w:rPr>
              <w:t>White/Caucasian</w:t>
            </w:r>
          </w:p>
        </w:tc>
        <w:tc>
          <w:tcPr>
            <w:tcW w:w="920" w:type="dxa"/>
            <w:vAlign w:val="bottom"/>
            <w:shd w:val="clear" w:color="auto" w:fill="DBDBDB"/>
          </w:tcPr>
          <w:p>
            <w:pPr>
              <w:spacing w:after="0"/>
              <w:rPr>
                <w:sz w:val="24"/>
                <w:szCs w:val="24"/>
                <w:color w:val="auto"/>
              </w:rPr>
            </w:pPr>
          </w:p>
        </w:tc>
        <w:tc>
          <w:tcPr>
            <w:tcW w:w="70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shd w:val="clear" w:color="auto" w:fill="DBDBDB"/>
          </w:tcPr>
          <w:p>
            <w:pPr>
              <w:spacing w:after="0"/>
              <w:rPr>
                <w:sz w:val="24"/>
                <w:szCs w:val="24"/>
                <w:color w:val="auto"/>
              </w:rPr>
            </w:pPr>
          </w:p>
        </w:tc>
        <w:tc>
          <w:tcPr>
            <w:tcW w:w="98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4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2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98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4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480" w:type="dxa"/>
            <w:vAlign w:val="bottom"/>
          </w:tcPr>
          <w:p>
            <w:pPr>
              <w:ind w:left="320"/>
              <w:spacing w:after="0"/>
              <w:rPr>
                <w:sz w:val="20"/>
                <w:szCs w:val="20"/>
                <w:color w:val="auto"/>
              </w:rPr>
            </w:pPr>
            <w:r>
              <w:rPr>
                <w:rFonts w:ascii="Arial" w:cs="Arial" w:eastAsia="Arial" w:hAnsi="Arial"/>
                <w:sz w:val="18"/>
                <w:szCs w:val="18"/>
                <w:color w:val="auto"/>
              </w:rPr>
              <w:t>Hispanic/Latino</w:t>
            </w: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3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348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8"/>
                <w:szCs w:val="18"/>
                <w:color w:val="auto"/>
              </w:rPr>
              <w:t>Native American</w:t>
            </w:r>
          </w:p>
        </w:tc>
        <w:tc>
          <w:tcPr>
            <w:tcW w:w="920" w:type="dxa"/>
            <w:vAlign w:val="bottom"/>
            <w:tcBorders>
              <w:bottom w:val="single" w:sz="8" w:color="DBDBDB"/>
            </w:tcBorders>
            <w:shd w:val="clear" w:color="auto" w:fill="DBDBDB"/>
          </w:tcPr>
          <w:p>
            <w:pPr>
              <w:spacing w:after="0"/>
              <w:rPr>
                <w:sz w:val="24"/>
                <w:szCs w:val="24"/>
                <w:color w:val="auto"/>
              </w:rPr>
            </w:pPr>
          </w:p>
        </w:tc>
        <w:tc>
          <w:tcPr>
            <w:tcW w:w="700" w:type="dxa"/>
            <w:vAlign w:val="bottom"/>
            <w:tcBorders>
              <w:bottom w:val="single" w:sz="8" w:color="DBDBDB"/>
            </w:tcBorders>
            <w:shd w:val="clear" w:color="auto" w:fill="DBDBDB"/>
          </w:tcPr>
          <w:p>
            <w:pPr>
              <w:spacing w:after="0"/>
              <w:rPr>
                <w:sz w:val="24"/>
                <w:szCs w:val="24"/>
                <w:color w:val="auto"/>
              </w:rPr>
            </w:pPr>
          </w:p>
        </w:tc>
        <w:tc>
          <w:tcPr>
            <w:tcW w:w="860" w:type="dxa"/>
            <w:vAlign w:val="bottom"/>
            <w:tcBorders>
              <w:bottom w:val="single" w:sz="8" w:color="DBDBDB"/>
            </w:tcBorders>
            <w:shd w:val="clear" w:color="auto" w:fill="DBDBDB"/>
          </w:tcPr>
          <w:p>
            <w:pPr>
              <w:spacing w:after="0"/>
              <w:rPr>
                <w:sz w:val="24"/>
                <w:szCs w:val="24"/>
                <w:color w:val="auto"/>
              </w:rPr>
            </w:pPr>
          </w:p>
        </w:tc>
        <w:tc>
          <w:tcPr>
            <w:tcW w:w="980" w:type="dxa"/>
            <w:vAlign w:val="bottom"/>
            <w:tcBorders>
              <w:bottom w:val="single" w:sz="8" w:color="DBDBDB"/>
            </w:tcBorders>
            <w:shd w:val="clear" w:color="auto" w:fill="DBDBDB"/>
          </w:tcPr>
          <w:p>
            <w:pPr>
              <w:spacing w:after="0"/>
              <w:rPr>
                <w:sz w:val="24"/>
                <w:szCs w:val="24"/>
                <w:color w:val="auto"/>
              </w:rPr>
            </w:pPr>
          </w:p>
        </w:tc>
        <w:tc>
          <w:tcPr>
            <w:tcW w:w="860" w:type="dxa"/>
            <w:vAlign w:val="bottom"/>
            <w:tcBorders>
              <w:bottom w:val="single" w:sz="8" w:color="DBDBDB"/>
            </w:tcBorders>
            <w:shd w:val="clear" w:color="auto" w:fill="DBDBDB"/>
          </w:tcPr>
          <w:p>
            <w:pPr>
              <w:spacing w:after="0"/>
              <w:rPr>
                <w:sz w:val="24"/>
                <w:szCs w:val="24"/>
                <w:color w:val="auto"/>
              </w:rPr>
            </w:pPr>
          </w:p>
        </w:tc>
        <w:tc>
          <w:tcPr>
            <w:tcW w:w="740" w:type="dxa"/>
            <w:vAlign w:val="bottom"/>
            <w:tcBorders>
              <w:bottom w:val="single" w:sz="8" w:color="DBDBDB"/>
            </w:tcBorders>
            <w:shd w:val="clear" w:color="auto" w:fill="DBDBDB"/>
          </w:tcPr>
          <w:p>
            <w:pPr>
              <w:spacing w:after="0"/>
              <w:rPr>
                <w:sz w:val="24"/>
                <w:szCs w:val="24"/>
                <w:color w:val="auto"/>
              </w:rPr>
            </w:pPr>
          </w:p>
        </w:tc>
        <w:tc>
          <w:tcPr>
            <w:tcW w:w="820" w:type="dxa"/>
            <w:vAlign w:val="bottom"/>
            <w:tcBorders>
              <w:bottom w:val="single" w:sz="8" w:color="DBDBDB"/>
            </w:tcBorders>
            <w:shd w:val="clear" w:color="auto" w:fill="DBDBDB"/>
          </w:tcPr>
          <w:p>
            <w:pPr>
              <w:spacing w:after="0"/>
              <w:rPr>
                <w:sz w:val="24"/>
                <w:szCs w:val="24"/>
                <w:color w:val="auto"/>
              </w:rPr>
            </w:pPr>
          </w:p>
        </w:tc>
        <w:tc>
          <w:tcPr>
            <w:tcW w:w="980" w:type="dxa"/>
            <w:vAlign w:val="bottom"/>
            <w:tcBorders>
              <w:bottom w:val="single" w:sz="8" w:color="DBDBDB"/>
            </w:tcBorders>
            <w:shd w:val="clear" w:color="auto" w:fill="DBDBDB"/>
          </w:tcPr>
          <w:p>
            <w:pPr>
              <w:spacing w:after="0"/>
              <w:rPr>
                <w:sz w:val="24"/>
                <w:szCs w:val="24"/>
                <w:color w:val="auto"/>
              </w:rPr>
            </w:pPr>
          </w:p>
        </w:tc>
        <w:tc>
          <w:tcPr>
            <w:tcW w:w="840" w:type="dxa"/>
            <w:vAlign w:val="bottom"/>
            <w:tcBorders>
              <w:bottom w:val="single" w:sz="8" w:color="DBDBDB"/>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Gender</w:t>
            </w: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3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480" w:type="dxa"/>
            <w:vAlign w:val="bottom"/>
            <w:shd w:val="clear" w:color="auto" w:fill="DBDBDB"/>
          </w:tcPr>
          <w:p>
            <w:pPr>
              <w:ind w:left="320"/>
              <w:spacing w:after="0"/>
              <w:rPr>
                <w:sz w:val="20"/>
                <w:szCs w:val="20"/>
                <w:color w:val="auto"/>
              </w:rPr>
            </w:pPr>
            <w:r>
              <w:rPr>
                <w:rFonts w:ascii="Arial" w:cs="Arial" w:eastAsia="Arial" w:hAnsi="Arial"/>
                <w:sz w:val="18"/>
                <w:szCs w:val="18"/>
                <w:color w:val="auto"/>
              </w:rPr>
              <w:t>Male</w:t>
            </w:r>
          </w:p>
        </w:tc>
        <w:tc>
          <w:tcPr>
            <w:tcW w:w="920" w:type="dxa"/>
            <w:vAlign w:val="bottom"/>
            <w:shd w:val="clear" w:color="auto" w:fill="DBDBDB"/>
          </w:tcPr>
          <w:p>
            <w:pPr>
              <w:spacing w:after="0"/>
              <w:rPr>
                <w:sz w:val="24"/>
                <w:szCs w:val="24"/>
                <w:color w:val="auto"/>
              </w:rPr>
            </w:pPr>
          </w:p>
        </w:tc>
        <w:tc>
          <w:tcPr>
            <w:tcW w:w="70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90"/>
                <w:shd w:val="clear" w:color="auto" w:fill="C00000"/>
              </w:rPr>
              <w:t>✓</w:t>
            </w:r>
          </w:p>
        </w:tc>
        <w:tc>
          <w:tcPr>
            <w:tcW w:w="98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6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740" w:type="dxa"/>
            <w:vAlign w:val="bottom"/>
            <w:shd w:val="clear" w:color="auto" w:fill="DBDBDB"/>
          </w:tcPr>
          <w:p>
            <w:pPr>
              <w:spacing w:after="0"/>
              <w:rPr>
                <w:sz w:val="24"/>
                <w:szCs w:val="24"/>
                <w:color w:val="auto"/>
              </w:rPr>
            </w:pPr>
          </w:p>
        </w:tc>
        <w:tc>
          <w:tcPr>
            <w:tcW w:w="82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980" w:type="dxa"/>
            <w:vAlign w:val="bottom"/>
            <w:shd w:val="clear" w:color="auto" w:fill="DBDBDB"/>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4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3480" w:type="dxa"/>
            <w:vAlign w:val="bottom"/>
          </w:tcPr>
          <w:p>
            <w:pPr>
              <w:ind w:left="320"/>
              <w:spacing w:after="0"/>
              <w:rPr>
                <w:sz w:val="20"/>
                <w:szCs w:val="20"/>
                <w:color w:val="auto"/>
              </w:rPr>
            </w:pPr>
            <w:r>
              <w:rPr>
                <w:rFonts w:ascii="Arial" w:cs="Arial" w:eastAsia="Arial" w:hAnsi="Arial"/>
                <w:sz w:val="18"/>
                <w:szCs w:val="18"/>
                <w:color w:val="auto"/>
              </w:rPr>
              <w:t>Female</w:t>
            </w:r>
          </w:p>
        </w:tc>
        <w:tc>
          <w:tcPr>
            <w:tcW w:w="9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BF2115"/>
              </w:rPr>
              <w:t>✓</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shd w:val="clear" w:color="auto" w:fill="C00000"/>
              </w:rPr>
              <w:t>✓</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ind w:left="280"/>
              <w:spacing w:after="0" w:line="221" w:lineRule="exact"/>
              <w:rPr>
                <w:sz w:val="20"/>
                <w:szCs w:val="20"/>
                <w:color w:val="auto"/>
              </w:rPr>
            </w:pPr>
            <w:r>
              <w:rPr>
                <w:rFonts w:ascii="MS PGothic" w:cs="MS PGothic" w:eastAsia="MS PGothic" w:hAnsi="MS PGothic"/>
                <w:sz w:val="22"/>
                <w:szCs w:val="22"/>
                <w:color w:val="auto"/>
                <w:shd w:val="clear" w:color="auto" w:fill="C00000"/>
              </w:rPr>
              <w:t>✓</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both"/>
        <w:ind w:firstLine="393"/>
        <w:spacing w:after="0" w:line="237" w:lineRule="auto"/>
        <w:rPr>
          <w:sz w:val="20"/>
          <w:szCs w:val="20"/>
          <w:color w:val="auto"/>
        </w:rPr>
      </w:pPr>
      <w:r>
        <w:rPr>
          <w:rFonts w:ascii="Arial" w:cs="Arial" w:eastAsia="Arial" w:hAnsi="Arial"/>
          <w:sz w:val="18"/>
          <w:szCs w:val="18"/>
          <w:color w:val="auto"/>
        </w:rPr>
        <w:t>The information presented on the following pages regarding each director nominee or continuing director also sets forth specific experience, qualifications, attributes and skills that led our Board to conclude that he or she should serve as a director in light of our business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7"/>
          <w:szCs w:val="17"/>
          <w:b w:val="1"/>
          <w:bCs w:val="1"/>
          <w:color w:val="C00000"/>
        </w:rPr>
        <w:t>Director Nominees for Election to the Board for a Term Ending at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359410</wp:posOffset>
            </wp:positionV>
            <wp:extent cx="1148715" cy="1148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sectPr>
          <w:pgSz w:w="11900" w:h="16838" w:orient="portrait"/>
          <w:cols w:equalWidth="0" w:num="1">
            <w:col w:w="11120"/>
          </w:cols>
          <w:pgMar w:left="340" w:top="112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Gary L. Ellis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Age 67</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Lead Independent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ind w:left="160" w:hanging="154"/>
        <w:spacing w:after="0" w:line="234" w:lineRule="auto"/>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w:t>
      </w:r>
    </w:p>
    <w:p>
      <w:pPr>
        <w:ind w:left="160" w:hanging="154"/>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1351915</wp:posOffset>
            </wp:positionV>
            <wp:extent cx="1148715" cy="1148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Jill M. Pemberton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Age 53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2022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ind w:left="160" w:hanging="154"/>
        <w:spacing w:after="0" w:line="234" w:lineRule="auto"/>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(Chair)</w:t>
      </w:r>
    </w:p>
    <w:p>
      <w:pPr>
        <w:ind w:left="160" w:hanging="154"/>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5520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84" w:lineRule="exact"/>
        <w:rPr>
          <w:sz w:val="20"/>
          <w:szCs w:val="20"/>
          <w:color w:val="auto"/>
        </w:rPr>
      </w:pPr>
    </w:p>
    <w:p>
      <w:pPr>
        <w:ind w:left="3" w:right="100"/>
        <w:spacing w:after="0" w:line="253" w:lineRule="auto"/>
        <w:rPr>
          <w:sz w:val="20"/>
          <w:szCs w:val="20"/>
          <w:color w:val="auto"/>
        </w:rPr>
      </w:pPr>
      <w:r>
        <w:rPr>
          <w:rFonts w:ascii="Arial" w:cs="Arial" w:eastAsia="Arial" w:hAnsi="Arial"/>
          <w:sz w:val="18"/>
          <w:szCs w:val="18"/>
          <w:color w:val="auto"/>
        </w:rPr>
        <w:t>Gary L. Ellis retired from Medtronic plc, Dublin, Ireland (a global medical technology company). He held the following positions, all at Medtronic:</w:t>
      </w:r>
    </w:p>
    <w:p>
      <w:pPr>
        <w:ind w:left="163" w:right="200" w:hanging="163"/>
        <w:spacing w:after="0" w:line="242" w:lineRule="auto"/>
        <w:tabs>
          <w:tab w:leader="none" w:pos="152"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Vice President, Global Operations, Information Technology and Facilities &amp; Real Estate (June 2016 – December 2016)</w:t>
      </w:r>
    </w:p>
    <w:p>
      <w:pPr>
        <w:spacing w:after="0" w:line="1" w:lineRule="exact"/>
        <w:rPr>
          <w:rFonts w:ascii="Times New Roman" w:cs="Times New Roman" w:eastAsia="Times New Roman" w:hAnsi="Times New Roman"/>
          <w:sz w:val="16"/>
          <w:szCs w:val="16"/>
          <w:color w:val="auto"/>
        </w:rPr>
      </w:pPr>
    </w:p>
    <w:p>
      <w:pPr>
        <w:ind w:left="143" w:hanging="143"/>
        <w:spacing w:after="0"/>
        <w:tabs>
          <w:tab w:leader="none" w:pos="143"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Vice President and Chief Financial Officer (April 2014 – June 2016)</w:t>
      </w:r>
    </w:p>
    <w:p>
      <w:pPr>
        <w:spacing w:after="0" w:line="9" w:lineRule="exact"/>
        <w:rPr>
          <w:rFonts w:ascii="Times New Roman" w:cs="Times New Roman" w:eastAsia="Times New Roman" w:hAnsi="Times New Roman"/>
          <w:sz w:val="16"/>
          <w:szCs w:val="16"/>
          <w:color w:val="auto"/>
        </w:rPr>
      </w:pPr>
    </w:p>
    <w:p>
      <w:pPr>
        <w:ind w:left="143" w:hanging="143"/>
        <w:spacing w:after="0"/>
        <w:tabs>
          <w:tab w:leader="none" w:pos="143"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Senior Vice President and Chief Financial Officer (May 2005 – April 2014)</w:t>
      </w:r>
    </w:p>
    <w:p>
      <w:pPr>
        <w:spacing w:after="0" w:line="9" w:lineRule="exact"/>
        <w:rPr>
          <w:rFonts w:ascii="Times New Roman" w:cs="Times New Roman" w:eastAsia="Times New Roman" w:hAnsi="Times New Roman"/>
          <w:sz w:val="16"/>
          <w:szCs w:val="16"/>
          <w:color w:val="auto"/>
        </w:rPr>
      </w:pPr>
    </w:p>
    <w:p>
      <w:pPr>
        <w:ind w:left="143" w:hanging="143"/>
        <w:spacing w:after="0"/>
        <w:tabs>
          <w:tab w:leader="none" w:pos="143"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Vice President, Corporate Controller and Treasurer (October 1999 – May 2005)</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5520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 w:right="220"/>
        <w:spacing w:after="0" w:line="259" w:lineRule="auto"/>
        <w:rPr>
          <w:sz w:val="20"/>
          <w:szCs w:val="20"/>
          <w:color w:val="auto"/>
        </w:rPr>
      </w:pPr>
      <w:r>
        <w:rPr>
          <w:rFonts w:ascii="Arial" w:cs="Arial" w:eastAsia="Arial" w:hAnsi="Arial"/>
          <w:sz w:val="17"/>
          <w:szCs w:val="17"/>
          <w:color w:val="auto"/>
        </w:rPr>
        <w:t>Mr. Ellis brings extensive financial leadership experience to provide oversight regarding capital structure, financial condition and policies, long-range financial objectives, tax strategies, financing requirements and</w:t>
      </w:r>
    </w:p>
    <w:p>
      <w:pPr>
        <w:spacing w:after="0" w:line="1" w:lineRule="exact"/>
        <w:rPr>
          <w:sz w:val="20"/>
          <w:szCs w:val="20"/>
          <w:color w:val="auto"/>
        </w:rPr>
      </w:pPr>
    </w:p>
    <w:p>
      <w:pPr>
        <w:ind w:left="3" w:right="400"/>
        <w:spacing w:after="0"/>
        <w:rPr>
          <w:sz w:val="20"/>
          <w:szCs w:val="20"/>
          <w:color w:val="auto"/>
        </w:rPr>
      </w:pPr>
      <w:r>
        <w:rPr>
          <w:rFonts w:ascii="Arial" w:cs="Arial" w:eastAsia="Arial" w:hAnsi="Arial"/>
          <w:sz w:val="17"/>
          <w:szCs w:val="17"/>
          <w:color w:val="auto"/>
        </w:rPr>
        <w:t>arrangements, capital budgets and expenditures, risk-management, insurance coverage and strategic planning matters. As our lead independent director he provides balanced, collaborative and challenging</w:t>
      </w:r>
    </w:p>
    <w:p>
      <w:pPr>
        <w:ind w:left="3"/>
        <w:spacing w:after="0" w:line="235" w:lineRule="auto"/>
        <w:rPr>
          <w:sz w:val="20"/>
          <w:szCs w:val="20"/>
          <w:color w:val="auto"/>
        </w:rPr>
      </w:pPr>
      <w:r>
        <w:rPr>
          <w:rFonts w:ascii="Arial" w:cs="Arial" w:eastAsia="Arial" w:hAnsi="Arial"/>
          <w:sz w:val="18"/>
          <w:szCs w:val="18"/>
          <w:color w:val="auto"/>
        </w:rPr>
        <w:t>support to both the Board and our Chairman and CEO. Mr. Ellis contributes enhanced knowledge of public</w:t>
      </w:r>
    </w:p>
    <w:p>
      <w:pPr>
        <w:ind w:left="3" w:right="220"/>
        <w:spacing w:after="0"/>
        <w:rPr>
          <w:sz w:val="20"/>
          <w:szCs w:val="20"/>
          <w:color w:val="auto"/>
        </w:rPr>
      </w:pPr>
      <w:r>
        <w:rPr>
          <w:rFonts w:ascii="Arial" w:cs="Arial" w:eastAsia="Arial" w:hAnsi="Arial"/>
          <w:sz w:val="17"/>
          <w:szCs w:val="17"/>
          <w:color w:val="auto"/>
        </w:rPr>
        <w:t>company requirements and issues. Additionally, Mr. Ellis contributes his experience managing worldwide financial operations and analyzing financial implications of merger and acquisition transactions, as well as</w:t>
      </w:r>
    </w:p>
    <w:p>
      <w:pPr>
        <w:spacing w:after="0" w:line="1" w:lineRule="exact"/>
        <w:rPr>
          <w:sz w:val="20"/>
          <w:szCs w:val="20"/>
          <w:color w:val="auto"/>
        </w:rPr>
      </w:pPr>
    </w:p>
    <w:p>
      <w:pPr>
        <w:ind w:left="3"/>
        <w:spacing w:after="0"/>
        <w:rPr>
          <w:sz w:val="20"/>
          <w:szCs w:val="20"/>
          <w:color w:val="auto"/>
        </w:rPr>
      </w:pPr>
      <w:r>
        <w:rPr>
          <w:rFonts w:ascii="Arial" w:cs="Arial" w:eastAsia="Arial" w:hAnsi="Arial"/>
          <w:sz w:val="18"/>
          <w:szCs w:val="18"/>
          <w:color w:val="auto"/>
        </w:rPr>
        <w:t>aligning business strategies and financial decisions.</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5520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43" w:lineRule="exact"/>
        <w:rPr>
          <w:sz w:val="20"/>
          <w:szCs w:val="20"/>
          <w:color w:val="auto"/>
        </w:rPr>
      </w:pPr>
    </w:p>
    <w:p>
      <w:pPr>
        <w:ind w:left="1823"/>
        <w:spacing w:after="0"/>
        <w:tabs>
          <w:tab w:leader="none" w:pos="5943"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50" w:lineRule="exact"/>
        <w:rPr>
          <w:sz w:val="20"/>
          <w:szCs w:val="20"/>
          <w:color w:val="auto"/>
        </w:rPr>
      </w:pPr>
    </w:p>
    <w:p>
      <w:pPr>
        <w:ind w:left="983"/>
        <w:spacing w:after="0"/>
        <w:tabs>
          <w:tab w:leader="none" w:pos="5563" w:val="left"/>
        </w:tabs>
        <w:rPr>
          <w:sz w:val="20"/>
          <w:szCs w:val="20"/>
          <w:color w:val="auto"/>
        </w:rPr>
      </w:pPr>
      <w:r>
        <w:rPr>
          <w:rFonts w:ascii="Arial" w:cs="Arial" w:eastAsia="Arial" w:hAnsi="Arial"/>
          <w:sz w:val="18"/>
          <w:szCs w:val="18"/>
          <w:color w:val="auto"/>
        </w:rPr>
        <w:t>Inspire Medical Systems, Inc.</w:t>
      </w:r>
      <w:r>
        <w:rPr>
          <w:sz w:val="20"/>
          <w:szCs w:val="20"/>
          <w:color w:val="auto"/>
        </w:rPr>
        <w:tab/>
      </w:r>
      <w:r>
        <w:rPr>
          <w:rFonts w:ascii="Arial" w:cs="Arial" w:eastAsia="Arial" w:hAnsi="Arial"/>
          <w:sz w:val="18"/>
          <w:szCs w:val="18"/>
          <w:color w:val="auto"/>
        </w:rPr>
        <w:t>Hill-Rom Holdings,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55206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219" w:lineRule="exact"/>
        <w:rPr>
          <w:sz w:val="20"/>
          <w:szCs w:val="20"/>
          <w:color w:val="auto"/>
        </w:rPr>
      </w:pPr>
    </w:p>
    <w:p>
      <w:pPr>
        <w:jc w:val="both"/>
        <w:ind w:left="3"/>
        <w:spacing w:after="0" w:line="236" w:lineRule="auto"/>
        <w:rPr>
          <w:sz w:val="20"/>
          <w:szCs w:val="20"/>
          <w:color w:val="auto"/>
        </w:rPr>
      </w:pPr>
      <w:r>
        <w:rPr>
          <w:rFonts w:ascii="Arial" w:cs="Arial" w:eastAsia="Arial" w:hAnsi="Arial"/>
          <w:sz w:val="18"/>
          <w:szCs w:val="18"/>
          <w:color w:val="auto"/>
        </w:rPr>
        <w:t>Jill M. Pemberton is the Chief Financial Officer, North America of LVMH Moët Hennessy Louis Vuitton, Paris, France (a global luxury product company), a position she has held since July 2020. Prior to her current role, she held the following positions:</w:t>
      </w:r>
    </w:p>
    <w:p>
      <w:pPr>
        <w:spacing w:after="0" w:line="1" w:lineRule="exact"/>
        <w:rPr>
          <w:sz w:val="20"/>
          <w:szCs w:val="20"/>
          <w:color w:val="auto"/>
        </w:rPr>
      </w:pPr>
    </w:p>
    <w:p>
      <w:pPr>
        <w:ind w:left="243" w:right="120" w:hanging="243"/>
        <w:spacing w:after="0" w:line="234" w:lineRule="auto"/>
        <w:tabs>
          <w:tab w:leader="none" w:pos="238"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Senior Vice President, Corporate Financial Planning &amp; Analysis, Viacom Inc. (now known as Paramount Global, a leading global media company) (July 2019 – January 2020)</w:t>
      </w:r>
    </w:p>
    <w:p>
      <w:pPr>
        <w:spacing w:after="0" w:line="1" w:lineRule="exact"/>
        <w:rPr>
          <w:rFonts w:ascii="Arial" w:cs="Arial" w:eastAsia="Arial" w:hAnsi="Arial"/>
          <w:sz w:val="18"/>
          <w:szCs w:val="18"/>
          <w:color w:val="auto"/>
        </w:rPr>
      </w:pPr>
    </w:p>
    <w:p>
      <w:pPr>
        <w:ind w:left="243" w:right="180" w:hanging="243"/>
        <w:spacing w:after="0" w:line="243" w:lineRule="auto"/>
        <w:tabs>
          <w:tab w:leader="none" w:pos="238" w:val="left"/>
        </w:tabs>
        <w:numPr>
          <w:ilvl w:val="0"/>
          <w:numId w:val="17"/>
        </w:numPr>
        <w:rPr>
          <w:rFonts w:ascii="Arial" w:cs="Arial" w:eastAsia="Arial" w:hAnsi="Arial"/>
          <w:sz w:val="17"/>
          <w:szCs w:val="17"/>
          <w:color w:val="auto"/>
        </w:rPr>
      </w:pPr>
      <w:r>
        <w:rPr>
          <w:rFonts w:ascii="Arial" w:cs="Arial" w:eastAsia="Arial" w:hAnsi="Arial"/>
          <w:sz w:val="17"/>
          <w:szCs w:val="17"/>
          <w:color w:val="auto"/>
        </w:rPr>
        <w:t>Vice President, Finance, Source COE, Supply Chain (February 2017 – June 2019); Vice President, Finance, Global Franchise Organization, Consumer (March 2014 – February 2017; and Vice President, Finance (September 2013 – March 2014), all at Johnson &amp; Johnson (a global health care company)</w:t>
      </w:r>
    </w:p>
    <w:p>
      <w:pPr>
        <w:ind w:left="3" w:right="200"/>
        <w:spacing w:after="0"/>
        <w:rPr>
          <w:sz w:val="20"/>
          <w:szCs w:val="20"/>
          <w:color w:val="auto"/>
        </w:rPr>
      </w:pPr>
      <w:r>
        <w:rPr>
          <w:rFonts w:ascii="Arial" w:cs="Arial" w:eastAsia="Arial" w:hAnsi="Arial"/>
          <w:sz w:val="17"/>
          <w:szCs w:val="17"/>
          <w:color w:val="auto"/>
        </w:rPr>
        <w:t>Prior to these roles, Ms. Pemberton served in various finance roles of increasing responsibility at the Kraft Heinz Company, Delta Air Lines, Inc. and ZF Group Inc. She holds a Directorship Certification from the</w:t>
      </w:r>
    </w:p>
    <w:p>
      <w:pPr>
        <w:spacing w:after="0" w:line="1" w:lineRule="exact"/>
        <w:rPr>
          <w:sz w:val="20"/>
          <w:szCs w:val="20"/>
          <w:color w:val="auto"/>
        </w:rPr>
      </w:pPr>
    </w:p>
    <w:p>
      <w:pPr>
        <w:ind w:left="3"/>
        <w:spacing w:after="0"/>
        <w:rPr>
          <w:sz w:val="20"/>
          <w:szCs w:val="20"/>
          <w:color w:val="auto"/>
        </w:rPr>
      </w:pPr>
      <w:r>
        <w:rPr>
          <w:rFonts w:ascii="Arial" w:cs="Arial" w:eastAsia="Arial" w:hAnsi="Arial"/>
          <w:sz w:val="18"/>
          <w:szCs w:val="18"/>
          <w:color w:val="auto"/>
        </w:rPr>
        <w:t>National Association of Corporate Directors.</w:t>
      </w:r>
    </w:p>
    <w:p>
      <w:pPr>
        <w:spacing w:after="0" w:line="86" w:lineRule="exact"/>
        <w:rPr>
          <w:sz w:val="20"/>
          <w:szCs w:val="20"/>
          <w:color w:val="auto"/>
        </w:rPr>
      </w:pPr>
    </w:p>
    <w:p>
      <w:pPr>
        <w:ind w:left="23"/>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55206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 w:right="280"/>
        <w:spacing w:after="0" w:line="259" w:lineRule="auto"/>
        <w:rPr>
          <w:sz w:val="20"/>
          <w:szCs w:val="20"/>
          <w:color w:val="auto"/>
        </w:rPr>
      </w:pPr>
      <w:r>
        <w:rPr>
          <w:rFonts w:ascii="Arial" w:cs="Arial" w:eastAsia="Arial" w:hAnsi="Arial"/>
          <w:sz w:val="17"/>
          <w:szCs w:val="17"/>
          <w:color w:val="auto"/>
        </w:rPr>
        <w:t>Ms. Pemberton brings to our Board strong and broad financial experience and acumen, enterprise risk management knowledge including relating to cybersecurity and business continuity, investor perspective,</w:t>
      </w:r>
    </w:p>
    <w:p>
      <w:pPr>
        <w:spacing w:after="0" w:line="1" w:lineRule="exact"/>
        <w:rPr>
          <w:sz w:val="20"/>
          <w:szCs w:val="20"/>
          <w:color w:val="auto"/>
        </w:rPr>
      </w:pPr>
    </w:p>
    <w:p>
      <w:pPr>
        <w:ind w:left="3" w:right="280"/>
        <w:spacing w:after="0"/>
        <w:rPr>
          <w:sz w:val="20"/>
          <w:szCs w:val="20"/>
          <w:color w:val="auto"/>
        </w:rPr>
      </w:pPr>
      <w:r>
        <w:rPr>
          <w:rFonts w:ascii="Arial" w:cs="Arial" w:eastAsia="Arial" w:hAnsi="Arial"/>
          <w:sz w:val="17"/>
          <w:szCs w:val="17"/>
          <w:color w:val="auto"/>
        </w:rPr>
        <w:t>strong brand experience and sourcing and supply chain oversight. In addition, she contributes a strategic perspective, with significant acquisition and integration experience, all of which assists our Board in</w:t>
      </w:r>
    </w:p>
    <w:p>
      <w:pPr>
        <w:ind w:left="3"/>
        <w:spacing w:after="0" w:line="235" w:lineRule="auto"/>
        <w:rPr>
          <w:sz w:val="20"/>
          <w:szCs w:val="20"/>
          <w:color w:val="auto"/>
        </w:rPr>
      </w:pPr>
      <w:r>
        <w:rPr>
          <w:rFonts w:ascii="Arial" w:cs="Arial" w:eastAsia="Arial" w:hAnsi="Arial"/>
          <w:sz w:val="18"/>
          <w:szCs w:val="18"/>
          <w:color w:val="auto"/>
        </w:rPr>
        <w:t>providing guidance and oversight in these areas. As a female, black leader, Ms. Pemberton champions</w:t>
      </w:r>
    </w:p>
    <w:p>
      <w:pPr>
        <w:ind w:left="3" w:right="360"/>
        <w:spacing w:after="0" w:line="237" w:lineRule="auto"/>
        <w:rPr>
          <w:sz w:val="20"/>
          <w:szCs w:val="20"/>
          <w:color w:val="auto"/>
        </w:rPr>
      </w:pPr>
      <w:r>
        <w:rPr>
          <w:rFonts w:ascii="Arial" w:cs="Arial" w:eastAsia="Arial" w:hAnsi="Arial"/>
          <w:sz w:val="18"/>
          <w:szCs w:val="18"/>
          <w:color w:val="auto"/>
        </w:rPr>
        <w:t>diversity, equity and inclusion initiatives as an Executive Sponsor of LVMH North America's Women and Black Employee Resource Groups and as a member of our Board.</w:t>
      </w:r>
    </w:p>
    <w:p>
      <w:pPr>
        <w:spacing w:after="0" w:line="7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55206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43" w:lineRule="exact"/>
        <w:rPr>
          <w:sz w:val="20"/>
          <w:szCs w:val="20"/>
          <w:color w:val="auto"/>
        </w:rPr>
      </w:pPr>
    </w:p>
    <w:p>
      <w:pPr>
        <w:ind w:left="1823"/>
        <w:spacing w:after="0"/>
        <w:tabs>
          <w:tab w:leader="none" w:pos="5943"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50" w:lineRule="exact"/>
        <w:rPr>
          <w:sz w:val="20"/>
          <w:szCs w:val="20"/>
          <w:color w:val="auto"/>
        </w:rPr>
      </w:pPr>
    </w:p>
    <w:p>
      <w:pPr>
        <w:ind w:left="1943"/>
        <w:spacing w:after="0"/>
        <w:tabs>
          <w:tab w:leader="none" w:pos="6263"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2140" w:space="377"/>
            <w:col w:w="8603"/>
          </w:cols>
          <w:pgMar w:left="340" w:top="112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120" w:right="439" w:bottom="1440" w:gutter="0" w:footer="0" w:header="0"/>
          <w:type w:val="continuous"/>
        </w:sectPr>
      </w:pPr>
    </w:p>
    <w:bookmarkStart w:id="21" w:name="page22"/>
    <w:bookmarkEnd w:id="21"/>
    <w:p>
      <w:pPr>
        <w:jc w:val="center"/>
        <w:ind w:right="-119"/>
        <w:spacing w:after="0"/>
        <w:rPr>
          <w:sz w:val="20"/>
          <w:szCs w:val="20"/>
          <w:color w:val="auto"/>
        </w:rPr>
      </w:pPr>
      <w:r>
        <w:rPr>
          <w:rFonts w:ascii="Arial" w:cs="Arial" w:eastAsia="Arial" w:hAnsi="Arial"/>
          <w:sz w:val="17"/>
          <w:szCs w:val="17"/>
          <w:b w:val="1"/>
          <w:bCs w:val="1"/>
          <w:color w:val="C00000"/>
        </w:rPr>
        <w:t>Continuing Members of the Board — Current Term Ending at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205105</wp:posOffset>
            </wp:positionV>
            <wp:extent cx="1148715" cy="1148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sectPr>
          <w:pgSz w:w="11900" w:h="16838" w:orient="portrait"/>
          <w:cols w:equalWidth="0" w:num="1">
            <w:col w:w="11100"/>
          </w:cols>
          <w:pgMar w:left="340" w:top="112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Jeffrey L. Harmening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Age 57</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ind w:left="160" w:hanging="154"/>
        <w:spacing w:after="0" w:line="234" w:lineRule="auto"/>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w:t>
      </w:r>
    </w:p>
    <w:p>
      <w:pPr>
        <w:ind w:left="160" w:hanging="154"/>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1515110</wp:posOffset>
            </wp:positionV>
            <wp:extent cx="1148715" cy="1148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Joyce A. Mullen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Age 61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ind w:left="160" w:right="160" w:hanging="154"/>
        <w:spacing w:after="0" w:line="234" w:lineRule="auto"/>
        <w:tabs>
          <w:tab w:leader="none" w:pos="1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&amp; Human Resources</w:t>
      </w:r>
    </w:p>
    <w:p>
      <w:pPr>
        <w:spacing w:after="0" w:line="1" w:lineRule="exact"/>
        <w:rPr>
          <w:rFonts w:ascii="Arial" w:cs="Arial" w:eastAsia="Arial" w:hAnsi="Arial"/>
          <w:sz w:val="18"/>
          <w:szCs w:val="18"/>
          <w:color w:val="auto"/>
        </w:rPr>
      </w:pPr>
    </w:p>
    <w:p>
      <w:pPr>
        <w:ind w:left="160" w:hanging="154"/>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Nominating &amp; Governance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55206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84" w:lineRule="exact"/>
        <w:rPr>
          <w:sz w:val="20"/>
          <w:szCs w:val="20"/>
          <w:color w:val="auto"/>
        </w:rPr>
      </w:pPr>
    </w:p>
    <w:p>
      <w:pPr>
        <w:ind w:left="3" w:right="220"/>
        <w:spacing w:after="0" w:line="241" w:lineRule="auto"/>
        <w:rPr>
          <w:sz w:val="20"/>
          <w:szCs w:val="20"/>
          <w:color w:val="auto"/>
        </w:rPr>
      </w:pPr>
      <w:r>
        <w:rPr>
          <w:rFonts w:ascii="Arial" w:cs="Arial" w:eastAsia="Arial" w:hAnsi="Arial"/>
          <w:sz w:val="18"/>
          <w:szCs w:val="18"/>
          <w:color w:val="auto"/>
        </w:rPr>
        <w:t>Jeffrey L. Harmening is the Chairman and Chief Executive Officer of General Mills, Inc., Minneapolis, Minnesota (a global manufacturer, marketer and supplier of food products). He holds or held the following positions, all at General Mills:</w:t>
      </w:r>
    </w:p>
    <w:p>
      <w:pPr>
        <w:ind w:left="163" w:hanging="163"/>
        <w:spacing w:after="0" w:line="237" w:lineRule="auto"/>
        <w:tabs>
          <w:tab w:leader="none" w:pos="1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Chairman (since January 2018)</w:t>
      </w:r>
    </w:p>
    <w:p>
      <w:pPr>
        <w:ind w:left="163" w:hanging="163"/>
        <w:spacing w:after="0" w:line="234" w:lineRule="auto"/>
        <w:tabs>
          <w:tab w:leader="none" w:pos="1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Chief Executive Officer (since June 2017)</w:t>
      </w:r>
    </w:p>
    <w:p>
      <w:pPr>
        <w:ind w:left="163" w:hanging="163"/>
        <w:spacing w:after="0" w:line="219" w:lineRule="auto"/>
        <w:tabs>
          <w:tab w:leader="none" w:pos="1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President and Chief Operating Officer (July 2016 – May 2017)</w:t>
      </w:r>
    </w:p>
    <w:p>
      <w:pPr>
        <w:ind w:left="163" w:hanging="163"/>
        <w:spacing w:after="0" w:line="234" w:lineRule="auto"/>
        <w:tabs>
          <w:tab w:leader="none" w:pos="1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Executive Vice President, Chief Operating Officer, U.S. Retail (May 2014 – June 2016)</w:t>
      </w:r>
    </w:p>
    <w:p>
      <w:pPr>
        <w:ind w:left="163" w:hanging="163"/>
        <w:spacing w:after="0"/>
        <w:tabs>
          <w:tab w:leader="none" w:pos="1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Senior Vice President, Chief Executive Officer, Cereal Partners Worldwide (July 2012 – April 2014)</w:t>
      </w:r>
    </w:p>
    <w:p>
      <w:pPr>
        <w:spacing w:after="0" w:line="86" w:lineRule="exact"/>
        <w:rPr>
          <w:sz w:val="20"/>
          <w:szCs w:val="20"/>
          <w:color w:val="auto"/>
        </w:rPr>
      </w:pPr>
    </w:p>
    <w:p>
      <w:pPr>
        <w:ind w:left="23"/>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240665</wp:posOffset>
            </wp:positionV>
            <wp:extent cx="55206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 w:right="20"/>
        <w:spacing w:after="0" w:line="245" w:lineRule="auto"/>
        <w:rPr>
          <w:sz w:val="20"/>
          <w:szCs w:val="20"/>
          <w:color w:val="auto"/>
        </w:rPr>
      </w:pPr>
      <w:r>
        <w:rPr>
          <w:rFonts w:ascii="Arial" w:cs="Arial" w:eastAsia="Arial" w:hAnsi="Arial"/>
          <w:sz w:val="18"/>
          <w:szCs w:val="18"/>
          <w:color w:val="auto"/>
        </w:rPr>
        <w:t>Mr. Harmening brings to our Board extensive experience as a seasoned executive with strong business and financial acumen and experience implementing the strategic direction for a complex and publicly traded</w:t>
      </w:r>
    </w:p>
    <w:p>
      <w:pPr>
        <w:ind w:left="3" w:right="260"/>
        <w:spacing w:after="0"/>
        <w:rPr>
          <w:sz w:val="20"/>
          <w:szCs w:val="20"/>
          <w:color w:val="auto"/>
        </w:rPr>
      </w:pPr>
      <w:r>
        <w:rPr>
          <w:rFonts w:ascii="Arial" w:cs="Arial" w:eastAsia="Arial" w:hAnsi="Arial"/>
          <w:sz w:val="17"/>
          <w:szCs w:val="17"/>
          <w:color w:val="auto"/>
        </w:rPr>
        <w:t>company with extensive distribution channels and supply chain operations. Furthermore, he brings experience in driving growth through customer-valued products and acquisitions and advancing diversity,</w:t>
      </w:r>
    </w:p>
    <w:p>
      <w:pPr>
        <w:spacing w:after="0" w:line="1" w:lineRule="exact"/>
        <w:rPr>
          <w:sz w:val="20"/>
          <w:szCs w:val="20"/>
          <w:color w:val="auto"/>
        </w:rPr>
      </w:pPr>
    </w:p>
    <w:p>
      <w:pPr>
        <w:ind w:left="3"/>
        <w:spacing w:after="0"/>
        <w:rPr>
          <w:sz w:val="20"/>
          <w:szCs w:val="20"/>
          <w:color w:val="auto"/>
        </w:rPr>
      </w:pPr>
      <w:r>
        <w:rPr>
          <w:rFonts w:ascii="Arial" w:cs="Arial" w:eastAsia="Arial" w:hAnsi="Arial"/>
          <w:sz w:val="17"/>
          <w:szCs w:val="17"/>
          <w:color w:val="auto"/>
        </w:rPr>
        <w:t>equity and inclusion matters. He demonstrates strong business discipline and commitment to best practices.</w:t>
      </w:r>
    </w:p>
    <w:p>
      <w:pPr>
        <w:spacing w:after="0" w:line="7" w:lineRule="exact"/>
        <w:rPr>
          <w:sz w:val="20"/>
          <w:szCs w:val="20"/>
          <w:color w:val="auto"/>
        </w:rPr>
      </w:pPr>
    </w:p>
    <w:p>
      <w:pPr>
        <w:ind w:left="3" w:right="220"/>
        <w:spacing w:after="0" w:line="237" w:lineRule="auto"/>
        <w:rPr>
          <w:sz w:val="20"/>
          <w:szCs w:val="20"/>
          <w:color w:val="auto"/>
        </w:rPr>
      </w:pPr>
      <w:r>
        <w:rPr>
          <w:rFonts w:ascii="Arial" w:cs="Arial" w:eastAsia="Arial" w:hAnsi="Arial"/>
          <w:sz w:val="18"/>
          <w:szCs w:val="18"/>
          <w:color w:val="auto"/>
        </w:rPr>
        <w:t>In addition, he has significant experience managing operations around the world, including having lived in Europe for six years during his tenure at General Mills.</w:t>
      </w:r>
    </w:p>
    <w:p>
      <w:pPr>
        <w:spacing w:after="0" w:line="7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5520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43" w:lineRule="exact"/>
        <w:rPr>
          <w:sz w:val="20"/>
          <w:szCs w:val="20"/>
          <w:color w:val="auto"/>
        </w:rPr>
      </w:pPr>
    </w:p>
    <w:p>
      <w:pPr>
        <w:ind w:left="1823"/>
        <w:spacing w:after="0"/>
        <w:tabs>
          <w:tab w:leader="none" w:pos="5943"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50" w:lineRule="exact"/>
        <w:rPr>
          <w:sz w:val="20"/>
          <w:szCs w:val="20"/>
          <w:color w:val="auto"/>
        </w:rPr>
      </w:pPr>
    </w:p>
    <w:p>
      <w:pPr>
        <w:ind w:left="1443"/>
        <w:spacing w:after="0"/>
        <w:tabs>
          <w:tab w:leader="none" w:pos="6263" w:val="left"/>
        </w:tabs>
        <w:rPr>
          <w:sz w:val="20"/>
          <w:szCs w:val="20"/>
          <w:color w:val="auto"/>
        </w:rPr>
      </w:pPr>
      <w:r>
        <w:rPr>
          <w:rFonts w:ascii="Arial" w:cs="Arial" w:eastAsia="Arial" w:hAnsi="Arial"/>
          <w:sz w:val="18"/>
          <w:szCs w:val="18"/>
          <w:color w:val="auto"/>
        </w:rPr>
        <w:t>General Mills, Inc.</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5520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30" w:lineRule="exact"/>
        <w:rPr>
          <w:sz w:val="20"/>
          <w:szCs w:val="20"/>
          <w:color w:val="auto"/>
        </w:rPr>
      </w:pPr>
    </w:p>
    <w:p>
      <w:pPr>
        <w:ind w:left="3" w:right="140"/>
        <w:spacing w:after="0" w:line="253" w:lineRule="auto"/>
        <w:rPr>
          <w:sz w:val="20"/>
          <w:szCs w:val="20"/>
          <w:color w:val="auto"/>
        </w:rPr>
      </w:pPr>
      <w:r>
        <w:rPr>
          <w:rFonts w:ascii="Arial" w:cs="Arial" w:eastAsia="Arial" w:hAnsi="Arial"/>
          <w:sz w:val="18"/>
          <w:szCs w:val="18"/>
          <w:color w:val="auto"/>
        </w:rPr>
        <w:t>Joyce A. Mullen is the President and Chief Executive Officer of Insight Enterprises, Inc., Chandler, Arizona (an information technology company). She holds or has held the following positions at Insight:</w:t>
      </w:r>
    </w:p>
    <w:p>
      <w:pPr>
        <w:ind w:left="163" w:hanging="163"/>
        <w:spacing w:after="0" w:line="234" w:lineRule="auto"/>
        <w:tabs>
          <w:tab w:leader="none" w:pos="1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President and Chief Executive Officer (since January 2022)</w:t>
      </w:r>
    </w:p>
    <w:p>
      <w:pPr>
        <w:ind w:left="163" w:hanging="163"/>
        <w:spacing w:after="0"/>
        <w:tabs>
          <w:tab w:leader="none" w:pos="1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President of North American Businesses (October 2020 – December 2021)</w:t>
      </w:r>
    </w:p>
    <w:p>
      <w:pPr>
        <w:spacing w:after="0" w:line="9" w:lineRule="exact"/>
        <w:rPr>
          <w:sz w:val="20"/>
          <w:szCs w:val="20"/>
          <w:color w:val="auto"/>
        </w:rPr>
      </w:pPr>
    </w:p>
    <w:p>
      <w:pPr>
        <w:ind w:left="3" w:right="520"/>
        <w:spacing w:after="0" w:line="226" w:lineRule="auto"/>
        <w:rPr>
          <w:sz w:val="20"/>
          <w:szCs w:val="20"/>
          <w:color w:val="auto"/>
        </w:rPr>
      </w:pPr>
      <w:r>
        <w:rPr>
          <w:rFonts w:ascii="Arial" w:cs="Arial" w:eastAsia="Arial" w:hAnsi="Arial"/>
          <w:sz w:val="18"/>
          <w:szCs w:val="18"/>
          <w:color w:val="auto"/>
        </w:rPr>
        <w:t>Previously, Ms. Mullen held the following positions at Dell Technologies (a digital technology solutions company):</w:t>
      </w:r>
    </w:p>
    <w:p>
      <w:pPr>
        <w:ind w:left="163" w:hanging="163"/>
        <w:spacing w:after="0" w:line="236" w:lineRule="auto"/>
        <w:tabs>
          <w:tab w:leader="none" w:pos="1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President, Global Channel, OEM and IoT (November 2017 – August 2020)</w:t>
      </w:r>
    </w:p>
    <w:p>
      <w:pPr>
        <w:ind w:left="163" w:right="60" w:hanging="163"/>
        <w:spacing w:after="0" w:line="234" w:lineRule="auto"/>
        <w:tabs>
          <w:tab w:leader="none" w:pos="1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Senior Vice President and General Manager, Global OEM and IoT Solutions (February 2015 – November 2017)</w:t>
      </w:r>
    </w:p>
    <w:p>
      <w:pPr>
        <w:spacing w:after="0" w:line="1" w:lineRule="exact"/>
        <w:rPr>
          <w:rFonts w:ascii="Arial" w:cs="Arial" w:eastAsia="Arial" w:hAnsi="Arial"/>
          <w:sz w:val="18"/>
          <w:szCs w:val="18"/>
          <w:color w:val="auto"/>
        </w:rPr>
      </w:pPr>
    </w:p>
    <w:p>
      <w:pPr>
        <w:ind w:left="163" w:hanging="163"/>
        <w:spacing w:after="0"/>
        <w:tabs>
          <w:tab w:leader="none" w:pos="1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Vice President and General Manager, Global OEM Solutions (February 2012 – February 2015)</w:t>
      </w:r>
    </w:p>
    <w:p>
      <w:pPr>
        <w:spacing w:after="0" w:line="9" w:lineRule="exact"/>
        <w:rPr>
          <w:sz w:val="20"/>
          <w:szCs w:val="20"/>
          <w:color w:val="auto"/>
        </w:rPr>
      </w:pPr>
    </w:p>
    <w:p>
      <w:pPr>
        <w:ind w:left="3" w:right="60" w:hanging="3"/>
        <w:spacing w:after="0" w:line="250" w:lineRule="auto"/>
        <w:rPr>
          <w:sz w:val="20"/>
          <w:szCs w:val="20"/>
          <w:color w:val="auto"/>
        </w:rPr>
      </w:pPr>
      <w:r>
        <w:rPr>
          <w:rFonts w:ascii="Arial" w:cs="Arial" w:eastAsia="Arial" w:hAnsi="Arial"/>
          <w:sz w:val="18"/>
          <w:szCs w:val="18"/>
          <w:color w:val="auto"/>
        </w:rPr>
        <w:t>Ms. Mullen also spent 10 years in leadership positions at Cummins Engine Company, including distribution, manufacturing and international business development.</w:t>
      </w:r>
    </w:p>
    <w:p>
      <w:pPr>
        <w:spacing w:after="0" w:line="50"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283210</wp:posOffset>
            </wp:positionV>
            <wp:extent cx="5520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 w:right="40"/>
        <w:spacing w:after="0" w:line="259" w:lineRule="auto"/>
        <w:rPr>
          <w:sz w:val="20"/>
          <w:szCs w:val="20"/>
          <w:color w:val="auto"/>
        </w:rPr>
      </w:pPr>
      <w:r>
        <w:rPr>
          <w:rFonts w:ascii="Arial" w:cs="Arial" w:eastAsia="Arial" w:hAnsi="Arial"/>
          <w:sz w:val="17"/>
          <w:szCs w:val="17"/>
          <w:color w:val="auto"/>
        </w:rPr>
        <w:t>Ms. Mullen brings to our Board significant executive leadership skills, technology and smart-connected products expertise, strategic and innovative thinking and strong international business experience. She also</w:t>
      </w:r>
    </w:p>
    <w:p>
      <w:pPr>
        <w:spacing w:after="0" w:line="1" w:lineRule="exact"/>
        <w:rPr>
          <w:sz w:val="20"/>
          <w:szCs w:val="20"/>
          <w:color w:val="auto"/>
        </w:rPr>
      </w:pPr>
    </w:p>
    <w:p>
      <w:pPr>
        <w:ind w:left="3" w:right="220"/>
        <w:spacing w:after="0"/>
        <w:rPr>
          <w:sz w:val="20"/>
          <w:szCs w:val="20"/>
          <w:color w:val="auto"/>
        </w:rPr>
      </w:pPr>
      <w:r>
        <w:rPr>
          <w:rFonts w:ascii="Arial" w:cs="Arial" w:eastAsia="Arial" w:hAnsi="Arial"/>
          <w:sz w:val="17"/>
          <w:szCs w:val="17"/>
          <w:color w:val="auto"/>
        </w:rPr>
        <w:t>offers a valuable perspective with regard to evaluating and supporting talent. Additionally, she contributes substantial knowledge of worldwide manufacturing, distribution channels, cybersecurity, digital product</w:t>
      </w:r>
    </w:p>
    <w:p>
      <w:pPr>
        <w:spacing w:after="0" w:line="1" w:lineRule="exact"/>
        <w:rPr>
          <w:sz w:val="20"/>
          <w:szCs w:val="20"/>
          <w:color w:val="auto"/>
        </w:rPr>
      </w:pPr>
    </w:p>
    <w:p>
      <w:pPr>
        <w:ind w:left="3"/>
        <w:spacing w:after="0" w:line="250" w:lineRule="auto"/>
        <w:rPr>
          <w:sz w:val="20"/>
          <w:szCs w:val="20"/>
          <w:color w:val="auto"/>
        </w:rPr>
      </w:pPr>
      <w:r>
        <w:rPr>
          <w:rFonts w:ascii="Arial" w:cs="Arial" w:eastAsia="Arial" w:hAnsi="Arial"/>
          <w:sz w:val="18"/>
          <w:szCs w:val="18"/>
          <w:color w:val="auto"/>
        </w:rPr>
        <w:t>development and supply chain strategies, including improving efficiencies in manufacturing operations using Six Sigma, Kaizen and Lean techniques.</w:t>
      </w:r>
    </w:p>
    <w:p>
      <w:pPr>
        <w:spacing w:after="0" w:line="50"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34925</wp:posOffset>
            </wp:positionV>
            <wp:extent cx="55206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57" w:lineRule="exact"/>
        <w:rPr>
          <w:sz w:val="20"/>
          <w:szCs w:val="20"/>
          <w:color w:val="auto"/>
        </w:rPr>
      </w:pPr>
    </w:p>
    <w:p>
      <w:pPr>
        <w:ind w:left="1823"/>
        <w:spacing w:after="0"/>
        <w:tabs>
          <w:tab w:leader="none" w:pos="5943"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50" w:lineRule="exact"/>
        <w:rPr>
          <w:sz w:val="20"/>
          <w:szCs w:val="20"/>
          <w:color w:val="auto"/>
        </w:rPr>
      </w:pPr>
    </w:p>
    <w:p>
      <w:pPr>
        <w:ind w:left="1223"/>
        <w:spacing w:after="0"/>
        <w:tabs>
          <w:tab w:leader="none" w:pos="6263" w:val="left"/>
        </w:tabs>
        <w:rPr>
          <w:sz w:val="20"/>
          <w:szCs w:val="20"/>
          <w:color w:val="auto"/>
        </w:rPr>
      </w:pPr>
      <w:r>
        <w:rPr>
          <w:rFonts w:ascii="Arial" w:cs="Arial" w:eastAsia="Arial" w:hAnsi="Arial"/>
          <w:sz w:val="18"/>
          <w:szCs w:val="18"/>
          <w:color w:val="auto"/>
        </w:rPr>
        <w:t>Insight Enterprises, Inc.</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2280" w:space="237"/>
            <w:col w:w="8583"/>
          </w:cols>
          <w:pgMar w:left="340" w:top="112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120" w:right="45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1148715" cy="1148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Richard M. Olson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Age 60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2270125</wp:posOffset>
            </wp:positionV>
            <wp:extent cx="1148715" cy="1148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James C. O'Rourke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Age 63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ind w:left="160" w:right="160" w:hanging="154"/>
        <w:spacing w:after="0" w:line="234" w:lineRule="auto"/>
        <w:tabs>
          <w:tab w:leader="none" w:pos="1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&amp; Human Resources (Chair)</w:t>
      </w:r>
    </w:p>
    <w:p>
      <w:pPr>
        <w:spacing w:after="0" w:line="1" w:lineRule="exact"/>
        <w:rPr>
          <w:rFonts w:ascii="Arial" w:cs="Arial" w:eastAsia="Arial" w:hAnsi="Arial"/>
          <w:sz w:val="18"/>
          <w:szCs w:val="18"/>
          <w:color w:val="auto"/>
        </w:rPr>
      </w:pPr>
    </w:p>
    <w:p>
      <w:pPr>
        <w:ind w:left="160" w:hanging="154"/>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Nominating &amp; Governance</w:t>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55206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84" w:lineRule="exact"/>
        <w:rPr>
          <w:sz w:val="20"/>
          <w:szCs w:val="20"/>
          <w:color w:val="auto"/>
        </w:rPr>
      </w:pPr>
    </w:p>
    <w:p>
      <w:pPr>
        <w:ind w:left="23" w:right="60"/>
        <w:spacing w:after="0" w:line="253" w:lineRule="auto"/>
        <w:rPr>
          <w:sz w:val="20"/>
          <w:szCs w:val="20"/>
          <w:color w:val="auto"/>
        </w:rPr>
      </w:pPr>
      <w:r>
        <w:rPr>
          <w:rFonts w:ascii="Arial" w:cs="Arial" w:eastAsia="Arial" w:hAnsi="Arial"/>
          <w:sz w:val="18"/>
          <w:szCs w:val="18"/>
          <w:color w:val="auto"/>
        </w:rPr>
        <w:t>Richard M. Olson is our Chairman of the Board, President and Chief Executive Officer. He holds or held the following positions, all at The Toro Company:</w:t>
      </w:r>
    </w:p>
    <w:p>
      <w:pPr>
        <w:ind w:left="143" w:hanging="143"/>
        <w:spacing w:after="0" w:line="234" w:lineRule="auto"/>
        <w:tabs>
          <w:tab w:leader="none" w:pos="143"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8"/>
          <w:szCs w:val="18"/>
          <w:color w:val="auto"/>
        </w:rPr>
        <w:t>Chairman (since November 2017)</w:t>
      </w:r>
    </w:p>
    <w:p>
      <w:pPr>
        <w:ind w:left="143" w:hanging="143"/>
        <w:spacing w:after="0"/>
        <w:tabs>
          <w:tab w:leader="none" w:pos="143"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8"/>
          <w:szCs w:val="18"/>
          <w:color w:val="auto"/>
        </w:rPr>
        <w:t>Chief Executive Officer (since November 2016)</w:t>
      </w:r>
    </w:p>
    <w:p>
      <w:pPr>
        <w:spacing w:after="0" w:line="9" w:lineRule="exact"/>
        <w:rPr>
          <w:rFonts w:ascii="Times New Roman" w:cs="Times New Roman" w:eastAsia="Times New Roman" w:hAnsi="Times New Roman"/>
          <w:sz w:val="16"/>
          <w:szCs w:val="16"/>
          <w:color w:val="auto"/>
        </w:rPr>
      </w:pPr>
    </w:p>
    <w:p>
      <w:pPr>
        <w:ind w:left="143" w:hanging="143"/>
        <w:spacing w:after="0"/>
        <w:tabs>
          <w:tab w:leader="none" w:pos="143"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(since September 2015)</w:t>
      </w:r>
    </w:p>
    <w:p>
      <w:pPr>
        <w:spacing w:after="0" w:line="9" w:lineRule="exact"/>
        <w:rPr>
          <w:rFonts w:ascii="Times New Roman" w:cs="Times New Roman" w:eastAsia="Times New Roman" w:hAnsi="Times New Roman"/>
          <w:sz w:val="16"/>
          <w:szCs w:val="16"/>
          <w:color w:val="auto"/>
        </w:rPr>
      </w:pPr>
    </w:p>
    <w:p>
      <w:pPr>
        <w:ind w:left="143" w:hanging="143"/>
        <w:spacing w:after="0"/>
        <w:tabs>
          <w:tab w:leader="none" w:pos="143"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8"/>
          <w:szCs w:val="18"/>
          <w:color w:val="auto"/>
        </w:rPr>
        <w:t>Chief Operating Officer (September 2015 – October 2016)</w:t>
      </w:r>
    </w:p>
    <w:p>
      <w:pPr>
        <w:spacing w:after="0" w:line="9" w:lineRule="exact"/>
        <w:rPr>
          <w:rFonts w:ascii="Times New Roman" w:cs="Times New Roman" w:eastAsia="Times New Roman" w:hAnsi="Times New Roman"/>
          <w:sz w:val="16"/>
          <w:szCs w:val="16"/>
          <w:color w:val="auto"/>
        </w:rPr>
      </w:pPr>
    </w:p>
    <w:p>
      <w:pPr>
        <w:ind w:left="163" w:hanging="163"/>
        <w:spacing w:after="0" w:line="242" w:lineRule="auto"/>
        <w:tabs>
          <w:tab w:leader="none" w:pos="152"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8"/>
          <w:szCs w:val="18"/>
          <w:color w:val="auto"/>
        </w:rPr>
        <w:t>Group Vice President, International Business, Micro Irrigation Business and Distributor Development (June 2014 – September 2015)</w:t>
      </w:r>
    </w:p>
    <w:p>
      <w:pPr>
        <w:spacing w:after="0" w:line="1" w:lineRule="exact"/>
        <w:rPr>
          <w:rFonts w:ascii="Times New Roman" w:cs="Times New Roman" w:eastAsia="Times New Roman" w:hAnsi="Times New Roman"/>
          <w:sz w:val="16"/>
          <w:szCs w:val="16"/>
          <w:color w:val="auto"/>
        </w:rPr>
      </w:pPr>
    </w:p>
    <w:p>
      <w:pPr>
        <w:ind w:left="143" w:hanging="143"/>
        <w:spacing w:after="0"/>
        <w:tabs>
          <w:tab w:leader="none" w:pos="143"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8"/>
          <w:szCs w:val="18"/>
          <w:color w:val="auto"/>
        </w:rPr>
        <w:t>Vice President, International Business (March 2013 – June 2014)</w:t>
      </w:r>
    </w:p>
    <w:p>
      <w:pPr>
        <w:spacing w:after="0" w:line="9" w:lineRule="exact"/>
        <w:rPr>
          <w:rFonts w:ascii="Times New Roman" w:cs="Times New Roman" w:eastAsia="Times New Roman" w:hAnsi="Times New Roman"/>
          <w:sz w:val="16"/>
          <w:szCs w:val="16"/>
          <w:color w:val="auto"/>
        </w:rPr>
      </w:pPr>
    </w:p>
    <w:p>
      <w:pPr>
        <w:ind w:left="143" w:hanging="143"/>
        <w:spacing w:after="0"/>
        <w:tabs>
          <w:tab w:leader="none" w:pos="143"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8"/>
          <w:szCs w:val="18"/>
          <w:color w:val="auto"/>
        </w:rPr>
        <w:t>Vice President, Exmark (March 2012 – March 2013)</w:t>
      </w:r>
    </w:p>
    <w:p>
      <w:pPr>
        <w:spacing w:after="0" w:line="86" w:lineRule="exact"/>
        <w:rPr>
          <w:sz w:val="20"/>
          <w:szCs w:val="20"/>
          <w:color w:val="auto"/>
        </w:rPr>
      </w:pPr>
    </w:p>
    <w:p>
      <w:pPr>
        <w:ind w:left="23"/>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55206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
        <w:spacing w:after="0"/>
        <w:rPr>
          <w:sz w:val="20"/>
          <w:szCs w:val="20"/>
          <w:color w:val="auto"/>
        </w:rPr>
      </w:pPr>
      <w:r>
        <w:rPr>
          <w:rFonts w:ascii="Arial" w:cs="Arial" w:eastAsia="Arial" w:hAnsi="Arial"/>
          <w:sz w:val="18"/>
          <w:szCs w:val="18"/>
          <w:color w:val="auto"/>
        </w:rPr>
        <w:t>In his more than 37 years with our Company, Mr. Olson has developed and brings to our Board rich</w:t>
      </w:r>
    </w:p>
    <w:p>
      <w:pPr>
        <w:spacing w:after="0" w:line="14" w:lineRule="exact"/>
        <w:rPr>
          <w:sz w:val="20"/>
          <w:szCs w:val="20"/>
          <w:color w:val="auto"/>
        </w:rPr>
      </w:pPr>
    </w:p>
    <w:p>
      <w:pPr>
        <w:ind w:left="3" w:right="300"/>
        <w:spacing w:after="0"/>
        <w:rPr>
          <w:sz w:val="20"/>
          <w:szCs w:val="20"/>
          <w:color w:val="auto"/>
        </w:rPr>
      </w:pPr>
      <w:r>
        <w:rPr>
          <w:rFonts w:ascii="Arial" w:cs="Arial" w:eastAsia="Arial" w:hAnsi="Arial"/>
          <w:sz w:val="17"/>
          <w:szCs w:val="17"/>
          <w:color w:val="auto"/>
        </w:rPr>
        <w:t>knowledge of the Company, including, in particular, our global businesses and operations, manufacturing processes, supply chain, distribution and channel development, and product development strategies. In</w:t>
      </w:r>
    </w:p>
    <w:p>
      <w:pPr>
        <w:ind w:left="3"/>
        <w:spacing w:after="0" w:line="235" w:lineRule="auto"/>
        <w:rPr>
          <w:sz w:val="20"/>
          <w:szCs w:val="20"/>
          <w:color w:val="auto"/>
        </w:rPr>
      </w:pPr>
      <w:r>
        <w:rPr>
          <w:rFonts w:ascii="Arial" w:cs="Arial" w:eastAsia="Arial" w:hAnsi="Arial"/>
          <w:sz w:val="18"/>
          <w:szCs w:val="18"/>
          <w:color w:val="auto"/>
        </w:rPr>
        <w:t>addition, the broad experience he has gained through his past leadership of various businesses and</w:t>
      </w:r>
    </w:p>
    <w:p>
      <w:pPr>
        <w:ind w:left="3" w:right="220"/>
        <w:spacing w:after="0"/>
        <w:rPr>
          <w:sz w:val="20"/>
          <w:szCs w:val="20"/>
          <w:color w:val="auto"/>
        </w:rPr>
      </w:pPr>
      <w:r>
        <w:rPr>
          <w:rFonts w:ascii="Arial" w:cs="Arial" w:eastAsia="Arial" w:hAnsi="Arial"/>
          <w:sz w:val="17"/>
          <w:szCs w:val="17"/>
          <w:color w:val="auto"/>
        </w:rPr>
        <w:t>manufacturing operations provides him with a unique perspective regarding our growth initiatives and strategic direction. He contributes a deep commitment to quality, technological advancements, innovation,</w:t>
      </w:r>
    </w:p>
    <w:p>
      <w:pPr>
        <w:ind w:left="3"/>
        <w:spacing w:after="0" w:line="235" w:lineRule="auto"/>
        <w:rPr>
          <w:sz w:val="20"/>
          <w:szCs w:val="20"/>
          <w:color w:val="auto"/>
        </w:rPr>
      </w:pPr>
      <w:r>
        <w:rPr>
          <w:rFonts w:ascii="Arial" w:cs="Arial" w:eastAsia="Arial" w:hAnsi="Arial"/>
          <w:sz w:val="18"/>
          <w:szCs w:val="18"/>
          <w:color w:val="auto"/>
        </w:rPr>
        <w:t>sustainability, diversity, ethical values and business conduct, and focus on customer service. As a result of</w:t>
      </w:r>
    </w:p>
    <w:p>
      <w:pPr>
        <w:ind w:left="3" w:right="40"/>
        <w:spacing w:after="0" w:line="263" w:lineRule="auto"/>
        <w:rPr>
          <w:sz w:val="20"/>
          <w:szCs w:val="20"/>
          <w:color w:val="auto"/>
        </w:rPr>
      </w:pPr>
      <w:r>
        <w:rPr>
          <w:rFonts w:ascii="Arial" w:cs="Arial" w:eastAsia="Arial" w:hAnsi="Arial"/>
          <w:sz w:val="17"/>
          <w:szCs w:val="17"/>
          <w:color w:val="auto"/>
        </w:rPr>
        <w:t>his dual role as Chairman and CEO, Mr. Olson provides unique insight into our Company's future strategies, opportunities and challenges and serves as a unifying element between our Board and Management.</w:t>
      </w:r>
    </w:p>
    <w:p>
      <w:pPr>
        <w:spacing w:after="0" w:line="5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34925</wp:posOffset>
            </wp:positionV>
            <wp:extent cx="5520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57" w:lineRule="exact"/>
        <w:rPr>
          <w:sz w:val="20"/>
          <w:szCs w:val="20"/>
          <w:color w:val="auto"/>
        </w:rPr>
      </w:pPr>
    </w:p>
    <w:p>
      <w:pPr>
        <w:ind w:left="1823"/>
        <w:spacing w:after="0"/>
        <w:tabs>
          <w:tab w:leader="none" w:pos="5943"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50" w:lineRule="exact"/>
        <w:rPr>
          <w:sz w:val="20"/>
          <w:szCs w:val="20"/>
          <w:color w:val="auto"/>
        </w:rPr>
      </w:pPr>
    </w:p>
    <w:p>
      <w:pPr>
        <w:ind w:left="1123"/>
        <w:spacing w:after="0"/>
        <w:tabs>
          <w:tab w:leader="none" w:pos="6263" w:val="left"/>
        </w:tabs>
        <w:rPr>
          <w:sz w:val="20"/>
          <w:szCs w:val="20"/>
          <w:color w:val="auto"/>
        </w:rPr>
      </w:pPr>
      <w:r>
        <w:rPr>
          <w:rFonts w:ascii="Arial" w:cs="Arial" w:eastAsia="Arial" w:hAnsi="Arial"/>
          <w:sz w:val="18"/>
          <w:szCs w:val="18"/>
          <w:color w:val="auto"/>
        </w:rPr>
        <w:t>Donaldson Company, Inc.</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5520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84" w:lineRule="exact"/>
        <w:rPr>
          <w:sz w:val="20"/>
          <w:szCs w:val="20"/>
          <w:color w:val="auto"/>
        </w:rPr>
      </w:pPr>
    </w:p>
    <w:p>
      <w:pPr>
        <w:ind w:left="3"/>
        <w:spacing w:after="0"/>
        <w:rPr>
          <w:sz w:val="20"/>
          <w:szCs w:val="20"/>
          <w:color w:val="auto"/>
        </w:rPr>
      </w:pPr>
      <w:r>
        <w:rPr>
          <w:rFonts w:ascii="Arial" w:cs="Arial" w:eastAsia="Arial" w:hAnsi="Arial"/>
          <w:sz w:val="18"/>
          <w:szCs w:val="18"/>
          <w:color w:val="auto"/>
        </w:rPr>
        <w:t>James C. O’Rourke is serving as Senior Advisor to The Mosaic Company, Tampa, Florida (a global producer and marketer of combined concentrated phosphate and potash crop nutrients for the global agriculture industry) until his anticipated retirement in mid-2024. Prior to his current position, he held the following positions, all at The Mosaic Company:</w:t>
      </w:r>
    </w:p>
    <w:p>
      <w:pPr>
        <w:ind w:left="163" w:hanging="163"/>
        <w:spacing w:after="0" w:line="234" w:lineRule="auto"/>
        <w:tabs>
          <w:tab w:leader="none" w:pos="1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Chief Executive Officer (August 2015 – December 2023)</w:t>
      </w:r>
    </w:p>
    <w:p>
      <w:pPr>
        <w:ind w:left="163" w:hanging="163"/>
        <w:spacing w:after="0" w:line="234" w:lineRule="auto"/>
        <w:tabs>
          <w:tab w:leader="none" w:pos="1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President (August 2015 – August 2023)</w:t>
      </w:r>
    </w:p>
    <w:p>
      <w:pPr>
        <w:ind w:left="163" w:hanging="163"/>
        <w:spacing w:after="0" w:line="219" w:lineRule="auto"/>
        <w:tabs>
          <w:tab w:leader="none" w:pos="1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 Vice President—Operations and Chief Operating Officer (August 2012 – August 2015)</w:t>
      </w:r>
    </w:p>
    <w:p>
      <w:pPr>
        <w:ind w:left="163" w:hanging="163"/>
        <w:spacing w:after="0"/>
        <w:tabs>
          <w:tab w:leader="none" w:pos="1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 Vice President—Operations (January 2009 – August 2012)</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240665</wp:posOffset>
            </wp:positionV>
            <wp:extent cx="55206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
        <w:spacing w:after="0"/>
        <w:rPr>
          <w:sz w:val="20"/>
          <w:szCs w:val="20"/>
          <w:color w:val="auto"/>
        </w:rPr>
      </w:pPr>
      <w:r>
        <w:rPr>
          <w:rFonts w:ascii="Arial" w:cs="Arial" w:eastAsia="Arial" w:hAnsi="Arial"/>
          <w:sz w:val="18"/>
          <w:szCs w:val="18"/>
          <w:color w:val="auto"/>
        </w:rPr>
        <w:t>Mr. O</w:t>
      </w:r>
      <w:r>
        <w:rPr>
          <w:rFonts w:ascii="Arial" w:cs="Arial" w:eastAsia="Arial" w:hAnsi="Arial"/>
          <w:sz w:val="18"/>
          <w:szCs w:val="18"/>
          <w:b w:val="1"/>
          <w:bCs w:val="1"/>
          <w:color w:val="auto"/>
        </w:rPr>
        <w:t>'</w:t>
      </w:r>
      <w:r>
        <w:rPr>
          <w:rFonts w:ascii="Arial" w:cs="Arial" w:eastAsia="Arial" w:hAnsi="Arial"/>
          <w:sz w:val="18"/>
          <w:szCs w:val="18"/>
          <w:color w:val="auto"/>
        </w:rPr>
        <w:t>Rourke brings to our Board significant leadership skills, strategic and innovative thinking from a former</w:t>
      </w:r>
    </w:p>
    <w:p>
      <w:pPr>
        <w:spacing w:after="0" w:line="14" w:lineRule="exact"/>
        <w:rPr>
          <w:sz w:val="20"/>
          <w:szCs w:val="20"/>
          <w:color w:val="auto"/>
        </w:rPr>
      </w:pPr>
    </w:p>
    <w:p>
      <w:pPr>
        <w:ind w:left="3" w:right="820"/>
        <w:spacing w:after="0"/>
        <w:rPr>
          <w:sz w:val="20"/>
          <w:szCs w:val="20"/>
          <w:color w:val="auto"/>
        </w:rPr>
      </w:pPr>
      <w:r>
        <w:rPr>
          <w:rFonts w:ascii="Arial" w:cs="Arial" w:eastAsia="Arial" w:hAnsi="Arial"/>
          <w:sz w:val="17"/>
          <w:szCs w:val="17"/>
          <w:color w:val="auto"/>
        </w:rPr>
        <w:t>chief executive officer perspective and strong international business expertise. He also contributes substantial knowledge of worldwide manufacturing, distribution and supply chain strategies and</w:t>
      </w:r>
    </w:p>
    <w:p>
      <w:pPr>
        <w:ind w:left="3"/>
        <w:spacing w:after="0" w:line="235" w:lineRule="auto"/>
        <w:rPr>
          <w:sz w:val="20"/>
          <w:szCs w:val="20"/>
          <w:color w:val="auto"/>
        </w:rPr>
      </w:pPr>
      <w:r>
        <w:rPr>
          <w:rFonts w:ascii="Arial" w:cs="Arial" w:eastAsia="Arial" w:hAnsi="Arial"/>
          <w:sz w:val="18"/>
          <w:szCs w:val="18"/>
          <w:color w:val="auto"/>
        </w:rPr>
        <w:t>environmental, health and safety matters. In addition, as a public company director and executive, Mr.</w:t>
      </w:r>
    </w:p>
    <w:p>
      <w:pPr>
        <w:ind w:left="3"/>
        <w:spacing w:after="0"/>
        <w:rPr>
          <w:sz w:val="20"/>
          <w:szCs w:val="20"/>
          <w:color w:val="auto"/>
        </w:rPr>
      </w:pPr>
      <w:r>
        <w:rPr>
          <w:rFonts w:ascii="Arial" w:cs="Arial" w:eastAsia="Arial" w:hAnsi="Arial"/>
          <w:sz w:val="18"/>
          <w:szCs w:val="18"/>
          <w:color w:val="auto"/>
        </w:rPr>
        <w:t>O'Rourke contributes a solid understanding of executive compensation and corporate governance matters.</w:t>
      </w:r>
    </w:p>
    <w:p>
      <w:pPr>
        <w:spacing w:after="0" w:line="72"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34925</wp:posOffset>
            </wp:positionV>
            <wp:extent cx="5520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57" w:lineRule="exact"/>
        <w:rPr>
          <w:sz w:val="20"/>
          <w:szCs w:val="20"/>
          <w:color w:val="auto"/>
        </w:rPr>
      </w:pPr>
    </w:p>
    <w:p>
      <w:pPr>
        <w:ind w:left="1823"/>
        <w:spacing w:after="0"/>
        <w:tabs>
          <w:tab w:leader="none" w:pos="5943"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50" w:lineRule="exact"/>
        <w:rPr>
          <w:sz w:val="20"/>
          <w:szCs w:val="20"/>
          <w:color w:val="auto"/>
        </w:rPr>
      </w:pPr>
    </w:p>
    <w:p>
      <w:pPr>
        <w:ind w:left="1663"/>
        <w:spacing w:after="0"/>
        <w:tabs>
          <w:tab w:leader="none" w:pos="5603" w:val="left"/>
        </w:tabs>
        <w:rPr>
          <w:sz w:val="20"/>
          <w:szCs w:val="20"/>
          <w:color w:val="auto"/>
        </w:rPr>
      </w:pPr>
      <w:r>
        <w:rPr>
          <w:rFonts w:ascii="Arial" w:cs="Arial" w:eastAsia="Arial" w:hAnsi="Arial"/>
          <w:sz w:val="18"/>
          <w:szCs w:val="18"/>
          <w:color w:val="auto"/>
        </w:rPr>
        <w:t>Rio Tinto plc</w:t>
      </w:r>
      <w:r>
        <w:rPr>
          <w:sz w:val="20"/>
          <w:szCs w:val="20"/>
          <w:color w:val="auto"/>
        </w:rPr>
        <w:tab/>
      </w:r>
      <w:r>
        <w:rPr>
          <w:rFonts w:ascii="Arial" w:cs="Arial" w:eastAsia="Arial" w:hAnsi="Arial"/>
          <w:sz w:val="18"/>
          <w:szCs w:val="18"/>
          <w:color w:val="auto"/>
        </w:rPr>
        <w:t>The Mosaic Company</w:t>
      </w:r>
    </w:p>
    <w:p>
      <w:pPr>
        <w:spacing w:after="0" w:line="50" w:lineRule="exact"/>
        <w:rPr>
          <w:sz w:val="20"/>
          <w:szCs w:val="20"/>
          <w:color w:val="auto"/>
        </w:rPr>
      </w:pPr>
    </w:p>
    <w:p>
      <w:pPr>
        <w:ind w:left="1163"/>
        <w:spacing w:after="0"/>
        <w:rPr>
          <w:sz w:val="20"/>
          <w:szCs w:val="20"/>
          <w:color w:val="auto"/>
        </w:rPr>
      </w:pPr>
      <w:r>
        <w:rPr>
          <w:rFonts w:ascii="Arial" w:cs="Arial" w:eastAsia="Arial" w:hAnsi="Arial"/>
          <w:sz w:val="18"/>
          <w:szCs w:val="18"/>
          <w:color w:val="auto"/>
        </w:rPr>
        <w:t>Weyerhaeuser Company</w:t>
      </w:r>
    </w:p>
    <w:p>
      <w:pPr>
        <w:spacing w:after="0" w:line="200" w:lineRule="exact"/>
        <w:rPr>
          <w:sz w:val="20"/>
          <w:szCs w:val="20"/>
          <w:color w:val="auto"/>
        </w:rPr>
      </w:pPr>
    </w:p>
    <w:p>
      <w:pPr>
        <w:sectPr>
          <w:pgSz w:w="11900" w:h="16838" w:orient="portrait"/>
          <w:cols w:equalWidth="0" w:num="2">
            <w:col w:w="2280" w:space="237"/>
            <w:col w:w="8623"/>
          </w:cols>
          <w:pgMar w:left="340" w:top="120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201" w:right="419" w:bottom="1440" w:gutter="0" w:footer="0" w:header="0"/>
          <w:type w:val="continuous"/>
        </w:sectPr>
      </w:pPr>
    </w:p>
    <w:bookmarkStart w:id="23" w:name="page24"/>
    <w:bookmarkEnd w:id="23"/>
    <w:p>
      <w:pPr>
        <w:jc w:val="center"/>
        <w:ind w:right="-60"/>
        <w:spacing w:after="0"/>
        <w:rPr>
          <w:sz w:val="20"/>
          <w:szCs w:val="20"/>
          <w:color w:val="auto"/>
        </w:rPr>
      </w:pPr>
      <w:r>
        <w:rPr>
          <w:rFonts w:ascii="Arial" w:cs="Arial" w:eastAsia="Arial" w:hAnsi="Arial"/>
          <w:sz w:val="17"/>
          <w:szCs w:val="17"/>
          <w:b w:val="1"/>
          <w:bCs w:val="1"/>
          <w:color w:val="C00000"/>
        </w:rPr>
        <w:t>Continuing Members of the Board — Current Term Ending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1148715" cy="1148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sectPr>
          <w:pgSz w:w="11900" w:h="16838" w:orient="portrait"/>
          <w:cols w:equalWidth="0" w:num="1">
            <w:col w:w="11121"/>
          </w:cols>
          <w:pgMar w:left="359" w:top="112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BF2115"/>
        </w:rPr>
        <w:t>Dianne C. Craig</w:t>
      </w:r>
    </w:p>
    <w:p>
      <w:pPr>
        <w:spacing w:after="0" w:line="50" w:lineRule="exact"/>
        <w:rPr>
          <w:sz w:val="20"/>
          <w:szCs w:val="20"/>
          <w:color w:val="auto"/>
        </w:rPr>
      </w:pPr>
    </w:p>
    <w:p>
      <w:pPr>
        <w:ind w:left="1"/>
        <w:spacing w:after="0"/>
        <w:rPr>
          <w:sz w:val="20"/>
          <w:szCs w:val="20"/>
          <w:color w:val="auto"/>
        </w:rPr>
      </w:pPr>
      <w:r>
        <w:rPr>
          <w:rFonts w:ascii="Arial" w:cs="Arial" w:eastAsia="Arial" w:hAnsi="Arial"/>
          <w:sz w:val="18"/>
          <w:szCs w:val="18"/>
          <w:color w:val="auto"/>
        </w:rPr>
        <w:t>Age 59</w:t>
      </w:r>
    </w:p>
    <w:p>
      <w:pPr>
        <w:spacing w:after="0" w:line="36" w:lineRule="exact"/>
        <w:rPr>
          <w:sz w:val="20"/>
          <w:szCs w:val="20"/>
          <w:color w:val="auto"/>
        </w:rPr>
      </w:pPr>
    </w:p>
    <w:p>
      <w:pPr>
        <w:ind w:left="1"/>
        <w:spacing w:after="0"/>
        <w:rPr>
          <w:sz w:val="20"/>
          <w:szCs w:val="20"/>
          <w:color w:val="auto"/>
        </w:rPr>
      </w:pPr>
      <w:r>
        <w:rPr>
          <w:rFonts w:ascii="Arial" w:cs="Arial" w:eastAsia="Arial" w:hAnsi="Arial"/>
          <w:sz w:val="18"/>
          <w:szCs w:val="18"/>
          <w:color w:val="auto"/>
        </w:rPr>
        <w:t>Director since 2024</w:t>
      </w:r>
    </w:p>
    <w:p>
      <w:pPr>
        <w:spacing w:after="0" w:line="50" w:lineRule="exact"/>
        <w:rPr>
          <w:sz w:val="20"/>
          <w:szCs w:val="20"/>
          <w:color w:val="auto"/>
        </w:rPr>
      </w:pPr>
    </w:p>
    <w:p>
      <w:pPr>
        <w:ind w:left="1"/>
        <w:spacing w:after="0"/>
        <w:rPr>
          <w:sz w:val="20"/>
          <w:szCs w:val="20"/>
          <w:color w:val="auto"/>
        </w:rPr>
      </w:pPr>
      <w:r>
        <w:rPr>
          <w:rFonts w:ascii="Arial" w:cs="Arial" w:eastAsia="Arial" w:hAnsi="Arial"/>
          <w:sz w:val="18"/>
          <w:szCs w:val="18"/>
          <w:color w:val="auto"/>
        </w:rPr>
        <w:t>Independent</w:t>
      </w:r>
    </w:p>
    <w:p>
      <w:pPr>
        <w:spacing w:after="0" w:line="5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BF2115"/>
        </w:rPr>
        <w:t>Committees</w:t>
      </w:r>
    </w:p>
    <w:p>
      <w:pPr>
        <w:ind w:left="161" w:hanging="161"/>
        <w:spacing w:after="0" w:line="234" w:lineRule="auto"/>
        <w:tabs>
          <w:tab w:leader="none" w:pos="1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w:t>
      </w:r>
    </w:p>
    <w:p>
      <w:pPr>
        <w:ind w:left="161" w:hanging="161"/>
        <w:spacing w:after="0"/>
        <w:tabs>
          <w:tab w:leader="none" w:pos="1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1180465</wp:posOffset>
            </wp:positionV>
            <wp:extent cx="1148715" cy="1148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BF2115"/>
        </w:rPr>
        <w:t>Eric P. Hansotia</w:t>
      </w:r>
    </w:p>
    <w:p>
      <w:pPr>
        <w:spacing w:after="0" w:line="50" w:lineRule="exact"/>
        <w:rPr>
          <w:sz w:val="20"/>
          <w:szCs w:val="20"/>
          <w:color w:val="auto"/>
        </w:rPr>
      </w:pPr>
    </w:p>
    <w:p>
      <w:pPr>
        <w:ind w:left="1"/>
        <w:spacing w:after="0"/>
        <w:rPr>
          <w:sz w:val="20"/>
          <w:szCs w:val="20"/>
          <w:color w:val="auto"/>
        </w:rPr>
      </w:pPr>
      <w:r>
        <w:rPr>
          <w:rFonts w:ascii="Arial" w:cs="Arial" w:eastAsia="Arial" w:hAnsi="Arial"/>
          <w:sz w:val="18"/>
          <w:szCs w:val="18"/>
          <w:color w:val="auto"/>
        </w:rPr>
        <w:t>Age 55</w:t>
      </w:r>
    </w:p>
    <w:p>
      <w:pPr>
        <w:spacing w:after="0" w:line="36" w:lineRule="exact"/>
        <w:rPr>
          <w:sz w:val="20"/>
          <w:szCs w:val="20"/>
          <w:color w:val="auto"/>
        </w:rPr>
      </w:pPr>
    </w:p>
    <w:p>
      <w:pPr>
        <w:ind w:left="1"/>
        <w:spacing w:after="0"/>
        <w:rPr>
          <w:sz w:val="20"/>
          <w:szCs w:val="20"/>
          <w:color w:val="auto"/>
        </w:rPr>
      </w:pPr>
      <w:r>
        <w:rPr>
          <w:rFonts w:ascii="Arial" w:cs="Arial" w:eastAsia="Arial" w:hAnsi="Arial"/>
          <w:sz w:val="18"/>
          <w:szCs w:val="18"/>
          <w:color w:val="auto"/>
        </w:rPr>
        <w:t>Director since 2022</w:t>
      </w:r>
    </w:p>
    <w:p>
      <w:pPr>
        <w:spacing w:after="0" w:line="50" w:lineRule="exact"/>
        <w:rPr>
          <w:sz w:val="20"/>
          <w:szCs w:val="20"/>
          <w:color w:val="auto"/>
        </w:rPr>
      </w:pPr>
    </w:p>
    <w:p>
      <w:pPr>
        <w:ind w:left="1"/>
        <w:spacing w:after="0"/>
        <w:rPr>
          <w:sz w:val="20"/>
          <w:szCs w:val="20"/>
          <w:color w:val="auto"/>
        </w:rPr>
      </w:pPr>
      <w:r>
        <w:rPr>
          <w:rFonts w:ascii="Arial" w:cs="Arial" w:eastAsia="Arial" w:hAnsi="Arial"/>
          <w:sz w:val="18"/>
          <w:szCs w:val="18"/>
          <w:color w:val="auto"/>
        </w:rPr>
        <w:t>Independent</w:t>
      </w:r>
    </w:p>
    <w:p>
      <w:pPr>
        <w:spacing w:after="0" w:line="5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BF2115"/>
        </w:rPr>
        <w:t>Committees</w:t>
      </w:r>
    </w:p>
    <w:p>
      <w:pPr>
        <w:ind w:left="161" w:right="140" w:hanging="161"/>
        <w:spacing w:after="0" w:line="234" w:lineRule="auto"/>
        <w:tabs>
          <w:tab w:leader="none" w:pos="1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Compensation &amp; Human Resources</w:t>
      </w:r>
    </w:p>
    <w:p>
      <w:pPr>
        <w:spacing w:after="0" w:line="1" w:lineRule="exact"/>
        <w:rPr>
          <w:rFonts w:ascii="Arial" w:cs="Arial" w:eastAsia="Arial" w:hAnsi="Arial"/>
          <w:sz w:val="18"/>
          <w:szCs w:val="18"/>
          <w:color w:val="auto"/>
        </w:rPr>
      </w:pPr>
    </w:p>
    <w:p>
      <w:pPr>
        <w:ind w:left="161" w:hanging="161"/>
        <w:spacing w:after="0"/>
        <w:tabs>
          <w:tab w:leader="none" w:pos="161"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Nominating &amp; Governance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55206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84" w:lineRule="exact"/>
        <w:rPr>
          <w:sz w:val="20"/>
          <w:szCs w:val="20"/>
          <w:color w:val="auto"/>
        </w:rPr>
      </w:pPr>
    </w:p>
    <w:p>
      <w:pPr>
        <w:ind w:left="10" w:right="380"/>
        <w:spacing w:after="0" w:line="246" w:lineRule="auto"/>
        <w:rPr>
          <w:sz w:val="20"/>
          <w:szCs w:val="20"/>
          <w:color w:val="auto"/>
        </w:rPr>
      </w:pPr>
      <w:r>
        <w:rPr>
          <w:rFonts w:ascii="Arial" w:cs="Arial" w:eastAsia="Arial" w:hAnsi="Arial"/>
          <w:sz w:val="18"/>
          <w:szCs w:val="18"/>
          <w:color w:val="auto"/>
        </w:rPr>
        <w:t>Dianne C. Craig is President, Lincoln, the luxury vehicle division of Ford Motor Company, Dearborn, Michigan (Ford Motor designs, manufactures and services cars, trucks, sport utility vehicles and electric vehicles worldwide). She holds or has held the following positions, all at Ford Motor:</w:t>
      </w:r>
    </w:p>
    <w:p>
      <w:pPr>
        <w:spacing w:after="0" w:line="3" w:lineRule="exact"/>
        <w:rPr>
          <w:sz w:val="20"/>
          <w:szCs w:val="20"/>
          <w:color w:val="auto"/>
        </w:rPr>
      </w:pPr>
    </w:p>
    <w:p>
      <w:pPr>
        <w:ind w:left="150" w:hanging="150"/>
        <w:spacing w:after="0"/>
        <w:tabs>
          <w:tab w:leader="none" w:pos="15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Lincoln (since December 2022)</w:t>
      </w:r>
    </w:p>
    <w:p>
      <w:pPr>
        <w:spacing w:after="0" w:line="9" w:lineRule="exact"/>
        <w:rPr>
          <w:rFonts w:ascii="Times New Roman" w:cs="Times New Roman" w:eastAsia="Times New Roman" w:hAnsi="Times New Roman"/>
          <w:sz w:val="16"/>
          <w:szCs w:val="16"/>
          <w:color w:val="auto"/>
        </w:rPr>
      </w:pPr>
    </w:p>
    <w:p>
      <w:pPr>
        <w:ind w:left="150" w:hanging="150"/>
        <w:spacing w:after="0"/>
        <w:tabs>
          <w:tab w:leader="none" w:pos="15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International Markets, Thailand (January 2021 – November 2022)</w:t>
      </w:r>
    </w:p>
    <w:p>
      <w:pPr>
        <w:spacing w:after="0" w:line="9" w:lineRule="exact"/>
        <w:rPr>
          <w:rFonts w:ascii="Times New Roman" w:cs="Times New Roman" w:eastAsia="Times New Roman" w:hAnsi="Times New Roman"/>
          <w:sz w:val="16"/>
          <w:szCs w:val="16"/>
          <w:color w:val="auto"/>
        </w:rPr>
      </w:pPr>
    </w:p>
    <w:p>
      <w:pPr>
        <w:ind w:left="150" w:hanging="150"/>
        <w:spacing w:after="0"/>
        <w:tabs>
          <w:tab w:leader="none" w:pos="15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8"/>
          <w:szCs w:val="18"/>
          <w:color w:val="auto"/>
        </w:rPr>
        <w:t>Chief Executive Officer, FordDirect (June 2018 – December 2020)</w:t>
      </w:r>
    </w:p>
    <w:p>
      <w:pPr>
        <w:spacing w:after="0" w:line="9" w:lineRule="exact"/>
        <w:rPr>
          <w:rFonts w:ascii="Times New Roman" w:cs="Times New Roman" w:eastAsia="Times New Roman" w:hAnsi="Times New Roman"/>
          <w:sz w:val="16"/>
          <w:szCs w:val="16"/>
          <w:color w:val="auto"/>
        </w:rPr>
      </w:pPr>
    </w:p>
    <w:p>
      <w:pPr>
        <w:ind w:left="150" w:hanging="150"/>
        <w:spacing w:after="0"/>
        <w:tabs>
          <w:tab w:leader="none" w:pos="15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Director, U.S. Sales (December 2016 – May 2018)</w:t>
      </w:r>
    </w:p>
    <w:p>
      <w:pPr>
        <w:spacing w:after="0" w:line="9" w:lineRule="exact"/>
        <w:rPr>
          <w:rFonts w:ascii="Times New Roman" w:cs="Times New Roman" w:eastAsia="Times New Roman" w:hAnsi="Times New Roman"/>
          <w:sz w:val="16"/>
          <w:szCs w:val="16"/>
          <w:color w:val="auto"/>
        </w:rPr>
      </w:pPr>
    </w:p>
    <w:p>
      <w:pPr>
        <w:ind w:left="150" w:hanging="150"/>
        <w:spacing w:after="0"/>
        <w:tabs>
          <w:tab w:leader="none" w:pos="15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8"/>
          <w:szCs w:val="18"/>
          <w:color w:val="auto"/>
        </w:rPr>
        <w:t>Chief Executive Officer, Ford Motor Company of Canada (November 2011 – November 2016</w:t>
      </w:r>
    </w:p>
    <w:p>
      <w:pPr>
        <w:spacing w:after="0" w:line="72" w:lineRule="exact"/>
        <w:rPr>
          <w:sz w:val="20"/>
          <w:szCs w:val="20"/>
          <w:color w:val="auto"/>
        </w:rPr>
      </w:pPr>
    </w:p>
    <w:p>
      <w:pPr>
        <w:ind w:left="3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231775</wp:posOffset>
            </wp:positionV>
            <wp:extent cx="5520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 w:right="220"/>
        <w:spacing w:after="0" w:line="259" w:lineRule="auto"/>
        <w:rPr>
          <w:sz w:val="20"/>
          <w:szCs w:val="20"/>
          <w:color w:val="auto"/>
        </w:rPr>
      </w:pPr>
      <w:r>
        <w:rPr>
          <w:rFonts w:ascii="Arial" w:cs="Arial" w:eastAsia="Arial" w:hAnsi="Arial"/>
          <w:sz w:val="17"/>
          <w:szCs w:val="17"/>
          <w:color w:val="auto"/>
        </w:rPr>
        <w:t>Ms. Craig brings to our Board a deep and diverse range of executive leadership experience in an industry applicable to our Company. She contributes a strategic perspective on technology transitions, brand</w:t>
      </w:r>
    </w:p>
    <w:p>
      <w:pPr>
        <w:spacing w:after="0" w:line="1" w:lineRule="exact"/>
        <w:rPr>
          <w:sz w:val="20"/>
          <w:szCs w:val="20"/>
          <w:color w:val="auto"/>
        </w:rPr>
      </w:pPr>
    </w:p>
    <w:p>
      <w:pPr>
        <w:ind w:left="10"/>
        <w:spacing w:after="0"/>
        <w:rPr>
          <w:sz w:val="20"/>
          <w:szCs w:val="20"/>
          <w:color w:val="auto"/>
        </w:rPr>
      </w:pPr>
      <w:r>
        <w:rPr>
          <w:rFonts w:ascii="Arial" w:cs="Arial" w:eastAsia="Arial" w:hAnsi="Arial"/>
          <w:sz w:val="17"/>
          <w:szCs w:val="17"/>
          <w:color w:val="auto"/>
        </w:rPr>
        <w:t>enhancement and operations. Furthermore, her extensive background in channel strategy, building dealer relationships and delivering best-in-class marketing solutions brings expertise in areas critical to the ongoing</w:t>
      </w:r>
    </w:p>
    <w:p>
      <w:pPr>
        <w:spacing w:after="0" w:line="1" w:lineRule="exact"/>
        <w:rPr>
          <w:sz w:val="20"/>
          <w:szCs w:val="20"/>
          <w:color w:val="auto"/>
        </w:rPr>
      </w:pPr>
    </w:p>
    <w:p>
      <w:pPr>
        <w:ind w:left="10"/>
        <w:spacing w:after="0"/>
        <w:rPr>
          <w:sz w:val="20"/>
          <w:szCs w:val="20"/>
          <w:color w:val="auto"/>
        </w:rPr>
      </w:pPr>
      <w:r>
        <w:rPr>
          <w:rFonts w:ascii="Arial" w:cs="Arial" w:eastAsia="Arial" w:hAnsi="Arial"/>
          <w:sz w:val="18"/>
          <w:szCs w:val="18"/>
          <w:color w:val="auto"/>
        </w:rPr>
        <w:t>success of our Company.</w:t>
      </w:r>
    </w:p>
    <w:p>
      <w:pPr>
        <w:spacing w:after="0" w:line="8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5520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43" w:lineRule="exact"/>
        <w:rPr>
          <w:sz w:val="20"/>
          <w:szCs w:val="20"/>
          <w:color w:val="auto"/>
        </w:rPr>
      </w:pPr>
    </w:p>
    <w:p>
      <w:pPr>
        <w:ind w:left="1830"/>
        <w:spacing w:after="0"/>
        <w:tabs>
          <w:tab w:leader="none" w:pos="5949"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50" w:lineRule="exact"/>
        <w:rPr>
          <w:sz w:val="20"/>
          <w:szCs w:val="20"/>
          <w:color w:val="auto"/>
        </w:rPr>
      </w:pPr>
    </w:p>
    <w:p>
      <w:pPr>
        <w:ind w:left="1950"/>
        <w:spacing w:after="0"/>
        <w:tabs>
          <w:tab w:leader="none" w:pos="6269"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5520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84" w:lineRule="exact"/>
        <w:rPr>
          <w:sz w:val="20"/>
          <w:szCs w:val="20"/>
          <w:color w:val="auto"/>
        </w:rPr>
      </w:pPr>
    </w:p>
    <w:p>
      <w:pPr>
        <w:ind w:left="10" w:right="260"/>
        <w:spacing w:after="0" w:line="246" w:lineRule="auto"/>
        <w:rPr>
          <w:sz w:val="20"/>
          <w:szCs w:val="20"/>
          <w:color w:val="auto"/>
        </w:rPr>
      </w:pPr>
      <w:r>
        <w:rPr>
          <w:rFonts w:ascii="Arial" w:cs="Arial" w:eastAsia="Arial" w:hAnsi="Arial"/>
          <w:sz w:val="18"/>
          <w:szCs w:val="18"/>
          <w:color w:val="auto"/>
        </w:rPr>
        <w:t>Eric P. Hansotia is the Chairman, President and Chief Executive Officer of AGCO Corporation, Duluth, Georgia (a global leader in the design, manufacture and distribution of agricultural solutions). He holds or held the following positions at AGCO:</w:t>
      </w:r>
    </w:p>
    <w:p>
      <w:pPr>
        <w:spacing w:after="0" w:line="3" w:lineRule="exact"/>
        <w:rPr>
          <w:sz w:val="20"/>
          <w:szCs w:val="20"/>
          <w:color w:val="auto"/>
        </w:rPr>
      </w:pPr>
    </w:p>
    <w:p>
      <w:pPr>
        <w:ind w:left="150" w:hanging="150"/>
        <w:spacing w:after="0"/>
        <w:tabs>
          <w:tab w:leader="none" w:pos="1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Chairman, President and Chief Executive Officer (since January 2021)</w:t>
      </w:r>
    </w:p>
    <w:p>
      <w:pPr>
        <w:spacing w:after="0" w:line="9" w:lineRule="exact"/>
        <w:rPr>
          <w:rFonts w:ascii="Arial" w:cs="Arial" w:eastAsia="Arial" w:hAnsi="Arial"/>
          <w:sz w:val="18"/>
          <w:szCs w:val="18"/>
          <w:color w:val="auto"/>
        </w:rPr>
      </w:pPr>
    </w:p>
    <w:p>
      <w:pPr>
        <w:ind w:left="150" w:hanging="150"/>
        <w:spacing w:after="0" w:line="234" w:lineRule="auto"/>
        <w:tabs>
          <w:tab w:leader="none" w:pos="1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Chief Operating Officer (January 2019 – December 2020)</w:t>
      </w:r>
    </w:p>
    <w:p>
      <w:pPr>
        <w:ind w:left="150" w:hanging="150"/>
        <w:spacing w:after="0" w:line="234" w:lineRule="auto"/>
        <w:tabs>
          <w:tab w:leader="none" w:pos="1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Senior Vice President, Global Crop Cycle and Fuse Connected Services (January 2015 – January 2019)</w:t>
      </w:r>
    </w:p>
    <w:p>
      <w:pPr>
        <w:ind w:left="150" w:hanging="150"/>
        <w:spacing w:after="0"/>
        <w:tabs>
          <w:tab w:leader="none" w:pos="15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Senior Vice President, Global Harvesting and Advanced Technology Solutions (July 2013 – January 2015)</w:t>
      </w:r>
    </w:p>
    <w:p>
      <w:pPr>
        <w:spacing w:after="0" w:line="21" w:lineRule="exact"/>
        <w:rPr>
          <w:sz w:val="20"/>
          <w:szCs w:val="20"/>
          <w:color w:val="auto"/>
        </w:rPr>
      </w:pPr>
    </w:p>
    <w:p>
      <w:pPr>
        <w:ind w:left="10" w:right="340"/>
        <w:spacing w:after="0" w:line="250" w:lineRule="auto"/>
        <w:rPr>
          <w:sz w:val="20"/>
          <w:szCs w:val="20"/>
          <w:color w:val="auto"/>
        </w:rPr>
      </w:pPr>
      <w:r>
        <w:rPr>
          <w:rFonts w:ascii="Arial" w:cs="Arial" w:eastAsia="Arial" w:hAnsi="Arial"/>
          <w:sz w:val="18"/>
          <w:szCs w:val="18"/>
          <w:color w:val="auto"/>
        </w:rPr>
        <w:t>Prior to joining AGCO, Mr. Hansotia spent 20 years at Deere &amp; Company in various leadership positions including at the general manager, vice president and senior vice president levels.</w:t>
      </w:r>
    </w:p>
    <w:p>
      <w:pPr>
        <w:spacing w:after="0" w:line="50" w:lineRule="exact"/>
        <w:rPr>
          <w:sz w:val="20"/>
          <w:szCs w:val="20"/>
          <w:color w:val="auto"/>
        </w:rPr>
      </w:pPr>
    </w:p>
    <w:p>
      <w:pPr>
        <w:ind w:left="3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394970</wp:posOffset>
            </wp:positionV>
            <wp:extent cx="5520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 w:right="80"/>
        <w:spacing w:after="0" w:line="259" w:lineRule="auto"/>
        <w:rPr>
          <w:sz w:val="20"/>
          <w:szCs w:val="20"/>
          <w:color w:val="auto"/>
        </w:rPr>
      </w:pPr>
      <w:r>
        <w:rPr>
          <w:rFonts w:ascii="Arial" w:cs="Arial" w:eastAsia="Arial" w:hAnsi="Arial"/>
          <w:sz w:val="17"/>
          <w:szCs w:val="17"/>
          <w:color w:val="auto"/>
        </w:rPr>
        <w:t>Mr. Hansotia brings to our Board a strong strategic perspective and extensive executive leadership experience in areas critical to our Company's success, including engineering, quality, technology transitions</w:t>
      </w:r>
    </w:p>
    <w:p>
      <w:pPr>
        <w:spacing w:after="0" w:line="1" w:lineRule="exact"/>
        <w:rPr>
          <w:sz w:val="20"/>
          <w:szCs w:val="20"/>
          <w:color w:val="auto"/>
        </w:rPr>
      </w:pPr>
    </w:p>
    <w:p>
      <w:pPr>
        <w:ind w:left="10" w:right="280"/>
        <w:spacing w:after="0"/>
        <w:rPr>
          <w:sz w:val="20"/>
          <w:szCs w:val="20"/>
          <w:color w:val="auto"/>
        </w:rPr>
      </w:pPr>
      <w:r>
        <w:rPr>
          <w:rFonts w:ascii="Arial" w:cs="Arial" w:eastAsia="Arial" w:hAnsi="Arial"/>
          <w:sz w:val="17"/>
          <w:szCs w:val="17"/>
          <w:color w:val="auto"/>
        </w:rPr>
        <w:t>and opportunities, manufacturing, product management, mergers and acquisitions, channel development and public company governance. He has significant international experience gained from leading global</w:t>
      </w:r>
    </w:p>
    <w:p>
      <w:pPr>
        <w:spacing w:after="0" w:line="1" w:lineRule="exact"/>
        <w:rPr>
          <w:sz w:val="20"/>
          <w:szCs w:val="20"/>
          <w:color w:val="auto"/>
        </w:rPr>
      </w:pPr>
    </w:p>
    <w:p>
      <w:pPr>
        <w:ind w:left="10" w:right="480"/>
        <w:spacing w:after="0" w:line="250" w:lineRule="auto"/>
        <w:rPr>
          <w:sz w:val="20"/>
          <w:szCs w:val="20"/>
          <w:color w:val="auto"/>
        </w:rPr>
      </w:pPr>
      <w:r>
        <w:rPr>
          <w:rFonts w:ascii="Arial" w:cs="Arial" w:eastAsia="Arial" w:hAnsi="Arial"/>
          <w:sz w:val="18"/>
          <w:szCs w:val="18"/>
          <w:color w:val="auto"/>
        </w:rPr>
        <w:t>manufacturing and supply chain functions. As an individual of Indian descent, Mr. Hansotia champions diversity, equity and inclusion at AGCO and as a member of our Board.</w:t>
      </w:r>
    </w:p>
    <w:p>
      <w:pPr>
        <w:spacing w:after="0" w:line="5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34925</wp:posOffset>
            </wp:positionV>
            <wp:extent cx="55206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57" w:lineRule="exact"/>
        <w:rPr>
          <w:sz w:val="20"/>
          <w:szCs w:val="20"/>
          <w:color w:val="auto"/>
        </w:rPr>
      </w:pPr>
    </w:p>
    <w:p>
      <w:pPr>
        <w:ind w:left="1830"/>
        <w:spacing w:after="0"/>
        <w:tabs>
          <w:tab w:leader="none" w:pos="5949"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50" w:lineRule="exact"/>
        <w:rPr>
          <w:sz w:val="20"/>
          <w:szCs w:val="20"/>
          <w:color w:val="auto"/>
        </w:rPr>
      </w:pPr>
    </w:p>
    <w:p>
      <w:pPr>
        <w:ind w:left="1390"/>
        <w:spacing w:after="0"/>
        <w:tabs>
          <w:tab w:leader="none" w:pos="6269" w:val="left"/>
        </w:tabs>
        <w:rPr>
          <w:sz w:val="20"/>
          <w:szCs w:val="20"/>
          <w:color w:val="auto"/>
        </w:rPr>
      </w:pPr>
      <w:r>
        <w:rPr>
          <w:rFonts w:ascii="Arial" w:cs="Arial" w:eastAsia="Arial" w:hAnsi="Arial"/>
          <w:sz w:val="18"/>
          <w:szCs w:val="18"/>
          <w:color w:val="auto"/>
        </w:rPr>
        <w:t>AGCO Corporation</w:t>
      </w:r>
      <w:r>
        <w:rPr>
          <w:sz w:val="20"/>
          <w:szCs w:val="20"/>
          <w:color w:val="auto"/>
        </w:rPr>
        <w:tab/>
      </w:r>
      <w:r>
        <w:rPr>
          <w:rFonts w:ascii="Arial" w:cs="Arial" w:eastAsia="Arial" w:hAnsi="Arial"/>
          <w:sz w:val="17"/>
          <w:szCs w:val="17"/>
          <w:color w:val="auto"/>
        </w:rPr>
        <w:t>None</w:t>
      </w:r>
    </w:p>
    <w:p>
      <w:pPr>
        <w:spacing w:after="0" w:line="200" w:lineRule="exact"/>
        <w:rPr>
          <w:sz w:val="20"/>
          <w:szCs w:val="20"/>
          <w:color w:val="auto"/>
        </w:rPr>
      </w:pPr>
    </w:p>
    <w:p>
      <w:pPr>
        <w:sectPr>
          <w:pgSz w:w="11900" w:h="16838" w:orient="portrait"/>
          <w:cols w:equalWidth="0" w:num="2">
            <w:col w:w="2261" w:space="250"/>
            <w:col w:w="8610"/>
          </w:cols>
          <w:pgMar w:left="359" w:top="112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88265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1"/>
          </w:cols>
          <w:pgMar w:left="359" w:top="1120" w:right="41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1148715" cy="1148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D. Christian Koch</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Age 59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spacing w:after="0" w:line="14" w:lineRule="exact"/>
        <w:rPr>
          <w:sz w:val="20"/>
          <w:szCs w:val="20"/>
          <w:color w:val="auto"/>
        </w:rPr>
      </w:pPr>
    </w:p>
    <w:p>
      <w:pPr>
        <w:ind w:left="160" w:right="160" w:hanging="154"/>
        <w:spacing w:after="0" w:line="226" w:lineRule="auto"/>
        <w:tabs>
          <w:tab w:leader="none" w:pos="1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Compensation &amp; Human Resources</w:t>
      </w:r>
    </w:p>
    <w:p>
      <w:pPr>
        <w:spacing w:after="0" w:line="1" w:lineRule="exact"/>
        <w:rPr>
          <w:rFonts w:ascii="Arial" w:cs="Arial" w:eastAsia="Arial" w:hAnsi="Arial"/>
          <w:sz w:val="18"/>
          <w:szCs w:val="18"/>
          <w:color w:val="auto"/>
        </w:rPr>
      </w:pPr>
    </w:p>
    <w:p>
      <w:pPr>
        <w:ind w:left="160" w:hanging="154"/>
        <w:spacing w:after="0" w:line="250" w:lineRule="auto"/>
        <w:tabs>
          <w:tab w:leader="none" w:pos="1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Nominating &amp; Governance (Chair)</w:t>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5520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84" w:lineRule="exact"/>
        <w:rPr>
          <w:sz w:val="20"/>
          <w:szCs w:val="20"/>
          <w:color w:val="auto"/>
        </w:rPr>
      </w:pPr>
    </w:p>
    <w:p>
      <w:pPr>
        <w:ind w:left="3" w:right="80"/>
        <w:spacing w:after="0" w:line="246" w:lineRule="auto"/>
        <w:rPr>
          <w:sz w:val="20"/>
          <w:szCs w:val="20"/>
          <w:color w:val="auto"/>
        </w:rPr>
      </w:pPr>
      <w:r>
        <w:rPr>
          <w:rFonts w:ascii="Arial" w:cs="Arial" w:eastAsia="Arial" w:hAnsi="Arial"/>
          <w:sz w:val="18"/>
          <w:szCs w:val="18"/>
          <w:color w:val="auto"/>
        </w:rPr>
        <w:t>D. Christian Koch is the Chairman, President and Chief Executive Officer of Carlisle Companies Incorporated, Scottsdale, Arizona (a diversified manufacturing company with a portfolio of building product businesses). He holds or held the following positions, all at Carlisle:</w:t>
      </w:r>
    </w:p>
    <w:p>
      <w:pPr>
        <w:spacing w:after="0" w:line="3" w:lineRule="exact"/>
        <w:rPr>
          <w:sz w:val="20"/>
          <w:szCs w:val="20"/>
          <w:color w:val="auto"/>
        </w:rPr>
      </w:pPr>
    </w:p>
    <w:p>
      <w:pPr>
        <w:ind w:left="143" w:hanging="143"/>
        <w:spacing w:after="0"/>
        <w:tabs>
          <w:tab w:leader="none" w:pos="143"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8"/>
          <w:szCs w:val="18"/>
          <w:color w:val="auto"/>
        </w:rPr>
        <w:t>Chairman (since May 2020)</w:t>
      </w:r>
    </w:p>
    <w:p>
      <w:pPr>
        <w:spacing w:after="0" w:line="9" w:lineRule="exact"/>
        <w:rPr>
          <w:rFonts w:ascii="Times New Roman" w:cs="Times New Roman" w:eastAsia="Times New Roman" w:hAnsi="Times New Roman"/>
          <w:sz w:val="16"/>
          <w:szCs w:val="16"/>
          <w:color w:val="auto"/>
        </w:rPr>
      </w:pPr>
    </w:p>
    <w:p>
      <w:pPr>
        <w:ind w:left="143" w:hanging="143"/>
        <w:spacing w:after="0"/>
        <w:tabs>
          <w:tab w:leader="none" w:pos="143"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8"/>
          <w:szCs w:val="18"/>
          <w:color w:val="auto"/>
        </w:rPr>
        <w:t>Chief Executive Officer (since January 2016)</w:t>
      </w:r>
    </w:p>
    <w:p>
      <w:pPr>
        <w:spacing w:after="0" w:line="9" w:lineRule="exact"/>
        <w:rPr>
          <w:rFonts w:ascii="Times New Roman" w:cs="Times New Roman" w:eastAsia="Times New Roman" w:hAnsi="Times New Roman"/>
          <w:sz w:val="16"/>
          <w:szCs w:val="16"/>
          <w:color w:val="auto"/>
        </w:rPr>
      </w:pPr>
    </w:p>
    <w:p>
      <w:pPr>
        <w:ind w:left="163" w:hanging="163"/>
        <w:spacing w:after="0" w:line="234" w:lineRule="auto"/>
        <w:tabs>
          <w:tab w:leader="none" w:pos="1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President (since May 2014)</w:t>
      </w:r>
    </w:p>
    <w:p>
      <w:pPr>
        <w:ind w:left="143" w:hanging="143"/>
        <w:spacing w:after="0"/>
        <w:tabs>
          <w:tab w:leader="none" w:pos="143"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8"/>
          <w:szCs w:val="18"/>
          <w:color w:val="auto"/>
        </w:rPr>
        <w:t>Chief Operating Officer (May 2014 – January 2016)</w:t>
      </w:r>
    </w:p>
    <w:p>
      <w:pPr>
        <w:spacing w:after="0" w:line="9" w:lineRule="exact"/>
        <w:rPr>
          <w:rFonts w:ascii="Times New Roman" w:cs="Times New Roman" w:eastAsia="Times New Roman" w:hAnsi="Times New Roman"/>
          <w:sz w:val="16"/>
          <w:szCs w:val="16"/>
          <w:color w:val="auto"/>
        </w:rPr>
      </w:pPr>
    </w:p>
    <w:p>
      <w:pPr>
        <w:ind w:left="143" w:hanging="143"/>
        <w:spacing w:after="0"/>
        <w:tabs>
          <w:tab w:leader="none" w:pos="143"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8"/>
          <w:szCs w:val="18"/>
          <w:color w:val="auto"/>
        </w:rPr>
        <w:t>Group President, Carlisle Diversified Products (June 2012 – May 2014)</w:t>
      </w:r>
    </w:p>
    <w:p>
      <w:pPr>
        <w:spacing w:after="0" w:line="9" w:lineRule="exact"/>
        <w:rPr>
          <w:rFonts w:ascii="Times New Roman" w:cs="Times New Roman" w:eastAsia="Times New Roman" w:hAnsi="Times New Roman"/>
          <w:sz w:val="16"/>
          <w:szCs w:val="16"/>
          <w:color w:val="auto"/>
        </w:rPr>
      </w:pPr>
    </w:p>
    <w:p>
      <w:pPr>
        <w:ind w:left="143" w:hanging="143"/>
        <w:spacing w:after="0" w:line="234" w:lineRule="auto"/>
        <w:tabs>
          <w:tab w:leader="none" w:pos="143"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Carlisle Brake &amp; Friction (January 2009 – June 2012)</w:t>
      </w:r>
    </w:p>
    <w:p>
      <w:pPr>
        <w:ind w:left="143" w:hanging="143"/>
        <w:spacing w:after="0"/>
        <w:tabs>
          <w:tab w:leader="none" w:pos="143"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Carlisle Asia-Pacific (February 2008 – January 2009)</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94615</wp:posOffset>
            </wp:positionV>
            <wp:extent cx="5520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340" w:lineRule="exact"/>
        <w:rPr>
          <w:sz w:val="20"/>
          <w:szCs w:val="20"/>
          <w:color w:val="auto"/>
        </w:rPr>
      </w:pPr>
    </w:p>
    <w:p>
      <w:pPr>
        <w:ind w:left="3"/>
        <w:spacing w:after="0"/>
        <w:rPr>
          <w:sz w:val="20"/>
          <w:szCs w:val="20"/>
          <w:color w:val="auto"/>
        </w:rPr>
      </w:pPr>
      <w:r>
        <w:rPr>
          <w:rFonts w:ascii="Arial" w:cs="Arial" w:eastAsia="Arial" w:hAnsi="Arial"/>
          <w:sz w:val="18"/>
          <w:szCs w:val="18"/>
          <w:color w:val="auto"/>
        </w:rPr>
        <w:t>Mr. Koch brings to our Board his experience as a seasoned executive with strong business acumen and</w:t>
      </w:r>
    </w:p>
    <w:p>
      <w:pPr>
        <w:spacing w:after="0" w:line="14" w:lineRule="exact"/>
        <w:rPr>
          <w:sz w:val="20"/>
          <w:szCs w:val="20"/>
          <w:color w:val="auto"/>
        </w:rPr>
      </w:pPr>
    </w:p>
    <w:p>
      <w:pPr>
        <w:ind w:left="3" w:right="60"/>
        <w:spacing w:after="0"/>
        <w:rPr>
          <w:sz w:val="20"/>
          <w:szCs w:val="20"/>
          <w:color w:val="auto"/>
        </w:rPr>
      </w:pPr>
      <w:r>
        <w:rPr>
          <w:rFonts w:ascii="Arial" w:cs="Arial" w:eastAsia="Arial" w:hAnsi="Arial"/>
          <w:sz w:val="17"/>
          <w:szCs w:val="17"/>
          <w:color w:val="auto"/>
        </w:rPr>
        <w:t>significant experience managing distribution, supply chain, manufacturing and sales operations around the world as well as with mergers and acquisitions and long-range planning. In addition, as a public company</w:t>
      </w:r>
    </w:p>
    <w:p>
      <w:pPr>
        <w:spacing w:after="0" w:line="1" w:lineRule="exact"/>
        <w:rPr>
          <w:sz w:val="20"/>
          <w:szCs w:val="20"/>
          <w:color w:val="auto"/>
        </w:rPr>
      </w:pPr>
    </w:p>
    <w:p>
      <w:pPr>
        <w:ind w:left="3"/>
        <w:spacing w:after="0" w:line="250" w:lineRule="auto"/>
        <w:rPr>
          <w:sz w:val="20"/>
          <w:szCs w:val="20"/>
          <w:color w:val="auto"/>
        </w:rPr>
      </w:pPr>
      <w:r>
        <w:rPr>
          <w:rFonts w:ascii="Arial" w:cs="Arial" w:eastAsia="Arial" w:hAnsi="Arial"/>
          <w:sz w:val="18"/>
          <w:szCs w:val="18"/>
          <w:color w:val="auto"/>
        </w:rPr>
        <w:t>director and executive, Mr. Koch contributes a solid understanding of financial oversight, strategic planning, executive compensation, talent development and corporate governance.</w:t>
      </w:r>
    </w:p>
    <w:p>
      <w:pPr>
        <w:spacing w:after="0" w:line="50"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34925</wp:posOffset>
            </wp:positionV>
            <wp:extent cx="5520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57" w:lineRule="exact"/>
        <w:rPr>
          <w:sz w:val="20"/>
          <w:szCs w:val="20"/>
          <w:color w:val="auto"/>
        </w:rPr>
      </w:pPr>
    </w:p>
    <w:p>
      <w:pPr>
        <w:ind w:left="1823"/>
        <w:spacing w:after="0"/>
        <w:tabs>
          <w:tab w:leader="none" w:pos="5943"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50" w:lineRule="exact"/>
        <w:rPr>
          <w:sz w:val="20"/>
          <w:szCs w:val="20"/>
          <w:color w:val="auto"/>
        </w:rPr>
      </w:pPr>
    </w:p>
    <w:p>
      <w:pPr>
        <w:ind w:left="1203"/>
        <w:spacing w:after="0"/>
        <w:tabs>
          <w:tab w:leader="none" w:pos="6263" w:val="left"/>
        </w:tabs>
        <w:rPr>
          <w:sz w:val="20"/>
          <w:szCs w:val="20"/>
          <w:color w:val="auto"/>
        </w:rPr>
      </w:pPr>
      <w:r>
        <w:rPr>
          <w:rFonts w:ascii="Arial" w:cs="Arial" w:eastAsia="Arial" w:hAnsi="Arial"/>
          <w:sz w:val="18"/>
          <w:szCs w:val="18"/>
          <w:color w:val="auto"/>
        </w:rPr>
        <w:t>Carlisle Companies Inc.</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2280" w:space="237"/>
            <w:col w:w="8503"/>
          </w:cols>
          <w:pgMar w:left="340" w:top="120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201" w:right="539" w:bottom="1440" w:gutter="0" w:footer="0" w:header="0"/>
          <w:type w:val="continuous"/>
        </w:sectPr>
      </w:pPr>
    </w:p>
    <w:bookmarkStart w:id="25" w:name="page26"/>
    <w:bookmarkEnd w:id="25"/>
    <w:p>
      <w:pPr>
        <w:jc w:val="center"/>
        <w:ind w:right="-19"/>
        <w:spacing w:after="0"/>
        <w:rPr>
          <w:sz w:val="20"/>
          <w:szCs w:val="20"/>
          <w:color w:val="auto"/>
        </w:rPr>
      </w:pPr>
      <w:r>
        <w:rPr>
          <w:rFonts w:ascii="Arial" w:cs="Arial" w:eastAsia="Arial" w:hAnsi="Arial"/>
          <w:sz w:val="22"/>
          <w:szCs w:val="22"/>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-158750</wp:posOffset>
            </wp:positionV>
            <wp:extent cx="700341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03415" cy="18859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Corporate Governance Guidelines</w:t>
      </w:r>
    </w:p>
    <w:p>
      <w:pPr>
        <w:spacing w:after="0" w:line="85" w:lineRule="exact"/>
        <w:rPr>
          <w:sz w:val="20"/>
          <w:szCs w:val="20"/>
          <w:color w:val="auto"/>
        </w:rPr>
      </w:pPr>
    </w:p>
    <w:p>
      <w:pPr>
        <w:ind w:right="120" w:firstLine="324"/>
        <w:spacing w:after="0" w:line="237" w:lineRule="auto"/>
        <w:rPr>
          <w:sz w:val="20"/>
          <w:szCs w:val="20"/>
          <w:color w:val="auto"/>
        </w:rPr>
      </w:pPr>
      <w:r>
        <w:rPr>
          <w:rFonts w:ascii="Arial" w:cs="Arial" w:eastAsia="Arial" w:hAnsi="Arial"/>
          <w:sz w:val="18"/>
          <w:szCs w:val="18"/>
          <w:color w:val="auto"/>
        </w:rPr>
        <w:t>The Board has adopted Corporate Governance Guidelines which describe our corporate governance practices and policies and provide a framework for our Board governance. The topics addressed in our Corporate Governance Guidelines include: director qualifications and</w:t>
      </w:r>
    </w:p>
    <w:p>
      <w:pPr>
        <w:spacing w:after="0" w:line="235" w:lineRule="auto"/>
        <w:rPr>
          <w:sz w:val="20"/>
          <w:szCs w:val="20"/>
          <w:color w:val="auto"/>
        </w:rPr>
      </w:pPr>
      <w:r>
        <w:rPr>
          <w:rFonts w:ascii="Arial" w:cs="Arial" w:eastAsia="Arial" w:hAnsi="Arial"/>
          <w:sz w:val="18"/>
          <w:szCs w:val="18"/>
          <w:color w:val="auto"/>
        </w:rPr>
        <w:t>responsibilities; Board committees; director board limits; director access to officers and employees; director compensation; director</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independence; related party transactions; director orientation and continuing education; CEO evaluation and management succession; and Board annual self-evaluation.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time to time the Board, upon recommendation of the Nominating &amp; Governance Committee, reviews and updates our Corporate</w:t>
      </w:r>
    </w:p>
    <w:p>
      <w:pPr>
        <w:spacing w:after="0" w:line="14"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Governance Guidelines as it deems necessary and appropriate. Our Corporate Governance Guidelines can be found on our website at www.thetorocompany.com/corporategovernance.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Corporate Governance Guidelines provide that our Board has no policy with respect to the separation of the offices of the Chair of</w:t>
      </w:r>
    </w:p>
    <w:p>
      <w:pPr>
        <w:spacing w:after="0" w:line="14"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the Board and the CEO. The Board believes it is appropriate not to have a policy requiring the separation of the offices of the Chair of the Board and the CEO so that the Board may make this determination based on what it believes is best under the current circumstances.</w:t>
      </w:r>
    </w:p>
    <w:p>
      <w:pPr>
        <w:spacing w:after="0" w:line="236" w:lineRule="auto"/>
        <w:rPr>
          <w:sz w:val="20"/>
          <w:szCs w:val="20"/>
          <w:color w:val="auto"/>
        </w:rPr>
      </w:pPr>
      <w:r>
        <w:rPr>
          <w:rFonts w:ascii="Arial" w:cs="Arial" w:eastAsia="Arial" w:hAnsi="Arial"/>
          <w:sz w:val="18"/>
          <w:szCs w:val="18"/>
          <w:color w:val="auto"/>
        </w:rPr>
        <w:t>Additionally, our Board believes that this issue is part of the succession planning process and will be reviewed as the Nominating &amp;</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Governance Committee deems it appropriate. However, at any time that (i) the offices of Chair of the Board and CEO are held by the same person, or (ii) the Chair of the Board does not meet the criteria for "independence" as established by applicable law, the rules and regulations</w:t>
      </w:r>
    </w:p>
    <w:p>
      <w:pPr>
        <w:spacing w:after="0" w:line="235" w:lineRule="auto"/>
        <w:rPr>
          <w:sz w:val="20"/>
          <w:szCs w:val="20"/>
          <w:color w:val="auto"/>
        </w:rPr>
      </w:pPr>
      <w:r>
        <w:rPr>
          <w:rFonts w:ascii="Arial" w:cs="Arial" w:eastAsia="Arial" w:hAnsi="Arial"/>
          <w:sz w:val="18"/>
          <w:szCs w:val="18"/>
          <w:color w:val="auto"/>
        </w:rPr>
        <w:t>of the SEC or the NYSE listing standards, then the Board, upon recommendation of the Nominating &amp; Governance Committee, shall appoint</w:t>
      </w:r>
    </w:p>
    <w:p>
      <w:pPr>
        <w:ind w:right="60"/>
        <w:spacing w:after="0" w:line="237" w:lineRule="auto"/>
        <w:rPr>
          <w:sz w:val="20"/>
          <w:szCs w:val="20"/>
          <w:color w:val="auto"/>
        </w:rPr>
      </w:pPr>
      <w:r>
        <w:rPr>
          <w:rFonts w:ascii="Arial" w:cs="Arial" w:eastAsia="Arial" w:hAnsi="Arial"/>
          <w:sz w:val="18"/>
          <w:szCs w:val="18"/>
          <w:color w:val="auto"/>
        </w:rPr>
        <w:t>a Lead Independent Director, who shall have such duties as are described in the Corporate Governance Guidelines or otherwise determined by the Board.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 Leadership Structure</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is currently chaired by Richard M. Olson, our Chairman and CEO. Our Lead Independent Director, selected by the Board, is</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Gary L. Ellis. Our Nominating &amp; Governance Committee and Board believe that our current Board leadership structure ensures a strong and independent Board of Directors, provides effective governance, creates appropriate oversight for the long-term benefit of our shareholders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is appropriate for several reasons, including: (i) Mr. Olson's extensive knowledge of our Company, our business, operations and industry,</w:t>
      </w:r>
    </w:p>
    <w:p>
      <w:pPr>
        <w:spacing w:after="0" w:line="7"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obtained through his more than 37 years of service to our Company, which benefit Board leadership and the Board's decision-making process through his active role as Chairman; (ii) unification of Board leadership and strategic direction as implemented by our Management;</w:t>
      </w:r>
    </w:p>
    <w:p>
      <w:pPr>
        <w:spacing w:after="0" w:line="2"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and (iii) appropriate balance of risks relating to concentration of authority through the oversight of our independent and engaged Lead Independent Director and Board.</w:t>
      </w:r>
    </w:p>
    <w:p>
      <w:pPr>
        <w:spacing w:after="0" w:line="5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7"/>
          <w:szCs w:val="17"/>
          <w:color w:val="auto"/>
        </w:rPr>
        <w:t>As our Lead Independent Director, Mr. Ellis (i) assists Mr. Olson in establishing the agendas for Board meetings and the schedule of agenda subjects to be discussed during the year, to the extent such subjects can be foreseen; (ii) presides at regularly scheduled executive</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sessions of the non-employee directors without Management present; (iii) together with the Chair of the Compensation &amp; Human Resources Committee, communicates to Mr. Olson the results of his annual performance review and compensation; and (iv) together with the Chair of</w:t>
      </w:r>
    </w:p>
    <w:p>
      <w:pPr>
        <w:spacing w:after="0" w:line="235" w:lineRule="auto"/>
        <w:rPr>
          <w:sz w:val="20"/>
          <w:szCs w:val="20"/>
          <w:color w:val="auto"/>
        </w:rPr>
      </w:pPr>
      <w:r>
        <w:rPr>
          <w:rFonts w:ascii="Arial" w:cs="Arial" w:eastAsia="Arial" w:hAnsi="Arial"/>
          <w:sz w:val="18"/>
          <w:szCs w:val="18"/>
          <w:color w:val="auto"/>
        </w:rPr>
        <w:t>the Nominating &amp; Governance Committee, leads the Board's annual self-evaluation. With more than 17 years of service on our Board, Mr.</w:t>
      </w:r>
    </w:p>
    <w:p>
      <w:pPr>
        <w:ind w:right="320"/>
        <w:spacing w:after="0" w:line="237" w:lineRule="auto"/>
        <w:rPr>
          <w:sz w:val="20"/>
          <w:szCs w:val="20"/>
          <w:color w:val="auto"/>
        </w:rPr>
      </w:pPr>
      <w:r>
        <w:rPr>
          <w:rFonts w:ascii="Arial" w:cs="Arial" w:eastAsia="Arial" w:hAnsi="Arial"/>
          <w:sz w:val="18"/>
          <w:szCs w:val="18"/>
          <w:color w:val="auto"/>
        </w:rPr>
        <w:t>Ellis has developed considerable knowledge of our Company, our business and our industry. Mr. Ellis also has significant public company governance experience.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Independence</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following consideration of all relevant facts and circumstances and upon recommendation of the Nominating &amp; Governance</w:t>
      </w:r>
    </w:p>
    <w:p>
      <w:pPr>
        <w:spacing w:after="0" w:line="14" w:lineRule="exact"/>
        <w:rPr>
          <w:sz w:val="20"/>
          <w:szCs w:val="20"/>
          <w:color w:val="auto"/>
        </w:rPr>
      </w:pPr>
    </w:p>
    <w:p>
      <w:pPr>
        <w:jc w:val="both"/>
        <w:ind w:right="20"/>
        <w:spacing w:after="0"/>
        <w:rPr>
          <w:sz w:val="20"/>
          <w:szCs w:val="20"/>
          <w:color w:val="auto"/>
        </w:rPr>
      </w:pPr>
      <w:r>
        <w:rPr>
          <w:rFonts w:ascii="Arial" w:cs="Arial" w:eastAsia="Arial" w:hAnsi="Arial"/>
          <w:sz w:val="17"/>
          <w:szCs w:val="17"/>
          <w:color w:val="auto"/>
        </w:rPr>
        <w:t>Committee, has affirmatively determined that (i) each non-employee director who served as a member of our Board during fiscal 2023 (Janet K. Cooper, Gary L. Ellis, Jeffrey M. Ettinger, Eric P. Hansotia, Katherine J. Harless, Jeffrey L. Harmening, D. Christian Koch, Joyce A. Mullen,</w:t>
      </w:r>
    </w:p>
    <w:p>
      <w:pPr>
        <w:spacing w:after="0" w:line="235" w:lineRule="auto"/>
        <w:rPr>
          <w:sz w:val="20"/>
          <w:szCs w:val="20"/>
          <w:color w:val="auto"/>
        </w:rPr>
      </w:pPr>
      <w:r>
        <w:rPr>
          <w:rFonts w:ascii="Arial" w:cs="Arial" w:eastAsia="Arial" w:hAnsi="Arial"/>
          <w:sz w:val="18"/>
          <w:szCs w:val="18"/>
          <w:color w:val="auto"/>
        </w:rPr>
        <w:t>Jill M. Pemberton, James C. O'Rourke and Michael G. Vale); and (ii) Dianne C. Craig (who joined our Board on January 1, 2024) is</w:t>
      </w:r>
    </w:p>
    <w:p>
      <w:pPr>
        <w:ind w:right="60"/>
        <w:spacing w:after="0" w:line="226" w:lineRule="auto"/>
        <w:rPr>
          <w:sz w:val="20"/>
          <w:szCs w:val="20"/>
          <w:color w:val="auto"/>
        </w:rPr>
      </w:pPr>
      <w:r>
        <w:rPr>
          <w:rFonts w:ascii="Arial" w:cs="Arial" w:eastAsia="Arial" w:hAnsi="Arial"/>
          <w:sz w:val="18"/>
          <w:szCs w:val="18"/>
          <w:color w:val="auto"/>
        </w:rPr>
        <w:t>independent. Richard M. Olson, our Chairman and CEO, is not independent. These independence determinations were made because each such non-employee director has no material relationship with our Company, our Management, our independent registered public accounting</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firm, or external auditor, our independent external compensation consultant or our external compensation legal advisers and otherwise meets</w:t>
      </w:r>
    </w:p>
    <w:p>
      <w:pPr>
        <w:spacing w:after="0" w:line="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independence requirements as established by applicable law, the rules and regulations of the SEC and the NYSE listing standards. The Board based its independence determinations, in part, upon a review by the Nominating &amp;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4"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Governance Committee and the Board of certain transactions between us and the employers of certain of our directors, each of which was</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deemed to be pre-approved under our Corporate Governance Guidelines in that each such transaction was made in the ordinary course of business, at arm's length, at prices and on terms customarily available to unrelated third party vendors or customers generally, in amounts</w:t>
      </w:r>
    </w:p>
    <w:p>
      <w:pPr>
        <w:spacing w:after="0" w:line="2"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that are not material to us or such unaffiliated corporation and in which the director had no direct or indirect personal interest, nor received any personal benefit.</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Attendance; Executive Sessions</w:t>
      </w:r>
    </w:p>
    <w:p>
      <w:pPr>
        <w:spacing w:after="0" w:line="85" w:lineRule="exact"/>
        <w:rPr>
          <w:sz w:val="20"/>
          <w:szCs w:val="20"/>
          <w:color w:val="auto"/>
        </w:rPr>
      </w:pPr>
    </w:p>
    <w:p>
      <w:pPr>
        <w:ind w:right="460" w:firstLine="324"/>
        <w:spacing w:after="0" w:line="245" w:lineRule="auto"/>
        <w:rPr>
          <w:sz w:val="20"/>
          <w:szCs w:val="20"/>
          <w:color w:val="auto"/>
        </w:rPr>
      </w:pPr>
      <w:r>
        <w:rPr>
          <w:rFonts w:ascii="Arial" w:cs="Arial" w:eastAsia="Arial" w:hAnsi="Arial"/>
          <w:sz w:val="18"/>
          <w:szCs w:val="18"/>
          <w:color w:val="auto"/>
        </w:rPr>
        <w:t>The Board held six meetings during fiscal 2023. Each incumbent director attended at least 75% of the aggregate total number of meetings held by the Board and all committees on which he or she served. Our Corporate Governance Guidelines provide that the non-</w:t>
      </w:r>
    </w:p>
    <w:p>
      <w:pPr>
        <w:ind w:right="60"/>
        <w:spacing w:after="0" w:line="226" w:lineRule="auto"/>
        <w:rPr>
          <w:sz w:val="20"/>
          <w:szCs w:val="20"/>
          <w:color w:val="auto"/>
        </w:rPr>
      </w:pPr>
      <w:r>
        <w:rPr>
          <w:rFonts w:ascii="Arial" w:cs="Arial" w:eastAsia="Arial" w:hAnsi="Arial"/>
          <w:sz w:val="18"/>
          <w:szCs w:val="18"/>
          <w:color w:val="auto"/>
        </w:rPr>
        <w:t>employee directors will meet in regularly scheduled executive sessions without Management. At each regular Board meeting held during fiscal 2023 our non-employee directors met in executive session without Management present and such meetings were presided over by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Lead Independent Director, Gary L. Ellis.</w:t>
      </w:r>
    </w:p>
    <w:p>
      <w:pPr>
        <w:spacing w:after="0" w:line="86" w:lineRule="exact"/>
        <w:rPr>
          <w:sz w:val="20"/>
          <w:szCs w:val="20"/>
          <w:color w:val="auto"/>
        </w:rPr>
      </w:pPr>
    </w:p>
    <w:p>
      <w:pPr>
        <w:ind w:right="860" w:firstLine="324"/>
        <w:spacing w:after="0" w:line="256" w:lineRule="auto"/>
        <w:rPr>
          <w:sz w:val="20"/>
          <w:szCs w:val="20"/>
          <w:color w:val="auto"/>
        </w:rPr>
      </w:pPr>
      <w:r>
        <w:rPr>
          <w:rFonts w:ascii="Arial" w:cs="Arial" w:eastAsia="Arial" w:hAnsi="Arial"/>
          <w:sz w:val="18"/>
          <w:szCs w:val="18"/>
          <w:color w:val="auto"/>
        </w:rPr>
        <w:t>We expect our directors to attend the annual meeting. Five of our current directors serving at the time of the Annual Meeting of Shareholders held on March 21, 2023, attended that meeting.</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 Committees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has four committees, the Audit Committee, Compensation &amp; Human Resources Committee, Nominating &amp; Governance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Committee and Finance Committee. Each committee has a charter that describes the principal functions of the committee and is posted on our website at www.thetorocompany.com/corporategovernance. As provided in their respective charters, each of the Compensation &amp; Human</w:t>
      </w:r>
    </w:p>
    <w:p>
      <w:pPr>
        <w:spacing w:after="0" w:line="235" w:lineRule="auto"/>
        <w:rPr>
          <w:sz w:val="20"/>
          <w:szCs w:val="20"/>
          <w:color w:val="auto"/>
        </w:rPr>
      </w:pPr>
      <w:r>
        <w:rPr>
          <w:rFonts w:ascii="Arial" w:cs="Arial" w:eastAsia="Arial" w:hAnsi="Arial"/>
          <w:sz w:val="18"/>
          <w:szCs w:val="18"/>
          <w:color w:val="auto"/>
        </w:rPr>
        <w:t>Resources Committee, Nominating &amp; Governance Committee and Finance Committee may form and delegate authority to subcommittees</w:t>
      </w:r>
    </w:p>
    <w:p>
      <w:pPr>
        <w:ind w:right="100"/>
        <w:spacing w:after="0" w:line="226" w:lineRule="auto"/>
        <w:rPr>
          <w:sz w:val="20"/>
          <w:szCs w:val="20"/>
          <w:color w:val="auto"/>
        </w:rPr>
      </w:pPr>
      <w:r>
        <w:rPr>
          <w:rFonts w:ascii="Arial" w:cs="Arial" w:eastAsia="Arial" w:hAnsi="Arial"/>
          <w:sz w:val="18"/>
          <w:szCs w:val="18"/>
          <w:color w:val="auto"/>
        </w:rPr>
        <w:t>when appropriate. Additionally, the Compensation &amp; Human Resources Committee may delegate to one or more executive officers of the Company the authority to approve equity compensation awards under established equity compensation plans of the Company to employees</w:t>
      </w:r>
    </w:p>
    <w:p>
      <w:pPr>
        <w:spacing w:after="0" w:line="236" w:lineRule="auto"/>
        <w:rPr>
          <w:sz w:val="20"/>
          <w:szCs w:val="20"/>
          <w:color w:val="auto"/>
        </w:rPr>
      </w:pPr>
      <w:r>
        <w:rPr>
          <w:rFonts w:ascii="Arial" w:cs="Arial" w:eastAsia="Arial" w:hAnsi="Arial"/>
          <w:sz w:val="18"/>
          <w:szCs w:val="18"/>
          <w:color w:val="auto"/>
        </w:rPr>
        <w:t>other than the executive officers of the Company. On an annual basis the Audit Committee, Nominating &amp; Governance Committee and</w:t>
      </w:r>
    </w:p>
    <w:p>
      <w:pPr>
        <w:spacing w:after="0" w:line="1" w:lineRule="exact"/>
        <w:rPr>
          <w:sz w:val="20"/>
          <w:szCs w:val="20"/>
          <w:color w:val="auto"/>
        </w:rPr>
      </w:pPr>
    </w:p>
    <w:p>
      <w:pPr>
        <w:ind w:right="620"/>
        <w:spacing w:after="0"/>
        <w:rPr>
          <w:sz w:val="20"/>
          <w:szCs w:val="20"/>
          <w:color w:val="auto"/>
        </w:rPr>
      </w:pPr>
      <w:r>
        <w:rPr>
          <w:rFonts w:ascii="Arial" w:cs="Arial" w:eastAsia="Arial" w:hAnsi="Arial"/>
          <w:sz w:val="17"/>
          <w:szCs w:val="17"/>
          <w:color w:val="auto"/>
        </w:rPr>
        <w:t>Compensation &amp; Human Resources Committee review the adequacy of their charter and their performance. The Finance Committee periodically reviews its charter and performance, with such review historically conducted on an annual basis. The Chair of each Board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committee provides a summary of the matters discussed in their committee meeting to the full Board.</w:t>
      </w:r>
    </w:p>
    <w:p>
      <w:pPr>
        <w:spacing w:after="0" w:line="86" w:lineRule="exact"/>
        <w:rPr>
          <w:sz w:val="20"/>
          <w:szCs w:val="20"/>
          <w:color w:val="auto"/>
        </w:rPr>
      </w:pPr>
    </w:p>
    <w:p>
      <w:pPr>
        <w:ind w:right="560" w:firstLine="324"/>
        <w:spacing w:after="0" w:line="237" w:lineRule="auto"/>
        <w:rPr>
          <w:sz w:val="20"/>
          <w:szCs w:val="20"/>
          <w:color w:val="auto"/>
        </w:rPr>
      </w:pPr>
      <w:r>
        <w:rPr>
          <w:rFonts w:ascii="Arial" w:cs="Arial" w:eastAsia="Arial" w:hAnsi="Arial"/>
          <w:sz w:val="18"/>
          <w:szCs w:val="18"/>
          <w:color w:val="auto"/>
        </w:rPr>
        <w:t>The Board has determined that each of the members of the Audit Committee, Compensation &amp; Human Resources Committee and Nominating &amp; Governance Committee meets the independence and other requirements established by applicable law, the rules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regulations of the SEC and the NYSE listing standards and the Internal Revenue Code of 1986, as amended, or Code,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7" w:name="page28"/>
    <w:bookmarkEnd w:id="27"/>
    <w:p>
      <w:pPr>
        <w:ind w:left="340"/>
        <w:spacing w:after="0"/>
        <w:rPr>
          <w:sz w:val="20"/>
          <w:szCs w:val="20"/>
          <w:color w:val="auto"/>
        </w:rPr>
      </w:pPr>
      <w:r>
        <w:rPr>
          <w:rFonts w:ascii="Arial" w:cs="Arial" w:eastAsia="Arial" w:hAnsi="Arial"/>
          <w:sz w:val="17"/>
          <w:szCs w:val="17"/>
          <w:color w:val="auto"/>
        </w:rPr>
        <w:t>The current membership of each committee, the number of times each committee met, including by executive session, during fiscal 2023</w:t>
      </w:r>
    </w:p>
    <w:p>
      <w:pPr>
        <w:spacing w:after="0" w:line="25"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and key functions of each committee are noted in the following table. Mr. Olson is not a member of any Board committee. In fiscal 2023, Mr. Olson attended, and currently may attend, various committee meetings, or portions of such meetings as appropriate, as a member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Management at the invitation of such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045845" cy="20313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45845" cy="203136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FFFFFF"/>
        </w:rPr>
        <w:t>Audit</w:t>
      </w:r>
    </w:p>
    <w:p>
      <w:pPr>
        <w:spacing w:after="0" w:line="35" w:lineRule="exact"/>
        <w:rPr>
          <w:sz w:val="20"/>
          <w:szCs w:val="20"/>
          <w:color w:val="auto"/>
        </w:rPr>
      </w:pPr>
    </w:p>
    <w:p>
      <w:pPr>
        <w:jc w:val="center"/>
        <w:ind w:left="420"/>
        <w:spacing w:after="0"/>
        <w:rPr>
          <w:sz w:val="20"/>
          <w:szCs w:val="20"/>
          <w:color w:val="auto"/>
        </w:rPr>
      </w:pPr>
      <w:r>
        <w:rPr>
          <w:rFonts w:ascii="Arial" w:cs="Arial" w:eastAsia="Arial" w:hAnsi="Arial"/>
          <w:sz w:val="16"/>
          <w:szCs w:val="16"/>
          <w:b w:val="1"/>
          <w:bCs w:val="1"/>
          <w:color w:val="FFFFFF"/>
        </w:rPr>
        <w:t>Committee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C00000"/>
        </w:rPr>
        <w:t>Key Committee Functions</w:t>
      </w:r>
    </w:p>
    <w:p>
      <w:pPr>
        <w:spacing w:after="0" w:line="21" w:lineRule="exact"/>
        <w:rPr>
          <w:sz w:val="20"/>
          <w:szCs w:val="20"/>
          <w:color w:val="auto"/>
        </w:rPr>
      </w:pPr>
    </w:p>
    <w:p>
      <w:pPr>
        <w:ind w:left="167" w:hanging="167"/>
        <w:spacing w:after="0"/>
        <w:tabs>
          <w:tab w:leader="none" w:pos="1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Oversees the accounting and financial reporting processes, audits of consolidated financial statements and internal controls over financial reporting</w:t>
      </w:r>
    </w:p>
    <w:p>
      <w:pPr>
        <w:spacing w:after="0" w:line="2" w:lineRule="exact"/>
        <w:rPr>
          <w:rFonts w:ascii="Arial" w:cs="Arial" w:eastAsia="Arial" w:hAnsi="Arial"/>
          <w:sz w:val="16"/>
          <w:szCs w:val="16"/>
          <w:color w:val="auto"/>
        </w:rPr>
      </w:pPr>
    </w:p>
    <w:p>
      <w:pPr>
        <w:ind w:left="167" w:right="40" w:hanging="167"/>
        <w:spacing w:after="0" w:line="236" w:lineRule="auto"/>
        <w:tabs>
          <w:tab w:leader="none" w:pos="1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Selects, compensates, evaluates and reviews critical audit matters with independent external auditor</w:t>
      </w:r>
    </w:p>
    <w:p>
      <w:pPr>
        <w:spacing w:after="0" w:line="1" w:lineRule="exact"/>
        <w:rPr>
          <w:rFonts w:ascii="Arial" w:cs="Arial" w:eastAsia="Arial" w:hAnsi="Arial"/>
          <w:sz w:val="16"/>
          <w:szCs w:val="16"/>
          <w:color w:val="auto"/>
        </w:rPr>
      </w:pPr>
    </w:p>
    <w:p>
      <w:pPr>
        <w:ind w:left="167" w:right="440" w:hanging="167"/>
        <w:spacing w:after="0"/>
        <w:tabs>
          <w:tab w:leader="none" w:pos="1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Reviews with Management and external auditor Annual Reports on Form 10-K, Quarterly Reports on Form 10-Q and earnings releases</w:t>
      </w:r>
    </w:p>
    <w:p>
      <w:pPr>
        <w:spacing w:after="0" w:line="2" w:lineRule="exact"/>
        <w:rPr>
          <w:rFonts w:ascii="Arial" w:cs="Arial" w:eastAsia="Arial" w:hAnsi="Arial"/>
          <w:sz w:val="16"/>
          <w:szCs w:val="16"/>
          <w:color w:val="auto"/>
        </w:rPr>
      </w:pPr>
    </w:p>
    <w:p>
      <w:pPr>
        <w:ind w:left="167" w:right="220" w:hanging="167"/>
        <w:spacing w:after="0" w:line="236" w:lineRule="auto"/>
        <w:tabs>
          <w:tab w:leader="none" w:pos="1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Reviews internal audit's annual audit plans, performance, audit recommendations and applicable responses from Management</w:t>
      </w:r>
    </w:p>
    <w:p>
      <w:pPr>
        <w:spacing w:after="0" w:line="1" w:lineRule="exact"/>
        <w:rPr>
          <w:rFonts w:ascii="Arial" w:cs="Arial" w:eastAsia="Arial" w:hAnsi="Arial"/>
          <w:sz w:val="16"/>
          <w:szCs w:val="16"/>
          <w:color w:val="auto"/>
        </w:rPr>
      </w:pPr>
    </w:p>
    <w:p>
      <w:pPr>
        <w:ind w:left="167" w:right="40" w:hanging="167"/>
        <w:spacing w:after="0" w:line="265" w:lineRule="auto"/>
        <w:tabs>
          <w:tab w:leader="none" w:pos="1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Reviews Information Technology strategy and security activities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157" w:hanging="157"/>
        <w:spacing w:after="0" w:line="239" w:lineRule="auto"/>
        <w:tabs>
          <w:tab w:leader="none" w:pos="146"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Reviews general policies and procedures with respect to accounting and financial matters, internal controls and disclosure controls and procedures, and sustainability metrics and disclosures</w:t>
      </w:r>
    </w:p>
    <w:p>
      <w:pPr>
        <w:ind w:left="157" w:hanging="157"/>
        <w:spacing w:after="0" w:line="236" w:lineRule="auto"/>
        <w:tabs>
          <w:tab w:leader="none" w:pos="146"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Reviews Code of Conduct and Code of Ethics for CEO and Senior Financial Personnel, and policies and procedures for the receipt, retention and treatment of complaints from employees on accounting, internal accounting controls or auditing matters</w:t>
      </w:r>
    </w:p>
    <w:p>
      <w:pPr>
        <w:spacing w:after="0" w:line="2" w:lineRule="exact"/>
        <w:rPr>
          <w:rFonts w:ascii="Arial" w:cs="Arial" w:eastAsia="Arial" w:hAnsi="Arial"/>
          <w:sz w:val="16"/>
          <w:szCs w:val="16"/>
          <w:color w:val="auto"/>
        </w:rPr>
      </w:pPr>
    </w:p>
    <w:p>
      <w:pPr>
        <w:ind w:left="157" w:right="100" w:hanging="157"/>
        <w:spacing w:after="0" w:line="253" w:lineRule="auto"/>
        <w:tabs>
          <w:tab w:leader="none" w:pos="146"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Provides oversight for the Enterprise Risk Management, or ERM,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260985</wp:posOffset>
            </wp:positionV>
            <wp:extent cx="70980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C00000"/>
        </w:rPr>
        <w:t>Committee Members</w:t>
      </w:r>
      <w:r>
        <w:rPr>
          <w:rFonts w:ascii="Arial" w:cs="Arial" w:eastAsia="Arial" w:hAnsi="Arial"/>
          <w:sz w:val="21"/>
          <w:szCs w:val="21"/>
          <w:b w:val="1"/>
          <w:bCs w:val="1"/>
          <w:color w:val="C00000"/>
          <w:vertAlign w:val="superscript"/>
        </w:rPr>
        <w:t>1</w:t>
      </w:r>
    </w:p>
    <w:p>
      <w:pPr>
        <w:spacing w:after="0"/>
        <w:rPr>
          <w:sz w:val="20"/>
          <w:szCs w:val="20"/>
          <w:color w:val="auto"/>
        </w:rPr>
      </w:pPr>
      <w:r>
        <w:rPr>
          <w:rFonts w:ascii="Arial" w:cs="Arial" w:eastAsia="Arial" w:hAnsi="Arial"/>
          <w:sz w:val="16"/>
          <w:szCs w:val="16"/>
          <w:color w:val="auto"/>
        </w:rPr>
        <w:t>Ms. Pemberton (Chair)</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Ms. Cooper</w:t>
      </w:r>
    </w:p>
    <w:p>
      <w:pPr>
        <w:spacing w:after="0" w:line="228" w:lineRule="auto"/>
        <w:rPr>
          <w:sz w:val="20"/>
          <w:szCs w:val="20"/>
          <w:color w:val="auto"/>
        </w:rPr>
      </w:pPr>
      <w:r>
        <w:rPr>
          <w:rFonts w:ascii="Arial" w:cs="Arial" w:eastAsia="Arial" w:hAnsi="Arial"/>
          <w:sz w:val="16"/>
          <w:szCs w:val="16"/>
          <w:color w:val="auto"/>
        </w:rPr>
        <w:t>Ms. Craig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Mr. Ellis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Mr. Harmening</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During Fiscal 2023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10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Number of Executive Sessions:</w:t>
      </w:r>
    </w:p>
    <w:p>
      <w:pPr>
        <w:spacing w:after="0"/>
        <w:rPr>
          <w:sz w:val="20"/>
          <w:szCs w:val="20"/>
          <w:color w:val="auto"/>
        </w:rPr>
      </w:pPr>
      <w:r>
        <w:rPr>
          <w:rFonts w:ascii="Arial" w:cs="Arial" w:eastAsia="Arial" w:hAnsi="Arial"/>
          <w:sz w:val="16"/>
          <w:szCs w:val="16"/>
          <w:color w:val="auto"/>
        </w:rPr>
        <w:t>with Committee - 7</w:t>
      </w:r>
    </w:p>
    <w:p>
      <w:pPr>
        <w:ind w:right="720"/>
        <w:spacing w:after="0" w:line="247" w:lineRule="auto"/>
        <w:rPr>
          <w:sz w:val="20"/>
          <w:szCs w:val="20"/>
          <w:color w:val="auto"/>
        </w:rPr>
      </w:pPr>
      <w:r>
        <w:rPr>
          <w:rFonts w:ascii="Arial" w:cs="Arial" w:eastAsia="Arial" w:hAnsi="Arial"/>
          <w:sz w:val="16"/>
          <w:szCs w:val="16"/>
          <w:color w:val="auto"/>
        </w:rPr>
        <w:t>with Management - 6 with internal auditor - 5 with external auditor - 4</w:t>
      </w:r>
    </w:p>
    <w:p>
      <w:pPr>
        <w:spacing w:after="0" w:line="563" w:lineRule="exact"/>
        <w:rPr>
          <w:sz w:val="20"/>
          <w:szCs w:val="20"/>
          <w:color w:val="auto"/>
        </w:rPr>
      </w:pPr>
    </w:p>
    <w:p>
      <w:pPr>
        <w:sectPr>
          <w:pgSz w:w="11900" w:h="16838" w:orient="portrait"/>
          <w:cols w:equalWidth="0" w:num="4">
            <w:col w:w="1260" w:space="413"/>
            <w:col w:w="3467" w:space="83"/>
            <w:col w:w="3237" w:space="320"/>
            <w:col w:w="2420"/>
          </w:cols>
          <w:pgMar w:left="320" w:top="1106" w:right="379" w:bottom="1440" w:gutter="0" w:footer="0" w:header="0"/>
          <w:type w:val="continuous"/>
        </w:sectPr>
      </w:pPr>
    </w:p>
    <w:p>
      <w:pPr>
        <w:ind w:left="340" w:right="120" w:hanging="332"/>
        <w:spacing w:after="0" w:line="248"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Board has determined that all members of the Audit Committee are financially literate and that each of Janet K. Cooper, Gary L. Ellis and Jill M. Pemberton meets the definition of "audit committee financial expert." Other members of the Audit Committee who currently are serving or have served as chief executive officers or chief financial officers of other public companies also may be considered financial experts, but the Board has not so designated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045845" cy="1817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45845" cy="1817370"/>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40"/>
        <w:spacing w:after="0"/>
        <w:rPr>
          <w:sz w:val="20"/>
          <w:szCs w:val="20"/>
          <w:color w:val="auto"/>
        </w:rPr>
      </w:pPr>
      <w:r>
        <w:rPr>
          <w:rFonts w:ascii="Arial" w:cs="Arial" w:eastAsia="Arial" w:hAnsi="Arial"/>
          <w:sz w:val="16"/>
          <w:szCs w:val="16"/>
          <w:b w:val="1"/>
          <w:bCs w:val="1"/>
          <w:color w:val="FFFFFF"/>
        </w:rPr>
        <w:t>Compensation</w:t>
      </w:r>
    </w:p>
    <w:p>
      <w:pPr>
        <w:spacing w:after="0" w:line="35" w:lineRule="exact"/>
        <w:rPr>
          <w:sz w:val="20"/>
          <w:szCs w:val="20"/>
          <w:color w:val="auto"/>
        </w:rPr>
      </w:pPr>
    </w:p>
    <w:p>
      <w:pPr>
        <w:ind w:left="420" w:hanging="381"/>
        <w:spacing w:after="0" w:line="276" w:lineRule="auto"/>
        <w:tabs>
          <w:tab w:leader="none" w:pos="208" w:val="left"/>
        </w:tabs>
        <w:numPr>
          <w:ilvl w:val="0"/>
          <w:numId w:val="35"/>
        </w:numPr>
        <w:rPr>
          <w:rFonts w:ascii="Arial" w:cs="Arial" w:eastAsia="Arial" w:hAnsi="Arial"/>
          <w:sz w:val="16"/>
          <w:szCs w:val="16"/>
          <w:b w:val="1"/>
          <w:bCs w:val="1"/>
          <w:color w:val="FFFFFF"/>
        </w:rPr>
      </w:pPr>
      <w:r>
        <w:rPr>
          <w:rFonts w:ascii="Arial" w:cs="Arial" w:eastAsia="Arial" w:hAnsi="Arial"/>
          <w:sz w:val="16"/>
          <w:szCs w:val="16"/>
          <w:b w:val="1"/>
          <w:bCs w:val="1"/>
          <w:color w:val="FFFFFF"/>
        </w:rPr>
        <w:t>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793115</wp:posOffset>
            </wp:positionV>
            <wp:extent cx="1045845" cy="131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45845" cy="131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C00000"/>
        </w:rPr>
        <w:t>Key Committee Functions</w:t>
      </w:r>
    </w:p>
    <w:p>
      <w:pPr>
        <w:spacing w:after="0" w:line="35" w:lineRule="exact"/>
        <w:rPr>
          <w:sz w:val="20"/>
          <w:szCs w:val="20"/>
          <w:color w:val="auto"/>
        </w:rPr>
      </w:pPr>
    </w:p>
    <w:p>
      <w:pPr>
        <w:ind w:left="167" w:right="200" w:hanging="167"/>
        <w:spacing w:after="0" w:line="236" w:lineRule="auto"/>
        <w:tabs>
          <w:tab w:leader="none" w:pos="156"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Approves the annual base salaries, annual and long-term incentive opportunities and other compensation arrangements for the CEO and other executive officers</w:t>
      </w:r>
    </w:p>
    <w:p>
      <w:pPr>
        <w:ind w:left="167" w:hanging="167"/>
        <w:spacing w:after="0" w:line="238" w:lineRule="auto"/>
        <w:tabs>
          <w:tab w:leader="none" w:pos="156"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Reviews compensation policies and practices as they affect all employees and relate to risk management practices and risk-taking incentives</w:t>
      </w:r>
    </w:p>
    <w:p>
      <w:pPr>
        <w:spacing w:after="0" w:line="2" w:lineRule="exact"/>
        <w:rPr>
          <w:rFonts w:ascii="Times New Roman" w:cs="Times New Roman" w:eastAsia="Times New Roman" w:hAnsi="Times New Roman"/>
          <w:sz w:val="16"/>
          <w:szCs w:val="16"/>
          <w:color w:val="auto"/>
        </w:rPr>
      </w:pPr>
    </w:p>
    <w:p>
      <w:pPr>
        <w:ind w:left="167" w:right="100" w:hanging="167"/>
        <w:spacing w:after="0" w:line="238" w:lineRule="auto"/>
        <w:tabs>
          <w:tab w:leader="none" w:pos="156"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Oversees strategies for human capital management, including diversity, equity and inclusion initiatives</w:t>
      </w:r>
    </w:p>
    <w:p>
      <w:pPr>
        <w:spacing w:after="0" w:line="1" w:lineRule="exact"/>
        <w:rPr>
          <w:rFonts w:ascii="Times New Roman" w:cs="Times New Roman" w:eastAsia="Times New Roman" w:hAnsi="Times New Roman"/>
          <w:sz w:val="16"/>
          <w:szCs w:val="16"/>
          <w:color w:val="auto"/>
        </w:rPr>
      </w:pPr>
    </w:p>
    <w:p>
      <w:pPr>
        <w:ind w:left="167" w:right="160" w:hanging="167"/>
        <w:spacing w:after="0" w:line="241" w:lineRule="auto"/>
        <w:tabs>
          <w:tab w:leader="none" w:pos="156"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Reviews stock ownership guidelines for the CEO, other executive officers, senior management and the Board</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57" w:hanging="157"/>
        <w:spacing w:after="0"/>
        <w:tabs>
          <w:tab w:leader="none" w:pos="157"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Evaluates the CEO's performance</w:t>
      </w:r>
    </w:p>
    <w:p>
      <w:pPr>
        <w:spacing w:after="0" w:line="29" w:lineRule="exact"/>
        <w:rPr>
          <w:rFonts w:ascii="Times New Roman" w:cs="Times New Roman" w:eastAsia="Times New Roman" w:hAnsi="Times New Roman"/>
          <w:sz w:val="16"/>
          <w:szCs w:val="16"/>
          <w:color w:val="auto"/>
        </w:rPr>
      </w:pPr>
    </w:p>
    <w:p>
      <w:pPr>
        <w:ind w:left="157" w:hanging="157"/>
        <w:spacing w:after="0" w:line="246" w:lineRule="auto"/>
        <w:tabs>
          <w:tab w:leader="none" w:pos="146"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Approves performance goals for performance based awards</w:t>
      </w:r>
    </w:p>
    <w:p>
      <w:pPr>
        <w:ind w:left="157" w:hanging="157"/>
        <w:spacing w:after="0" w:line="235" w:lineRule="auto"/>
        <w:tabs>
          <w:tab w:leader="none" w:pos="146"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Reviews with Management the Compensation Discussion and Analysis, the Committee report on executive compensation and any compensation-related proposals, including say-on-pay and frequency of say-on-pay proposals</w:t>
      </w:r>
    </w:p>
    <w:p>
      <w:pPr>
        <w:spacing w:after="0" w:line="2" w:lineRule="exact"/>
        <w:rPr>
          <w:rFonts w:ascii="Times New Roman" w:cs="Times New Roman" w:eastAsia="Times New Roman" w:hAnsi="Times New Roman"/>
          <w:sz w:val="16"/>
          <w:szCs w:val="16"/>
          <w:color w:val="auto"/>
        </w:rPr>
      </w:pPr>
    </w:p>
    <w:p>
      <w:pPr>
        <w:ind w:left="157" w:right="340" w:hanging="157"/>
        <w:spacing w:after="0" w:line="243" w:lineRule="auto"/>
        <w:tabs>
          <w:tab w:leader="none" w:pos="146"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Reviews non-employee director compensation components and amounts</w:t>
      </w:r>
    </w:p>
    <w:p>
      <w:pPr>
        <w:ind w:left="157" w:right="60" w:hanging="157"/>
        <w:spacing w:after="0" w:line="241" w:lineRule="auto"/>
        <w:tabs>
          <w:tab w:leader="none" w:pos="146"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Reviews succession planning and short-term contingency plans for emergencies for the CEO and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26670</wp:posOffset>
            </wp:positionV>
            <wp:extent cx="70980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Committee Members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Mr. O'Rourke (Chair)</w:t>
      </w:r>
    </w:p>
    <w:p>
      <w:pPr>
        <w:spacing w:after="0" w:line="228" w:lineRule="auto"/>
        <w:rPr>
          <w:sz w:val="20"/>
          <w:szCs w:val="20"/>
          <w:color w:val="auto"/>
        </w:rPr>
      </w:pPr>
      <w:r>
        <w:rPr>
          <w:rFonts w:ascii="Arial" w:cs="Arial" w:eastAsia="Arial" w:hAnsi="Arial"/>
          <w:sz w:val="16"/>
          <w:szCs w:val="16"/>
          <w:color w:val="auto"/>
        </w:rPr>
        <w:t>Mr. Hansotia</w:t>
      </w:r>
    </w:p>
    <w:p>
      <w:pPr>
        <w:spacing w:after="0" w:line="229" w:lineRule="auto"/>
        <w:rPr>
          <w:sz w:val="20"/>
          <w:szCs w:val="20"/>
          <w:color w:val="auto"/>
        </w:rPr>
      </w:pPr>
      <w:r>
        <w:rPr>
          <w:rFonts w:ascii="Arial" w:cs="Arial" w:eastAsia="Arial" w:hAnsi="Arial"/>
          <w:sz w:val="16"/>
          <w:szCs w:val="16"/>
          <w:color w:val="auto"/>
        </w:rPr>
        <w:t>Mr. Koch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Ms. Mullen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During Fiscal 2023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Number of Executive Sessions: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1069" w:lineRule="exact"/>
        <w:rPr>
          <w:sz w:val="20"/>
          <w:szCs w:val="20"/>
          <w:color w:val="auto"/>
        </w:rPr>
      </w:pPr>
    </w:p>
    <w:p>
      <w:pPr>
        <w:sectPr>
          <w:pgSz w:w="11900" w:h="16838" w:orient="portrait"/>
          <w:cols w:equalWidth="0" w:num="4">
            <w:col w:w="1620" w:space="53"/>
            <w:col w:w="3407" w:space="143"/>
            <w:col w:w="3417" w:space="140"/>
            <w:col w:w="2420"/>
          </w:cols>
          <w:pgMar w:left="320" w:top="110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Nominating &amp;</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FFFFFF"/>
        </w:rPr>
        <w:t>Governance</w:t>
      </w:r>
    </w:p>
    <w:p>
      <w:pPr>
        <w:spacing w:after="0" w:line="5" w:lineRule="exact"/>
        <w:rPr>
          <w:sz w:val="20"/>
          <w:szCs w:val="20"/>
          <w:color w:val="auto"/>
        </w:rPr>
      </w:pPr>
    </w:p>
    <w:p>
      <w:pPr>
        <w:jc w:val="center"/>
        <w:ind w:left="300"/>
        <w:spacing w:after="0"/>
        <w:rPr>
          <w:sz w:val="20"/>
          <w:szCs w:val="20"/>
          <w:color w:val="auto"/>
        </w:rPr>
      </w:pPr>
      <w:r>
        <w:rPr>
          <w:rFonts w:ascii="Arial" w:cs="Arial" w:eastAsia="Arial" w:hAnsi="Arial"/>
          <w:sz w:val="16"/>
          <w:szCs w:val="16"/>
          <w:b w:val="1"/>
          <w:bCs w:val="1"/>
          <w:color w:val="FFFFFF"/>
        </w:rPr>
        <w:t>Committee</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Arial" w:cs="Arial" w:eastAsia="Arial" w:hAnsi="Arial"/>
          <w:sz w:val="16"/>
          <w:szCs w:val="16"/>
          <w:b w:val="1"/>
          <w:bCs w:val="1"/>
          <w:color w:val="C00000"/>
        </w:rPr>
        <w:t>Key Committee Functions</w:t>
      </w:r>
    </w:p>
    <w:p>
      <w:pPr>
        <w:spacing w:after="0" w:line="35" w:lineRule="exact"/>
        <w:rPr>
          <w:sz w:val="20"/>
          <w:szCs w:val="20"/>
          <w:color w:val="auto"/>
        </w:rPr>
      </w:pPr>
    </w:p>
    <w:p>
      <w:pPr>
        <w:ind w:left="167" w:right="140" w:hanging="167"/>
        <w:spacing w:after="0" w:line="234" w:lineRule="auto"/>
        <w:tabs>
          <w:tab w:leader="none" w:pos="156"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Reviews and recommends to the Board the size and composition of the Board and its committees</w:t>
      </w:r>
    </w:p>
    <w:p>
      <w:pPr>
        <w:spacing w:after="0" w:line="1" w:lineRule="exact"/>
        <w:rPr>
          <w:rFonts w:ascii="Times New Roman" w:cs="Times New Roman" w:eastAsia="Times New Roman" w:hAnsi="Times New Roman"/>
          <w:sz w:val="16"/>
          <w:szCs w:val="16"/>
          <w:color w:val="auto"/>
        </w:rPr>
      </w:pPr>
    </w:p>
    <w:p>
      <w:pPr>
        <w:ind w:left="167" w:right="360" w:hanging="167"/>
        <w:spacing w:after="0" w:line="246" w:lineRule="auto"/>
        <w:tabs>
          <w:tab w:leader="none" w:pos="156"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Identifies individuals qualified to become Board members</w:t>
      </w:r>
    </w:p>
    <w:p>
      <w:pPr>
        <w:ind w:left="167" w:hanging="167"/>
        <w:spacing w:after="0" w:line="243" w:lineRule="auto"/>
        <w:tabs>
          <w:tab w:leader="none" w:pos="156"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Recommends to the Board director nominees for election at the annual meeting</w:t>
      </w:r>
    </w:p>
    <w:p>
      <w:pPr>
        <w:ind w:left="147" w:hanging="147"/>
        <w:spacing w:after="0"/>
        <w:tabs>
          <w:tab w:leader="none" w:pos="147"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Oversees the annual evaluation of the Board</w:t>
      </w:r>
    </w:p>
    <w:p>
      <w:pPr>
        <w:spacing w:after="0" w:line="8" w:lineRule="exact"/>
        <w:rPr>
          <w:rFonts w:ascii="Times New Roman" w:cs="Times New Roman" w:eastAsia="Times New Roman" w:hAnsi="Times New Roman"/>
          <w:sz w:val="16"/>
          <w:szCs w:val="16"/>
          <w:color w:val="auto"/>
        </w:rPr>
      </w:pPr>
    </w:p>
    <w:p>
      <w:pPr>
        <w:ind w:left="147" w:hanging="147"/>
        <w:spacing w:after="0"/>
        <w:tabs>
          <w:tab w:leader="none" w:pos="147" w:val="left"/>
        </w:tabs>
        <w:numPr>
          <w:ilvl w:val="0"/>
          <w:numId w:val="38"/>
        </w:numPr>
        <w:rPr>
          <w:rFonts w:ascii="Arial" w:cs="Arial" w:eastAsia="Arial" w:hAnsi="Arial"/>
          <w:sz w:val="16"/>
          <w:szCs w:val="16"/>
          <w:color w:val="auto"/>
        </w:rPr>
      </w:pPr>
      <w:r>
        <w:rPr>
          <w:rFonts w:ascii="Arial" w:cs="Arial" w:eastAsia="Arial" w:hAnsi="Arial"/>
          <w:sz w:val="16"/>
          <w:szCs w:val="16"/>
          <w:color w:val="auto"/>
        </w:rPr>
        <w:t>Oversees sustainability program</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57" w:hanging="157"/>
        <w:spacing w:after="0" w:line="242" w:lineRule="auto"/>
        <w:tabs>
          <w:tab w:leader="none" w:pos="146"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Reviews and recommends to the Board any proposed amendments or changes to Restated Certificate of Incorporation or Amended and Restated Bylaws</w:t>
      </w:r>
    </w:p>
    <w:p>
      <w:pPr>
        <w:spacing w:after="0" w:line="2" w:lineRule="exact"/>
        <w:rPr>
          <w:rFonts w:ascii="Times New Roman" w:cs="Times New Roman" w:eastAsia="Times New Roman" w:hAnsi="Times New Roman"/>
          <w:sz w:val="16"/>
          <w:szCs w:val="16"/>
          <w:color w:val="auto"/>
        </w:rPr>
      </w:pPr>
    </w:p>
    <w:p>
      <w:pPr>
        <w:jc w:val="both"/>
        <w:ind w:left="157" w:hanging="157"/>
        <w:spacing w:after="0" w:line="243" w:lineRule="auto"/>
        <w:tabs>
          <w:tab w:leader="none" w:pos="146"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Reviews Corporate Governance Guidelines and recommends to the Board any changes</w:t>
      </w:r>
    </w:p>
    <w:p>
      <w:pPr>
        <w:ind w:left="157" w:hanging="157"/>
        <w:spacing w:after="0"/>
        <w:tabs>
          <w:tab w:leader="none" w:pos="157"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Monitors corporate governance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346710</wp:posOffset>
            </wp:positionV>
            <wp:extent cx="70980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C00000"/>
        </w:rPr>
        <w:t>Committee Members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Koch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Mr. Hansotia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Ms. Mullen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Mr. O'Rourke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During Fiscal 2023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Number of Executive Sessions: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200" w:lineRule="exact"/>
        <w:rPr>
          <w:sz w:val="20"/>
          <w:szCs w:val="20"/>
          <w:color w:val="auto"/>
        </w:rPr>
      </w:pPr>
    </w:p>
    <w:p>
      <w:pPr>
        <w:sectPr>
          <w:pgSz w:w="11900" w:h="16838" w:orient="portrait"/>
          <w:cols w:equalWidth="0" w:num="4">
            <w:col w:w="1360" w:space="313"/>
            <w:col w:w="3407" w:space="143"/>
            <w:col w:w="3297" w:space="260"/>
            <w:col w:w="2420"/>
          </w:cols>
          <w:pgMar w:left="320" w:top="110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type w:val="continuous"/>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1045845" cy="14655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45845"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FFFFFF"/>
        </w:rPr>
        <w:t>Finance</w:t>
      </w:r>
    </w:p>
    <w:p>
      <w:pPr>
        <w:spacing w:after="0" w:line="35" w:lineRule="exact"/>
        <w:rPr>
          <w:sz w:val="20"/>
          <w:szCs w:val="20"/>
          <w:color w:val="auto"/>
        </w:rPr>
      </w:pPr>
    </w:p>
    <w:p>
      <w:pPr>
        <w:jc w:val="center"/>
        <w:ind w:left="420"/>
        <w:spacing w:after="0"/>
        <w:rPr>
          <w:sz w:val="20"/>
          <w:szCs w:val="20"/>
          <w:color w:val="auto"/>
        </w:rPr>
      </w:pPr>
      <w:r>
        <w:rPr>
          <w:rFonts w:ascii="Arial" w:cs="Arial" w:eastAsia="Arial" w:hAnsi="Arial"/>
          <w:sz w:val="16"/>
          <w:szCs w:val="16"/>
          <w:b w:val="1"/>
          <w:bCs w:val="1"/>
          <w:color w:val="FFFFFF"/>
        </w:rPr>
        <w:t>Committee</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Arial" w:cs="Arial" w:eastAsia="Arial" w:hAnsi="Arial"/>
          <w:sz w:val="16"/>
          <w:szCs w:val="16"/>
          <w:b w:val="1"/>
          <w:bCs w:val="1"/>
          <w:color w:val="C00000"/>
        </w:rPr>
        <w:t>Key Committee Functions</w:t>
      </w:r>
    </w:p>
    <w:p>
      <w:pPr>
        <w:spacing w:after="0" w:line="35" w:lineRule="exact"/>
        <w:rPr>
          <w:sz w:val="20"/>
          <w:szCs w:val="20"/>
          <w:color w:val="auto"/>
        </w:rPr>
      </w:pPr>
    </w:p>
    <w:p>
      <w:pPr>
        <w:ind w:left="167" w:hanging="167"/>
        <w:spacing w:after="0" w:line="239" w:lineRule="auto"/>
        <w:tabs>
          <w:tab w:leader="none" w:pos="156"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Reviews, and recommends to the Board as required, capital structure and related financial policies and long-range objectives, capital expenditures, tax strategies and restructuring projects, financing arrangements and cash or any special dividends</w:t>
      </w:r>
    </w:p>
    <w:p>
      <w:pPr>
        <w:spacing w:after="0" w:line="3" w:lineRule="exact"/>
        <w:rPr>
          <w:rFonts w:ascii="Times New Roman" w:cs="Times New Roman" w:eastAsia="Times New Roman" w:hAnsi="Times New Roman"/>
          <w:sz w:val="16"/>
          <w:szCs w:val="16"/>
          <w:color w:val="auto"/>
        </w:rPr>
      </w:pPr>
    </w:p>
    <w:p>
      <w:pPr>
        <w:ind w:left="167" w:right="140" w:hanging="167"/>
        <w:spacing w:after="0"/>
        <w:tabs>
          <w:tab w:leader="none" w:pos="156"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Reviews and recommends to the Board the authorization for the issuance or repurchase of equity or long-term debt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left="157" w:right="360" w:hanging="157"/>
        <w:spacing w:after="0" w:line="251" w:lineRule="auto"/>
        <w:tabs>
          <w:tab w:leader="none" w:pos="146"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Reviews use of derivative, hedging and similar instruments to manage financial, currency and interest rate exposure</w:t>
      </w:r>
    </w:p>
    <w:p>
      <w:pPr>
        <w:spacing w:after="0" w:line="1" w:lineRule="exact"/>
        <w:rPr>
          <w:rFonts w:ascii="Times New Roman" w:cs="Times New Roman" w:eastAsia="Times New Roman" w:hAnsi="Times New Roman"/>
          <w:sz w:val="16"/>
          <w:szCs w:val="16"/>
          <w:color w:val="auto"/>
        </w:rPr>
      </w:pPr>
    </w:p>
    <w:p>
      <w:pPr>
        <w:ind w:left="157" w:hanging="157"/>
        <w:spacing w:after="0" w:line="239" w:lineRule="auto"/>
        <w:tabs>
          <w:tab w:leader="none" w:pos="146"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Evaluates, and recommends to the Board as required, financing implications of certain proposed merger, acquisition, divestiture, joint venture and other business combination transactions or investments</w:t>
      </w:r>
    </w:p>
    <w:p>
      <w:pPr>
        <w:spacing w:after="0" w:line="1" w:lineRule="exact"/>
        <w:rPr>
          <w:rFonts w:ascii="Times New Roman" w:cs="Times New Roman" w:eastAsia="Times New Roman" w:hAnsi="Times New Roman"/>
          <w:sz w:val="16"/>
          <w:szCs w:val="16"/>
          <w:color w:val="auto"/>
        </w:rPr>
      </w:pPr>
    </w:p>
    <w:p>
      <w:pPr>
        <w:ind w:left="157" w:right="340" w:hanging="157"/>
        <w:spacing w:after="0"/>
        <w:tabs>
          <w:tab w:leader="none" w:pos="146"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Oversees investor relations program, including sustainability engagement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27305</wp:posOffset>
            </wp:positionV>
            <wp:extent cx="70980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C00000"/>
        </w:rPr>
        <w:t>Committee Members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Harmening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Ms. Cooper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Ms. Craig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Mr. Ellis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Ms. Pemberton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During Fiscal 2023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Number of Executive Sessions: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254" w:lineRule="exact"/>
        <w:rPr>
          <w:sz w:val="20"/>
          <w:szCs w:val="20"/>
          <w:color w:val="auto"/>
        </w:rPr>
      </w:pPr>
    </w:p>
    <w:p>
      <w:pPr>
        <w:sectPr>
          <w:pgSz w:w="11900" w:h="16838" w:orient="portrait"/>
          <w:cols w:equalWidth="0" w:num="4">
            <w:col w:w="1260" w:space="413"/>
            <w:col w:w="3467" w:space="83"/>
            <w:col w:w="3377" w:space="180"/>
            <w:col w:w="2440"/>
          </w:cols>
          <w:pgMar w:left="320" w:top="1178" w:right="35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Board's Role in Risk Oversight</w:t>
      </w:r>
    </w:p>
    <w:p>
      <w:pPr>
        <w:spacing w:after="0" w:line="85"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Management is primarily responsible for the identification, assessment and management of the key risks faced by our Company. We engage in an ERM process, which is coordinated primarily through our enterprise risk function, and involves:</w:t>
      </w:r>
    </w:p>
    <w:p>
      <w:pPr>
        <w:spacing w:after="0" w:line="58" w:lineRule="exact"/>
        <w:rPr>
          <w:sz w:val="20"/>
          <w:szCs w:val="20"/>
          <w:color w:val="auto"/>
        </w:rPr>
      </w:pPr>
    </w:p>
    <w:p>
      <w:pPr>
        <w:ind w:left="660" w:right="180" w:hanging="328"/>
        <w:spacing w:after="0" w:line="27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identification by the executive team and other senior leaders of the risks relevant to our strategic priorities of accelerating profitable growth, driving productivity and operational excellence, and empowering people;</w:t>
      </w:r>
    </w:p>
    <w:p>
      <w:pPr>
        <w:spacing w:after="0" w:line="3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the extent prudent and feasible, development of strategies and plans to monitor, mitigate and control such risks; and</w:t>
      </w:r>
    </w:p>
    <w:p>
      <w:pPr>
        <w:spacing w:after="0" w:line="103" w:lineRule="exact"/>
        <w:rPr>
          <w:rFonts w:ascii="Arial" w:cs="Arial" w:eastAsia="Arial" w:hAnsi="Arial"/>
          <w:sz w:val="18"/>
          <w:szCs w:val="18"/>
          <w:color w:val="auto"/>
        </w:rPr>
      </w:pPr>
    </w:p>
    <w:p>
      <w:pPr>
        <w:ind w:left="660" w:right="720" w:hanging="328"/>
        <w:spacing w:after="0" w:line="27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reports of the identified risks as part of the applicable strategy review or separately as a particular risk review, as considered necessary, to the Board and/or relevant committee, as applicable.</w:t>
      </w:r>
    </w:p>
    <w:p>
      <w:pPr>
        <w:spacing w:after="0" w:line="32" w:lineRule="exact"/>
        <w:rPr>
          <w:sz w:val="20"/>
          <w:szCs w:val="20"/>
          <w:color w:val="auto"/>
        </w:rPr>
      </w:pPr>
    </w:p>
    <w:p>
      <w:pPr>
        <w:ind w:right="460" w:firstLine="324"/>
        <w:spacing w:after="0" w:line="259" w:lineRule="auto"/>
        <w:rPr>
          <w:sz w:val="20"/>
          <w:szCs w:val="20"/>
          <w:color w:val="auto"/>
        </w:rPr>
      </w:pPr>
      <w:r>
        <w:rPr>
          <w:rFonts w:ascii="Arial" w:cs="Arial" w:eastAsia="Arial" w:hAnsi="Arial"/>
          <w:sz w:val="17"/>
          <w:szCs w:val="17"/>
          <w:color w:val="auto"/>
        </w:rPr>
        <w:t>The Board's oversight of these risks primarily occurs in connection with the exercise of its responsibility to oversee our business, including through the review of our long-term strategic plans, overall sustainability strategy and its alignment with our business strategy,</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annual operating plans, financial results, merger and acquisition related activities, material legal proceedings and executive succession plans.</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Board relies on its committees to assist with risk oversight within their respective areas of responsibility and expertise as follows:</w:t>
      </w:r>
    </w:p>
    <w:p>
      <w:pPr>
        <w:spacing w:after="0" w:line="104" w:lineRule="exact"/>
        <w:rPr>
          <w:sz w:val="20"/>
          <w:szCs w:val="20"/>
          <w:color w:val="auto"/>
        </w:rPr>
      </w:pPr>
    </w:p>
    <w:p>
      <w:pPr>
        <w:ind w:left="660" w:hanging="328"/>
        <w:spacing w:after="0" w:line="234"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Audit Committee assists through its oversight of the quality and integrity of our financial reports; compliance with applicable legal and regulatory requirements; qualifications, performance and independence of our external auditor; performance of our internal audit function; accounting and reporting processes, including those in connection with business combination purchase accounting and accounting and financial reporting integration activities; strategy, performance and experience of our information technology and security function and practices, including those related to cybersecurity; performance of our health and safety program; our Code of Conduct and ethics program; our general policies and procedures regarding accounting and financial matters and internal controls; and disclosure controls and assurance of the accuracy of sustainability metrics and disclosures. The Audit Committee is also responsible for providing oversight of our ERM process by discussing our procedures with respect to risk assessment and risk management, including our major financial and business risk exposures and the steps Management has taken to monitor, mitigate and control such exposures.</w:t>
      </w:r>
    </w:p>
    <w:p>
      <w:pPr>
        <w:spacing w:after="0" w:line="60" w:lineRule="exact"/>
        <w:rPr>
          <w:rFonts w:ascii="Arial" w:cs="Arial" w:eastAsia="Arial" w:hAnsi="Arial"/>
          <w:sz w:val="18"/>
          <w:szCs w:val="18"/>
          <w:color w:val="auto"/>
        </w:rPr>
      </w:pPr>
    </w:p>
    <w:p>
      <w:pPr>
        <w:ind w:left="660" w:right="60" w:hanging="328"/>
        <w:spacing w:after="0" w:line="239"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Compensation &amp; Human Resources Committee assists through its oversight of our compensation and human capital management programs and policies, including executive compensation, organizational, diversity, equity and inclusion, and corporate culture and engagement plans and strategies. In general, the Compensation &amp; Human Resources Committee will have oversight for social factors included as part of our sustainability platform. A discussion of the Compensation &amp; Human Resources Committee's assessment of compensation policies and practices as they relate to our Company's risk management is found under "Risk Assessment."</w:t>
      </w:r>
    </w:p>
    <w:p>
      <w:pPr>
        <w:spacing w:after="0" w:line="59" w:lineRule="exact"/>
        <w:rPr>
          <w:rFonts w:ascii="Arial" w:cs="Arial" w:eastAsia="Arial" w:hAnsi="Arial"/>
          <w:sz w:val="18"/>
          <w:szCs w:val="18"/>
          <w:color w:val="auto"/>
        </w:rPr>
      </w:pPr>
    </w:p>
    <w:p>
      <w:pPr>
        <w:ind w:left="660" w:right="160" w:hanging="328"/>
        <w:spacing w:after="0"/>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Finance Committee assists through its oversight of our capital structure and related policies; long- range objectives; tax strategies and restructuring projects; financing requirements and arrangements, including any pricing or other performance metrics tied to our sustainability performance; equity and debt issuances and repurchases; use of derivative, hedging and similar instruments; annual capital budget and capital expenditures; D&amp;O and liability insurance coverage; the delegated responsibilities of our Management Investment Committee relating to our ERISA-regulated employee benefit plans; through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type w:val="continuous"/>
        </w:sectPr>
      </w:pPr>
    </w:p>
    <w:bookmarkStart w:id="30" w:name="page31"/>
    <w:bookmarkEnd w:id="30"/>
    <w:p>
      <w:pPr>
        <w:ind w:left="660"/>
        <w:spacing w:after="0"/>
        <w:rPr>
          <w:sz w:val="20"/>
          <w:szCs w:val="20"/>
          <w:color w:val="auto"/>
        </w:rPr>
      </w:pPr>
      <w:r>
        <w:rPr>
          <w:rFonts w:ascii="Arial" w:cs="Arial" w:eastAsia="Arial" w:hAnsi="Arial"/>
          <w:sz w:val="18"/>
          <w:szCs w:val="18"/>
          <w:color w:val="auto"/>
        </w:rPr>
        <w:t>evaluation of, among other things, the financial impact of certain proposed business combination transactions; and shareholder</w:t>
      </w:r>
    </w:p>
    <w:p>
      <w:pPr>
        <w:spacing w:after="0" w:line="14" w:lineRule="exact"/>
        <w:rPr>
          <w:sz w:val="20"/>
          <w:szCs w:val="20"/>
          <w:color w:val="auto"/>
        </w:rPr>
      </w:pPr>
    </w:p>
    <w:p>
      <w:pPr>
        <w:ind w:left="660" w:right="40"/>
        <w:spacing w:after="0" w:line="237" w:lineRule="auto"/>
        <w:rPr>
          <w:sz w:val="20"/>
          <w:szCs w:val="20"/>
          <w:color w:val="auto"/>
        </w:rPr>
      </w:pPr>
      <w:r>
        <w:rPr>
          <w:rFonts w:ascii="Arial" w:cs="Arial" w:eastAsia="Arial" w:hAnsi="Arial"/>
          <w:sz w:val="18"/>
          <w:szCs w:val="18"/>
          <w:color w:val="auto"/>
        </w:rPr>
        <w:t>engagement activities and disclosures, including with regard to environmental, social and governance, or ESG, and our sustainability platform.</w:t>
      </w:r>
    </w:p>
    <w:p>
      <w:pPr>
        <w:spacing w:after="0" w:line="73" w:lineRule="exact"/>
        <w:rPr>
          <w:sz w:val="20"/>
          <w:szCs w:val="20"/>
          <w:color w:val="auto"/>
        </w:rPr>
      </w:pPr>
    </w:p>
    <w:p>
      <w:pPr>
        <w:ind w:left="660" w:right="20" w:hanging="328"/>
        <w:spacing w:after="0" w:line="260"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Nominating &amp; Governance Committee assists through its oversight of our overall corporate governance structure and policies, including director nominations, director retirements, director independence and qualifications, Board leadership structure, Board committee structure, ESG considerations not included as part of the sustainability oversight allocated to the Board or other committees of the Board, which, in particular, includes review of certain ESG ratings, and monitoring of corporate governance trends.</w:t>
      </w:r>
    </w:p>
    <w:p>
      <w:pPr>
        <w:spacing w:after="0" w:line="57" w:lineRule="exact"/>
        <w:rPr>
          <w:sz w:val="20"/>
          <w:szCs w:val="20"/>
          <w:color w:val="auto"/>
        </w:rPr>
      </w:pPr>
    </w:p>
    <w:p>
      <w:pPr>
        <w:ind w:right="180" w:firstLine="324"/>
        <w:spacing w:after="0" w:line="251" w:lineRule="auto"/>
        <w:rPr>
          <w:sz w:val="20"/>
          <w:szCs w:val="20"/>
          <w:color w:val="auto"/>
        </w:rPr>
      </w:pPr>
      <w:r>
        <w:rPr>
          <w:rFonts w:ascii="Arial" w:cs="Arial" w:eastAsia="Arial" w:hAnsi="Arial"/>
          <w:sz w:val="17"/>
          <w:szCs w:val="17"/>
          <w:color w:val="auto"/>
        </w:rPr>
        <w:t>The Board believes that its oversight of risk is enhanced by its current leadership structure, as previously discussed, because our Chairman and CEO, who is ultimately responsible for the Company's risk responsibility, also chairs regular Board meetings and, with his in-</w:t>
      </w:r>
    </w:p>
    <w:p>
      <w:pPr>
        <w:spacing w:after="0" w:line="1"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depth knowledge and understanding of our Company, is well positioned to bring key business issues and risks to the attention of the full Board.</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Executive Compensation Process</w:t>
      </w:r>
    </w:p>
    <w:p>
      <w:pPr>
        <w:spacing w:after="0" w:line="85"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color w:val="auto"/>
        </w:rPr>
        <w:t>At the beginning of each fiscal year, the Compensation &amp; Human Resources Committee reviews and approves compensation for each of our executive officers which generally includes:</w:t>
      </w: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if any, to base salary;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incentive awards, including:</w:t>
      </w:r>
    </w:p>
    <w:p>
      <w:pPr>
        <w:spacing w:after="0" w:line="49" w:lineRule="exact"/>
        <w:rPr>
          <w:rFonts w:ascii="Arial" w:cs="Arial" w:eastAsia="Arial" w:hAnsi="Arial"/>
          <w:sz w:val="18"/>
          <w:szCs w:val="18"/>
          <w:color w:val="auto"/>
        </w:rPr>
      </w:pPr>
    </w:p>
    <w:p>
      <w:pPr>
        <w:ind w:left="980" w:right="380" w:hanging="324"/>
        <w:spacing w:after="0" w:line="245" w:lineRule="auto"/>
        <w:rPr>
          <w:rFonts w:ascii="Arial" w:cs="Arial" w:eastAsia="Arial" w:hAnsi="Arial"/>
          <w:sz w:val="18"/>
          <w:szCs w:val="18"/>
          <w:color w:val="auto"/>
        </w:rPr>
      </w:pPr>
      <w:r>
        <w:rPr>
          <w:rFonts w:ascii="Arial" w:cs="Arial" w:eastAsia="Arial" w:hAnsi="Arial"/>
          <w:sz w:val="18"/>
          <w:szCs w:val="18"/>
          <w:color w:val="auto"/>
        </w:rPr>
        <w:t>– annual cash incentive awards for the current fiscal year, including (i) participation targets expressed as a percentage of base salary, target payout amounts and maximum cash payout amounts; and (ii) performance measures, weightings, goals and adjustment events; and</w:t>
      </w:r>
    </w:p>
    <w:p>
      <w:pPr>
        <w:spacing w:after="0" w:line="14" w:lineRule="exact"/>
        <w:rPr>
          <w:rFonts w:ascii="Arial" w:cs="Arial" w:eastAsia="Arial" w:hAnsi="Arial"/>
          <w:sz w:val="18"/>
          <w:szCs w:val="18"/>
          <w:color w:val="auto"/>
        </w:rPr>
      </w:pPr>
    </w:p>
    <w:p>
      <w:pPr>
        <w:ind w:left="980" w:right="140" w:hanging="324"/>
        <w:spacing w:after="0" w:line="245" w:lineRule="auto"/>
        <w:rPr>
          <w:rFonts w:ascii="Arial" w:cs="Arial" w:eastAsia="Arial" w:hAnsi="Arial"/>
          <w:sz w:val="18"/>
          <w:szCs w:val="18"/>
          <w:color w:val="auto"/>
        </w:rPr>
      </w:pPr>
      <w:r>
        <w:rPr>
          <w:rFonts w:ascii="Arial" w:cs="Arial" w:eastAsia="Arial" w:hAnsi="Arial"/>
          <w:sz w:val="18"/>
          <w:szCs w:val="18"/>
          <w:color w:val="auto"/>
        </w:rPr>
        <w:t>– long-term incentive awards, including (i) stock option awards; and (ii) three-year performance share awards, including (a) target share payout amounts and maximum share payout amounts, and (b) performance measures, weightings, goals and adjustment events.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this review and approval, the Compensation &amp; Human Resources Committee evaluates information regarding:</w:t>
      </w:r>
    </w:p>
    <w:p>
      <w:pPr>
        <w:spacing w:after="0" w:line="50" w:lineRule="exact"/>
        <w:rPr>
          <w:sz w:val="20"/>
          <w:szCs w:val="20"/>
          <w:color w:val="auto"/>
        </w:rPr>
      </w:pPr>
    </w:p>
    <w:p>
      <w:pPr>
        <w:ind w:left="660" w:right="220" w:hanging="328"/>
        <w:spacing w:after="0" w:line="256"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base salary, total cash compensation and total direct compensation data and analysis prepared by its independent external compensation consultant;</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total cash compensation to be paid for the fiscal year if annual cash incentive awards are achieved and paid at target;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prior fiscal year target equity values;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total direct compensation for the fiscal year, assuming equity awards at target.</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the Committee obtains executive compensation recommendations from our Chairman and CEO, Vice President, Human</w:t>
      </w:r>
    </w:p>
    <w:p>
      <w:pPr>
        <w:spacing w:after="0" w:line="14"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Resources and Managing Director, Total Rewards and Employee Services that reflect individual performance; future potential; corporate and/or division performance, as applicable; tenure in the position; comparison to market; level of professional experience; duties and</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responsibilities; internal pay equity comparisons; and outside market factors, including general economic conditions. As needed, the Committee reviews significant events that have occurred at our Company, including merger and acquisition activity, and assesses whether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such events necessitate a change in compensation for our executive officers.</w:t>
      </w:r>
    </w:p>
    <w:p>
      <w:pPr>
        <w:spacing w:after="0" w:line="86" w:lineRule="exact"/>
        <w:rPr>
          <w:sz w:val="20"/>
          <w:szCs w:val="20"/>
          <w:color w:val="auto"/>
        </w:rPr>
      </w:pPr>
    </w:p>
    <w:p>
      <w:pPr>
        <w:ind w:right="220" w:firstLine="324"/>
        <w:spacing w:after="0" w:line="237" w:lineRule="auto"/>
        <w:rPr>
          <w:sz w:val="20"/>
          <w:szCs w:val="20"/>
          <w:color w:val="auto"/>
        </w:rPr>
      </w:pPr>
      <w:r>
        <w:rPr>
          <w:rFonts w:ascii="Arial" w:cs="Arial" w:eastAsia="Arial" w:hAnsi="Arial"/>
          <w:sz w:val="18"/>
          <w:szCs w:val="18"/>
          <w:color w:val="auto"/>
        </w:rPr>
        <w:t>Neither the Chairman and CEO nor the Vice President, Human Resources provide input or recommendations with respect to his or her own compensation. The Chair of the Committee is also responsible for coordinating a performance evaluation for the Chairman and CEO</w:t>
      </w:r>
    </w:p>
    <w:p>
      <w:pPr>
        <w:spacing w:after="0" w:line="235" w:lineRule="auto"/>
        <w:rPr>
          <w:sz w:val="20"/>
          <w:szCs w:val="20"/>
          <w:color w:val="auto"/>
        </w:rPr>
      </w:pPr>
      <w:r>
        <w:rPr>
          <w:rFonts w:ascii="Arial" w:cs="Arial" w:eastAsia="Arial" w:hAnsi="Arial"/>
          <w:sz w:val="18"/>
          <w:szCs w:val="18"/>
          <w:color w:val="auto"/>
        </w:rPr>
        <w:t>based on feedback from all non-employee directors in connection with the ratification of the Chairman and CEO's compensation by the</w:t>
      </w:r>
    </w:p>
    <w:p>
      <w:pPr>
        <w:spacing w:after="0" w:line="1"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Board. Information on the compensation of our named executive officers, or NEOs is found under "Executive Compensation." Also, at the beginning of each fiscal year, the Committee certifies the achievement of the applicable performance goals previously established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Committee for the annual cash incentive awards and performance share awards and approves resulting payouts, if any.</w:t>
      </w:r>
    </w:p>
    <w:p>
      <w:pPr>
        <w:spacing w:after="0" w:line="86" w:lineRule="exact"/>
        <w:rPr>
          <w:sz w:val="20"/>
          <w:szCs w:val="20"/>
          <w:color w:val="auto"/>
        </w:rPr>
      </w:pPr>
    </w:p>
    <w:p>
      <w:pPr>
        <w:ind w:firstLine="324"/>
        <w:spacing w:after="0" w:line="251" w:lineRule="auto"/>
        <w:rPr>
          <w:sz w:val="20"/>
          <w:szCs w:val="20"/>
          <w:color w:val="auto"/>
        </w:rPr>
      </w:pPr>
      <w:r>
        <w:rPr>
          <w:rFonts w:ascii="Arial" w:cs="Arial" w:eastAsia="Arial" w:hAnsi="Arial"/>
          <w:sz w:val="17"/>
          <w:szCs w:val="17"/>
          <w:color w:val="auto"/>
        </w:rPr>
        <w:t>The Compensation &amp; Human Resources Committee retained Willis Towers Watson to assist in the evaluation and review of our executive compensation program during fiscal 2023. Additional information regarding the role of Willis Towers Watson during fiscal 2023 is found under</w:t>
      </w:r>
    </w:p>
    <w:p>
      <w:pPr>
        <w:spacing w:after="0" w:line="235" w:lineRule="auto"/>
        <w:rPr>
          <w:sz w:val="20"/>
          <w:szCs w:val="20"/>
          <w:color w:val="auto"/>
        </w:rPr>
      </w:pPr>
      <w:r>
        <w:rPr>
          <w:rFonts w:ascii="Arial" w:cs="Arial" w:eastAsia="Arial" w:hAnsi="Arial"/>
          <w:sz w:val="18"/>
          <w:szCs w:val="18"/>
          <w:color w:val="auto"/>
        </w:rPr>
        <w:t>"Compensation Discussion and Analysis—How We Make Compensation Decisions—Independent External Compensation Consultant." From</w:t>
      </w:r>
    </w:p>
    <w:p>
      <w:pPr>
        <w:ind w:right="20"/>
        <w:spacing w:after="0"/>
        <w:rPr>
          <w:sz w:val="20"/>
          <w:szCs w:val="20"/>
          <w:color w:val="auto"/>
        </w:rPr>
      </w:pPr>
      <w:r>
        <w:rPr>
          <w:rFonts w:ascii="Arial" w:cs="Arial" w:eastAsia="Arial" w:hAnsi="Arial"/>
          <w:sz w:val="17"/>
          <w:szCs w:val="17"/>
          <w:color w:val="auto"/>
        </w:rPr>
        <w:t>time to time, the Committee also has engaged Willis Towers Watson to perform other compensation consulting services, including a review of non-employee director compensation. For the services performed for us in fiscal 2023, the Committee assessed the independence of Willis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Towers Watson pursuant to SEC and NYSE rules and concluded that the work of Willis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Towers Watson did not raise any conflicts of interest. Representatives from Willis Towers Watson attended all of the Committee meetings in</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fiscal 2023, including executive sessions without Management present, to act as a resource to the Committee in carrying out its responsibilities. The Committee, through its Chair, can request an independent meeting with representatives from our independent external</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compensation consultant at any time. The Committee also has the authority to obtain advice and assistance from external legal, accounting or other advisers.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Nomination and Refreshment Process</w:t>
      </w:r>
    </w:p>
    <w:p>
      <w:pPr>
        <w:spacing w:after="0" w:line="85" w:lineRule="exact"/>
        <w:rPr>
          <w:sz w:val="20"/>
          <w:szCs w:val="20"/>
          <w:color w:val="auto"/>
        </w:rPr>
      </w:pPr>
    </w:p>
    <w:p>
      <w:pPr>
        <w:ind w:right="560" w:firstLine="324"/>
        <w:spacing w:after="0" w:line="259" w:lineRule="auto"/>
        <w:rPr>
          <w:sz w:val="20"/>
          <w:szCs w:val="20"/>
          <w:color w:val="auto"/>
        </w:rPr>
      </w:pPr>
      <w:r>
        <w:rPr>
          <w:rFonts w:ascii="Arial" w:cs="Arial" w:eastAsia="Arial" w:hAnsi="Arial"/>
          <w:sz w:val="17"/>
          <w:szCs w:val="17"/>
          <w:color w:val="auto"/>
        </w:rPr>
        <w:t>In identifying new nominees for election to the Board when vacancies occur, the Nominating &amp; Governance Committee may solicit recommendations for nominees from other members of our Board or Senior Management. In addition, the Committee may (i) formally</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engage such firms to assist it in identifying and evaluating qualified nominees, (ii) consider candidates put forth by external search or placement firms, and/or (iii) consider certain individuals who contacted the Chair of the Board, the Lead Independent Director and/or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expressed an interest in serving on the Board.</w:t>
      </w:r>
    </w:p>
    <w:p>
      <w:pPr>
        <w:spacing w:after="0" w:line="86" w:lineRule="exact"/>
        <w:rPr>
          <w:sz w:val="20"/>
          <w:szCs w:val="20"/>
          <w:color w:val="auto"/>
        </w:rPr>
      </w:pPr>
    </w:p>
    <w:p>
      <w:pPr>
        <w:jc w:val="both"/>
        <w:ind w:right="240" w:firstLine="324"/>
        <w:spacing w:after="0" w:line="251" w:lineRule="auto"/>
        <w:rPr>
          <w:sz w:val="20"/>
          <w:szCs w:val="20"/>
          <w:color w:val="auto"/>
        </w:rPr>
      </w:pPr>
      <w:r>
        <w:rPr>
          <w:rFonts w:ascii="Arial" w:cs="Arial" w:eastAsia="Arial" w:hAnsi="Arial"/>
          <w:sz w:val="17"/>
          <w:szCs w:val="17"/>
          <w:color w:val="auto"/>
        </w:rPr>
        <w:t>When reviewing the requisite skills and characteristics of potential new director nominees, the Nominating &amp; Governance Committee, pursuant to our Corporate Governance Guidelines, will consider a variety of criteria, including an individual's independence, diversity, age,</w:t>
      </w:r>
    </w:p>
    <w:p>
      <w:pPr>
        <w:spacing w:after="0" w:line="235" w:lineRule="auto"/>
        <w:rPr>
          <w:sz w:val="20"/>
          <w:szCs w:val="20"/>
          <w:color w:val="auto"/>
        </w:rPr>
      </w:pPr>
      <w:r>
        <w:rPr>
          <w:rFonts w:ascii="Arial" w:cs="Arial" w:eastAsia="Arial" w:hAnsi="Arial"/>
          <w:sz w:val="18"/>
          <w:szCs w:val="18"/>
          <w:color w:val="auto"/>
        </w:rPr>
        <w:t>skills, and current and past business, professional and industry experience, each in the context of the needs of the Board as a whole.</w:t>
      </w:r>
    </w:p>
    <w:p>
      <w:pPr>
        <w:ind w:right="140"/>
        <w:spacing w:after="0"/>
        <w:rPr>
          <w:sz w:val="20"/>
          <w:szCs w:val="20"/>
          <w:color w:val="auto"/>
        </w:rPr>
      </w:pPr>
      <w:r>
        <w:rPr>
          <w:rFonts w:ascii="Arial" w:cs="Arial" w:eastAsia="Arial" w:hAnsi="Arial"/>
          <w:sz w:val="17"/>
          <w:szCs w:val="17"/>
          <w:color w:val="auto"/>
        </w:rPr>
        <w:t>Although the Committee does not have a formal policy regarding consideration of diversity in identifying director nominees, the Committee will evaluate a nominee based on his or her background, skills, business and professional experiences, industry affiliations, viewpoints, and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geographical representation, as well as more traditional diversity factors. As a result, the composition of the current Board reflects diversity in business and professional experiences, age, gender, race/ethnicity, background and skills.</w:t>
      </w:r>
    </w:p>
    <w:p>
      <w:pPr>
        <w:spacing w:after="0" w:line="50"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Once a proposed candidate is identified, the Nominating &amp; Governance Committee may solicit the views of Senior Management, Board members and any other individuals it believes may have insight into a particular candidate. The Committee may designate one or more of its</w:t>
      </w:r>
    </w:p>
    <w:p>
      <w:pPr>
        <w:ind w:right="100"/>
        <w:spacing w:after="0" w:line="237" w:lineRule="auto"/>
        <w:rPr>
          <w:sz w:val="20"/>
          <w:szCs w:val="20"/>
          <w:color w:val="auto"/>
        </w:rPr>
      </w:pPr>
      <w:r>
        <w:rPr>
          <w:rFonts w:ascii="Arial" w:cs="Arial" w:eastAsia="Arial" w:hAnsi="Arial"/>
          <w:sz w:val="18"/>
          <w:szCs w:val="18"/>
          <w:color w:val="auto"/>
        </w:rPr>
        <w:t>members and/or other Board members to interview any proposed candidate. The Committee then will recommend a director nominee to the Board based on its evaluation of such criteria.</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our retirement age guideline, Janet K. Cooper will retire from our Board in upon expiration of her term at the 2024 Annual</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Meeting of Shareholders. In addition, Jeffrey M. Ettinger and Michael G. Vale resigned from our Board in fiscal 2023. As such, a process began in fiscal 2023 to identify potential new Board members. This process included engaging James Drury Partners as our external search</w:t>
      </w:r>
    </w:p>
    <w:p>
      <w:pPr>
        <w:spacing w:after="0" w:line="235" w:lineRule="auto"/>
        <w:rPr>
          <w:sz w:val="20"/>
          <w:szCs w:val="20"/>
          <w:color w:val="auto"/>
        </w:rPr>
      </w:pPr>
      <w:r>
        <w:rPr>
          <w:rFonts w:ascii="Arial" w:cs="Arial" w:eastAsia="Arial" w:hAnsi="Arial"/>
          <w:sz w:val="18"/>
          <w:szCs w:val="18"/>
          <w:color w:val="auto"/>
        </w:rPr>
        <w:t>firm. Following James Drury Partners' presentation of a slate of qualified candidates, interviews were conducted by our Chairman and CEO,</w:t>
      </w:r>
    </w:p>
    <w:p>
      <w:pPr>
        <w:ind w:right="160"/>
        <w:spacing w:after="0"/>
        <w:rPr>
          <w:sz w:val="20"/>
          <w:szCs w:val="20"/>
          <w:color w:val="auto"/>
        </w:rPr>
      </w:pPr>
      <w:r>
        <w:rPr>
          <w:rFonts w:ascii="Arial" w:cs="Arial" w:eastAsia="Arial" w:hAnsi="Arial"/>
          <w:sz w:val="17"/>
          <w:szCs w:val="17"/>
          <w:color w:val="auto"/>
        </w:rPr>
        <w:t>Lead Independent Director and Chair of the Nominating &amp; Governance Committee, and several other Board members and members of Senior Management. The Committee then considered feedback received from this process and recommended to the full Board that Dianne</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C. Craig be elected by the Board at its meeting in December 2023, effective January 1, 2024. Ms. Craig joined the class of directors with a term expiring at the 2026 Annual Meeting of Shareholders.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Nominating &amp; Governance Committee will consider director candidates recommended to it by our shareholders. Those candidates</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must be qualified and exhibit the experience and expertise required of the Board's own pool of candidates, as well as have an interest in our business, and the demonstrated ability to attend and prepare for Board, committee and shareholder meetings. Any candidate must state in</w:t>
      </w:r>
    </w:p>
    <w:p>
      <w:pPr>
        <w:spacing w:after="0" w:line="235" w:lineRule="auto"/>
        <w:rPr>
          <w:sz w:val="20"/>
          <w:szCs w:val="20"/>
          <w:color w:val="auto"/>
        </w:rPr>
      </w:pPr>
      <w:r>
        <w:rPr>
          <w:rFonts w:ascii="Arial" w:cs="Arial" w:eastAsia="Arial" w:hAnsi="Arial"/>
          <w:sz w:val="18"/>
          <w:szCs w:val="18"/>
          <w:color w:val="auto"/>
        </w:rPr>
        <w:t>advance a willingness and interest in serving on the Board. Candidates should represent the interests of all shareholders and not those of a</w:t>
      </w:r>
    </w:p>
    <w:p>
      <w:pPr>
        <w:ind w:right="320"/>
        <w:spacing w:after="0"/>
        <w:rPr>
          <w:sz w:val="20"/>
          <w:szCs w:val="20"/>
          <w:color w:val="auto"/>
        </w:rPr>
      </w:pPr>
      <w:r>
        <w:rPr>
          <w:rFonts w:ascii="Arial" w:cs="Arial" w:eastAsia="Arial" w:hAnsi="Arial"/>
          <w:sz w:val="17"/>
          <w:szCs w:val="17"/>
          <w:color w:val="auto"/>
        </w:rPr>
        <w:t>special interest group. The Committee will evaluate candidates recommended by shareholders using the same criteria it uses to evaluate candidates recommended by others as described above. A shareholder that desires to nominate a person for election to the Board at a</w:t>
      </w:r>
    </w:p>
    <w:p>
      <w:pPr>
        <w:spacing w:after="0" w:line="235" w:lineRule="auto"/>
        <w:rPr>
          <w:sz w:val="20"/>
          <w:szCs w:val="20"/>
          <w:color w:val="auto"/>
        </w:rPr>
      </w:pPr>
      <w:r>
        <w:rPr>
          <w:rFonts w:ascii="Arial" w:cs="Arial" w:eastAsia="Arial" w:hAnsi="Arial"/>
          <w:sz w:val="18"/>
          <w:szCs w:val="18"/>
          <w:color w:val="auto"/>
        </w:rPr>
        <w:t>meeting of shareholders must follow the specified advance notice requirements contained in, and provide the specific information required</w:t>
      </w:r>
    </w:p>
    <w:p>
      <w:pPr>
        <w:ind w:right="1020"/>
        <w:spacing w:after="0" w:line="237" w:lineRule="auto"/>
        <w:rPr>
          <w:sz w:val="20"/>
          <w:szCs w:val="20"/>
          <w:color w:val="auto"/>
        </w:rPr>
      </w:pPr>
      <w:r>
        <w:rPr>
          <w:rFonts w:ascii="Arial" w:cs="Arial" w:eastAsia="Arial" w:hAnsi="Arial"/>
          <w:sz w:val="18"/>
          <w:szCs w:val="18"/>
          <w:color w:val="auto"/>
        </w:rPr>
        <w:t>by, our Amended and Restated Bylaws. The current requirements of our Amended and Restated Bylaws are as described under "Shareholder Proposals and Director Nominations for the 2025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Related Person Transactions and Policies and Procedures Regarding Related Person Transactions</w:t>
      </w:r>
    </w:p>
    <w:p>
      <w:pPr>
        <w:spacing w:after="0" w:line="85" w:lineRule="exact"/>
        <w:rPr>
          <w:sz w:val="20"/>
          <w:szCs w:val="20"/>
          <w:color w:val="auto"/>
        </w:rPr>
      </w:pPr>
    </w:p>
    <w:p>
      <w:pPr>
        <w:ind w:right="240" w:firstLine="324"/>
        <w:spacing w:after="0" w:line="245" w:lineRule="auto"/>
        <w:rPr>
          <w:sz w:val="20"/>
          <w:szCs w:val="20"/>
          <w:color w:val="auto"/>
        </w:rPr>
      </w:pPr>
      <w:r>
        <w:rPr>
          <w:rFonts w:ascii="Arial" w:cs="Arial" w:eastAsia="Arial" w:hAnsi="Arial"/>
          <w:sz w:val="18"/>
          <w:szCs w:val="18"/>
          <w:color w:val="auto"/>
        </w:rPr>
        <w:t>Our Corporate Governance Guidelines set forth in writing our policies and procedures regarding related person transactions. All reportable related person transactions are subject to reasonable prior review by our Nominating &amp; Governance Committee. In determining</w:t>
      </w:r>
    </w:p>
    <w:p>
      <w:pPr>
        <w:ind w:right="860"/>
        <w:spacing w:after="0" w:line="237" w:lineRule="auto"/>
        <w:rPr>
          <w:sz w:val="20"/>
          <w:szCs w:val="20"/>
          <w:color w:val="auto"/>
        </w:rPr>
      </w:pPr>
      <w:r>
        <w:rPr>
          <w:rFonts w:ascii="Arial" w:cs="Arial" w:eastAsia="Arial" w:hAnsi="Arial"/>
          <w:sz w:val="18"/>
          <w:szCs w:val="18"/>
          <w:color w:val="auto"/>
        </w:rPr>
        <w:t>whether to approve or ratify such transactions, the Committee will take into account, among other factors and information it deems appropriate:</w:t>
      </w:r>
    </w:p>
    <w:p>
      <w:pPr>
        <w:spacing w:after="0" w:line="1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related person’s relationship to our Company and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32" w:name="page33"/>
    <w:bookmarkEnd w:id="32"/>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material facts of the transaction;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benefits to our Company of the transaction; and</w:t>
      </w:r>
    </w:p>
    <w:p>
      <w:pPr>
        <w:spacing w:after="0" w:line="36" w:lineRule="exact"/>
        <w:rPr>
          <w:rFonts w:ascii="Arial" w:cs="Arial" w:eastAsia="Arial" w:hAnsi="Arial"/>
          <w:sz w:val="18"/>
          <w:szCs w:val="18"/>
          <w:color w:val="auto"/>
        </w:rPr>
      </w:pPr>
    </w:p>
    <w:p>
      <w:pPr>
        <w:ind w:left="660" w:right="120" w:hanging="328"/>
        <w:spacing w:after="0" w:line="253"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47"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Transactions between us and an unaffiliated corporation of which one of our non-employee directors or director nominees serves as an officer, that have been assessed as noted above, and are in amounts that are not material to our business or the business of such unaffiliated corporation, are deemed conclusively pre-approved.</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 of Directors Business Ethics Policy Statement</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 is our policy to maintain the highest level of moral, ethical and legal standards in the conduct of our business. Pursuant to our</w:t>
      </w:r>
    </w:p>
    <w:p>
      <w:pPr>
        <w:spacing w:after="0" w:line="1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Corporate Governance Guidelines, the Board has adopted, and each director annually signs, a Board of Directors Business Ethics Policy Statement. The policy can be found on our website at www.thetorocompany.com/ethics.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Code of Conduct and Code of Ethics for our CEO and Senior Financial Personnel</w:t>
      </w:r>
    </w:p>
    <w:p>
      <w:pPr>
        <w:spacing w:after="0" w:line="72" w:lineRule="exact"/>
        <w:rPr>
          <w:sz w:val="20"/>
          <w:szCs w:val="20"/>
          <w:color w:val="auto"/>
        </w:rPr>
      </w:pPr>
    </w:p>
    <w:p>
      <w:pPr>
        <w:ind w:right="360" w:firstLine="324"/>
        <w:spacing w:after="0" w:line="237" w:lineRule="auto"/>
        <w:rPr>
          <w:sz w:val="20"/>
          <w:szCs w:val="20"/>
          <w:color w:val="auto"/>
        </w:rPr>
      </w:pPr>
      <w:r>
        <w:rPr>
          <w:rFonts w:ascii="Arial" w:cs="Arial" w:eastAsia="Arial" w:hAnsi="Arial"/>
          <w:sz w:val="18"/>
          <w:szCs w:val="18"/>
          <w:color w:val="auto"/>
        </w:rPr>
        <w:t>All of our directors and employees are required to comply with our Code of Conduct to help ensure that our business is conducted in accordance with the highest level of moral, ethical and legal standards. We also have a Code of Ethics for our CEO and Senior Financial</w:t>
      </w:r>
    </w:p>
    <w:p>
      <w:pPr>
        <w:spacing w:after="0" w:line="235" w:lineRule="auto"/>
        <w:rPr>
          <w:sz w:val="20"/>
          <w:szCs w:val="20"/>
          <w:color w:val="auto"/>
        </w:rPr>
      </w:pPr>
      <w:r>
        <w:rPr>
          <w:rFonts w:ascii="Arial" w:cs="Arial" w:eastAsia="Arial" w:hAnsi="Arial"/>
          <w:sz w:val="18"/>
          <w:szCs w:val="18"/>
          <w:color w:val="auto"/>
        </w:rPr>
        <w:t>Personnel applicable to our CEO, our Vice President, Chief Financial Officer, and certain senior accounting and/or treasury personnel who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are also bound by the provisions set forth in the Code of Conduct relating to ethical conduct, conflicts of interest and compliance with the law. Our Code of Conduct and Code of Ethics for our CEO and Senior Financial Personnel can be found on our website at</w:t>
      </w:r>
    </w:p>
    <w:p>
      <w:pPr>
        <w:spacing w:after="0" w:line="236" w:lineRule="auto"/>
        <w:rPr>
          <w:sz w:val="20"/>
          <w:szCs w:val="20"/>
          <w:color w:val="auto"/>
        </w:rPr>
      </w:pPr>
      <w:r>
        <w:rPr>
          <w:rFonts w:ascii="Arial" w:cs="Arial" w:eastAsia="Arial" w:hAnsi="Arial"/>
          <w:sz w:val="18"/>
          <w:szCs w:val="18"/>
          <w:color w:val="auto"/>
        </w:rPr>
        <w:t>www.thetorocompany.com/ethics. If necessary, we intend to satisfy the disclosure requirements of Item 5.05 of the Current Report on Form</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8-K regarding amendments to or waivers from any provision of our Code of Ethics for our CEO and Senior Financial Personnel by posting such information on our website as noted above.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Communications with Directors</w:t>
      </w:r>
    </w:p>
    <w:p>
      <w:pPr>
        <w:spacing w:after="0" w:line="72" w:lineRule="exact"/>
        <w:rPr>
          <w:sz w:val="20"/>
          <w:szCs w:val="20"/>
          <w:color w:val="auto"/>
        </w:rPr>
      </w:pPr>
    </w:p>
    <w:p>
      <w:pPr>
        <w:ind w:right="80" w:firstLine="324"/>
        <w:spacing w:after="0" w:line="237" w:lineRule="auto"/>
        <w:rPr>
          <w:sz w:val="20"/>
          <w:szCs w:val="20"/>
          <w:color w:val="auto"/>
        </w:rPr>
      </w:pPr>
      <w:r>
        <w:rPr>
          <w:rFonts w:ascii="Arial" w:cs="Arial" w:eastAsia="Arial" w:hAnsi="Arial"/>
          <w:sz w:val="18"/>
          <w:szCs w:val="18"/>
          <w:color w:val="auto"/>
        </w:rPr>
        <w:t>Shareholders and other interested parties may communicate directly with our Board, our Board committees, our non-employee directors as a group, our Lead Independent Director, or any other specified individual director in writing by (i) sending a letter addressed to The Toro</w:t>
      </w:r>
    </w:p>
    <w:p>
      <w:pPr>
        <w:spacing w:after="0" w:line="235" w:lineRule="auto"/>
        <w:rPr>
          <w:sz w:val="20"/>
          <w:szCs w:val="20"/>
          <w:color w:val="auto"/>
        </w:rPr>
      </w:pPr>
      <w:r>
        <w:rPr>
          <w:rFonts w:ascii="Arial" w:cs="Arial" w:eastAsia="Arial" w:hAnsi="Arial"/>
          <w:sz w:val="18"/>
          <w:szCs w:val="18"/>
          <w:color w:val="auto"/>
        </w:rPr>
        <w:t>Company Board of Directors, c/o General Counsel, 8111 Lyndale Avenue South, Bloomington, Minnesota, 55420-1196, or (ii) sending an</w:t>
      </w:r>
    </w:p>
    <w:p>
      <w:pPr>
        <w:spacing w:after="0" w:line="1" w:lineRule="exact"/>
        <w:rPr>
          <w:sz w:val="20"/>
          <w:szCs w:val="20"/>
          <w:color w:val="auto"/>
        </w:rPr>
      </w:pPr>
    </w:p>
    <w:p>
      <w:pPr>
        <w:jc w:val="both"/>
        <w:ind w:right="440"/>
        <w:spacing w:after="0" w:line="226" w:lineRule="auto"/>
        <w:rPr>
          <w:sz w:val="20"/>
          <w:szCs w:val="20"/>
          <w:color w:val="auto"/>
        </w:rPr>
      </w:pPr>
      <w:r>
        <w:rPr>
          <w:rFonts w:ascii="Arial" w:cs="Arial" w:eastAsia="Arial" w:hAnsi="Arial"/>
          <w:sz w:val="18"/>
          <w:szCs w:val="18"/>
          <w:color w:val="auto"/>
        </w:rPr>
        <w:t>email to boardofdirectors@toro.com. Substantive communications, such as corporate governance matters or potential issues relating to accounting, internal controls or other auditing matters, are forwarded by our General Counsel to the relevant director(s) as appropriate.</w:t>
      </w:r>
    </w:p>
    <w:p>
      <w:pPr>
        <w:spacing w:after="0" w:line="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Communications not requiring the substantive attention of our Board, such as employment inquiries, sales solicitations, donation requests, questions about our products, and other such matters, are appropriately handled by Management.</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Complaint Procedures</w:t>
      </w:r>
    </w:p>
    <w:p>
      <w:pPr>
        <w:spacing w:after="0" w:line="72" w:lineRule="exact"/>
        <w:rPr>
          <w:sz w:val="20"/>
          <w:szCs w:val="20"/>
          <w:color w:val="auto"/>
        </w:rPr>
      </w:pPr>
    </w:p>
    <w:p>
      <w:pPr>
        <w:ind w:right="320" w:firstLine="324"/>
        <w:spacing w:after="0" w:line="245" w:lineRule="auto"/>
        <w:rPr>
          <w:sz w:val="20"/>
          <w:szCs w:val="20"/>
          <w:color w:val="auto"/>
        </w:rPr>
      </w:pPr>
      <w:r>
        <w:rPr>
          <w:rFonts w:ascii="Arial" w:cs="Arial" w:eastAsia="Arial" w:hAnsi="Arial"/>
          <w:sz w:val="18"/>
          <w:szCs w:val="18"/>
          <w:color w:val="auto"/>
        </w:rPr>
        <w:t>We maintain procedures to receive, retain and treat complaints regarding accounting, internal accounting controls or auditing matters and to allow for the confidential and anonymous submission by employees of concerns regarding questionable accounting or auditing</w:t>
      </w:r>
    </w:p>
    <w:p>
      <w:pPr>
        <w:ind w:right="600"/>
        <w:spacing w:after="0" w:line="226" w:lineRule="auto"/>
        <w:rPr>
          <w:sz w:val="20"/>
          <w:szCs w:val="20"/>
          <w:color w:val="auto"/>
        </w:rPr>
      </w:pPr>
      <w:r>
        <w:rPr>
          <w:rFonts w:ascii="Arial" w:cs="Arial" w:eastAsia="Arial" w:hAnsi="Arial"/>
          <w:sz w:val="18"/>
          <w:szCs w:val="18"/>
          <w:color w:val="auto"/>
        </w:rPr>
        <w:t>matters. A 24-hour, toll-free confidential ethics helpline and a confidential web-based reporting tool are available for the submission of concerns regarding these and other matters by any employee. Concerns and questions received through these methods relating to</w:t>
      </w:r>
    </w:p>
    <w:p>
      <w:pPr>
        <w:spacing w:after="0" w:line="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accounting, internal accounting controls or auditing matters are promptly brought to the attention of the Chair of the Audit Committee and are handled in accordance with procedures established by the Audit Committee. Complete information regarding our complaint procedures 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contained within our Code of Conduct, which may be accessed on our website as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33" w:name="page34"/>
    <w:bookmarkEnd w:id="33"/>
    <w:p>
      <w:pPr>
        <w:jc w:val="center"/>
        <w:ind w:right="-59"/>
        <w:spacing w:after="0"/>
        <w:rPr>
          <w:sz w:val="20"/>
          <w:szCs w:val="20"/>
          <w:color w:val="auto"/>
        </w:rPr>
      </w:pPr>
      <w:r>
        <w:rPr>
          <w:rFonts w:ascii="Arial" w:cs="Arial" w:eastAsia="Arial" w:hAnsi="Arial"/>
          <w:sz w:val="22"/>
          <w:szCs w:val="22"/>
          <w:b w:val="1"/>
          <w:bCs w:val="1"/>
          <w:color w:val="FFFFFF"/>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Compensation Program for Fiscal 2023</w:t>
      </w:r>
    </w:p>
    <w:p>
      <w:pPr>
        <w:spacing w:after="0" w:line="85" w:lineRule="exact"/>
        <w:rPr>
          <w:sz w:val="20"/>
          <w:szCs w:val="20"/>
          <w:color w:val="auto"/>
        </w:rPr>
      </w:pPr>
    </w:p>
    <w:p>
      <w:pPr>
        <w:ind w:firstLine="324"/>
        <w:spacing w:after="0" w:line="251" w:lineRule="auto"/>
        <w:rPr>
          <w:sz w:val="20"/>
          <w:szCs w:val="20"/>
          <w:color w:val="auto"/>
        </w:rPr>
      </w:pPr>
      <w:r>
        <w:rPr>
          <w:rFonts w:ascii="Arial" w:cs="Arial" w:eastAsia="Arial" w:hAnsi="Arial"/>
          <w:sz w:val="17"/>
          <w:szCs w:val="17"/>
          <w:b w:val="1"/>
          <w:bCs w:val="1"/>
          <w:color w:val="auto"/>
        </w:rPr>
        <w:t xml:space="preserve">Overview. </w:t>
      </w:r>
      <w:r>
        <w:rPr>
          <w:rFonts w:ascii="Arial" w:cs="Arial" w:eastAsia="Arial" w:hAnsi="Arial"/>
          <w:sz w:val="17"/>
          <w:szCs w:val="17"/>
          <w:color w:val="auto"/>
        </w:rPr>
        <w:t>Our non-employee director compensation program is designed to attract and retain experienced and knowledgeable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and to provide equity-based compensation to align the interests of our directors with those of our shareholders. In fiscal 2023, our non-</w:t>
      </w:r>
    </w:p>
    <w:p>
      <w:pPr>
        <w:spacing w:after="0" w:line="235" w:lineRule="auto"/>
        <w:rPr>
          <w:sz w:val="20"/>
          <w:szCs w:val="20"/>
          <w:color w:val="auto"/>
        </w:rPr>
      </w:pPr>
      <w:r>
        <w:rPr>
          <w:rFonts w:ascii="Arial" w:cs="Arial" w:eastAsia="Arial" w:hAnsi="Arial"/>
          <w:sz w:val="18"/>
          <w:szCs w:val="18"/>
          <w:color w:val="auto"/>
        </w:rPr>
        <w:t>employee director compensation was comprised of equity compensation, in the form of annual stock and stock option awards, and cash</w:t>
      </w:r>
    </w:p>
    <w:p>
      <w:pPr>
        <w:ind w:right="20"/>
        <w:spacing w:after="0"/>
        <w:rPr>
          <w:sz w:val="20"/>
          <w:szCs w:val="20"/>
          <w:color w:val="auto"/>
        </w:rPr>
      </w:pPr>
      <w:r>
        <w:rPr>
          <w:rFonts w:ascii="Arial" w:cs="Arial" w:eastAsia="Arial" w:hAnsi="Arial"/>
          <w:sz w:val="17"/>
          <w:szCs w:val="17"/>
          <w:color w:val="auto"/>
        </w:rPr>
        <w:t>compensation, in the form of annual retainers that are paid quarterly. Each of the components of our Board compensation is described in more detail below. The Board compensation program structure, together with the feature of the program that enables our directors to elect to</w:t>
      </w:r>
    </w:p>
    <w:p>
      <w:pPr>
        <w:spacing w:after="0" w:line="235" w:lineRule="auto"/>
        <w:rPr>
          <w:sz w:val="20"/>
          <w:szCs w:val="20"/>
          <w:color w:val="auto"/>
        </w:rPr>
      </w:pPr>
      <w:r>
        <w:rPr>
          <w:rFonts w:ascii="Arial" w:cs="Arial" w:eastAsia="Arial" w:hAnsi="Arial"/>
          <w:sz w:val="18"/>
          <w:szCs w:val="18"/>
          <w:color w:val="auto"/>
        </w:rPr>
        <w:t>receive a portion or all of their cash compensation in the form of our common stock, causes a substantial portion of our non-employee</w:t>
      </w:r>
    </w:p>
    <w:p>
      <w:pPr>
        <w:ind w:right="100"/>
        <w:spacing w:after="0" w:line="226" w:lineRule="auto"/>
        <w:rPr>
          <w:sz w:val="20"/>
          <w:szCs w:val="20"/>
          <w:color w:val="auto"/>
        </w:rPr>
      </w:pPr>
      <w:r>
        <w:rPr>
          <w:rFonts w:ascii="Arial" w:cs="Arial" w:eastAsia="Arial" w:hAnsi="Arial"/>
          <w:sz w:val="18"/>
          <w:szCs w:val="18"/>
          <w:color w:val="auto"/>
        </w:rPr>
        <w:t>director compensation to be linked to our common stock performance. All equity-based compensation paid to our non-employee directors is granted under our then current shareholder-approved plan. As a current employee director, Mr. Olson does not receive any additional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compensation for his service as a director.</w:t>
      </w:r>
    </w:p>
    <w:p>
      <w:pPr>
        <w:spacing w:after="0" w:line="86" w:lineRule="exact"/>
        <w:rPr>
          <w:sz w:val="20"/>
          <w:szCs w:val="20"/>
          <w:color w:val="auto"/>
        </w:rPr>
      </w:pPr>
    </w:p>
    <w:p>
      <w:pPr>
        <w:ind w:right="80" w:firstLine="324"/>
        <w:spacing w:after="0" w:line="237" w:lineRule="auto"/>
        <w:rPr>
          <w:sz w:val="20"/>
          <w:szCs w:val="20"/>
          <w:color w:val="auto"/>
        </w:rPr>
      </w:pPr>
      <w:r>
        <w:rPr>
          <w:rFonts w:ascii="Arial" w:cs="Arial" w:eastAsia="Arial" w:hAnsi="Arial"/>
          <w:sz w:val="18"/>
          <w:szCs w:val="18"/>
          <w:b w:val="1"/>
          <w:bCs w:val="1"/>
          <w:color w:val="auto"/>
        </w:rPr>
        <w:t xml:space="preserve">Process for Consideration and Determination of Director Compensation. </w:t>
      </w:r>
      <w:r>
        <w:rPr>
          <w:rFonts w:ascii="Arial" w:cs="Arial" w:eastAsia="Arial" w:hAnsi="Arial"/>
          <w:sz w:val="18"/>
          <w:szCs w:val="18"/>
          <w:color w:val="auto"/>
        </w:rPr>
        <w:t>The Board has delegated to the Compensation &amp; Human</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Committee the responsibility, among other things, to review and recommend to the Board any proposed changes in non-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employee director compensation. In connection with such review, the Committee engages an independent external compensation consultant to provide analysis regarding non-employee director compensation.</w:t>
      </w:r>
    </w:p>
    <w:p>
      <w:pPr>
        <w:spacing w:after="0" w:line="50" w:lineRule="exact"/>
        <w:rPr>
          <w:sz w:val="20"/>
          <w:szCs w:val="20"/>
          <w:color w:val="auto"/>
        </w:rPr>
      </w:pPr>
    </w:p>
    <w:p>
      <w:pPr>
        <w:jc w:val="both"/>
        <w:ind w:right="340" w:firstLine="324"/>
        <w:spacing w:after="0" w:line="259" w:lineRule="auto"/>
        <w:rPr>
          <w:sz w:val="20"/>
          <w:szCs w:val="20"/>
          <w:color w:val="auto"/>
        </w:rPr>
      </w:pPr>
      <w:r>
        <w:rPr>
          <w:rFonts w:ascii="Arial" w:cs="Arial" w:eastAsia="Arial" w:hAnsi="Arial"/>
          <w:sz w:val="17"/>
          <w:szCs w:val="17"/>
          <w:color w:val="auto"/>
        </w:rPr>
        <w:t>The Compensation &amp; Human Resources Committee periodically engages Willis Towers Watson to review our non-employee director compensation, as was done prior to the Company's fiscal 2023 year. The Willis Towers Watson review consisted of, among other things,</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analysis of board and committee compensation trends, a competitive assessment based on a selected group of manufacturing companies operating in the United States that are similar in size to us from a revenue and market capitalization perspective, and a separate analysis of</w:t>
      </w:r>
    </w:p>
    <w:p>
      <w:pPr>
        <w:spacing w:after="0" w:line="236" w:lineRule="auto"/>
        <w:rPr>
          <w:sz w:val="20"/>
          <w:szCs w:val="20"/>
          <w:color w:val="auto"/>
        </w:rPr>
      </w:pPr>
      <w:r>
        <w:rPr>
          <w:rFonts w:ascii="Arial" w:cs="Arial" w:eastAsia="Arial" w:hAnsi="Arial"/>
          <w:sz w:val="18"/>
          <w:szCs w:val="18"/>
          <w:color w:val="auto"/>
        </w:rPr>
        <w:t>lead director compensation. In September 2022, prior to the beginning of fiscal 2023, the Committee considered this data and recommended</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to the Board and the Board approved certain changes to the non-employee director compensation program for fiscal 2023, including increases in the annual stock award, annual Board retainer and the annual Compensation &amp; Human Resources Committee Chair retainer 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compared to fiscal 2022.</w:t>
      </w:r>
    </w:p>
    <w:p>
      <w:pPr>
        <w:spacing w:after="0" w:line="86" w:lineRule="exact"/>
        <w:rPr>
          <w:sz w:val="20"/>
          <w:szCs w:val="20"/>
          <w:color w:val="auto"/>
        </w:rPr>
      </w:pPr>
    </w:p>
    <w:p>
      <w:pPr>
        <w:ind w:right="520" w:firstLine="324"/>
        <w:spacing w:after="0" w:line="256" w:lineRule="auto"/>
        <w:rPr>
          <w:sz w:val="20"/>
          <w:szCs w:val="20"/>
          <w:color w:val="auto"/>
        </w:rPr>
      </w:pPr>
      <w:r>
        <w:rPr>
          <w:rFonts w:ascii="Arial" w:cs="Arial" w:eastAsia="Arial" w:hAnsi="Arial"/>
          <w:sz w:val="18"/>
          <w:szCs w:val="18"/>
          <w:b w:val="1"/>
          <w:bCs w:val="1"/>
          <w:color w:val="auto"/>
        </w:rPr>
        <w:t xml:space="preserve">Elements of Our Non-Employee Director Compensation Program. </w:t>
      </w:r>
      <w:r>
        <w:rPr>
          <w:rFonts w:ascii="Arial" w:cs="Arial" w:eastAsia="Arial" w:hAnsi="Arial"/>
          <w:sz w:val="18"/>
          <w:szCs w:val="18"/>
          <w:color w:val="auto"/>
        </w:rPr>
        <w:t>The following table sets forth our fiscal 2023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compensation program.</w:t>
      </w:r>
    </w:p>
    <w:p>
      <w:pPr>
        <w:spacing w:after="0" w:line="117" w:lineRule="exact"/>
        <w:rPr>
          <w:sz w:val="20"/>
          <w:szCs w:val="20"/>
          <w:color w:val="auto"/>
        </w:rPr>
      </w:pPr>
    </w:p>
    <w:tbl>
      <w:tblPr>
        <w:tblLayout w:type="fixed"/>
        <w:tblInd w:w="1580" w:type="dxa"/>
        <w:tblCellMar>
          <w:top w:w="0" w:type="dxa"/>
          <w:left w:w="0" w:type="dxa"/>
          <w:bottom w:w="0" w:type="dxa"/>
          <w:right w:w="0" w:type="dxa"/>
        </w:tblCellMar>
      </w:tblPr>
      <w:tr>
        <w:trPr>
          <w:trHeight w:val="230"/>
        </w:trPr>
        <w:tc>
          <w:tcPr>
            <w:tcW w:w="6540" w:type="dxa"/>
            <w:vAlign w:val="bottom"/>
            <w:shd w:val="clear" w:color="auto" w:fill="BF2115"/>
          </w:tcPr>
          <w:p>
            <w:pPr>
              <w:ind w:left="2260"/>
              <w:spacing w:after="0"/>
              <w:rPr>
                <w:sz w:val="20"/>
                <w:szCs w:val="20"/>
                <w:color w:val="auto"/>
              </w:rPr>
            </w:pPr>
            <w:r>
              <w:rPr>
                <w:rFonts w:ascii="Arial" w:cs="Arial" w:eastAsia="Arial" w:hAnsi="Arial"/>
                <w:sz w:val="14"/>
                <w:szCs w:val="14"/>
                <w:b w:val="1"/>
                <w:bCs w:val="1"/>
                <w:color w:val="FFFFFF"/>
              </w:rPr>
              <w:t>Non-Employee Director Compensation</w:t>
            </w:r>
          </w:p>
        </w:tc>
        <w:tc>
          <w:tcPr>
            <w:tcW w:w="1560" w:type="dxa"/>
            <w:vAlign w:val="bottom"/>
            <w:shd w:val="clear" w:color="auto" w:fill="BF2115"/>
          </w:tcPr>
          <w:p>
            <w:pPr>
              <w:jc w:val="right"/>
              <w:ind w:right="300"/>
              <w:spacing w:after="0"/>
              <w:rPr>
                <w:sz w:val="20"/>
                <w:szCs w:val="20"/>
                <w:color w:val="auto"/>
              </w:rPr>
            </w:pPr>
            <w:r>
              <w:rPr>
                <w:rFonts w:ascii="Arial" w:cs="Arial" w:eastAsia="Arial" w:hAnsi="Arial"/>
                <w:sz w:val="14"/>
                <w:szCs w:val="14"/>
                <w:b w:val="1"/>
                <w:bCs w:val="1"/>
                <w:color w:val="FFFFFF"/>
              </w:rPr>
              <w:t>($)</w:t>
            </w:r>
          </w:p>
        </w:tc>
      </w:tr>
      <w:tr>
        <w:trPr>
          <w:trHeight w:val="215"/>
        </w:trPr>
        <w:tc>
          <w:tcPr>
            <w:tcW w:w="6540" w:type="dxa"/>
            <w:vAlign w:val="bottom"/>
          </w:tcPr>
          <w:p>
            <w:pPr>
              <w:spacing w:after="0"/>
              <w:rPr>
                <w:sz w:val="20"/>
                <w:szCs w:val="20"/>
                <w:color w:val="auto"/>
              </w:rPr>
            </w:pPr>
            <w:r>
              <w:rPr>
                <w:rFonts w:ascii="Arial" w:cs="Arial" w:eastAsia="Arial" w:hAnsi="Arial"/>
                <w:sz w:val="16"/>
                <w:szCs w:val="16"/>
                <w:color w:val="auto"/>
              </w:rPr>
              <w:t>Annual Stock Award Value</w:t>
            </w:r>
          </w:p>
        </w:tc>
        <w:tc>
          <w:tcPr>
            <w:tcW w:w="1560" w:type="dxa"/>
            <w:vAlign w:val="bottom"/>
          </w:tcPr>
          <w:p>
            <w:pPr>
              <w:jc w:val="right"/>
              <w:spacing w:after="0"/>
              <w:rPr>
                <w:sz w:val="20"/>
                <w:szCs w:val="20"/>
                <w:color w:val="auto"/>
              </w:rPr>
            </w:pPr>
            <w:r>
              <w:rPr>
                <w:rFonts w:ascii="Arial" w:cs="Arial" w:eastAsia="Arial" w:hAnsi="Arial"/>
                <w:sz w:val="16"/>
                <w:szCs w:val="16"/>
                <w:color w:val="auto"/>
              </w:rPr>
              <w:t>85,000</w:t>
            </w:r>
          </w:p>
        </w:tc>
      </w:tr>
      <w:tr>
        <w:trPr>
          <w:trHeight w:val="28"/>
        </w:trPr>
        <w:tc>
          <w:tcPr>
            <w:tcW w:w="65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3"/>
        </w:trPr>
        <w:tc>
          <w:tcPr>
            <w:tcW w:w="65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Annual Stock Option Award Value</w:t>
            </w:r>
          </w:p>
        </w:tc>
        <w:tc>
          <w:tcPr>
            <w:tcW w:w="1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55,000</w:t>
            </w:r>
          </w:p>
        </w:tc>
      </w:tr>
      <w:tr>
        <w:trPr>
          <w:trHeight w:val="215"/>
        </w:trPr>
        <w:tc>
          <w:tcPr>
            <w:tcW w:w="6540" w:type="dxa"/>
            <w:vAlign w:val="bottom"/>
          </w:tcPr>
          <w:p>
            <w:pPr>
              <w:spacing w:after="0"/>
              <w:rPr>
                <w:sz w:val="20"/>
                <w:szCs w:val="20"/>
                <w:color w:val="auto"/>
              </w:rPr>
            </w:pPr>
            <w:r>
              <w:rPr>
                <w:rFonts w:ascii="Arial" w:cs="Arial" w:eastAsia="Arial" w:hAnsi="Arial"/>
                <w:sz w:val="16"/>
                <w:szCs w:val="16"/>
                <w:color w:val="auto"/>
              </w:rPr>
              <w:t>Annual Board and Committee Member Retainers</w:t>
            </w:r>
          </w:p>
        </w:tc>
        <w:tc>
          <w:tcPr>
            <w:tcW w:w="1560" w:type="dxa"/>
            <w:vAlign w:val="bottom"/>
          </w:tcPr>
          <w:p>
            <w:pPr>
              <w:spacing w:after="0"/>
              <w:rPr>
                <w:sz w:val="18"/>
                <w:szCs w:val="18"/>
                <w:color w:val="auto"/>
              </w:rPr>
            </w:pPr>
          </w:p>
        </w:tc>
      </w:tr>
      <w:tr>
        <w:trPr>
          <w:trHeight w:val="28"/>
        </w:trPr>
        <w:tc>
          <w:tcPr>
            <w:tcW w:w="65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3"/>
        </w:trPr>
        <w:tc>
          <w:tcPr>
            <w:tcW w:w="654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Board</w:t>
            </w:r>
          </w:p>
        </w:tc>
        <w:tc>
          <w:tcPr>
            <w:tcW w:w="1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95,000</w:t>
            </w:r>
          </w:p>
        </w:tc>
      </w:tr>
      <w:tr>
        <w:trPr>
          <w:trHeight w:val="215"/>
        </w:trPr>
        <w:tc>
          <w:tcPr>
            <w:tcW w:w="6540" w:type="dxa"/>
            <w:vAlign w:val="bottom"/>
          </w:tcPr>
          <w:p>
            <w:pPr>
              <w:ind w:left="200"/>
              <w:spacing w:after="0"/>
              <w:rPr>
                <w:sz w:val="20"/>
                <w:szCs w:val="20"/>
                <w:color w:val="auto"/>
              </w:rPr>
            </w:pPr>
            <w:r>
              <w:rPr>
                <w:rFonts w:ascii="Arial" w:cs="Arial" w:eastAsia="Arial" w:hAnsi="Arial"/>
                <w:sz w:val="16"/>
                <w:szCs w:val="16"/>
                <w:color w:val="auto"/>
              </w:rPr>
              <w:t>Audit Committee Member</w:t>
            </w:r>
          </w:p>
        </w:tc>
        <w:tc>
          <w:tcPr>
            <w:tcW w:w="1560" w:type="dxa"/>
            <w:vAlign w:val="bottom"/>
          </w:tcPr>
          <w:p>
            <w:pPr>
              <w:jc w:val="right"/>
              <w:spacing w:after="0"/>
              <w:rPr>
                <w:sz w:val="20"/>
                <w:szCs w:val="20"/>
                <w:color w:val="auto"/>
              </w:rPr>
            </w:pPr>
            <w:r>
              <w:rPr>
                <w:rFonts w:ascii="Arial" w:cs="Arial" w:eastAsia="Arial" w:hAnsi="Arial"/>
                <w:sz w:val="16"/>
                <w:szCs w:val="16"/>
                <w:color w:val="auto"/>
              </w:rPr>
              <w:t>12,500</w:t>
            </w:r>
          </w:p>
        </w:tc>
      </w:tr>
      <w:tr>
        <w:trPr>
          <w:trHeight w:val="28"/>
        </w:trPr>
        <w:tc>
          <w:tcPr>
            <w:tcW w:w="65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3"/>
        </w:trPr>
        <w:tc>
          <w:tcPr>
            <w:tcW w:w="654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Compensation &amp; Human Resources Committee Member</w:t>
            </w:r>
          </w:p>
        </w:tc>
        <w:tc>
          <w:tcPr>
            <w:tcW w:w="1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7,000</w:t>
            </w:r>
          </w:p>
        </w:tc>
      </w:tr>
      <w:tr>
        <w:trPr>
          <w:trHeight w:val="215"/>
        </w:trPr>
        <w:tc>
          <w:tcPr>
            <w:tcW w:w="6540" w:type="dxa"/>
            <w:vAlign w:val="bottom"/>
          </w:tcPr>
          <w:p>
            <w:pPr>
              <w:ind w:left="200"/>
              <w:spacing w:after="0"/>
              <w:rPr>
                <w:sz w:val="20"/>
                <w:szCs w:val="20"/>
                <w:color w:val="auto"/>
              </w:rPr>
            </w:pPr>
            <w:r>
              <w:rPr>
                <w:rFonts w:ascii="Arial" w:cs="Arial" w:eastAsia="Arial" w:hAnsi="Arial"/>
                <w:sz w:val="16"/>
                <w:szCs w:val="16"/>
                <w:color w:val="auto"/>
              </w:rPr>
              <w:t>Nominating &amp; Governance Committee Member</w:t>
            </w:r>
          </w:p>
        </w:tc>
        <w:tc>
          <w:tcPr>
            <w:tcW w:w="156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8"/>
        </w:trPr>
        <w:tc>
          <w:tcPr>
            <w:tcW w:w="65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3"/>
        </w:trPr>
        <w:tc>
          <w:tcPr>
            <w:tcW w:w="654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Finance Committee Member</w:t>
            </w:r>
          </w:p>
        </w:tc>
        <w:tc>
          <w:tcPr>
            <w:tcW w:w="1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6,000</w:t>
            </w:r>
          </w:p>
        </w:tc>
      </w:tr>
      <w:tr>
        <w:trPr>
          <w:trHeight w:val="215"/>
        </w:trPr>
        <w:tc>
          <w:tcPr>
            <w:tcW w:w="6540" w:type="dxa"/>
            <w:vAlign w:val="bottom"/>
          </w:tcPr>
          <w:p>
            <w:pPr>
              <w:spacing w:after="0"/>
              <w:rPr>
                <w:sz w:val="20"/>
                <w:szCs w:val="20"/>
                <w:color w:val="auto"/>
              </w:rPr>
            </w:pPr>
            <w:r>
              <w:rPr>
                <w:rFonts w:ascii="Arial" w:cs="Arial" w:eastAsia="Arial" w:hAnsi="Arial"/>
                <w:sz w:val="16"/>
                <w:szCs w:val="16"/>
                <w:color w:val="auto"/>
              </w:rPr>
              <w:t>Annual Lead Independent Director and Committee Chair Additional Retainers</w:t>
            </w:r>
          </w:p>
        </w:tc>
        <w:tc>
          <w:tcPr>
            <w:tcW w:w="1560" w:type="dxa"/>
            <w:vAlign w:val="bottom"/>
          </w:tcPr>
          <w:p>
            <w:pPr>
              <w:spacing w:after="0"/>
              <w:rPr>
                <w:sz w:val="18"/>
                <w:szCs w:val="18"/>
                <w:color w:val="auto"/>
              </w:rPr>
            </w:pPr>
          </w:p>
        </w:tc>
      </w:tr>
      <w:tr>
        <w:trPr>
          <w:trHeight w:val="28"/>
        </w:trPr>
        <w:tc>
          <w:tcPr>
            <w:tcW w:w="65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3"/>
        </w:trPr>
        <w:tc>
          <w:tcPr>
            <w:tcW w:w="654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Lead Independent Director</w:t>
            </w:r>
          </w:p>
        </w:tc>
        <w:tc>
          <w:tcPr>
            <w:tcW w:w="1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30,000</w:t>
            </w:r>
          </w:p>
        </w:tc>
      </w:tr>
      <w:tr>
        <w:trPr>
          <w:trHeight w:val="215"/>
        </w:trPr>
        <w:tc>
          <w:tcPr>
            <w:tcW w:w="6540" w:type="dxa"/>
            <w:vAlign w:val="bottom"/>
          </w:tcPr>
          <w:p>
            <w:pPr>
              <w:ind w:left="200"/>
              <w:spacing w:after="0"/>
              <w:rPr>
                <w:sz w:val="20"/>
                <w:szCs w:val="20"/>
                <w:color w:val="auto"/>
              </w:rPr>
            </w:pPr>
            <w:r>
              <w:rPr>
                <w:rFonts w:ascii="Arial" w:cs="Arial" w:eastAsia="Arial" w:hAnsi="Arial"/>
                <w:sz w:val="16"/>
                <w:szCs w:val="16"/>
                <w:color w:val="auto"/>
              </w:rPr>
              <w:t>Audit Committee Chair</w:t>
            </w:r>
          </w:p>
        </w:tc>
        <w:tc>
          <w:tcPr>
            <w:tcW w:w="156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8"/>
        </w:trPr>
        <w:tc>
          <w:tcPr>
            <w:tcW w:w="65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3"/>
        </w:trPr>
        <w:tc>
          <w:tcPr>
            <w:tcW w:w="654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Compensation &amp; Human Resources Committee Chair</w:t>
            </w:r>
          </w:p>
        </w:tc>
        <w:tc>
          <w:tcPr>
            <w:tcW w:w="1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15,000</w:t>
            </w:r>
          </w:p>
        </w:tc>
      </w:tr>
      <w:tr>
        <w:trPr>
          <w:trHeight w:val="215"/>
        </w:trPr>
        <w:tc>
          <w:tcPr>
            <w:tcW w:w="6540" w:type="dxa"/>
            <w:vAlign w:val="bottom"/>
          </w:tcPr>
          <w:p>
            <w:pPr>
              <w:ind w:left="200"/>
              <w:spacing w:after="0"/>
              <w:rPr>
                <w:sz w:val="20"/>
                <w:szCs w:val="20"/>
                <w:color w:val="auto"/>
              </w:rPr>
            </w:pPr>
            <w:r>
              <w:rPr>
                <w:rFonts w:ascii="Arial" w:cs="Arial" w:eastAsia="Arial" w:hAnsi="Arial"/>
                <w:sz w:val="16"/>
                <w:szCs w:val="16"/>
                <w:color w:val="auto"/>
              </w:rPr>
              <w:t>Nominating &amp; Governance Committee Chair</w:t>
            </w:r>
          </w:p>
        </w:tc>
        <w:tc>
          <w:tcPr>
            <w:tcW w:w="1560" w:type="dxa"/>
            <w:vAlign w:val="bottom"/>
          </w:tcPr>
          <w:p>
            <w:pPr>
              <w:jc w:val="right"/>
              <w:spacing w:after="0"/>
              <w:rPr>
                <w:sz w:val="20"/>
                <w:szCs w:val="20"/>
                <w:color w:val="auto"/>
              </w:rPr>
            </w:pPr>
            <w:r>
              <w:rPr>
                <w:rFonts w:ascii="Arial" w:cs="Arial" w:eastAsia="Arial" w:hAnsi="Arial"/>
                <w:sz w:val="16"/>
                <w:szCs w:val="16"/>
                <w:color w:val="auto"/>
              </w:rPr>
              <w:t>7,500</w:t>
            </w:r>
          </w:p>
        </w:tc>
      </w:tr>
      <w:tr>
        <w:trPr>
          <w:trHeight w:val="28"/>
        </w:trPr>
        <w:tc>
          <w:tcPr>
            <w:tcW w:w="65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15"/>
        </w:trPr>
        <w:tc>
          <w:tcPr>
            <w:tcW w:w="6540" w:type="dxa"/>
            <w:vAlign w:val="bottom"/>
            <w:shd w:val="clear" w:color="auto" w:fill="DBDBDB"/>
          </w:tcPr>
          <w:p>
            <w:pPr>
              <w:ind w:left="200"/>
              <w:spacing w:after="0"/>
              <w:rPr>
                <w:sz w:val="20"/>
                <w:szCs w:val="20"/>
                <w:color w:val="auto"/>
              </w:rPr>
            </w:pPr>
            <w:r>
              <w:rPr>
                <w:rFonts w:ascii="Arial" w:cs="Arial" w:eastAsia="Arial" w:hAnsi="Arial"/>
                <w:sz w:val="16"/>
                <w:szCs w:val="16"/>
                <w:color w:val="auto"/>
              </w:rPr>
              <w:t>Finance Committee Chair</w:t>
            </w: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7,500</w:t>
            </w:r>
          </w:p>
        </w:tc>
      </w:tr>
      <w:tr>
        <w:trPr>
          <w:trHeight w:val="28"/>
        </w:trPr>
        <w:tc>
          <w:tcPr>
            <w:tcW w:w="6540" w:type="dxa"/>
            <w:vAlign w:val="bottom"/>
            <w:shd w:val="clear" w:color="auto" w:fill="DBDBDB"/>
          </w:tcPr>
          <w:p>
            <w:pPr>
              <w:spacing w:after="0"/>
              <w:rPr>
                <w:sz w:val="2"/>
                <w:szCs w:val="2"/>
                <w:color w:val="auto"/>
              </w:rPr>
            </w:pPr>
          </w:p>
        </w:tc>
        <w:tc>
          <w:tcPr>
            <w:tcW w:w="156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4" w:right="39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color w:val="auto"/>
        </w:rPr>
        <w:t>The following summarizes our non-employee director compensation program: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Element</w:t>
            </w:r>
          </w:p>
        </w:tc>
        <w:tc>
          <w:tcPr>
            <w:tcW w:w="9120" w:type="dxa"/>
            <w:vAlign w:val="bottom"/>
            <w:shd w:val="clear" w:color="auto" w:fill="BF2115"/>
          </w:tcPr>
          <w:p>
            <w:pPr>
              <w:ind w:left="3900"/>
              <w:spacing w:after="0"/>
              <w:rPr>
                <w:sz w:val="20"/>
                <w:szCs w:val="20"/>
                <w:color w:val="auto"/>
              </w:rPr>
            </w:pPr>
            <w:r>
              <w:rPr>
                <w:rFonts w:ascii="Arial" w:cs="Arial" w:eastAsia="Arial" w:hAnsi="Arial"/>
                <w:sz w:val="14"/>
                <w:szCs w:val="14"/>
                <w:b w:val="1"/>
                <w:bCs w:val="1"/>
                <w:color w:val="FFFFFF"/>
              </w:rPr>
              <w:t>Key Characteristics</w:t>
            </w:r>
          </w:p>
        </w:tc>
      </w:tr>
      <w:tr>
        <w:trPr>
          <w:trHeight w:val="222"/>
        </w:trPr>
        <w:tc>
          <w:tcPr>
            <w:tcW w:w="1900" w:type="dxa"/>
            <w:vAlign w:val="bottom"/>
          </w:tcPr>
          <w:p>
            <w:pPr>
              <w:ind w:left="20"/>
              <w:spacing w:after="0"/>
              <w:rPr>
                <w:sz w:val="20"/>
                <w:szCs w:val="20"/>
                <w:color w:val="auto"/>
              </w:rPr>
            </w:pPr>
            <w:r>
              <w:rPr>
                <w:rFonts w:ascii="Arial" w:cs="Arial" w:eastAsia="Arial" w:hAnsi="Arial"/>
                <w:sz w:val="16"/>
                <w:szCs w:val="16"/>
                <w:color w:val="auto"/>
              </w:rPr>
              <w:t>Annual Retainers</w:t>
            </w:r>
          </w:p>
        </w:tc>
        <w:tc>
          <w:tcPr>
            <w:tcW w:w="9120" w:type="dxa"/>
            <w:vAlign w:val="bottom"/>
          </w:tcPr>
          <w:p>
            <w:pPr>
              <w:ind w:left="80"/>
              <w:spacing w:after="0"/>
              <w:rPr>
                <w:sz w:val="20"/>
                <w:szCs w:val="20"/>
                <w:color w:val="auto"/>
              </w:rPr>
            </w:pPr>
            <w:r>
              <w:rPr>
                <w:rFonts w:ascii="Arial" w:cs="Arial" w:eastAsia="Arial" w:hAnsi="Arial"/>
                <w:sz w:val="16"/>
                <w:szCs w:val="16"/>
                <w:color w:val="auto"/>
              </w:rPr>
              <w:t>Paid quarterly for service on the Board, committees, committee chairs and Lead Independent Director.</w:t>
            </w:r>
          </w:p>
        </w:tc>
      </w:tr>
      <w:tr>
        <w:trPr>
          <w:trHeight w:val="182"/>
        </w:trPr>
        <w:tc>
          <w:tcPr>
            <w:tcW w:w="1900" w:type="dxa"/>
            <w:vAlign w:val="bottom"/>
            <w:shd w:val="clear" w:color="auto" w:fill="DBDBDB"/>
          </w:tcPr>
          <w:p>
            <w:pPr>
              <w:ind w:left="20"/>
              <w:spacing w:after="0" w:line="182" w:lineRule="exact"/>
              <w:rPr>
                <w:sz w:val="20"/>
                <w:szCs w:val="20"/>
                <w:color w:val="auto"/>
              </w:rPr>
            </w:pPr>
            <w:r>
              <w:rPr>
                <w:rFonts w:ascii="Arial" w:cs="Arial" w:eastAsia="Arial" w:hAnsi="Arial"/>
                <w:sz w:val="16"/>
                <w:szCs w:val="16"/>
                <w:color w:val="auto"/>
              </w:rPr>
              <w:t>Stock Awards</w:t>
            </w:r>
          </w:p>
        </w:tc>
        <w:tc>
          <w:tcPr>
            <w:tcW w:w="9120" w:type="dxa"/>
            <w:vAlign w:val="bottom"/>
            <w:shd w:val="clear" w:color="auto" w:fill="DBDBDB"/>
          </w:tcPr>
          <w:p>
            <w:pPr>
              <w:ind w:left="80"/>
              <w:spacing w:after="0" w:line="182" w:lineRule="exact"/>
              <w:rPr>
                <w:sz w:val="20"/>
                <w:szCs w:val="20"/>
                <w:color w:val="auto"/>
              </w:rPr>
            </w:pPr>
            <w:r>
              <w:rPr>
                <w:rFonts w:ascii="Arial" w:cs="Arial" w:eastAsia="Arial" w:hAnsi="Arial"/>
                <w:sz w:val="16"/>
                <w:szCs w:val="16"/>
                <w:color w:val="auto"/>
              </w:rPr>
              <w:t>On the first business day of our fiscal year, a stock award is automatically granted under our then current shareholder-</w:t>
            </w:r>
          </w:p>
        </w:tc>
      </w:tr>
      <w:tr>
        <w:trPr>
          <w:trHeight w:val="189"/>
        </w:trPr>
        <w:tc>
          <w:tcPr>
            <w:tcW w:w="1900" w:type="dxa"/>
            <w:vAlign w:val="bottom"/>
            <w:shd w:val="clear" w:color="auto" w:fill="DBDBDB"/>
          </w:tcPr>
          <w:p>
            <w:pPr>
              <w:spacing w:after="0"/>
              <w:rPr>
                <w:sz w:val="16"/>
                <w:szCs w:val="16"/>
                <w:color w:val="auto"/>
              </w:rPr>
            </w:pPr>
          </w:p>
        </w:tc>
        <w:tc>
          <w:tcPr>
            <w:tcW w:w="9120" w:type="dxa"/>
            <w:vAlign w:val="bottom"/>
            <w:shd w:val="clear" w:color="auto" w:fill="DBDBDB"/>
          </w:tcPr>
          <w:p>
            <w:pPr>
              <w:ind w:left="80"/>
              <w:spacing w:after="0"/>
              <w:rPr>
                <w:sz w:val="20"/>
                <w:szCs w:val="20"/>
                <w:color w:val="auto"/>
              </w:rPr>
            </w:pPr>
            <w:r>
              <w:rPr>
                <w:rFonts w:ascii="Arial" w:cs="Arial" w:eastAsia="Arial" w:hAnsi="Arial"/>
                <w:sz w:val="16"/>
                <w:szCs w:val="16"/>
                <w:color w:val="auto"/>
              </w:rPr>
              <w:t>approved plan. The number of shares is determined by dividing the stock award value by the average of the closing prices of</w:t>
            </w:r>
          </w:p>
        </w:tc>
      </w:tr>
      <w:tr>
        <w:trPr>
          <w:trHeight w:val="224"/>
        </w:trPr>
        <w:tc>
          <w:tcPr>
            <w:tcW w:w="1900" w:type="dxa"/>
            <w:vAlign w:val="bottom"/>
            <w:tcBorders>
              <w:bottom w:val="single" w:sz="8" w:color="DBDBDB"/>
            </w:tcBorders>
            <w:shd w:val="clear" w:color="auto" w:fill="DBDBDB"/>
          </w:tcPr>
          <w:p>
            <w:pPr>
              <w:spacing w:after="0"/>
              <w:rPr>
                <w:sz w:val="19"/>
                <w:szCs w:val="19"/>
                <w:color w:val="auto"/>
              </w:rPr>
            </w:pPr>
          </w:p>
        </w:tc>
        <w:tc>
          <w:tcPr>
            <w:tcW w:w="912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6"/>
                <w:szCs w:val="16"/>
                <w:color w:val="auto"/>
              </w:rPr>
              <w:t>our common stock during the three months prior to the grant. The shares are fully vested at the time of grant.</w:t>
            </w:r>
          </w:p>
        </w:tc>
      </w:tr>
      <w:tr>
        <w:trPr>
          <w:trHeight w:val="175"/>
        </w:trPr>
        <w:tc>
          <w:tcPr>
            <w:tcW w:w="1900" w:type="dxa"/>
            <w:vAlign w:val="bottom"/>
          </w:tcPr>
          <w:p>
            <w:pPr>
              <w:ind w:left="20"/>
              <w:spacing w:after="0" w:line="175" w:lineRule="exact"/>
              <w:rPr>
                <w:sz w:val="20"/>
                <w:szCs w:val="20"/>
                <w:color w:val="auto"/>
              </w:rPr>
            </w:pPr>
            <w:r>
              <w:rPr>
                <w:rFonts w:ascii="Arial" w:cs="Arial" w:eastAsia="Arial" w:hAnsi="Arial"/>
                <w:sz w:val="16"/>
                <w:szCs w:val="16"/>
                <w:color w:val="auto"/>
              </w:rPr>
              <w:t>Stock Option Awards</w:t>
            </w:r>
          </w:p>
        </w:tc>
        <w:tc>
          <w:tcPr>
            <w:tcW w:w="9120" w:type="dxa"/>
            <w:vAlign w:val="bottom"/>
          </w:tcPr>
          <w:p>
            <w:pPr>
              <w:ind w:left="80"/>
              <w:spacing w:after="0" w:line="175" w:lineRule="exact"/>
              <w:rPr>
                <w:sz w:val="20"/>
                <w:szCs w:val="20"/>
                <w:color w:val="auto"/>
              </w:rPr>
            </w:pPr>
            <w:r>
              <w:rPr>
                <w:rFonts w:ascii="Arial" w:cs="Arial" w:eastAsia="Arial" w:hAnsi="Arial"/>
                <w:sz w:val="16"/>
                <w:szCs w:val="16"/>
                <w:color w:val="auto"/>
              </w:rPr>
              <w:t>On the first business day of our fiscal year, a stock option to purchase shares of our common stock is automatically granted</w:t>
            </w:r>
          </w:p>
        </w:tc>
      </w:tr>
      <w:tr>
        <w:trPr>
          <w:trHeight w:val="176"/>
        </w:trPr>
        <w:tc>
          <w:tcPr>
            <w:tcW w:w="1900" w:type="dxa"/>
            <w:vAlign w:val="bottom"/>
          </w:tcPr>
          <w:p>
            <w:pPr>
              <w:spacing w:after="0"/>
              <w:rPr>
                <w:sz w:val="15"/>
                <w:szCs w:val="15"/>
                <w:color w:val="auto"/>
              </w:rPr>
            </w:pPr>
          </w:p>
        </w:tc>
        <w:tc>
          <w:tcPr>
            <w:tcW w:w="9120" w:type="dxa"/>
            <w:vAlign w:val="bottom"/>
          </w:tcPr>
          <w:p>
            <w:pPr>
              <w:ind w:left="80"/>
              <w:spacing w:after="0" w:line="175" w:lineRule="exact"/>
              <w:rPr>
                <w:sz w:val="20"/>
                <w:szCs w:val="20"/>
                <w:color w:val="auto"/>
              </w:rPr>
            </w:pPr>
            <w:r>
              <w:rPr>
                <w:rFonts w:ascii="Arial" w:cs="Arial" w:eastAsia="Arial" w:hAnsi="Arial"/>
                <w:sz w:val="16"/>
                <w:szCs w:val="16"/>
                <w:color w:val="auto"/>
              </w:rPr>
              <w:t>under our then current shareholder-approved plan. The number of stock options is determined by dividing the stock option</w:t>
            </w:r>
          </w:p>
        </w:tc>
      </w:tr>
      <w:tr>
        <w:trPr>
          <w:trHeight w:val="176"/>
        </w:trPr>
        <w:tc>
          <w:tcPr>
            <w:tcW w:w="1900" w:type="dxa"/>
            <w:vAlign w:val="bottom"/>
          </w:tcPr>
          <w:p>
            <w:pPr>
              <w:spacing w:after="0"/>
              <w:rPr>
                <w:sz w:val="15"/>
                <w:szCs w:val="15"/>
                <w:color w:val="auto"/>
              </w:rPr>
            </w:pPr>
          </w:p>
        </w:tc>
        <w:tc>
          <w:tcPr>
            <w:tcW w:w="9120" w:type="dxa"/>
            <w:vAlign w:val="bottom"/>
          </w:tcPr>
          <w:p>
            <w:pPr>
              <w:ind w:left="80"/>
              <w:spacing w:after="0" w:line="175" w:lineRule="exact"/>
              <w:rPr>
                <w:sz w:val="20"/>
                <w:szCs w:val="20"/>
                <w:color w:val="auto"/>
              </w:rPr>
            </w:pPr>
            <w:r>
              <w:rPr>
                <w:rFonts w:ascii="Arial" w:cs="Arial" w:eastAsia="Arial" w:hAnsi="Arial"/>
                <w:sz w:val="16"/>
                <w:szCs w:val="16"/>
                <w:color w:val="auto"/>
              </w:rPr>
              <w:t>award value by the grant date fair value of a stock option to purchase one share of our common stock. See below for</w:t>
            </w:r>
          </w:p>
        </w:tc>
      </w:tr>
      <w:tr>
        <w:trPr>
          <w:trHeight w:val="215"/>
        </w:trPr>
        <w:tc>
          <w:tcPr>
            <w:tcW w:w="1900" w:type="dxa"/>
            <w:vAlign w:val="bottom"/>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auto"/>
              </w:rPr>
              <w:t>additional information regarding vesting of stock option grants.</w:t>
            </w:r>
          </w:p>
        </w:tc>
      </w:tr>
      <w:tr>
        <w:trPr>
          <w:trHeight w:val="29"/>
        </w:trPr>
        <w:tc>
          <w:tcPr>
            <w:tcW w:w="190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175"/>
        </w:trPr>
        <w:tc>
          <w:tcPr>
            <w:tcW w:w="190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Common Stock In Lieu of</w:t>
            </w:r>
          </w:p>
        </w:tc>
        <w:tc>
          <w:tcPr>
            <w:tcW w:w="9120" w:type="dxa"/>
            <w:vAlign w:val="bottom"/>
            <w:shd w:val="clear" w:color="auto" w:fill="DBDBDB"/>
          </w:tcPr>
          <w:p>
            <w:pPr>
              <w:ind w:left="80"/>
              <w:spacing w:after="0" w:line="175" w:lineRule="exact"/>
              <w:rPr>
                <w:sz w:val="20"/>
                <w:szCs w:val="20"/>
                <w:color w:val="auto"/>
              </w:rPr>
            </w:pPr>
            <w:r>
              <w:rPr>
                <w:rFonts w:ascii="Arial" w:cs="Arial" w:eastAsia="Arial" w:hAnsi="Arial"/>
                <w:sz w:val="16"/>
                <w:szCs w:val="16"/>
                <w:color w:val="auto"/>
              </w:rPr>
              <w:t>Non-employee directors may elect to convert a portion or all of their calendar year annual retainers otherwise payable in cash</w:t>
            </w:r>
          </w:p>
        </w:tc>
      </w:tr>
      <w:tr>
        <w:trPr>
          <w:trHeight w:val="176"/>
        </w:trPr>
        <w:tc>
          <w:tcPr>
            <w:tcW w:w="190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Annual Retainers</w:t>
            </w:r>
          </w:p>
        </w:tc>
        <w:tc>
          <w:tcPr>
            <w:tcW w:w="9120" w:type="dxa"/>
            <w:vAlign w:val="bottom"/>
            <w:shd w:val="clear" w:color="auto" w:fill="DBDBDB"/>
          </w:tcPr>
          <w:p>
            <w:pPr>
              <w:ind w:left="80"/>
              <w:spacing w:after="0" w:line="175" w:lineRule="exact"/>
              <w:rPr>
                <w:sz w:val="20"/>
                <w:szCs w:val="20"/>
                <w:color w:val="auto"/>
              </w:rPr>
            </w:pPr>
            <w:r>
              <w:rPr>
                <w:rFonts w:ascii="Arial" w:cs="Arial" w:eastAsia="Arial" w:hAnsi="Arial"/>
                <w:sz w:val="16"/>
                <w:szCs w:val="16"/>
                <w:color w:val="auto"/>
              </w:rPr>
              <w:t>into shares of our common stock. Retainers earned after the date a director makes such election for a calendar year are</w:t>
            </w:r>
          </w:p>
        </w:tc>
      </w:tr>
      <w:tr>
        <w:trPr>
          <w:trHeight w:val="175"/>
        </w:trPr>
        <w:tc>
          <w:tcPr>
            <w:tcW w:w="1900" w:type="dxa"/>
            <w:vAlign w:val="bottom"/>
            <w:shd w:val="clear" w:color="auto" w:fill="DBDBDB"/>
          </w:tcPr>
          <w:p>
            <w:pPr>
              <w:spacing w:after="0"/>
              <w:rPr>
                <w:sz w:val="15"/>
                <w:szCs w:val="15"/>
                <w:color w:val="auto"/>
              </w:rPr>
            </w:pPr>
          </w:p>
        </w:tc>
        <w:tc>
          <w:tcPr>
            <w:tcW w:w="9120" w:type="dxa"/>
            <w:vAlign w:val="bottom"/>
            <w:shd w:val="clear" w:color="auto" w:fill="DBDBDB"/>
          </w:tcPr>
          <w:p>
            <w:pPr>
              <w:ind w:left="80"/>
              <w:spacing w:after="0" w:line="175" w:lineRule="exact"/>
              <w:rPr>
                <w:sz w:val="20"/>
                <w:szCs w:val="20"/>
                <w:color w:val="auto"/>
              </w:rPr>
            </w:pPr>
            <w:r>
              <w:rPr>
                <w:rFonts w:ascii="Arial" w:cs="Arial" w:eastAsia="Arial" w:hAnsi="Arial"/>
                <w:sz w:val="16"/>
                <w:szCs w:val="16"/>
                <w:color w:val="auto"/>
              </w:rPr>
              <w:t>issued in shares of our common stock in December of that year, the number of which is determined by dividing the dollar</w:t>
            </w:r>
          </w:p>
        </w:tc>
      </w:tr>
      <w:tr>
        <w:trPr>
          <w:trHeight w:val="176"/>
        </w:trPr>
        <w:tc>
          <w:tcPr>
            <w:tcW w:w="1900" w:type="dxa"/>
            <w:vAlign w:val="bottom"/>
            <w:shd w:val="clear" w:color="auto" w:fill="DBDBDB"/>
          </w:tcPr>
          <w:p>
            <w:pPr>
              <w:spacing w:after="0"/>
              <w:rPr>
                <w:sz w:val="15"/>
                <w:szCs w:val="15"/>
                <w:color w:val="auto"/>
              </w:rPr>
            </w:pPr>
          </w:p>
        </w:tc>
        <w:tc>
          <w:tcPr>
            <w:tcW w:w="9120" w:type="dxa"/>
            <w:vAlign w:val="bottom"/>
            <w:shd w:val="clear" w:color="auto" w:fill="DBDBDB"/>
          </w:tcPr>
          <w:p>
            <w:pPr>
              <w:ind w:left="80"/>
              <w:spacing w:after="0" w:line="175" w:lineRule="exact"/>
              <w:rPr>
                <w:sz w:val="20"/>
                <w:szCs w:val="20"/>
                <w:color w:val="auto"/>
              </w:rPr>
            </w:pPr>
            <w:r>
              <w:rPr>
                <w:rFonts w:ascii="Arial" w:cs="Arial" w:eastAsia="Arial" w:hAnsi="Arial"/>
                <w:sz w:val="16"/>
                <w:szCs w:val="16"/>
                <w:color w:val="auto"/>
              </w:rPr>
              <w:t>amount of the retainers earned in the calendar year and elected to be converted into shares of our common stock by the</w:t>
            </w:r>
          </w:p>
        </w:tc>
      </w:tr>
      <w:tr>
        <w:trPr>
          <w:trHeight w:val="224"/>
        </w:trPr>
        <w:tc>
          <w:tcPr>
            <w:tcW w:w="1900" w:type="dxa"/>
            <w:vAlign w:val="bottom"/>
            <w:tcBorders>
              <w:bottom w:val="single" w:sz="8" w:color="DBDBDB"/>
            </w:tcBorders>
            <w:shd w:val="clear" w:color="auto" w:fill="DBDBDB"/>
          </w:tcPr>
          <w:p>
            <w:pPr>
              <w:spacing w:after="0"/>
              <w:rPr>
                <w:sz w:val="19"/>
                <w:szCs w:val="19"/>
                <w:color w:val="auto"/>
              </w:rPr>
            </w:pPr>
          </w:p>
        </w:tc>
        <w:tc>
          <w:tcPr>
            <w:tcW w:w="912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6"/>
                <w:szCs w:val="16"/>
                <w:color w:val="auto"/>
              </w:rPr>
              <w:t>closing price of our common stock on the date that the shares are issued.</w:t>
            </w:r>
          </w:p>
        </w:tc>
      </w:tr>
      <w:tr>
        <w:trPr>
          <w:trHeight w:val="175"/>
        </w:trPr>
        <w:tc>
          <w:tcPr>
            <w:tcW w:w="1900" w:type="dxa"/>
            <w:vAlign w:val="bottom"/>
          </w:tcPr>
          <w:p>
            <w:pPr>
              <w:ind w:left="20"/>
              <w:spacing w:after="0" w:line="175" w:lineRule="exact"/>
              <w:rPr>
                <w:sz w:val="20"/>
                <w:szCs w:val="20"/>
                <w:color w:val="auto"/>
              </w:rPr>
            </w:pPr>
            <w:r>
              <w:rPr>
                <w:rFonts w:ascii="Arial" w:cs="Arial" w:eastAsia="Arial" w:hAnsi="Arial"/>
                <w:sz w:val="16"/>
                <w:szCs w:val="16"/>
                <w:color w:val="auto"/>
              </w:rPr>
              <w:t>Deferred Compensation</w:t>
            </w:r>
          </w:p>
        </w:tc>
        <w:tc>
          <w:tcPr>
            <w:tcW w:w="9120" w:type="dxa"/>
            <w:vAlign w:val="bottom"/>
          </w:tcPr>
          <w:p>
            <w:pPr>
              <w:ind w:left="80"/>
              <w:spacing w:after="0" w:line="175" w:lineRule="exact"/>
              <w:rPr>
                <w:sz w:val="20"/>
                <w:szCs w:val="20"/>
                <w:color w:val="auto"/>
              </w:rPr>
            </w:pPr>
            <w:r>
              <w:rPr>
                <w:rFonts w:ascii="Arial" w:cs="Arial" w:eastAsia="Arial" w:hAnsi="Arial"/>
                <w:sz w:val="16"/>
                <w:szCs w:val="16"/>
                <w:color w:val="auto"/>
              </w:rPr>
              <w:t>Non-employee directors may elect to defer receipt of all or a part of his or her stock award and/or cash compensation on a</w:t>
            </w:r>
          </w:p>
        </w:tc>
      </w:tr>
      <w:tr>
        <w:trPr>
          <w:trHeight w:val="175"/>
        </w:trPr>
        <w:tc>
          <w:tcPr>
            <w:tcW w:w="1900" w:type="dxa"/>
            <w:vAlign w:val="bottom"/>
          </w:tcPr>
          <w:p>
            <w:pPr>
              <w:ind w:left="20"/>
              <w:spacing w:after="0" w:line="175" w:lineRule="exact"/>
              <w:rPr>
                <w:sz w:val="20"/>
                <w:szCs w:val="20"/>
                <w:color w:val="auto"/>
              </w:rPr>
            </w:pPr>
            <w:r>
              <w:rPr>
                <w:rFonts w:ascii="Arial" w:cs="Arial" w:eastAsia="Arial" w:hAnsi="Arial"/>
                <w:sz w:val="16"/>
                <w:szCs w:val="16"/>
                <w:color w:val="auto"/>
              </w:rPr>
              <w:t>Plan</w:t>
            </w:r>
          </w:p>
        </w:tc>
        <w:tc>
          <w:tcPr>
            <w:tcW w:w="9120" w:type="dxa"/>
            <w:vAlign w:val="bottom"/>
          </w:tcPr>
          <w:p>
            <w:pPr>
              <w:ind w:left="80"/>
              <w:spacing w:after="0" w:line="175" w:lineRule="exact"/>
              <w:rPr>
                <w:sz w:val="20"/>
                <w:szCs w:val="20"/>
                <w:color w:val="auto"/>
              </w:rPr>
            </w:pPr>
            <w:r>
              <w:rPr>
                <w:rFonts w:ascii="Arial" w:cs="Arial" w:eastAsia="Arial" w:hAnsi="Arial"/>
                <w:sz w:val="16"/>
                <w:szCs w:val="16"/>
                <w:color w:val="auto"/>
              </w:rPr>
              <w:t>calendar year basis under The Toro Company Deferred Compensation Plan for Non-Employee Directors, or the Deferred Plan</w:t>
            </w:r>
          </w:p>
        </w:tc>
      </w:tr>
      <w:tr>
        <w:trPr>
          <w:trHeight w:val="176"/>
        </w:trPr>
        <w:tc>
          <w:tcPr>
            <w:tcW w:w="1900" w:type="dxa"/>
            <w:vAlign w:val="bottom"/>
          </w:tcPr>
          <w:p>
            <w:pPr>
              <w:spacing w:after="0"/>
              <w:rPr>
                <w:sz w:val="15"/>
                <w:szCs w:val="15"/>
                <w:color w:val="auto"/>
              </w:rPr>
            </w:pPr>
          </w:p>
        </w:tc>
        <w:tc>
          <w:tcPr>
            <w:tcW w:w="9120" w:type="dxa"/>
            <w:vAlign w:val="bottom"/>
          </w:tcPr>
          <w:p>
            <w:pPr>
              <w:ind w:left="80"/>
              <w:spacing w:after="0" w:line="175" w:lineRule="exact"/>
              <w:rPr>
                <w:sz w:val="20"/>
                <w:szCs w:val="20"/>
                <w:color w:val="auto"/>
              </w:rPr>
            </w:pPr>
            <w:r>
              <w:rPr>
                <w:rFonts w:ascii="Arial" w:cs="Arial" w:eastAsia="Arial" w:hAnsi="Arial"/>
                <w:sz w:val="16"/>
                <w:szCs w:val="16"/>
                <w:color w:val="auto"/>
              </w:rPr>
              <w:t>for Directors. Because the value of a director's deferred compensation account fluctuates, as applicable, based on the market</w:t>
            </w:r>
          </w:p>
        </w:tc>
      </w:tr>
      <w:tr>
        <w:trPr>
          <w:trHeight w:val="175"/>
        </w:trPr>
        <w:tc>
          <w:tcPr>
            <w:tcW w:w="1900" w:type="dxa"/>
            <w:vAlign w:val="bottom"/>
          </w:tcPr>
          <w:p>
            <w:pPr>
              <w:spacing w:after="0"/>
              <w:rPr>
                <w:sz w:val="15"/>
                <w:szCs w:val="15"/>
                <w:color w:val="auto"/>
              </w:rPr>
            </w:pPr>
          </w:p>
        </w:tc>
        <w:tc>
          <w:tcPr>
            <w:tcW w:w="9120" w:type="dxa"/>
            <w:vAlign w:val="bottom"/>
          </w:tcPr>
          <w:p>
            <w:pPr>
              <w:ind w:left="80"/>
              <w:spacing w:after="0" w:line="175" w:lineRule="exact"/>
              <w:rPr>
                <w:sz w:val="20"/>
                <w:szCs w:val="20"/>
                <w:color w:val="auto"/>
              </w:rPr>
            </w:pPr>
            <w:r>
              <w:rPr>
                <w:rFonts w:ascii="Arial" w:cs="Arial" w:eastAsia="Arial" w:hAnsi="Arial"/>
                <w:sz w:val="16"/>
                <w:szCs w:val="16"/>
                <w:color w:val="auto"/>
              </w:rPr>
              <w:t>value of our common stock or based on a rate of return on funds that are comparable to funds available in The Toro Company</w:t>
            </w:r>
          </w:p>
        </w:tc>
      </w:tr>
      <w:tr>
        <w:trPr>
          <w:trHeight w:val="189"/>
        </w:trPr>
        <w:tc>
          <w:tcPr>
            <w:tcW w:w="190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auto"/>
              </w:rPr>
              <w:t>Retirement Plan, or Retirement Plan, earnings on deferred compensation are not preferential. Dividends paid on our common</w:t>
            </w:r>
          </w:p>
        </w:tc>
      </w:tr>
      <w:tr>
        <w:trPr>
          <w:trHeight w:val="176"/>
        </w:trPr>
        <w:tc>
          <w:tcPr>
            <w:tcW w:w="1900" w:type="dxa"/>
            <w:vAlign w:val="bottom"/>
          </w:tcPr>
          <w:p>
            <w:pPr>
              <w:spacing w:after="0"/>
              <w:rPr>
                <w:sz w:val="15"/>
                <w:szCs w:val="15"/>
                <w:color w:val="auto"/>
              </w:rPr>
            </w:pPr>
          </w:p>
        </w:tc>
        <w:tc>
          <w:tcPr>
            <w:tcW w:w="9120" w:type="dxa"/>
            <w:vAlign w:val="bottom"/>
          </w:tcPr>
          <w:p>
            <w:pPr>
              <w:ind w:left="80"/>
              <w:spacing w:after="0" w:line="175" w:lineRule="exact"/>
              <w:rPr>
                <w:sz w:val="20"/>
                <w:szCs w:val="20"/>
                <w:color w:val="auto"/>
              </w:rPr>
            </w:pPr>
            <w:r>
              <w:rPr>
                <w:rFonts w:ascii="Arial" w:cs="Arial" w:eastAsia="Arial" w:hAnsi="Arial"/>
                <w:sz w:val="16"/>
                <w:szCs w:val="16"/>
                <w:color w:val="auto"/>
              </w:rPr>
              <w:t>stock are credited to a director's account as additional common stock units. A director is fully vested in his or her deferred</w:t>
            </w:r>
          </w:p>
        </w:tc>
      </w:tr>
      <w:tr>
        <w:trPr>
          <w:trHeight w:val="175"/>
        </w:trPr>
        <w:tc>
          <w:tcPr>
            <w:tcW w:w="1900" w:type="dxa"/>
            <w:vAlign w:val="bottom"/>
          </w:tcPr>
          <w:p>
            <w:pPr>
              <w:spacing w:after="0"/>
              <w:rPr>
                <w:sz w:val="15"/>
                <w:szCs w:val="15"/>
                <w:color w:val="auto"/>
              </w:rPr>
            </w:pPr>
          </w:p>
        </w:tc>
        <w:tc>
          <w:tcPr>
            <w:tcW w:w="9120" w:type="dxa"/>
            <w:vAlign w:val="bottom"/>
          </w:tcPr>
          <w:p>
            <w:pPr>
              <w:ind w:left="80"/>
              <w:spacing w:after="0" w:line="175" w:lineRule="exact"/>
              <w:rPr>
                <w:sz w:val="20"/>
                <w:szCs w:val="20"/>
                <w:color w:val="auto"/>
              </w:rPr>
            </w:pPr>
            <w:r>
              <w:rPr>
                <w:rFonts w:ascii="Arial" w:cs="Arial" w:eastAsia="Arial" w:hAnsi="Arial"/>
                <w:sz w:val="16"/>
                <w:szCs w:val="16"/>
                <w:color w:val="auto"/>
              </w:rPr>
              <w:t>compensation account. Distributions under the Deferred Plan for Directors are payable in accordance with the director</w:t>
            </w:r>
          </w:p>
        </w:tc>
      </w:tr>
      <w:tr>
        <w:trPr>
          <w:trHeight w:val="176"/>
        </w:trPr>
        <w:tc>
          <w:tcPr>
            <w:tcW w:w="1900" w:type="dxa"/>
            <w:vAlign w:val="bottom"/>
          </w:tcPr>
          <w:p>
            <w:pPr>
              <w:spacing w:after="0"/>
              <w:rPr>
                <w:sz w:val="15"/>
                <w:szCs w:val="15"/>
                <w:color w:val="auto"/>
              </w:rPr>
            </w:pPr>
          </w:p>
        </w:tc>
        <w:tc>
          <w:tcPr>
            <w:tcW w:w="9120" w:type="dxa"/>
            <w:vAlign w:val="bottom"/>
          </w:tcPr>
          <w:p>
            <w:pPr>
              <w:ind w:left="80"/>
              <w:spacing w:after="0" w:line="175" w:lineRule="exact"/>
              <w:rPr>
                <w:sz w:val="20"/>
                <w:szCs w:val="20"/>
                <w:color w:val="auto"/>
              </w:rPr>
            </w:pPr>
            <w:r>
              <w:rPr>
                <w:rFonts w:ascii="Arial" w:cs="Arial" w:eastAsia="Arial" w:hAnsi="Arial"/>
                <w:sz w:val="16"/>
                <w:szCs w:val="16"/>
                <w:color w:val="auto"/>
              </w:rPr>
              <w:t>participant's prior distribution elections upon the earliest of retirement, prior to retirement if a valid election has been made or</w:t>
            </w:r>
          </w:p>
        </w:tc>
      </w:tr>
      <w:tr>
        <w:trPr>
          <w:trHeight w:val="215"/>
        </w:trPr>
        <w:tc>
          <w:tcPr>
            <w:tcW w:w="1900" w:type="dxa"/>
            <w:vAlign w:val="bottom"/>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auto"/>
              </w:rPr>
              <w:t>in an unforeseeable financial emergency.</w:t>
            </w:r>
          </w:p>
        </w:tc>
      </w:tr>
      <w:tr>
        <w:trPr>
          <w:trHeight w:val="29"/>
        </w:trPr>
        <w:tc>
          <w:tcPr>
            <w:tcW w:w="190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175"/>
        </w:trPr>
        <w:tc>
          <w:tcPr>
            <w:tcW w:w="190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Company Products</w:t>
            </w:r>
          </w:p>
        </w:tc>
        <w:tc>
          <w:tcPr>
            <w:tcW w:w="9120" w:type="dxa"/>
            <w:vAlign w:val="bottom"/>
            <w:shd w:val="clear" w:color="auto" w:fill="DBDBDB"/>
          </w:tcPr>
          <w:p>
            <w:pPr>
              <w:ind w:left="80"/>
              <w:spacing w:after="0" w:line="175" w:lineRule="exact"/>
              <w:rPr>
                <w:sz w:val="20"/>
                <w:szCs w:val="20"/>
                <w:color w:val="auto"/>
              </w:rPr>
            </w:pPr>
            <w:r>
              <w:rPr>
                <w:rFonts w:ascii="Arial" w:cs="Arial" w:eastAsia="Arial" w:hAnsi="Arial"/>
                <w:sz w:val="16"/>
                <w:szCs w:val="16"/>
                <w:color w:val="auto"/>
              </w:rPr>
              <w:t>Each of our non-employee directors is entitled to receive certain Company products and related parts, service and</w:t>
            </w:r>
          </w:p>
        </w:tc>
      </w:tr>
      <w:tr>
        <w:trPr>
          <w:trHeight w:val="176"/>
        </w:trPr>
        <w:tc>
          <w:tcPr>
            <w:tcW w:w="1900" w:type="dxa"/>
            <w:vAlign w:val="bottom"/>
            <w:shd w:val="clear" w:color="auto" w:fill="DBDBDB"/>
          </w:tcPr>
          <w:p>
            <w:pPr>
              <w:spacing w:after="0"/>
              <w:rPr>
                <w:sz w:val="15"/>
                <w:szCs w:val="15"/>
                <w:color w:val="auto"/>
              </w:rPr>
            </w:pPr>
          </w:p>
        </w:tc>
        <w:tc>
          <w:tcPr>
            <w:tcW w:w="9120" w:type="dxa"/>
            <w:vAlign w:val="bottom"/>
            <w:shd w:val="clear" w:color="auto" w:fill="DBDBDB"/>
          </w:tcPr>
          <w:p>
            <w:pPr>
              <w:ind w:left="80"/>
              <w:spacing w:after="0" w:line="175" w:lineRule="exact"/>
              <w:rPr>
                <w:sz w:val="20"/>
                <w:szCs w:val="20"/>
                <w:color w:val="auto"/>
              </w:rPr>
            </w:pPr>
            <w:r>
              <w:rPr>
                <w:rFonts w:ascii="Arial" w:cs="Arial" w:eastAsia="Arial" w:hAnsi="Arial"/>
                <w:sz w:val="16"/>
                <w:szCs w:val="16"/>
                <w:color w:val="auto"/>
              </w:rPr>
              <w:t>accessories for his or her personal use, at no cost; provided, however, that directors are responsible for payment of applicable</w:t>
            </w:r>
          </w:p>
        </w:tc>
      </w:tr>
      <w:tr>
        <w:trPr>
          <w:trHeight w:val="175"/>
        </w:trPr>
        <w:tc>
          <w:tcPr>
            <w:tcW w:w="1900" w:type="dxa"/>
            <w:vAlign w:val="bottom"/>
            <w:shd w:val="clear" w:color="auto" w:fill="DBDBDB"/>
          </w:tcPr>
          <w:p>
            <w:pPr>
              <w:spacing w:after="0"/>
              <w:rPr>
                <w:sz w:val="15"/>
                <w:szCs w:val="15"/>
                <w:color w:val="auto"/>
              </w:rPr>
            </w:pPr>
          </w:p>
        </w:tc>
        <w:tc>
          <w:tcPr>
            <w:tcW w:w="9120" w:type="dxa"/>
            <w:vAlign w:val="bottom"/>
            <w:shd w:val="clear" w:color="auto" w:fill="DBDBDB"/>
          </w:tcPr>
          <w:p>
            <w:pPr>
              <w:ind w:left="80"/>
              <w:spacing w:after="0" w:line="175" w:lineRule="exact"/>
              <w:rPr>
                <w:sz w:val="20"/>
                <w:szCs w:val="20"/>
                <w:color w:val="auto"/>
              </w:rPr>
            </w:pPr>
            <w:r>
              <w:rPr>
                <w:rFonts w:ascii="Arial" w:cs="Arial" w:eastAsia="Arial" w:hAnsi="Arial"/>
                <w:sz w:val="16"/>
                <w:szCs w:val="16"/>
                <w:color w:val="auto"/>
              </w:rPr>
              <w:t>taxes attributable to the value of such items. The value is deemed to be our distributor net price or its equivalent, which is also</w:t>
            </w:r>
          </w:p>
        </w:tc>
      </w:tr>
      <w:tr>
        <w:trPr>
          <w:trHeight w:val="224"/>
        </w:trPr>
        <w:tc>
          <w:tcPr>
            <w:tcW w:w="1900" w:type="dxa"/>
            <w:vAlign w:val="bottom"/>
            <w:tcBorders>
              <w:bottom w:val="single" w:sz="8" w:color="DBDBDB"/>
            </w:tcBorders>
            <w:shd w:val="clear" w:color="auto" w:fill="DBDBDB"/>
          </w:tcPr>
          <w:p>
            <w:pPr>
              <w:spacing w:after="0"/>
              <w:rPr>
                <w:sz w:val="19"/>
                <w:szCs w:val="19"/>
                <w:color w:val="auto"/>
              </w:rPr>
            </w:pPr>
          </w:p>
        </w:tc>
        <w:tc>
          <w:tcPr>
            <w:tcW w:w="912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6"/>
                <w:szCs w:val="16"/>
                <w:color w:val="auto"/>
              </w:rPr>
              <w:t>the price at which such items are generally available to our employees for purchase.</w:t>
            </w:r>
          </w:p>
        </w:tc>
      </w:tr>
      <w:tr>
        <w:trPr>
          <w:trHeight w:val="175"/>
        </w:trPr>
        <w:tc>
          <w:tcPr>
            <w:tcW w:w="1900" w:type="dxa"/>
            <w:vAlign w:val="bottom"/>
          </w:tcPr>
          <w:p>
            <w:pPr>
              <w:ind w:left="20"/>
              <w:spacing w:after="0" w:line="175" w:lineRule="exact"/>
              <w:rPr>
                <w:sz w:val="20"/>
                <w:szCs w:val="20"/>
                <w:color w:val="auto"/>
              </w:rPr>
            </w:pPr>
            <w:r>
              <w:rPr>
                <w:rFonts w:ascii="Arial" w:cs="Arial" w:eastAsia="Arial" w:hAnsi="Arial"/>
                <w:sz w:val="16"/>
                <w:szCs w:val="16"/>
                <w:color w:val="auto"/>
              </w:rPr>
              <w:t>Charitable Giving</w:t>
            </w:r>
          </w:p>
        </w:tc>
        <w:tc>
          <w:tcPr>
            <w:tcW w:w="9120" w:type="dxa"/>
            <w:vAlign w:val="bottom"/>
          </w:tcPr>
          <w:p>
            <w:pPr>
              <w:ind w:left="80"/>
              <w:spacing w:after="0" w:line="175" w:lineRule="exact"/>
              <w:rPr>
                <w:sz w:val="20"/>
                <w:szCs w:val="20"/>
                <w:color w:val="auto"/>
              </w:rPr>
            </w:pPr>
            <w:r>
              <w:rPr>
                <w:rFonts w:ascii="Arial" w:cs="Arial" w:eastAsia="Arial" w:hAnsi="Arial"/>
                <w:sz w:val="16"/>
                <w:szCs w:val="16"/>
                <w:color w:val="auto"/>
              </w:rPr>
              <w:t>We offer a matching gift program for our non-employee directors, similar to the matching gift program offered to our</w:t>
            </w:r>
          </w:p>
        </w:tc>
      </w:tr>
      <w:tr>
        <w:trPr>
          <w:trHeight w:val="175"/>
        </w:trPr>
        <w:tc>
          <w:tcPr>
            <w:tcW w:w="1900" w:type="dxa"/>
            <w:vAlign w:val="bottom"/>
          </w:tcPr>
          <w:p>
            <w:pPr>
              <w:spacing w:after="0"/>
              <w:rPr>
                <w:sz w:val="15"/>
                <w:szCs w:val="15"/>
                <w:color w:val="auto"/>
              </w:rPr>
            </w:pPr>
          </w:p>
        </w:tc>
        <w:tc>
          <w:tcPr>
            <w:tcW w:w="9120" w:type="dxa"/>
            <w:vAlign w:val="bottom"/>
          </w:tcPr>
          <w:p>
            <w:pPr>
              <w:ind w:left="80"/>
              <w:spacing w:after="0" w:line="175" w:lineRule="exact"/>
              <w:rPr>
                <w:sz w:val="20"/>
                <w:szCs w:val="20"/>
                <w:color w:val="auto"/>
              </w:rPr>
            </w:pPr>
            <w:r>
              <w:rPr>
                <w:rFonts w:ascii="Arial" w:cs="Arial" w:eastAsia="Arial" w:hAnsi="Arial"/>
                <w:sz w:val="16"/>
                <w:szCs w:val="16"/>
                <w:color w:val="auto"/>
              </w:rPr>
              <w:t>employees, which provides that a gift or gifts by a director to one or more tax exempt 501(c)(3) charitable organizations</w:t>
            </w:r>
          </w:p>
        </w:tc>
      </w:tr>
      <w:tr>
        <w:trPr>
          <w:trHeight w:val="215"/>
        </w:trPr>
        <w:tc>
          <w:tcPr>
            <w:tcW w:w="1900" w:type="dxa"/>
            <w:vAlign w:val="bottom"/>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auto"/>
              </w:rPr>
              <w:t>located in the United States will be matched by us in an aggregate amount of up to $1,000 per director per year.</w:t>
            </w:r>
          </w:p>
        </w:tc>
      </w:tr>
      <w:tr>
        <w:trPr>
          <w:trHeight w:val="29"/>
        </w:trPr>
        <w:tc>
          <w:tcPr>
            <w:tcW w:w="190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175"/>
        </w:trPr>
        <w:tc>
          <w:tcPr>
            <w:tcW w:w="190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Indemnification and D&amp;O</w:t>
            </w:r>
          </w:p>
        </w:tc>
        <w:tc>
          <w:tcPr>
            <w:tcW w:w="9120" w:type="dxa"/>
            <w:vAlign w:val="bottom"/>
            <w:shd w:val="clear" w:color="auto" w:fill="DBDBDB"/>
          </w:tcPr>
          <w:p>
            <w:pPr>
              <w:ind w:left="80"/>
              <w:spacing w:after="0" w:line="175" w:lineRule="exact"/>
              <w:rPr>
                <w:sz w:val="20"/>
                <w:szCs w:val="20"/>
                <w:color w:val="auto"/>
              </w:rPr>
            </w:pPr>
            <w:r>
              <w:rPr>
                <w:rFonts w:ascii="Arial" w:cs="Arial" w:eastAsia="Arial" w:hAnsi="Arial"/>
                <w:sz w:val="16"/>
                <w:szCs w:val="16"/>
                <w:color w:val="auto"/>
              </w:rPr>
              <w:t>Each non-employee director is a party to an indemnification agreement with us pursuant to which we have agreed to provide</w:t>
            </w:r>
          </w:p>
        </w:tc>
      </w:tr>
      <w:tr>
        <w:trPr>
          <w:trHeight w:val="176"/>
        </w:trPr>
        <w:tc>
          <w:tcPr>
            <w:tcW w:w="190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Insurance</w:t>
            </w:r>
          </w:p>
        </w:tc>
        <w:tc>
          <w:tcPr>
            <w:tcW w:w="9120" w:type="dxa"/>
            <w:vAlign w:val="bottom"/>
            <w:shd w:val="clear" w:color="auto" w:fill="DBDBDB"/>
          </w:tcPr>
          <w:p>
            <w:pPr>
              <w:ind w:left="80"/>
              <w:spacing w:after="0" w:line="175" w:lineRule="exact"/>
              <w:rPr>
                <w:sz w:val="20"/>
                <w:szCs w:val="20"/>
                <w:color w:val="auto"/>
              </w:rPr>
            </w:pPr>
            <w:r>
              <w:rPr>
                <w:rFonts w:ascii="Arial" w:cs="Arial" w:eastAsia="Arial" w:hAnsi="Arial"/>
                <w:sz w:val="16"/>
                <w:szCs w:val="16"/>
                <w:color w:val="auto"/>
              </w:rPr>
              <w:t>indemnification and advancement of expenses to the fullest extent permitted by Delaware law and our Restated Certificate of</w:t>
            </w:r>
          </w:p>
        </w:tc>
      </w:tr>
      <w:tr>
        <w:trPr>
          <w:trHeight w:val="215"/>
        </w:trPr>
        <w:tc>
          <w:tcPr>
            <w:tcW w:w="1900" w:type="dxa"/>
            <w:vAlign w:val="bottom"/>
            <w:shd w:val="clear" w:color="auto" w:fill="DBDBDB"/>
          </w:tcPr>
          <w:p>
            <w:pPr>
              <w:spacing w:after="0"/>
              <w:rPr>
                <w:sz w:val="18"/>
                <w:szCs w:val="18"/>
                <w:color w:val="auto"/>
              </w:rPr>
            </w:pPr>
          </w:p>
        </w:tc>
        <w:tc>
          <w:tcPr>
            <w:tcW w:w="9120" w:type="dxa"/>
            <w:vAlign w:val="bottom"/>
            <w:shd w:val="clear" w:color="auto" w:fill="DBDBDB"/>
          </w:tcPr>
          <w:p>
            <w:pPr>
              <w:ind w:left="80"/>
              <w:spacing w:after="0"/>
              <w:rPr>
                <w:sz w:val="20"/>
                <w:szCs w:val="20"/>
                <w:color w:val="auto"/>
              </w:rPr>
            </w:pPr>
            <w:r>
              <w:rPr>
                <w:rFonts w:ascii="Arial" w:cs="Arial" w:eastAsia="Arial" w:hAnsi="Arial"/>
                <w:sz w:val="16"/>
                <w:szCs w:val="16"/>
                <w:color w:val="auto"/>
              </w:rPr>
              <w:t>Incorporation and continued coverage under our D&amp;O insurance.</w:t>
            </w:r>
          </w:p>
        </w:tc>
      </w:tr>
      <w:tr>
        <w:trPr>
          <w:trHeight w:val="29"/>
        </w:trPr>
        <w:tc>
          <w:tcPr>
            <w:tcW w:w="1900" w:type="dxa"/>
            <w:vAlign w:val="bottom"/>
            <w:shd w:val="clear" w:color="auto" w:fill="DBDBDB"/>
          </w:tcPr>
          <w:p>
            <w:pPr>
              <w:spacing w:after="0"/>
              <w:rPr>
                <w:sz w:val="2"/>
                <w:szCs w:val="2"/>
                <w:color w:val="auto"/>
              </w:rPr>
            </w:pPr>
          </w:p>
        </w:tc>
        <w:tc>
          <w:tcPr>
            <w:tcW w:w="9120" w:type="dxa"/>
            <w:vAlign w:val="bottom"/>
            <w:shd w:val="clear" w:color="auto" w:fill="DBDBDB"/>
          </w:tcPr>
          <w:p>
            <w:pPr>
              <w:spacing w:after="0"/>
              <w:rPr>
                <w:sz w:val="2"/>
                <w:szCs w:val="2"/>
                <w:color w:val="auto"/>
              </w:rPr>
            </w:pPr>
          </w:p>
        </w:tc>
      </w:tr>
    </w:tbl>
    <w:p>
      <w:pPr>
        <w:spacing w:after="0" w:line="157" w:lineRule="exact"/>
        <w:rPr>
          <w:sz w:val="20"/>
          <w:szCs w:val="20"/>
          <w:color w:val="auto"/>
        </w:rPr>
      </w:pPr>
    </w:p>
    <w:p>
      <w:pPr>
        <w:jc w:val="both"/>
        <w:ind w:right="80" w:firstLine="324"/>
        <w:spacing w:after="0" w:line="301" w:lineRule="auto"/>
        <w:rPr>
          <w:sz w:val="20"/>
          <w:szCs w:val="20"/>
          <w:color w:val="auto"/>
        </w:rPr>
      </w:pPr>
      <w:r>
        <w:rPr>
          <w:rFonts w:ascii="Arial" w:cs="Arial" w:eastAsia="Arial" w:hAnsi="Arial"/>
          <w:sz w:val="17"/>
          <w:szCs w:val="17"/>
          <w:b w:val="1"/>
          <w:bCs w:val="1"/>
          <w:i w:val="1"/>
          <w:iCs w:val="1"/>
          <w:color w:val="auto"/>
        </w:rPr>
        <w:t xml:space="preserve">Stock Option Vesting. </w:t>
      </w:r>
      <w:r>
        <w:rPr>
          <w:rFonts w:ascii="Arial" w:cs="Arial" w:eastAsia="Arial" w:hAnsi="Arial"/>
          <w:sz w:val="17"/>
          <w:szCs w:val="17"/>
          <w:color w:val="auto"/>
        </w:rPr>
        <w:t>Except as described below, stock options granted to our non-employee directors vest in three equal installments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each of the first, second and third year anniversaries of the grant date and remain exercisable for a term of ten years after the grant date.</w:t>
      </w:r>
    </w:p>
    <w:p>
      <w:pPr>
        <w:spacing w:after="0" w:line="23" w:lineRule="exact"/>
        <w:rPr>
          <w:sz w:val="20"/>
          <w:szCs w:val="20"/>
          <w:color w:val="auto"/>
        </w:rPr>
      </w:pPr>
    </w:p>
    <w:p>
      <w:pPr>
        <w:ind w:right="100" w:firstLine="324"/>
        <w:spacing w:after="0" w:line="237" w:lineRule="auto"/>
        <w:rPr>
          <w:sz w:val="20"/>
          <w:szCs w:val="20"/>
          <w:color w:val="auto"/>
        </w:rPr>
      </w:pPr>
      <w:r>
        <w:rPr>
          <w:rFonts w:ascii="Arial" w:cs="Arial" w:eastAsia="Arial" w:hAnsi="Arial"/>
          <w:sz w:val="18"/>
          <w:szCs w:val="18"/>
          <w:color w:val="auto"/>
        </w:rPr>
        <w:t>If a director becomes disabled or dies, all outstanding unvested stock options will vest in full on the date the director's service ceases by reason of such disability or death and all outstanding stock options may be exercised up to the earlier of the date the stock options expire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one year after the date the director's service ceased by reason of such disability or death.</w:t>
      </w:r>
    </w:p>
    <w:p>
      <w:pPr>
        <w:spacing w:after="0" w:line="86" w:lineRule="exact"/>
        <w:rPr>
          <w:sz w:val="20"/>
          <w:szCs w:val="20"/>
          <w:color w:val="auto"/>
        </w:rPr>
      </w:pPr>
    </w:p>
    <w:p>
      <w:pPr>
        <w:ind w:right="120" w:firstLine="324"/>
        <w:spacing w:after="0" w:line="237" w:lineRule="auto"/>
        <w:rPr>
          <w:sz w:val="20"/>
          <w:szCs w:val="20"/>
          <w:color w:val="auto"/>
        </w:rPr>
      </w:pPr>
      <w:r>
        <w:rPr>
          <w:rFonts w:ascii="Arial" w:cs="Arial" w:eastAsia="Arial" w:hAnsi="Arial"/>
          <w:sz w:val="18"/>
          <w:szCs w:val="18"/>
          <w:color w:val="auto"/>
        </w:rPr>
        <w:t>If a director has served as a member of the Board for ten full fiscal years or longer and terminates his or her service on the Board, other than due to death or disability, his or her outstanding unvested stock options will continue to vest in accordance with their terms and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director may exercise the vested portions of the stock options for up to four years after the director's date of termination, but not later than the</w:t>
      </w:r>
    </w:p>
    <w:p>
      <w:pPr>
        <w:spacing w:after="0" w:line="7"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date the stock options expire. If a director has served as a member of the Board for less than ten full fiscal years and terminates his or her service on the Board, other than due to death or disability, his or her outstanding unvested stock options will expire and be canceled and the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director may exercise any vested portions of the stock options for up to three months after the director's date of termination, but not later than the date the stock options expire.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directors who served during all or part of fiscal 2023 have ten or more fiscal years of service: Janet K. Cooper, Gary L. Ellis, Jeffrey 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Ettinger, Katherine J. Harless and James C. O'Rourke.</w:t>
      </w:r>
    </w:p>
    <w:p>
      <w:pPr>
        <w:spacing w:after="0" w:line="7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If there is a change in control of our Company, stock options held by directors will vest immediately and remain exercisable for the remaining term. The general definition of a change in control for these purposes is described under "Potential Payments upon Termination or Change in Control - Change in Control."</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Compensation for Fiscal 2023</w:t>
      </w:r>
    </w:p>
    <w:p>
      <w:pPr>
        <w:spacing w:after="0" w:line="85" w:lineRule="exact"/>
        <w:rPr>
          <w:sz w:val="20"/>
          <w:szCs w:val="20"/>
          <w:color w:val="auto"/>
        </w:rPr>
      </w:pPr>
    </w:p>
    <w:p>
      <w:pPr>
        <w:ind w:right="280" w:firstLine="324"/>
        <w:spacing w:after="0" w:line="245" w:lineRule="auto"/>
        <w:rPr>
          <w:sz w:val="20"/>
          <w:szCs w:val="20"/>
          <w:color w:val="auto"/>
        </w:rPr>
      </w:pPr>
      <w:r>
        <w:rPr>
          <w:rFonts w:ascii="Arial" w:cs="Arial" w:eastAsia="Arial" w:hAnsi="Arial"/>
          <w:sz w:val="18"/>
          <w:szCs w:val="18"/>
          <w:color w:val="auto"/>
        </w:rPr>
        <w:t>The following table provides summary information concerning the compensation of each individual non-employee director who served during fiscal 2023. Amounts in the table are not reduced to reflect elections, if any, by the non-employee directors to defer receipt of</w:t>
      </w:r>
    </w:p>
    <w:p>
      <w:pPr>
        <w:ind w:right="120"/>
        <w:spacing w:after="0" w:line="237" w:lineRule="auto"/>
        <w:rPr>
          <w:sz w:val="20"/>
          <w:szCs w:val="20"/>
          <w:color w:val="auto"/>
        </w:rPr>
      </w:pPr>
      <w:r>
        <w:rPr>
          <w:rFonts w:ascii="Arial" w:cs="Arial" w:eastAsia="Arial" w:hAnsi="Arial"/>
          <w:sz w:val="18"/>
          <w:szCs w:val="18"/>
          <w:color w:val="auto"/>
        </w:rPr>
        <w:t>compensation. Deferral elections are described in more detail in the footnotes to the table. Earnings on nonqualified deferred compensation are not on a basis that is considered to be above-market or preferential.</w:t>
      </w:r>
    </w:p>
    <w:p>
      <w:pPr>
        <w:spacing w:after="0" w:line="132"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2260" w:type="dxa"/>
            <w:vAlign w:val="bottom"/>
            <w:shd w:val="clear" w:color="auto" w:fill="BF2115"/>
          </w:tcPr>
          <w:p>
            <w:pPr>
              <w:spacing w:after="0"/>
              <w:rPr>
                <w:sz w:val="18"/>
                <w:szCs w:val="18"/>
                <w:color w:val="auto"/>
              </w:rPr>
            </w:pPr>
          </w:p>
        </w:tc>
        <w:tc>
          <w:tcPr>
            <w:tcW w:w="2220" w:type="dxa"/>
            <w:vAlign w:val="bottom"/>
            <w:shd w:val="clear" w:color="auto" w:fill="BF2115"/>
          </w:tcPr>
          <w:p>
            <w:pPr>
              <w:jc w:val="center"/>
              <w:ind w:left="39"/>
              <w:spacing w:after="0"/>
              <w:rPr>
                <w:sz w:val="20"/>
                <w:szCs w:val="20"/>
                <w:color w:val="auto"/>
              </w:rPr>
            </w:pPr>
            <w:r>
              <w:rPr>
                <w:rFonts w:ascii="Arial" w:cs="Arial" w:eastAsia="Arial" w:hAnsi="Arial"/>
                <w:sz w:val="16"/>
                <w:szCs w:val="16"/>
                <w:b w:val="1"/>
                <w:bCs w:val="1"/>
                <w:color w:val="FFFFFF"/>
              </w:rPr>
              <w:t>Fees Earned or</w:t>
            </w:r>
          </w:p>
        </w:tc>
        <w:tc>
          <w:tcPr>
            <w:tcW w:w="1780" w:type="dxa"/>
            <w:vAlign w:val="bottom"/>
            <w:vMerge w:val="restart"/>
            <w:shd w:val="clear" w:color="auto" w:fill="BF2115"/>
          </w:tcPr>
          <w:p>
            <w:pPr>
              <w:jc w:val="right"/>
              <w:ind w:right="419"/>
              <w:spacing w:after="0"/>
              <w:rPr>
                <w:sz w:val="20"/>
                <w:szCs w:val="20"/>
                <w:color w:val="auto"/>
              </w:rPr>
            </w:pPr>
            <w:r>
              <w:rPr>
                <w:rFonts w:ascii="Arial" w:cs="Arial" w:eastAsia="Arial" w:hAnsi="Arial"/>
                <w:sz w:val="16"/>
                <w:szCs w:val="16"/>
                <w:b w:val="1"/>
                <w:bCs w:val="1"/>
                <w:color w:val="FFFFFF"/>
              </w:rPr>
              <w:t>Stock Awards</w:t>
            </w:r>
          </w:p>
        </w:tc>
        <w:tc>
          <w:tcPr>
            <w:tcW w:w="1800" w:type="dxa"/>
            <w:vAlign w:val="bottom"/>
            <w:vMerge w:val="restart"/>
            <w:shd w:val="clear" w:color="auto" w:fill="BF2115"/>
          </w:tcPr>
          <w:p>
            <w:pPr>
              <w:jc w:val="right"/>
              <w:ind w:right="379"/>
              <w:spacing w:after="0"/>
              <w:rPr>
                <w:sz w:val="20"/>
                <w:szCs w:val="20"/>
                <w:color w:val="auto"/>
              </w:rPr>
            </w:pPr>
            <w:r>
              <w:rPr>
                <w:rFonts w:ascii="Arial" w:cs="Arial" w:eastAsia="Arial" w:hAnsi="Arial"/>
                <w:sz w:val="16"/>
                <w:szCs w:val="16"/>
                <w:b w:val="1"/>
                <w:bCs w:val="1"/>
                <w:color w:val="FFFFFF"/>
              </w:rPr>
              <w:t>Option Awards</w:t>
            </w:r>
          </w:p>
        </w:tc>
        <w:tc>
          <w:tcPr>
            <w:tcW w:w="1860" w:type="dxa"/>
            <w:vAlign w:val="bottom"/>
            <w:shd w:val="clear" w:color="auto" w:fill="BF2115"/>
          </w:tcPr>
          <w:p>
            <w:pPr>
              <w:jc w:val="center"/>
              <w:ind w:right="259"/>
              <w:spacing w:after="0"/>
              <w:rPr>
                <w:sz w:val="20"/>
                <w:szCs w:val="20"/>
                <w:color w:val="auto"/>
              </w:rPr>
            </w:pPr>
            <w:r>
              <w:rPr>
                <w:rFonts w:ascii="Arial" w:cs="Arial" w:eastAsia="Arial" w:hAnsi="Arial"/>
                <w:sz w:val="16"/>
                <w:szCs w:val="16"/>
                <w:b w:val="1"/>
                <w:bCs w:val="1"/>
                <w:color w:val="FFFFFF"/>
              </w:rPr>
              <w:t>All Other</w:t>
            </w:r>
          </w:p>
        </w:tc>
        <w:tc>
          <w:tcPr>
            <w:tcW w:w="1000" w:type="dxa"/>
            <w:vAlign w:val="bottom"/>
            <w:vMerge w:val="restart"/>
            <w:shd w:val="clear" w:color="auto" w:fill="BF2115"/>
          </w:tcPr>
          <w:p>
            <w:pPr>
              <w:jc w:val="right"/>
              <w:ind w:right="2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189"/>
        </w:trPr>
        <w:tc>
          <w:tcPr>
            <w:tcW w:w="2260" w:type="dxa"/>
            <w:vAlign w:val="bottom"/>
            <w:shd w:val="clear" w:color="auto" w:fill="BF2115"/>
          </w:tcPr>
          <w:p>
            <w:pPr>
              <w:spacing w:after="0"/>
              <w:rPr>
                <w:sz w:val="16"/>
                <w:szCs w:val="16"/>
                <w:color w:val="auto"/>
              </w:rPr>
            </w:pPr>
          </w:p>
        </w:tc>
        <w:tc>
          <w:tcPr>
            <w:tcW w:w="2220" w:type="dxa"/>
            <w:vAlign w:val="bottom"/>
            <w:shd w:val="clear" w:color="auto" w:fill="BF2115"/>
          </w:tcPr>
          <w:p>
            <w:pPr>
              <w:jc w:val="center"/>
              <w:ind w:left="39"/>
              <w:spacing w:after="0"/>
              <w:rPr>
                <w:sz w:val="20"/>
                <w:szCs w:val="20"/>
                <w:color w:val="auto"/>
              </w:rPr>
            </w:pPr>
            <w:r>
              <w:rPr>
                <w:rFonts w:ascii="Arial" w:cs="Arial" w:eastAsia="Arial" w:hAnsi="Arial"/>
                <w:sz w:val="16"/>
                <w:szCs w:val="16"/>
                <w:b w:val="1"/>
                <w:bCs w:val="1"/>
                <w:color w:val="FFFFFF"/>
              </w:rPr>
              <w:t>Paid in Cash</w:t>
            </w:r>
          </w:p>
        </w:tc>
        <w:tc>
          <w:tcPr>
            <w:tcW w:w="1780" w:type="dxa"/>
            <w:vAlign w:val="bottom"/>
            <w:vMerge w:val="continue"/>
            <w:shd w:val="clear" w:color="auto" w:fill="BF2115"/>
          </w:tcPr>
          <w:p>
            <w:pPr>
              <w:spacing w:after="0"/>
              <w:rPr>
                <w:sz w:val="16"/>
                <w:szCs w:val="16"/>
                <w:color w:val="auto"/>
              </w:rPr>
            </w:pPr>
          </w:p>
        </w:tc>
        <w:tc>
          <w:tcPr>
            <w:tcW w:w="1800" w:type="dxa"/>
            <w:vAlign w:val="bottom"/>
            <w:vMerge w:val="continue"/>
            <w:shd w:val="clear" w:color="auto" w:fill="BF2115"/>
          </w:tcPr>
          <w:p>
            <w:pPr>
              <w:spacing w:after="0"/>
              <w:rPr>
                <w:sz w:val="16"/>
                <w:szCs w:val="16"/>
                <w:color w:val="auto"/>
              </w:rPr>
            </w:pPr>
          </w:p>
        </w:tc>
        <w:tc>
          <w:tcPr>
            <w:tcW w:w="1860" w:type="dxa"/>
            <w:vAlign w:val="bottom"/>
            <w:shd w:val="clear" w:color="auto" w:fill="BF2115"/>
          </w:tcPr>
          <w:p>
            <w:pPr>
              <w:jc w:val="center"/>
              <w:ind w:right="259"/>
              <w:spacing w:after="0"/>
              <w:rPr>
                <w:sz w:val="20"/>
                <w:szCs w:val="20"/>
                <w:color w:val="auto"/>
              </w:rPr>
            </w:pPr>
            <w:r>
              <w:rPr>
                <w:rFonts w:ascii="Arial" w:cs="Arial" w:eastAsia="Arial" w:hAnsi="Arial"/>
                <w:sz w:val="16"/>
                <w:szCs w:val="16"/>
                <w:b w:val="1"/>
                <w:bCs w:val="1"/>
                <w:color w:val="FFFFFF"/>
              </w:rPr>
              <w:t>Compensation</w:t>
            </w:r>
          </w:p>
        </w:tc>
        <w:tc>
          <w:tcPr>
            <w:tcW w:w="1000" w:type="dxa"/>
            <w:vAlign w:val="bottom"/>
            <w:vMerge w:val="continue"/>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260" w:type="dxa"/>
            <w:vAlign w:val="bottom"/>
            <w:shd w:val="clear" w:color="auto" w:fill="BF2115"/>
          </w:tcPr>
          <w:p>
            <w:pPr>
              <w:ind w:left="1020"/>
              <w:spacing w:after="0"/>
              <w:rPr>
                <w:sz w:val="20"/>
                <w:szCs w:val="20"/>
                <w:color w:val="auto"/>
              </w:rPr>
            </w:pPr>
            <w:r>
              <w:rPr>
                <w:rFonts w:ascii="Arial" w:cs="Arial" w:eastAsia="Arial" w:hAnsi="Arial"/>
                <w:sz w:val="16"/>
                <w:szCs w:val="16"/>
                <w:b w:val="1"/>
                <w:bCs w:val="1"/>
                <w:color w:val="FFFFFF"/>
              </w:rPr>
              <w:t>Name</w:t>
            </w:r>
          </w:p>
        </w:tc>
        <w:tc>
          <w:tcPr>
            <w:tcW w:w="2220" w:type="dxa"/>
            <w:vAlign w:val="bottom"/>
            <w:shd w:val="clear" w:color="auto" w:fill="BF2115"/>
          </w:tcPr>
          <w:p>
            <w:pPr>
              <w:jc w:val="center"/>
              <w:ind w:left="39"/>
              <w:spacing w:after="0"/>
              <w:rPr>
                <w:sz w:val="20"/>
                <w:szCs w:val="20"/>
                <w:color w:val="auto"/>
              </w:rPr>
            </w:pPr>
            <w:r>
              <w:rPr>
                <w:rFonts w:ascii="Arial" w:cs="Arial" w:eastAsia="Arial" w:hAnsi="Arial"/>
                <w:sz w:val="16"/>
                <w:szCs w:val="16"/>
                <w:b w:val="1"/>
                <w:bCs w:val="1"/>
                <w:color w:val="FFFFFF"/>
                <w:w w:val="88"/>
              </w:rPr>
              <w:t>($)</w:t>
            </w:r>
            <w:r>
              <w:rPr>
                <w:rFonts w:ascii="Arial" w:cs="Arial" w:eastAsia="Arial" w:hAnsi="Arial"/>
                <w:sz w:val="21"/>
                <w:szCs w:val="21"/>
                <w:b w:val="1"/>
                <w:bCs w:val="1"/>
                <w:color w:val="FFFFFF"/>
                <w:w w:val="88"/>
                <w:vertAlign w:val="superscript"/>
              </w:rPr>
              <w:t>1, 2</w:t>
            </w:r>
          </w:p>
        </w:tc>
        <w:tc>
          <w:tcPr>
            <w:tcW w:w="1780" w:type="dxa"/>
            <w:vAlign w:val="bottom"/>
            <w:shd w:val="clear" w:color="auto" w:fill="BF2115"/>
          </w:tcPr>
          <w:p>
            <w:pPr>
              <w:jc w:val="right"/>
              <w:ind w:right="819"/>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3</w:t>
            </w:r>
          </w:p>
        </w:tc>
        <w:tc>
          <w:tcPr>
            <w:tcW w:w="1800" w:type="dxa"/>
            <w:vAlign w:val="bottom"/>
            <w:shd w:val="clear" w:color="auto" w:fill="BF2115"/>
          </w:tcPr>
          <w:p>
            <w:pPr>
              <w:jc w:val="right"/>
              <w:ind w:right="759"/>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4, 5</w:t>
            </w:r>
          </w:p>
        </w:tc>
        <w:tc>
          <w:tcPr>
            <w:tcW w:w="1860" w:type="dxa"/>
            <w:vAlign w:val="bottom"/>
            <w:shd w:val="clear" w:color="auto" w:fill="BF2115"/>
          </w:tcPr>
          <w:p>
            <w:pPr>
              <w:jc w:val="center"/>
              <w:ind w:right="239"/>
              <w:spacing w:after="0"/>
              <w:rPr>
                <w:sz w:val="20"/>
                <w:szCs w:val="20"/>
                <w:color w:val="auto"/>
              </w:rPr>
            </w:pPr>
            <w:r>
              <w:rPr>
                <w:rFonts w:ascii="Arial" w:cs="Arial" w:eastAsia="Arial" w:hAnsi="Arial"/>
                <w:sz w:val="16"/>
                <w:szCs w:val="16"/>
                <w:b w:val="1"/>
                <w:bCs w:val="1"/>
                <w:color w:val="FFFFFF"/>
                <w:w w:val="94"/>
              </w:rPr>
              <w:t>($)</w:t>
            </w:r>
            <w:r>
              <w:rPr>
                <w:rFonts w:ascii="Arial" w:cs="Arial" w:eastAsia="Arial" w:hAnsi="Arial"/>
                <w:sz w:val="21"/>
                <w:szCs w:val="21"/>
                <w:b w:val="1"/>
                <w:bCs w:val="1"/>
                <w:color w:val="FFFFFF"/>
                <w:w w:val="94"/>
                <w:vertAlign w:val="superscript"/>
              </w:rPr>
              <w:t>6</w:t>
            </w:r>
          </w:p>
        </w:tc>
        <w:tc>
          <w:tcPr>
            <w:tcW w:w="1000" w:type="dxa"/>
            <w:vAlign w:val="bottom"/>
            <w:shd w:val="clear" w:color="auto" w:fill="BF2115"/>
          </w:tcPr>
          <w:p>
            <w:pPr>
              <w:jc w:val="right"/>
              <w:ind w:right="379"/>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15"/>
        </w:trPr>
        <w:tc>
          <w:tcPr>
            <w:tcW w:w="2260" w:type="dxa"/>
            <w:vAlign w:val="bottom"/>
          </w:tcPr>
          <w:p>
            <w:pPr>
              <w:ind w:left="20"/>
              <w:spacing w:after="0"/>
              <w:rPr>
                <w:sz w:val="20"/>
                <w:szCs w:val="20"/>
                <w:color w:val="auto"/>
              </w:rPr>
            </w:pPr>
            <w:r>
              <w:rPr>
                <w:rFonts w:ascii="Arial" w:cs="Arial" w:eastAsia="Arial" w:hAnsi="Arial"/>
                <w:sz w:val="16"/>
                <w:szCs w:val="16"/>
                <w:color w:val="auto"/>
              </w:rPr>
              <w:t>Janet K. Cooper</w:t>
            </w:r>
          </w:p>
        </w:tc>
        <w:tc>
          <w:tcPr>
            <w:tcW w:w="2220" w:type="dxa"/>
            <w:vAlign w:val="bottom"/>
          </w:tcPr>
          <w:p>
            <w:pPr>
              <w:jc w:val="right"/>
              <w:ind w:right="139"/>
              <w:spacing w:after="0"/>
              <w:rPr>
                <w:sz w:val="20"/>
                <w:szCs w:val="20"/>
                <w:color w:val="auto"/>
              </w:rPr>
            </w:pPr>
            <w:r>
              <w:rPr>
                <w:rFonts w:ascii="Arial" w:cs="Arial" w:eastAsia="Arial" w:hAnsi="Arial"/>
                <w:sz w:val="16"/>
                <w:szCs w:val="16"/>
                <w:color w:val="auto"/>
              </w:rPr>
              <w:t>133,500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98,708</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54,976</w:t>
            </w:r>
          </w:p>
        </w:tc>
        <w:tc>
          <w:tcPr>
            <w:tcW w:w="18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287,184</w:t>
            </w:r>
          </w:p>
        </w:tc>
        <w:tc>
          <w:tcPr>
            <w:tcW w:w="0" w:type="dxa"/>
            <w:vAlign w:val="bottom"/>
          </w:tcPr>
          <w:p>
            <w:pPr>
              <w:spacing w:after="0"/>
              <w:rPr>
                <w:sz w:val="1"/>
                <w:szCs w:val="1"/>
                <w:color w:val="auto"/>
              </w:rPr>
            </w:pPr>
          </w:p>
        </w:tc>
      </w:tr>
      <w:tr>
        <w:trPr>
          <w:trHeight w:val="28"/>
        </w:trPr>
        <w:tc>
          <w:tcPr>
            <w:tcW w:w="2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Gary L. Ellis</w:t>
            </w:r>
          </w:p>
        </w:tc>
        <w:tc>
          <w:tcPr>
            <w:tcW w:w="2220" w:type="dxa"/>
            <w:vAlign w:val="bottom"/>
            <w:tcBorders>
              <w:bottom w:val="single" w:sz="8" w:color="DBDBDB"/>
            </w:tcBorders>
            <w:shd w:val="clear" w:color="auto" w:fill="DBDBDB"/>
          </w:tcPr>
          <w:p>
            <w:pPr>
              <w:jc w:val="right"/>
              <w:ind w:right="139"/>
              <w:spacing w:after="0"/>
              <w:rPr>
                <w:sz w:val="20"/>
                <w:szCs w:val="20"/>
                <w:color w:val="auto"/>
              </w:rPr>
            </w:pPr>
            <w:r>
              <w:rPr>
                <w:rFonts w:ascii="Arial" w:cs="Arial" w:eastAsia="Arial" w:hAnsi="Arial"/>
                <w:sz w:val="16"/>
                <w:szCs w:val="16"/>
                <w:color w:val="auto"/>
              </w:rPr>
              <w:t>148,790</w:t>
            </w:r>
          </w:p>
        </w:tc>
        <w:tc>
          <w:tcPr>
            <w:tcW w:w="178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6"/>
                <w:szCs w:val="16"/>
                <w:color w:val="auto"/>
              </w:rPr>
              <w:t>98,708</w:t>
            </w:r>
          </w:p>
        </w:tc>
        <w:tc>
          <w:tcPr>
            <w:tcW w:w="1800" w:type="dxa"/>
            <w:vAlign w:val="bottom"/>
            <w:tcBorders>
              <w:bottom w:val="single" w:sz="8" w:color="DBDBDB"/>
            </w:tcBorders>
            <w:shd w:val="clear" w:color="auto" w:fill="DBDBDB"/>
          </w:tcPr>
          <w:p>
            <w:pPr>
              <w:jc w:val="right"/>
              <w:ind w:right="139"/>
              <w:spacing w:after="0"/>
              <w:rPr>
                <w:sz w:val="20"/>
                <w:szCs w:val="20"/>
                <w:color w:val="auto"/>
              </w:rPr>
            </w:pPr>
            <w:r>
              <w:rPr>
                <w:rFonts w:ascii="Arial" w:cs="Arial" w:eastAsia="Arial" w:hAnsi="Arial"/>
                <w:sz w:val="16"/>
                <w:szCs w:val="16"/>
                <w:color w:val="auto"/>
              </w:rPr>
              <w:t>54,976</w:t>
            </w:r>
          </w:p>
        </w:tc>
        <w:tc>
          <w:tcPr>
            <w:tcW w:w="1860" w:type="dxa"/>
            <w:vAlign w:val="bottom"/>
            <w:tcBorders>
              <w:bottom w:val="single" w:sz="8" w:color="DBDBDB"/>
            </w:tcBorders>
            <w:shd w:val="clear" w:color="auto" w:fill="DBDBDB"/>
          </w:tcPr>
          <w:p>
            <w:pPr>
              <w:spacing w:after="0"/>
              <w:rPr>
                <w:sz w:val="19"/>
                <w:szCs w:val="19"/>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302,474</w:t>
            </w:r>
          </w:p>
        </w:tc>
        <w:tc>
          <w:tcPr>
            <w:tcW w:w="0" w:type="dxa"/>
            <w:vAlign w:val="bottom"/>
          </w:tcPr>
          <w:p>
            <w:pPr>
              <w:spacing w:after="0"/>
              <w:rPr>
                <w:sz w:val="1"/>
                <w:szCs w:val="1"/>
                <w:color w:val="auto"/>
              </w:rPr>
            </w:pPr>
          </w:p>
        </w:tc>
      </w:tr>
      <w:tr>
        <w:trPr>
          <w:trHeight w:val="243"/>
        </w:trPr>
        <w:tc>
          <w:tcPr>
            <w:tcW w:w="2260" w:type="dxa"/>
            <w:vAlign w:val="bottom"/>
          </w:tcPr>
          <w:p>
            <w:pPr>
              <w:ind w:left="20"/>
              <w:spacing w:after="0"/>
              <w:rPr>
                <w:sz w:val="20"/>
                <w:szCs w:val="20"/>
                <w:color w:val="auto"/>
              </w:rPr>
            </w:pPr>
            <w:r>
              <w:rPr>
                <w:rFonts w:ascii="Arial" w:cs="Arial" w:eastAsia="Arial" w:hAnsi="Arial"/>
                <w:sz w:val="16"/>
                <w:szCs w:val="16"/>
                <w:color w:val="auto"/>
              </w:rPr>
              <w:t>Jeffrey M. Ettinger</w:t>
            </w:r>
            <w:r>
              <w:rPr>
                <w:rFonts w:ascii="Arial" w:cs="Arial" w:eastAsia="Arial" w:hAnsi="Arial"/>
                <w:sz w:val="21"/>
                <w:szCs w:val="21"/>
                <w:color w:val="auto"/>
                <w:vertAlign w:val="superscript"/>
              </w:rPr>
              <w:t>7</w:t>
            </w:r>
          </w:p>
        </w:tc>
        <w:tc>
          <w:tcPr>
            <w:tcW w:w="2220" w:type="dxa"/>
            <w:vAlign w:val="bottom"/>
          </w:tcPr>
          <w:p>
            <w:pPr>
              <w:jc w:val="right"/>
              <w:ind w:right="139"/>
              <w:spacing w:after="0"/>
              <w:rPr>
                <w:sz w:val="20"/>
                <w:szCs w:val="20"/>
                <w:color w:val="auto"/>
              </w:rPr>
            </w:pPr>
            <w:r>
              <w:rPr>
                <w:rFonts w:ascii="Arial" w:cs="Arial" w:eastAsia="Arial" w:hAnsi="Arial"/>
                <w:sz w:val="16"/>
                <w:szCs w:val="16"/>
                <w:color w:val="auto"/>
              </w:rPr>
              <w:t>86,625</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98,708</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54,976</w:t>
            </w:r>
          </w:p>
        </w:tc>
        <w:tc>
          <w:tcPr>
            <w:tcW w:w="18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240,309</w:t>
            </w:r>
          </w:p>
        </w:tc>
        <w:tc>
          <w:tcPr>
            <w:tcW w:w="0" w:type="dxa"/>
            <w:vAlign w:val="bottom"/>
          </w:tcPr>
          <w:p>
            <w:pPr>
              <w:spacing w:after="0"/>
              <w:rPr>
                <w:sz w:val="1"/>
                <w:szCs w:val="1"/>
                <w:color w:val="auto"/>
              </w:rPr>
            </w:pPr>
          </w:p>
        </w:tc>
      </w:tr>
      <w:tr>
        <w:trPr>
          <w:trHeight w:val="257"/>
        </w:trPr>
        <w:tc>
          <w:tcPr>
            <w:tcW w:w="2260" w:type="dxa"/>
            <w:vAlign w:val="bottom"/>
            <w:shd w:val="clear" w:color="auto" w:fill="DBDBDB"/>
          </w:tcPr>
          <w:p>
            <w:pPr>
              <w:ind w:left="20"/>
              <w:spacing w:after="0"/>
              <w:rPr>
                <w:sz w:val="20"/>
                <w:szCs w:val="20"/>
                <w:color w:val="auto"/>
              </w:rPr>
            </w:pPr>
            <w:r>
              <w:rPr>
                <w:rFonts w:ascii="Arial" w:cs="Arial" w:eastAsia="Arial" w:hAnsi="Arial"/>
                <w:sz w:val="16"/>
                <w:szCs w:val="16"/>
                <w:color w:val="auto"/>
              </w:rPr>
              <w:t>Eric P. Hansotia</w:t>
            </w:r>
            <w:r>
              <w:rPr>
                <w:rFonts w:ascii="Arial" w:cs="Arial" w:eastAsia="Arial" w:hAnsi="Arial"/>
                <w:sz w:val="21"/>
                <w:szCs w:val="21"/>
                <w:color w:val="auto"/>
                <w:vertAlign w:val="superscript"/>
              </w:rPr>
              <w:t>8</w:t>
            </w:r>
          </w:p>
        </w:tc>
        <w:tc>
          <w:tcPr>
            <w:tcW w:w="22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108,000</w:t>
            </w:r>
          </w:p>
        </w:tc>
        <w:tc>
          <w:tcPr>
            <w:tcW w:w="17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98,708</w:t>
            </w:r>
          </w:p>
        </w:tc>
        <w:tc>
          <w:tcPr>
            <w:tcW w:w="180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54,976</w:t>
            </w:r>
          </w:p>
        </w:tc>
        <w:tc>
          <w:tcPr>
            <w:tcW w:w="1860" w:type="dxa"/>
            <w:vAlign w:val="bottom"/>
            <w:shd w:val="clear" w:color="auto" w:fill="DBDBDB"/>
          </w:tcPr>
          <w:p>
            <w:pPr>
              <w:spacing w:after="0"/>
              <w:rPr>
                <w:sz w:val="22"/>
                <w:szCs w:val="2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261,684</w:t>
            </w:r>
          </w:p>
        </w:tc>
        <w:tc>
          <w:tcPr>
            <w:tcW w:w="0" w:type="dxa"/>
            <w:vAlign w:val="bottom"/>
          </w:tcPr>
          <w:p>
            <w:pPr>
              <w:spacing w:after="0"/>
              <w:rPr>
                <w:sz w:val="1"/>
                <w:szCs w:val="1"/>
                <w:color w:val="auto"/>
              </w:rPr>
            </w:pPr>
          </w:p>
        </w:tc>
      </w:tr>
      <w:tr>
        <w:trPr>
          <w:trHeight w:val="257"/>
        </w:trPr>
        <w:tc>
          <w:tcPr>
            <w:tcW w:w="2260" w:type="dxa"/>
            <w:vAlign w:val="bottom"/>
          </w:tcPr>
          <w:p>
            <w:pPr>
              <w:ind w:left="20"/>
              <w:spacing w:after="0"/>
              <w:rPr>
                <w:sz w:val="20"/>
                <w:szCs w:val="20"/>
                <w:color w:val="auto"/>
              </w:rPr>
            </w:pPr>
            <w:r>
              <w:rPr>
                <w:rFonts w:ascii="Arial" w:cs="Arial" w:eastAsia="Arial" w:hAnsi="Arial"/>
                <w:sz w:val="16"/>
                <w:szCs w:val="16"/>
                <w:color w:val="auto"/>
              </w:rPr>
              <w:t>Katherine J. Harless</w:t>
            </w:r>
            <w:r>
              <w:rPr>
                <w:rFonts w:ascii="Arial" w:cs="Arial" w:eastAsia="Arial" w:hAnsi="Arial"/>
                <w:sz w:val="21"/>
                <w:szCs w:val="21"/>
                <w:color w:val="auto"/>
                <w:vertAlign w:val="superscript"/>
              </w:rPr>
              <w:t>8, 9</w:t>
            </w:r>
          </w:p>
        </w:tc>
        <w:tc>
          <w:tcPr>
            <w:tcW w:w="2220" w:type="dxa"/>
            <w:vAlign w:val="bottom"/>
          </w:tcPr>
          <w:p>
            <w:pPr>
              <w:jc w:val="right"/>
              <w:ind w:right="139"/>
              <w:spacing w:after="0"/>
              <w:rPr>
                <w:sz w:val="20"/>
                <w:szCs w:val="20"/>
                <w:color w:val="auto"/>
              </w:rPr>
            </w:pPr>
            <w:r>
              <w:rPr>
                <w:rFonts w:ascii="Arial" w:cs="Arial" w:eastAsia="Arial" w:hAnsi="Arial"/>
                <w:sz w:val="16"/>
                <w:szCs w:val="16"/>
                <w:color w:val="auto"/>
              </w:rPr>
              <w:t>56,750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98,708</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54,976</w:t>
            </w:r>
          </w:p>
        </w:tc>
        <w:tc>
          <w:tcPr>
            <w:tcW w:w="1860" w:type="dxa"/>
            <w:vAlign w:val="bottom"/>
          </w:tcPr>
          <w:p>
            <w:pPr>
              <w:jc w:val="right"/>
              <w:ind w:right="179"/>
              <w:spacing w:after="0"/>
              <w:rPr>
                <w:sz w:val="20"/>
                <w:szCs w:val="20"/>
                <w:color w:val="auto"/>
              </w:rPr>
            </w:pPr>
            <w:r>
              <w:rPr>
                <w:rFonts w:ascii="Arial" w:cs="Arial" w:eastAsia="Arial" w:hAnsi="Arial"/>
                <w:sz w:val="16"/>
                <w:szCs w:val="16"/>
                <w:color w:val="auto"/>
              </w:rPr>
              <w:t>1,645</w:t>
            </w:r>
          </w:p>
        </w:tc>
        <w:tc>
          <w:tcPr>
            <w:tcW w:w="1000" w:type="dxa"/>
            <w:vAlign w:val="bottom"/>
          </w:tcPr>
          <w:p>
            <w:pPr>
              <w:jc w:val="right"/>
              <w:spacing w:after="0"/>
              <w:rPr>
                <w:sz w:val="20"/>
                <w:szCs w:val="20"/>
                <w:color w:val="auto"/>
              </w:rPr>
            </w:pPr>
            <w:r>
              <w:rPr>
                <w:rFonts w:ascii="Arial" w:cs="Arial" w:eastAsia="Arial" w:hAnsi="Arial"/>
                <w:sz w:val="16"/>
                <w:szCs w:val="16"/>
                <w:color w:val="auto"/>
              </w:rPr>
              <w:t>212,079</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Jeffrey L. Harmening</w:t>
            </w:r>
          </w:p>
        </w:tc>
        <w:tc>
          <w:tcPr>
            <w:tcW w:w="2220" w:type="dxa"/>
            <w:vAlign w:val="bottom"/>
            <w:tcBorders>
              <w:bottom w:val="single" w:sz="8" w:color="DBDBDB"/>
            </w:tcBorders>
            <w:shd w:val="clear" w:color="auto" w:fill="DBDBDB"/>
          </w:tcPr>
          <w:p>
            <w:pPr>
              <w:jc w:val="right"/>
              <w:ind w:right="139"/>
              <w:spacing w:after="0"/>
              <w:rPr>
                <w:sz w:val="20"/>
                <w:szCs w:val="20"/>
                <w:color w:val="auto"/>
              </w:rPr>
            </w:pPr>
            <w:r>
              <w:rPr>
                <w:rFonts w:ascii="Arial" w:cs="Arial" w:eastAsia="Arial" w:hAnsi="Arial"/>
                <w:sz w:val="16"/>
                <w:szCs w:val="16"/>
                <w:color w:val="auto"/>
              </w:rPr>
              <w:t>121,000</w:t>
            </w:r>
          </w:p>
        </w:tc>
        <w:tc>
          <w:tcPr>
            <w:tcW w:w="178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6"/>
                <w:szCs w:val="16"/>
                <w:color w:val="auto"/>
              </w:rPr>
              <w:t>98,708</w:t>
            </w:r>
          </w:p>
        </w:tc>
        <w:tc>
          <w:tcPr>
            <w:tcW w:w="1800" w:type="dxa"/>
            <w:vAlign w:val="bottom"/>
            <w:tcBorders>
              <w:bottom w:val="single" w:sz="8" w:color="DBDBDB"/>
            </w:tcBorders>
            <w:shd w:val="clear" w:color="auto" w:fill="DBDBDB"/>
          </w:tcPr>
          <w:p>
            <w:pPr>
              <w:jc w:val="right"/>
              <w:ind w:right="139"/>
              <w:spacing w:after="0"/>
              <w:rPr>
                <w:sz w:val="20"/>
                <w:szCs w:val="20"/>
                <w:color w:val="auto"/>
              </w:rPr>
            </w:pPr>
            <w:r>
              <w:rPr>
                <w:rFonts w:ascii="Arial" w:cs="Arial" w:eastAsia="Arial" w:hAnsi="Arial"/>
                <w:sz w:val="16"/>
                <w:szCs w:val="16"/>
                <w:color w:val="auto"/>
              </w:rPr>
              <w:t>54,976</w:t>
            </w:r>
          </w:p>
        </w:tc>
        <w:tc>
          <w:tcPr>
            <w:tcW w:w="1860" w:type="dxa"/>
            <w:vAlign w:val="bottom"/>
            <w:tcBorders>
              <w:bottom w:val="single" w:sz="8" w:color="DBDBDB"/>
            </w:tcBorders>
            <w:shd w:val="clear" w:color="auto" w:fill="DBDBDB"/>
          </w:tcPr>
          <w:p>
            <w:pPr>
              <w:spacing w:after="0"/>
              <w:rPr>
                <w:sz w:val="19"/>
                <w:szCs w:val="19"/>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274,684</w:t>
            </w:r>
          </w:p>
        </w:tc>
        <w:tc>
          <w:tcPr>
            <w:tcW w:w="0" w:type="dxa"/>
            <w:vAlign w:val="bottom"/>
          </w:tcPr>
          <w:p>
            <w:pPr>
              <w:spacing w:after="0"/>
              <w:rPr>
                <w:sz w:val="1"/>
                <w:szCs w:val="1"/>
                <w:color w:val="auto"/>
              </w:rPr>
            </w:pPr>
          </w:p>
        </w:tc>
      </w:tr>
      <w:tr>
        <w:trPr>
          <w:trHeight w:val="215"/>
        </w:trPr>
        <w:tc>
          <w:tcPr>
            <w:tcW w:w="2260" w:type="dxa"/>
            <w:vAlign w:val="bottom"/>
          </w:tcPr>
          <w:p>
            <w:pPr>
              <w:ind w:left="20"/>
              <w:spacing w:after="0"/>
              <w:rPr>
                <w:sz w:val="20"/>
                <w:szCs w:val="20"/>
                <w:color w:val="auto"/>
              </w:rPr>
            </w:pPr>
            <w:r>
              <w:rPr>
                <w:rFonts w:ascii="Arial" w:cs="Arial" w:eastAsia="Arial" w:hAnsi="Arial"/>
                <w:sz w:val="16"/>
                <w:szCs w:val="16"/>
                <w:color w:val="auto"/>
              </w:rPr>
              <w:t>D. Christian Koch</w:t>
            </w:r>
          </w:p>
        </w:tc>
        <w:tc>
          <w:tcPr>
            <w:tcW w:w="2220" w:type="dxa"/>
            <w:vAlign w:val="bottom"/>
          </w:tcPr>
          <w:p>
            <w:pPr>
              <w:jc w:val="right"/>
              <w:ind w:right="139"/>
              <w:spacing w:after="0"/>
              <w:rPr>
                <w:sz w:val="20"/>
                <w:szCs w:val="20"/>
                <w:color w:val="auto"/>
              </w:rPr>
            </w:pPr>
            <w:r>
              <w:rPr>
                <w:rFonts w:ascii="Arial" w:cs="Arial" w:eastAsia="Arial" w:hAnsi="Arial"/>
                <w:sz w:val="16"/>
                <w:szCs w:val="16"/>
                <w:color w:val="auto"/>
              </w:rPr>
              <w:t>108,000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98,708</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54,976</w:t>
            </w:r>
          </w:p>
        </w:tc>
        <w:tc>
          <w:tcPr>
            <w:tcW w:w="18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261,684</w:t>
            </w:r>
          </w:p>
        </w:tc>
        <w:tc>
          <w:tcPr>
            <w:tcW w:w="0" w:type="dxa"/>
            <w:vAlign w:val="bottom"/>
          </w:tcPr>
          <w:p>
            <w:pPr>
              <w:spacing w:after="0"/>
              <w:rPr>
                <w:sz w:val="1"/>
                <w:szCs w:val="1"/>
                <w:color w:val="auto"/>
              </w:rPr>
            </w:pPr>
          </w:p>
        </w:tc>
      </w:tr>
      <w:tr>
        <w:trPr>
          <w:trHeight w:val="28"/>
        </w:trPr>
        <w:tc>
          <w:tcPr>
            <w:tcW w:w="2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260" w:type="dxa"/>
            <w:vAlign w:val="bottom"/>
            <w:shd w:val="clear" w:color="auto" w:fill="DBDBDB"/>
          </w:tcPr>
          <w:p>
            <w:pPr>
              <w:ind w:left="20"/>
              <w:spacing w:after="0"/>
              <w:rPr>
                <w:sz w:val="20"/>
                <w:szCs w:val="20"/>
                <w:color w:val="auto"/>
              </w:rPr>
            </w:pPr>
            <w:r>
              <w:rPr>
                <w:rFonts w:ascii="Arial" w:cs="Arial" w:eastAsia="Arial" w:hAnsi="Arial"/>
                <w:sz w:val="16"/>
                <w:szCs w:val="16"/>
                <w:color w:val="auto"/>
              </w:rPr>
              <w:t>Joyce A. Mullen</w:t>
            </w:r>
            <w:r>
              <w:rPr>
                <w:rFonts w:ascii="Arial" w:cs="Arial" w:eastAsia="Arial" w:hAnsi="Arial"/>
                <w:sz w:val="21"/>
                <w:szCs w:val="21"/>
                <w:color w:val="auto"/>
                <w:vertAlign w:val="superscript"/>
              </w:rPr>
              <w:t>8</w:t>
            </w:r>
          </w:p>
        </w:tc>
        <w:tc>
          <w:tcPr>
            <w:tcW w:w="22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108,000</w:t>
            </w:r>
          </w:p>
        </w:tc>
        <w:tc>
          <w:tcPr>
            <w:tcW w:w="17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98,708</w:t>
            </w:r>
          </w:p>
        </w:tc>
        <w:tc>
          <w:tcPr>
            <w:tcW w:w="180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54,976</w:t>
            </w:r>
          </w:p>
        </w:tc>
        <w:tc>
          <w:tcPr>
            <w:tcW w:w="1860" w:type="dxa"/>
            <w:vAlign w:val="bottom"/>
            <w:shd w:val="clear" w:color="auto" w:fill="DBDBDB"/>
          </w:tcPr>
          <w:p>
            <w:pPr>
              <w:spacing w:after="0"/>
              <w:rPr>
                <w:sz w:val="22"/>
                <w:szCs w:val="2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261,684</w:t>
            </w:r>
          </w:p>
        </w:tc>
        <w:tc>
          <w:tcPr>
            <w:tcW w:w="0" w:type="dxa"/>
            <w:vAlign w:val="bottom"/>
          </w:tcPr>
          <w:p>
            <w:pPr>
              <w:spacing w:after="0"/>
              <w:rPr>
                <w:sz w:val="1"/>
                <w:szCs w:val="1"/>
                <w:color w:val="auto"/>
              </w:rPr>
            </w:pPr>
          </w:p>
        </w:tc>
      </w:tr>
      <w:tr>
        <w:trPr>
          <w:trHeight w:val="215"/>
        </w:trPr>
        <w:tc>
          <w:tcPr>
            <w:tcW w:w="2260" w:type="dxa"/>
            <w:vAlign w:val="bottom"/>
          </w:tcPr>
          <w:p>
            <w:pPr>
              <w:ind w:left="20"/>
              <w:spacing w:after="0"/>
              <w:rPr>
                <w:sz w:val="20"/>
                <w:szCs w:val="20"/>
                <w:color w:val="auto"/>
              </w:rPr>
            </w:pPr>
            <w:r>
              <w:rPr>
                <w:rFonts w:ascii="Arial" w:cs="Arial" w:eastAsia="Arial" w:hAnsi="Arial"/>
                <w:sz w:val="16"/>
                <w:szCs w:val="16"/>
                <w:color w:val="auto"/>
              </w:rPr>
              <w:t>James C. O'Rourke</w:t>
            </w:r>
          </w:p>
        </w:tc>
        <w:tc>
          <w:tcPr>
            <w:tcW w:w="2220" w:type="dxa"/>
            <w:vAlign w:val="bottom"/>
          </w:tcPr>
          <w:p>
            <w:pPr>
              <w:jc w:val="right"/>
              <w:ind w:right="139"/>
              <w:spacing w:after="0"/>
              <w:rPr>
                <w:sz w:val="20"/>
                <w:szCs w:val="20"/>
                <w:color w:val="auto"/>
              </w:rPr>
            </w:pPr>
            <w:r>
              <w:rPr>
                <w:rFonts w:ascii="Arial" w:cs="Arial" w:eastAsia="Arial" w:hAnsi="Arial"/>
                <w:sz w:val="16"/>
                <w:szCs w:val="16"/>
                <w:color w:val="auto"/>
              </w:rPr>
              <w:t>123,000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98,708</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54,976</w:t>
            </w:r>
          </w:p>
        </w:tc>
        <w:tc>
          <w:tcPr>
            <w:tcW w:w="1860" w:type="dxa"/>
            <w:vAlign w:val="bottom"/>
          </w:tcPr>
          <w:p>
            <w:pPr>
              <w:jc w:val="right"/>
              <w:ind w:right="179"/>
              <w:spacing w:after="0"/>
              <w:rPr>
                <w:sz w:val="20"/>
                <w:szCs w:val="20"/>
                <w:color w:val="auto"/>
              </w:rPr>
            </w:pPr>
            <w:r>
              <w:rPr>
                <w:rFonts w:ascii="Arial" w:cs="Arial" w:eastAsia="Arial" w:hAnsi="Arial"/>
                <w:sz w:val="16"/>
                <w:szCs w:val="16"/>
                <w:color w:val="auto"/>
              </w:rPr>
              <w:t>304</w:t>
            </w:r>
          </w:p>
        </w:tc>
        <w:tc>
          <w:tcPr>
            <w:tcW w:w="1000" w:type="dxa"/>
            <w:vAlign w:val="bottom"/>
          </w:tcPr>
          <w:p>
            <w:pPr>
              <w:jc w:val="right"/>
              <w:spacing w:after="0"/>
              <w:rPr>
                <w:sz w:val="20"/>
                <w:szCs w:val="20"/>
                <w:color w:val="auto"/>
              </w:rPr>
            </w:pPr>
            <w:r>
              <w:rPr>
                <w:rFonts w:ascii="Arial" w:cs="Arial" w:eastAsia="Arial" w:hAnsi="Arial"/>
                <w:sz w:val="16"/>
                <w:szCs w:val="16"/>
                <w:color w:val="auto"/>
              </w:rPr>
              <w:t>276,988</w:t>
            </w:r>
          </w:p>
        </w:tc>
        <w:tc>
          <w:tcPr>
            <w:tcW w:w="0" w:type="dxa"/>
            <w:vAlign w:val="bottom"/>
          </w:tcPr>
          <w:p>
            <w:pPr>
              <w:spacing w:after="0"/>
              <w:rPr>
                <w:sz w:val="1"/>
                <w:szCs w:val="1"/>
                <w:color w:val="auto"/>
              </w:rPr>
            </w:pPr>
          </w:p>
        </w:tc>
      </w:tr>
      <w:tr>
        <w:trPr>
          <w:trHeight w:val="28"/>
        </w:trPr>
        <w:tc>
          <w:tcPr>
            <w:tcW w:w="2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260" w:type="dxa"/>
            <w:vAlign w:val="bottom"/>
            <w:shd w:val="clear" w:color="auto" w:fill="DBDBDB"/>
          </w:tcPr>
          <w:p>
            <w:pPr>
              <w:ind w:left="20"/>
              <w:spacing w:after="0"/>
              <w:rPr>
                <w:sz w:val="20"/>
                <w:szCs w:val="20"/>
                <w:color w:val="auto"/>
              </w:rPr>
            </w:pPr>
            <w:r>
              <w:rPr>
                <w:rFonts w:ascii="Arial" w:cs="Arial" w:eastAsia="Arial" w:hAnsi="Arial"/>
                <w:sz w:val="16"/>
                <w:szCs w:val="16"/>
                <w:color w:val="auto"/>
              </w:rPr>
              <w:t>Jill M. Pemberton</w:t>
            </w:r>
            <w:r>
              <w:rPr>
                <w:rFonts w:ascii="Arial" w:cs="Arial" w:eastAsia="Arial" w:hAnsi="Arial"/>
                <w:sz w:val="21"/>
                <w:szCs w:val="21"/>
                <w:color w:val="auto"/>
                <w:vertAlign w:val="superscript"/>
              </w:rPr>
              <w:t>8</w:t>
            </w:r>
          </w:p>
        </w:tc>
        <w:tc>
          <w:tcPr>
            <w:tcW w:w="22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113,500</w:t>
            </w:r>
          </w:p>
        </w:tc>
        <w:tc>
          <w:tcPr>
            <w:tcW w:w="17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98,708</w:t>
            </w:r>
          </w:p>
        </w:tc>
        <w:tc>
          <w:tcPr>
            <w:tcW w:w="180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54,976</w:t>
            </w:r>
          </w:p>
        </w:tc>
        <w:tc>
          <w:tcPr>
            <w:tcW w:w="1860" w:type="dxa"/>
            <w:vAlign w:val="bottom"/>
            <w:shd w:val="clear" w:color="auto" w:fill="DBDBDB"/>
          </w:tcPr>
          <w:p>
            <w:pPr>
              <w:spacing w:after="0"/>
              <w:rPr>
                <w:sz w:val="22"/>
                <w:szCs w:val="2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267,184</w:t>
            </w:r>
          </w:p>
        </w:tc>
        <w:tc>
          <w:tcPr>
            <w:tcW w:w="0" w:type="dxa"/>
            <w:vAlign w:val="bottom"/>
          </w:tcPr>
          <w:p>
            <w:pPr>
              <w:spacing w:after="0"/>
              <w:rPr>
                <w:sz w:val="1"/>
                <w:szCs w:val="1"/>
                <w:color w:val="auto"/>
              </w:rPr>
            </w:pPr>
          </w:p>
        </w:tc>
      </w:tr>
      <w:tr>
        <w:trPr>
          <w:trHeight w:val="298"/>
        </w:trPr>
        <w:tc>
          <w:tcPr>
            <w:tcW w:w="2260" w:type="dxa"/>
            <w:vAlign w:val="bottom"/>
          </w:tcPr>
          <w:p>
            <w:pPr>
              <w:ind w:left="20"/>
              <w:spacing w:after="0"/>
              <w:rPr>
                <w:sz w:val="20"/>
                <w:szCs w:val="20"/>
                <w:color w:val="auto"/>
              </w:rPr>
            </w:pPr>
            <w:r>
              <w:rPr>
                <w:rFonts w:ascii="Arial" w:cs="Arial" w:eastAsia="Arial" w:hAnsi="Arial"/>
                <w:sz w:val="16"/>
                <w:szCs w:val="16"/>
                <w:color w:val="auto"/>
              </w:rPr>
              <w:t>Michael G. Vale</w:t>
            </w:r>
            <w:r>
              <w:rPr>
                <w:rFonts w:ascii="Arial" w:cs="Arial" w:eastAsia="Arial" w:hAnsi="Arial"/>
                <w:sz w:val="21"/>
                <w:szCs w:val="21"/>
                <w:color w:val="auto"/>
                <w:vertAlign w:val="superscript"/>
              </w:rPr>
              <w:t>10</w:t>
            </w:r>
          </w:p>
        </w:tc>
        <w:tc>
          <w:tcPr>
            <w:tcW w:w="2220" w:type="dxa"/>
            <w:vAlign w:val="bottom"/>
          </w:tcPr>
          <w:p>
            <w:pPr>
              <w:jc w:val="right"/>
              <w:ind w:right="139"/>
              <w:spacing w:after="0"/>
              <w:rPr>
                <w:sz w:val="20"/>
                <w:szCs w:val="20"/>
                <w:color w:val="auto"/>
              </w:rPr>
            </w:pPr>
            <w:r>
              <w:rPr>
                <w:rFonts w:ascii="Arial" w:cs="Arial" w:eastAsia="Arial" w:hAnsi="Arial"/>
                <w:sz w:val="16"/>
                <w:szCs w:val="16"/>
                <w:color w:val="auto"/>
              </w:rPr>
              <w:t>85,125</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98,708</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54,976</w:t>
            </w:r>
          </w:p>
        </w:tc>
        <w:tc>
          <w:tcPr>
            <w:tcW w:w="18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238,809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9888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216" w:lineRule="exact"/>
        <w:rPr>
          <w:sz w:val="20"/>
          <w:szCs w:val="20"/>
          <w:color w:val="auto"/>
        </w:rPr>
      </w:pPr>
    </w:p>
    <w:p>
      <w:pPr>
        <w:ind w:left="340" w:hanging="332"/>
        <w:spacing w:after="0" w:line="256" w:lineRule="auto"/>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Unless a director elected to defer receipt or convert a portion or all of his or her annual retainers into shares of our common stock, annual retainers were paid in cash at the beginning of each fiscal quarter.</w:t>
      </w:r>
    </w:p>
    <w:p>
      <w:pPr>
        <w:spacing w:after="0" w:line="3" w:lineRule="exact"/>
        <w:rPr>
          <w:rFonts w:ascii="Arial" w:cs="Arial" w:eastAsia="Arial" w:hAnsi="Arial"/>
          <w:sz w:val="18"/>
          <w:szCs w:val="18"/>
          <w:color w:val="auto"/>
        </w:rPr>
      </w:pPr>
    </w:p>
    <w:p>
      <w:pPr>
        <w:ind w:left="340" w:right="260" w:hanging="332"/>
        <w:spacing w:after="0" w:line="245" w:lineRule="auto"/>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directors elected to convert all or a portion of their calendar 2023 cash retainers into shares of our common stock, which number of shares received was based on the closing price of our common stock on December 15, 2023, of $87.40: Mr. Koch—1,235 shares; and Ms. Pemberton—1,298 shares.</w:t>
      </w:r>
    </w:p>
    <w:p>
      <w:pPr>
        <w:spacing w:after="0" w:line="14" w:lineRule="exact"/>
        <w:rPr>
          <w:rFonts w:ascii="Arial" w:cs="Arial" w:eastAsia="Arial" w:hAnsi="Arial"/>
          <w:sz w:val="18"/>
          <w:szCs w:val="18"/>
          <w:color w:val="auto"/>
        </w:rPr>
      </w:pPr>
    </w:p>
    <w:p>
      <w:pPr>
        <w:ind w:left="340" w:right="40" w:hanging="332"/>
        <w:spacing w:after="0" w:line="236" w:lineRule="auto"/>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November 1, 2022, 939 shares of our common stock were granted to each non-employee director with the calculation as to the number of shares based on the average of the closing prices of our common stock during the three months prior to the grant, which was $90.47. However, the amount reported in the table represents the grant date fair value of $105.12, the closing price on the grant date, computed in accordance with Financial Accounting Standards Board (FASB) Accounting Standard Codification (ASC) Topic 718. These stock awards were the only stock awards granted to directors during fiscal 2023. As of October 31, 2023, no directors held any restricted stock or other unvested stock awards.</w:t>
      </w:r>
    </w:p>
    <w:p>
      <w:pPr>
        <w:spacing w:after="0" w:line="20" w:lineRule="exact"/>
        <w:rPr>
          <w:rFonts w:ascii="Arial" w:cs="Arial" w:eastAsia="Arial" w:hAnsi="Arial"/>
          <w:sz w:val="18"/>
          <w:szCs w:val="18"/>
          <w:color w:val="auto"/>
        </w:rPr>
      </w:pPr>
    </w:p>
    <w:p>
      <w:pPr>
        <w:jc w:val="both"/>
        <w:ind w:left="340" w:right="180" w:hanging="332"/>
        <w:spacing w:after="0" w:line="245" w:lineRule="auto"/>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November 1, 2022, a stock option to purchase 1,670 shares of our common stock was granted to each non-employee director. The amount reported in the table represents the grant date fair value computed in accordance with FASB ASC Topic 718. The following is a summary of the specific assumptions used in the valuation of the option awards:</w:t>
      </w:r>
    </w:p>
    <w:p>
      <w:pPr>
        <w:spacing w:after="0" w:line="6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440" w:type="dxa"/>
            <w:vAlign w:val="bottom"/>
            <w:vMerge w:val="restart"/>
            <w:shd w:val="clear" w:color="auto" w:fill="BF2115"/>
          </w:tcPr>
          <w:p>
            <w:pPr>
              <w:ind w:left="20"/>
              <w:spacing w:after="0"/>
              <w:rPr>
                <w:sz w:val="20"/>
                <w:szCs w:val="20"/>
                <w:color w:val="auto"/>
              </w:rPr>
            </w:pPr>
            <w:r>
              <w:rPr>
                <w:rFonts w:ascii="Arial" w:cs="Arial" w:eastAsia="Arial" w:hAnsi="Arial"/>
                <w:sz w:val="14"/>
                <w:szCs w:val="14"/>
                <w:b w:val="1"/>
                <w:bCs w:val="1"/>
                <w:color w:val="FFFFFF"/>
              </w:rPr>
              <w:t>Grant Date</w:t>
            </w:r>
          </w:p>
        </w:tc>
        <w:tc>
          <w:tcPr>
            <w:tcW w:w="2020" w:type="dxa"/>
            <w:vAlign w:val="bottom"/>
            <w:vMerge w:val="restart"/>
            <w:shd w:val="clear" w:color="auto" w:fill="BF2115"/>
          </w:tcPr>
          <w:p>
            <w:pPr>
              <w:jc w:val="center"/>
              <w:ind w:left="179"/>
              <w:spacing w:after="0"/>
              <w:rPr>
                <w:sz w:val="20"/>
                <w:szCs w:val="20"/>
                <w:color w:val="auto"/>
              </w:rPr>
            </w:pPr>
            <w:r>
              <w:rPr>
                <w:rFonts w:ascii="Arial" w:cs="Arial" w:eastAsia="Arial" w:hAnsi="Arial"/>
                <w:sz w:val="14"/>
                <w:szCs w:val="14"/>
                <w:color w:val="FFFFFF"/>
              </w:rPr>
              <w:t>Risk Free Rate</w:t>
            </w:r>
          </w:p>
        </w:tc>
        <w:tc>
          <w:tcPr>
            <w:tcW w:w="1640" w:type="dxa"/>
            <w:vAlign w:val="bottom"/>
            <w:vMerge w:val="restart"/>
            <w:shd w:val="clear" w:color="auto" w:fill="BF2115"/>
          </w:tcPr>
          <w:p>
            <w:pPr>
              <w:jc w:val="center"/>
              <w:spacing w:after="0"/>
              <w:rPr>
                <w:sz w:val="20"/>
                <w:szCs w:val="20"/>
                <w:color w:val="auto"/>
              </w:rPr>
            </w:pPr>
            <w:r>
              <w:rPr>
                <w:rFonts w:ascii="Arial" w:cs="Arial" w:eastAsia="Arial" w:hAnsi="Arial"/>
                <w:sz w:val="14"/>
                <w:szCs w:val="14"/>
                <w:color w:val="FFFFFF"/>
              </w:rPr>
              <w:t>Expected Life</w:t>
            </w:r>
          </w:p>
        </w:tc>
        <w:tc>
          <w:tcPr>
            <w:tcW w:w="1720" w:type="dxa"/>
            <w:vAlign w:val="bottom"/>
            <w:vMerge w:val="restart"/>
            <w:shd w:val="clear" w:color="auto" w:fill="BF2115"/>
          </w:tcPr>
          <w:p>
            <w:pPr>
              <w:jc w:val="center"/>
              <w:ind w:left="99"/>
              <w:spacing w:after="0"/>
              <w:rPr>
                <w:sz w:val="20"/>
                <w:szCs w:val="20"/>
                <w:color w:val="auto"/>
              </w:rPr>
            </w:pPr>
            <w:r>
              <w:rPr>
                <w:rFonts w:ascii="Arial" w:cs="Arial" w:eastAsia="Arial" w:hAnsi="Arial"/>
                <w:sz w:val="14"/>
                <w:szCs w:val="14"/>
                <w:color w:val="FFFFFF"/>
              </w:rPr>
              <w:t>Expected Volatility</w:t>
            </w:r>
          </w:p>
        </w:tc>
        <w:tc>
          <w:tcPr>
            <w:tcW w:w="1820" w:type="dxa"/>
            <w:vAlign w:val="bottom"/>
            <w:vMerge w:val="restart"/>
            <w:shd w:val="clear" w:color="auto" w:fill="BF2115"/>
          </w:tcPr>
          <w:p>
            <w:pPr>
              <w:jc w:val="center"/>
              <w:ind w:left="39"/>
              <w:spacing w:after="0"/>
              <w:rPr>
                <w:sz w:val="20"/>
                <w:szCs w:val="20"/>
                <w:color w:val="auto"/>
              </w:rPr>
            </w:pPr>
            <w:r>
              <w:rPr>
                <w:rFonts w:ascii="Arial" w:cs="Arial" w:eastAsia="Arial" w:hAnsi="Arial"/>
                <w:sz w:val="14"/>
                <w:szCs w:val="14"/>
                <w:color w:val="FFFFFF"/>
              </w:rPr>
              <w:t>Expected Dividend Yield</w:t>
            </w:r>
          </w:p>
        </w:tc>
        <w:tc>
          <w:tcPr>
            <w:tcW w:w="176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Per Share Black-Scholes</w:t>
            </w:r>
          </w:p>
        </w:tc>
        <w:tc>
          <w:tcPr>
            <w:tcW w:w="0" w:type="dxa"/>
            <w:vAlign w:val="bottom"/>
          </w:tcPr>
          <w:p>
            <w:pPr>
              <w:spacing w:after="0"/>
              <w:rPr>
                <w:sz w:val="1"/>
                <w:szCs w:val="1"/>
                <w:color w:val="auto"/>
              </w:rPr>
            </w:pPr>
          </w:p>
        </w:tc>
      </w:tr>
      <w:tr>
        <w:trPr>
          <w:trHeight w:val="185"/>
        </w:trPr>
        <w:tc>
          <w:tcPr>
            <w:tcW w:w="1440" w:type="dxa"/>
            <w:vAlign w:val="bottom"/>
            <w:vMerge w:val="continue"/>
            <w:shd w:val="clear" w:color="auto" w:fill="BF2115"/>
          </w:tcPr>
          <w:p>
            <w:pPr>
              <w:spacing w:after="0"/>
              <w:rPr>
                <w:sz w:val="16"/>
                <w:szCs w:val="16"/>
                <w:color w:val="auto"/>
              </w:rPr>
            </w:pPr>
          </w:p>
        </w:tc>
        <w:tc>
          <w:tcPr>
            <w:tcW w:w="2020" w:type="dxa"/>
            <w:vAlign w:val="bottom"/>
            <w:vMerge w:val="continue"/>
            <w:shd w:val="clear" w:color="auto" w:fill="BF2115"/>
          </w:tcPr>
          <w:p>
            <w:pPr>
              <w:spacing w:after="0"/>
              <w:rPr>
                <w:sz w:val="16"/>
                <w:szCs w:val="16"/>
                <w:color w:val="auto"/>
              </w:rPr>
            </w:pPr>
          </w:p>
        </w:tc>
        <w:tc>
          <w:tcPr>
            <w:tcW w:w="1640" w:type="dxa"/>
            <w:vAlign w:val="bottom"/>
            <w:vMerge w:val="continue"/>
            <w:shd w:val="clear" w:color="auto" w:fill="BF2115"/>
          </w:tcPr>
          <w:p>
            <w:pPr>
              <w:spacing w:after="0"/>
              <w:rPr>
                <w:sz w:val="16"/>
                <w:szCs w:val="16"/>
                <w:color w:val="auto"/>
              </w:rPr>
            </w:pPr>
          </w:p>
        </w:tc>
        <w:tc>
          <w:tcPr>
            <w:tcW w:w="1720" w:type="dxa"/>
            <w:vAlign w:val="bottom"/>
            <w:vMerge w:val="continue"/>
            <w:shd w:val="clear" w:color="auto" w:fill="BF2115"/>
          </w:tcPr>
          <w:p>
            <w:pPr>
              <w:spacing w:after="0"/>
              <w:rPr>
                <w:sz w:val="16"/>
                <w:szCs w:val="16"/>
                <w:color w:val="auto"/>
              </w:rPr>
            </w:pPr>
          </w:p>
        </w:tc>
        <w:tc>
          <w:tcPr>
            <w:tcW w:w="1820" w:type="dxa"/>
            <w:vAlign w:val="bottom"/>
            <w:vMerge w:val="continue"/>
            <w:shd w:val="clear" w:color="auto" w:fill="BF2115"/>
          </w:tcPr>
          <w:p>
            <w:pPr>
              <w:spacing w:after="0"/>
              <w:rPr>
                <w:sz w:val="16"/>
                <w:szCs w:val="16"/>
                <w:color w:val="auto"/>
              </w:rPr>
            </w:pPr>
          </w:p>
        </w:tc>
        <w:tc>
          <w:tcPr>
            <w:tcW w:w="1760" w:type="dxa"/>
            <w:vAlign w:val="bottom"/>
            <w:shd w:val="clear" w:color="auto" w:fill="BF2115"/>
          </w:tcPr>
          <w:p>
            <w:pPr>
              <w:jc w:val="center"/>
              <w:spacing w:after="0"/>
              <w:rPr>
                <w:sz w:val="20"/>
                <w:szCs w:val="20"/>
                <w:color w:val="auto"/>
              </w:rPr>
            </w:pPr>
            <w:r>
              <w:rPr>
                <w:rFonts w:ascii="Arial" w:cs="Arial" w:eastAsia="Arial" w:hAnsi="Arial"/>
                <w:sz w:val="14"/>
                <w:szCs w:val="14"/>
                <w:color w:val="FFFFFF"/>
                <w:w w:val="94"/>
              </w:rPr>
              <w:t>Value</w:t>
            </w:r>
          </w:p>
        </w:tc>
        <w:tc>
          <w:tcPr>
            <w:tcW w:w="0" w:type="dxa"/>
            <w:vAlign w:val="bottom"/>
          </w:tcPr>
          <w:p>
            <w:pPr>
              <w:spacing w:after="0"/>
              <w:rPr>
                <w:sz w:val="1"/>
                <w:szCs w:val="1"/>
                <w:color w:val="auto"/>
              </w:rPr>
            </w:pPr>
          </w:p>
        </w:tc>
      </w:tr>
      <w:tr>
        <w:trPr>
          <w:trHeight w:val="247"/>
        </w:trPr>
        <w:tc>
          <w:tcPr>
            <w:tcW w:w="1440" w:type="dxa"/>
            <w:vAlign w:val="bottom"/>
          </w:tcPr>
          <w:p>
            <w:pPr>
              <w:ind w:left="20"/>
              <w:spacing w:after="0"/>
              <w:rPr>
                <w:sz w:val="20"/>
                <w:szCs w:val="20"/>
                <w:color w:val="auto"/>
              </w:rPr>
            </w:pPr>
            <w:r>
              <w:rPr>
                <w:rFonts w:ascii="Arial" w:cs="Arial" w:eastAsia="Arial" w:hAnsi="Arial"/>
                <w:sz w:val="18"/>
                <w:szCs w:val="18"/>
                <w:color w:val="auto"/>
              </w:rPr>
              <w:t>11/1/2022</w:t>
            </w:r>
          </w:p>
        </w:tc>
        <w:tc>
          <w:tcPr>
            <w:tcW w:w="2020" w:type="dxa"/>
            <w:vAlign w:val="bottom"/>
          </w:tcPr>
          <w:p>
            <w:pPr>
              <w:jc w:val="right"/>
              <w:ind w:right="559"/>
              <w:spacing w:after="0"/>
              <w:rPr>
                <w:sz w:val="20"/>
                <w:szCs w:val="20"/>
                <w:color w:val="auto"/>
              </w:rPr>
            </w:pPr>
            <w:r>
              <w:rPr>
                <w:rFonts w:ascii="Arial" w:cs="Arial" w:eastAsia="Arial" w:hAnsi="Arial"/>
                <w:sz w:val="18"/>
                <w:szCs w:val="18"/>
                <w:color w:val="auto"/>
              </w:rPr>
              <w:t>4.20%</w:t>
            </w:r>
          </w:p>
        </w:tc>
        <w:tc>
          <w:tcPr>
            <w:tcW w:w="1640" w:type="dxa"/>
            <w:vAlign w:val="bottom"/>
          </w:tcPr>
          <w:p>
            <w:pPr>
              <w:jc w:val="right"/>
              <w:ind w:right="579"/>
              <w:spacing w:after="0"/>
              <w:rPr>
                <w:sz w:val="20"/>
                <w:szCs w:val="20"/>
                <w:color w:val="auto"/>
              </w:rPr>
            </w:pPr>
            <w:r>
              <w:rPr>
                <w:rFonts w:ascii="Arial" w:cs="Arial" w:eastAsia="Arial" w:hAnsi="Arial"/>
                <w:sz w:val="18"/>
                <w:szCs w:val="18"/>
                <w:color w:val="auto"/>
              </w:rPr>
              <w:t>6.6</w:t>
            </w:r>
          </w:p>
        </w:tc>
        <w:tc>
          <w:tcPr>
            <w:tcW w:w="1720" w:type="dxa"/>
            <w:vAlign w:val="bottom"/>
          </w:tcPr>
          <w:p>
            <w:pPr>
              <w:jc w:val="right"/>
              <w:ind w:right="379"/>
              <w:spacing w:after="0"/>
              <w:rPr>
                <w:sz w:val="20"/>
                <w:szCs w:val="20"/>
                <w:color w:val="auto"/>
              </w:rPr>
            </w:pPr>
            <w:r>
              <w:rPr>
                <w:rFonts w:ascii="Arial" w:cs="Arial" w:eastAsia="Arial" w:hAnsi="Arial"/>
                <w:sz w:val="18"/>
                <w:szCs w:val="18"/>
                <w:color w:val="auto"/>
              </w:rPr>
              <w:t>24.87%</w:t>
            </w:r>
          </w:p>
        </w:tc>
        <w:tc>
          <w:tcPr>
            <w:tcW w:w="1820" w:type="dxa"/>
            <w:vAlign w:val="bottom"/>
          </w:tcPr>
          <w:p>
            <w:pPr>
              <w:jc w:val="right"/>
              <w:ind w:right="519"/>
              <w:spacing w:after="0"/>
              <w:rPr>
                <w:sz w:val="20"/>
                <w:szCs w:val="20"/>
                <w:color w:val="auto"/>
              </w:rPr>
            </w:pPr>
            <w:r>
              <w:rPr>
                <w:rFonts w:ascii="Arial" w:cs="Arial" w:eastAsia="Arial" w:hAnsi="Arial"/>
                <w:sz w:val="18"/>
                <w:szCs w:val="18"/>
                <w:color w:val="auto"/>
              </w:rPr>
              <w:t>0.98%</w:t>
            </w: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$32.92</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exercise price per share is $105.12, which is equal to 100% of the fair market value of our common stock on the grant date,</w:t>
      </w:r>
    </w:p>
    <w:p>
      <w:pPr>
        <w:spacing w:after="0" w:line="14" w:lineRule="exact"/>
        <w:rPr>
          <w:sz w:val="20"/>
          <w:szCs w:val="20"/>
          <w:color w:val="auto"/>
        </w:rPr>
      </w:pPr>
    </w:p>
    <w:p>
      <w:pPr>
        <w:ind w:left="340" w:right="400"/>
        <w:spacing w:after="0"/>
        <w:rPr>
          <w:sz w:val="20"/>
          <w:szCs w:val="20"/>
          <w:color w:val="auto"/>
        </w:rPr>
      </w:pPr>
      <w:r>
        <w:rPr>
          <w:rFonts w:ascii="Arial" w:cs="Arial" w:eastAsia="Arial" w:hAnsi="Arial"/>
          <w:sz w:val="17"/>
          <w:szCs w:val="17"/>
          <w:color w:val="auto"/>
        </w:rPr>
        <w:t>determined by the closing price on that date.The actual value of the stock option awards, if any, to be realized by a director depends upon whether the price of our common stock at exercise is greater than the exercise price on the stock options. These stock option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awards were the only stock option awards granted to directors during fiscal 2023.</w:t>
      </w:r>
    </w:p>
    <w:p>
      <w:pPr>
        <w:spacing w:after="0" w:line="18" w:lineRule="exact"/>
        <w:rPr>
          <w:sz w:val="20"/>
          <w:szCs w:val="20"/>
          <w:color w:val="auto"/>
        </w:rPr>
      </w:pPr>
    </w:p>
    <w:p>
      <w:pPr>
        <w:jc w:val="both"/>
        <w:ind w:left="340" w:right="40" w:hanging="332"/>
        <w:spacing w:after="0" w:line="253" w:lineRule="auto"/>
        <w:tabs>
          <w:tab w:leader="none" w:pos="3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of October 31, 2023, the aggregate number of stock options (exercisable and unexercisable) held by each director who served during all or part of fiscal 2023 was as follows: Ms. Cooper—24,106; Mr. Ellis—34,336; Mr. Ettinger—34,336; Mr. Hansotia—1,670; Ms. Harless —34,336; Mr. Harmening—10,827; Mr. Koch—</w:t>
      </w:r>
    </w:p>
    <w:p>
      <w:pPr>
        <w:sectPr>
          <w:pgSz w:w="11900" w:h="16838" w:orient="portrait"/>
          <w:cols w:equalWidth="0" w:num="1">
            <w:col w:w="11220"/>
          </w:cols>
          <w:pgMar w:left="320" w:top="110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type w:val="continuous"/>
        </w:sectPr>
      </w:pPr>
    </w:p>
    <w:bookmarkStart w:id="36" w:name="page37"/>
    <w:bookmarkEnd w:id="36"/>
    <w:p>
      <w:pPr>
        <w:ind w:left="332"/>
        <w:spacing w:after="0"/>
        <w:rPr>
          <w:sz w:val="20"/>
          <w:szCs w:val="20"/>
          <w:color w:val="auto"/>
        </w:rPr>
      </w:pPr>
      <w:r>
        <w:rPr>
          <w:rFonts w:ascii="Arial" w:cs="Arial" w:eastAsia="Arial" w:hAnsi="Arial"/>
          <w:sz w:val="18"/>
          <w:szCs w:val="18"/>
          <w:color w:val="auto"/>
        </w:rPr>
        <w:t>24,106; Ms. Mullen—10,827; Mr. O'Rourke—29,144; Ms. Pemberton—1,670; and Dr. Vale—zero. These numbers are different from the</w:t>
      </w:r>
    </w:p>
    <w:p>
      <w:pPr>
        <w:spacing w:after="0" w:line="14" w:lineRule="exact"/>
        <w:rPr>
          <w:sz w:val="20"/>
          <w:szCs w:val="20"/>
          <w:color w:val="auto"/>
        </w:rPr>
      </w:pPr>
    </w:p>
    <w:p>
      <w:pPr>
        <w:ind w:left="332" w:right="100"/>
        <w:spacing w:after="0"/>
        <w:rPr>
          <w:sz w:val="20"/>
          <w:szCs w:val="20"/>
          <w:color w:val="auto"/>
        </w:rPr>
      </w:pPr>
      <w:r>
        <w:rPr>
          <w:rFonts w:ascii="Arial" w:cs="Arial" w:eastAsia="Arial" w:hAnsi="Arial"/>
          <w:sz w:val="17"/>
          <w:szCs w:val="17"/>
          <w:color w:val="auto"/>
        </w:rPr>
        <w:t>numbers set forth in the Stock Options column in footnote 2. to the Directors and Executive Officers stock ownership table which (i) sets forth information as of January 22, 2024 and (ii) does not include options that will become exercisable more than 60 days after January</w:t>
      </w:r>
    </w:p>
    <w:p>
      <w:pPr>
        <w:spacing w:after="0" w:line="1" w:lineRule="exact"/>
        <w:rPr>
          <w:sz w:val="20"/>
          <w:szCs w:val="20"/>
          <w:color w:val="auto"/>
        </w:rPr>
      </w:pPr>
    </w:p>
    <w:p>
      <w:pPr>
        <w:ind w:left="332"/>
        <w:spacing w:after="0"/>
        <w:rPr>
          <w:sz w:val="20"/>
          <w:szCs w:val="20"/>
          <w:color w:val="auto"/>
        </w:rPr>
      </w:pPr>
      <w:r>
        <w:rPr>
          <w:rFonts w:ascii="Arial" w:cs="Arial" w:eastAsia="Arial" w:hAnsi="Arial"/>
          <w:sz w:val="18"/>
          <w:szCs w:val="18"/>
          <w:color w:val="auto"/>
        </w:rPr>
        <w:t>22, 2024.</w:t>
      </w:r>
    </w:p>
    <w:p>
      <w:pPr>
        <w:spacing w:after="0" w:line="32" w:lineRule="exact"/>
        <w:rPr>
          <w:sz w:val="20"/>
          <w:szCs w:val="20"/>
          <w:color w:val="auto"/>
        </w:rPr>
      </w:pPr>
    </w:p>
    <w:p>
      <w:pPr>
        <w:ind w:left="332" w:right="120" w:hanging="332"/>
        <w:spacing w:after="0" w:line="245"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generally do not provide perquisites and other personal benefits to our non-employee directors, other than Company products for personal use and occasional travel for guests of non-employee directors and officers. The amount reported for each of Ms. Harless and Mr. O'Rourke includes the value of products, parts, service or accessories, as described under Company Products above.</w:t>
      </w:r>
    </w:p>
    <w:p>
      <w:pPr>
        <w:spacing w:after="0" w:line="14" w:lineRule="exact"/>
        <w:rPr>
          <w:rFonts w:ascii="Arial" w:cs="Arial" w:eastAsia="Arial" w:hAnsi="Arial"/>
          <w:sz w:val="18"/>
          <w:szCs w:val="18"/>
          <w:color w:val="auto"/>
        </w:rPr>
      </w:pPr>
    </w:p>
    <w:p>
      <w:pPr>
        <w:ind w:left="332" w:right="60" w:hanging="332"/>
        <w:spacing w:after="0" w:line="256"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Ettinger resigned from our Board effective May 23, 2023, in connection with his acceptance of the position of Interim President of the University of Minnesota.</w:t>
      </w:r>
    </w:p>
    <w:p>
      <w:pPr>
        <w:spacing w:after="0" w:line="3" w:lineRule="exact"/>
        <w:rPr>
          <w:rFonts w:ascii="Arial" w:cs="Arial" w:eastAsia="Arial" w:hAnsi="Arial"/>
          <w:sz w:val="18"/>
          <w:szCs w:val="18"/>
          <w:color w:val="auto"/>
        </w:rPr>
      </w:pPr>
    </w:p>
    <w:p>
      <w:pPr>
        <w:ind w:left="332" w:hanging="33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Under the Deferred Plan for Directors the following non-employee directors made deferral elections: Mr. Hansotia elected to defer receipt of his calendar 2022 retainers earned in fiscal 2023; Ms. Harless and Ms. Mullen elected to defer receipt of their (i) calendar 2022 and calendar 2023 retainers earned in fiscal 2023 and (ii) the annual stock award granted on November 1, 2022; Ms. Pemberton elected to defer receipt of her (a) calendar 2022 retainers earned in fiscal 2023 and (b) the annual stock award granted on November 1, 2022; and Dr. Vale elected to defer receipt of his (i) calendar 2023 retainers earned in fiscal 2023.</w:t>
      </w:r>
    </w:p>
    <w:p>
      <w:pPr>
        <w:spacing w:after="0" w:line="4" w:lineRule="exact"/>
        <w:rPr>
          <w:rFonts w:ascii="Arial" w:cs="Arial" w:eastAsia="Arial" w:hAnsi="Arial"/>
          <w:sz w:val="18"/>
          <w:szCs w:val="18"/>
          <w:color w:val="auto"/>
        </w:rPr>
      </w:pPr>
    </w:p>
    <w:p>
      <w:pPr>
        <w:ind w:left="312" w:hanging="312"/>
        <w:spacing w:after="0"/>
        <w:tabs>
          <w:tab w:leader="none" w:pos="312" w:val="left"/>
        </w:tabs>
        <w:numPr>
          <w:ilvl w:val="0"/>
          <w:numId w:val="51"/>
        </w:numPr>
        <w:rPr>
          <w:rFonts w:ascii="Arial" w:cs="Arial" w:eastAsia="Arial" w:hAnsi="Arial"/>
          <w:sz w:val="18"/>
          <w:szCs w:val="18"/>
          <w:color w:val="auto"/>
        </w:rPr>
      </w:pPr>
      <w:r>
        <w:rPr>
          <w:rFonts w:ascii="Arial" w:cs="Arial" w:eastAsia="Arial" w:hAnsi="Arial"/>
          <w:sz w:val="18"/>
          <w:szCs w:val="18"/>
          <w:color w:val="auto"/>
        </w:rPr>
        <w:t>Ms. Harless retired from our Board upon expiration of her term at our Annual Meeting of Shareholders held on March 21, 2023.</w:t>
      </w:r>
    </w:p>
    <w:p>
      <w:pPr>
        <w:spacing w:after="0" w:line="49" w:lineRule="exact"/>
        <w:rPr>
          <w:rFonts w:ascii="Arial" w:cs="Arial" w:eastAsia="Arial" w:hAnsi="Arial"/>
          <w:sz w:val="18"/>
          <w:szCs w:val="18"/>
          <w:color w:val="auto"/>
        </w:rPr>
      </w:pPr>
    </w:p>
    <w:p>
      <w:pPr>
        <w:ind w:left="312" w:hanging="312"/>
        <w:spacing w:after="0"/>
        <w:tabs>
          <w:tab w:leader="none" w:pos="312" w:val="left"/>
        </w:tabs>
        <w:numPr>
          <w:ilvl w:val="0"/>
          <w:numId w:val="51"/>
        </w:numPr>
        <w:rPr>
          <w:rFonts w:ascii="Arial" w:cs="Arial" w:eastAsia="Arial" w:hAnsi="Arial"/>
          <w:sz w:val="18"/>
          <w:szCs w:val="18"/>
          <w:color w:val="auto"/>
        </w:rPr>
      </w:pPr>
      <w:r>
        <w:rPr>
          <w:rFonts w:ascii="Arial" w:cs="Arial" w:eastAsia="Arial" w:hAnsi="Arial"/>
          <w:sz w:val="18"/>
          <w:szCs w:val="18"/>
          <w:color w:val="auto"/>
        </w:rPr>
        <w:t>Dr. Vale resigned from our Board on May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74930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106" w:right="379" w:bottom="1440" w:gutter="0" w:footer="0" w:header="0"/>
        </w:sectPr>
      </w:pPr>
    </w:p>
    <w:bookmarkStart w:id="37" w:name="page38"/>
    <w:bookmarkEnd w:id="37"/>
    <w:p>
      <w:pPr>
        <w:ind w:left="2840"/>
        <w:spacing w:after="0"/>
        <w:rPr>
          <w:sz w:val="20"/>
          <w:szCs w:val="20"/>
          <w:color w:val="auto"/>
        </w:rPr>
      </w:pPr>
      <w:r>
        <w:rPr>
          <w:rFonts w:ascii="Arial" w:cs="Arial" w:eastAsia="Arial" w:hAnsi="Arial"/>
          <w:sz w:val="22"/>
          <w:szCs w:val="22"/>
          <w:b w:val="1"/>
          <w:bCs w:val="1"/>
          <w:color w:val="FFFFFF"/>
        </w:rPr>
        <w:t>PROPOSAL TWO—RATIFICATION OF SELECTION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-158750</wp:posOffset>
            </wp:positionV>
            <wp:extent cx="7003415" cy="3517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03415" cy="351790"/>
                    </a:xfrm>
                    <a:prstGeom prst="rect">
                      <a:avLst/>
                    </a:prstGeom>
                    <a:noFill/>
                  </pic:spPr>
                </pic:pic>
              </a:graphicData>
            </a:graphic>
          </wp:anchor>
        </w:drawing>
      </w:r>
    </w:p>
    <w:p>
      <w:pPr>
        <w:ind w:left="2640"/>
        <w:spacing w:after="0"/>
        <w:rPr>
          <w:sz w:val="20"/>
          <w:szCs w:val="20"/>
          <w:color w:val="auto"/>
        </w:rPr>
      </w:pPr>
      <w:r>
        <w:rPr>
          <w:rFonts w:ascii="Arial" w:cs="Arial" w:eastAsia="Arial" w:hAnsi="Arial"/>
          <w:sz w:val="22"/>
          <w:szCs w:val="22"/>
          <w:b w:val="1"/>
          <w:bCs w:val="1"/>
          <w:color w:val="FFFFFF"/>
        </w:rPr>
        <w:t>INDEPENDENT REGISTERED PUBLIC ACCOUNTING FIRM</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Selection of Independent Registered Public Accounting Firm</w:t>
      </w:r>
    </w:p>
    <w:p>
      <w:pPr>
        <w:spacing w:after="0" w:line="99" w:lineRule="exact"/>
        <w:rPr>
          <w:sz w:val="20"/>
          <w:szCs w:val="20"/>
          <w:color w:val="auto"/>
        </w:rPr>
      </w:pPr>
    </w:p>
    <w:p>
      <w:pPr>
        <w:ind w:right="280" w:firstLine="324"/>
        <w:spacing w:after="0" w:line="251" w:lineRule="auto"/>
        <w:rPr>
          <w:sz w:val="20"/>
          <w:szCs w:val="20"/>
          <w:color w:val="auto"/>
        </w:rPr>
      </w:pPr>
      <w:r>
        <w:rPr>
          <w:rFonts w:ascii="Arial" w:cs="Arial" w:eastAsia="Arial" w:hAnsi="Arial"/>
          <w:sz w:val="17"/>
          <w:szCs w:val="17"/>
          <w:color w:val="auto"/>
        </w:rPr>
        <w:t>The Audit Committee selects our external auditor. In this regard, the Audit Committee evaluates the qualifications, performance and independence of our external auditor and determines whether to re-engage the current external auditor. As part of its evaluation, the Audit</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Committee considers, among other factors, the quality and efficiency of the services provided by the external auditor, including the performance, technical expertise, and industry knowledge of the lead audit partner and the audit team assigned to our account; the overall</w:t>
      </w:r>
    </w:p>
    <w:p>
      <w:pPr>
        <w:spacing w:after="0" w:line="236" w:lineRule="auto"/>
        <w:rPr>
          <w:sz w:val="20"/>
          <w:szCs w:val="20"/>
          <w:color w:val="auto"/>
        </w:rPr>
      </w:pPr>
      <w:r>
        <w:rPr>
          <w:rFonts w:ascii="Arial" w:cs="Arial" w:eastAsia="Arial" w:hAnsi="Arial"/>
          <w:sz w:val="18"/>
          <w:szCs w:val="18"/>
          <w:color w:val="auto"/>
        </w:rPr>
        <w:t>strength and reputation of the external audit firm; the external auditor's global capabilities relative to our business; the external auditor's</w:t>
      </w:r>
    </w:p>
    <w:p>
      <w:pPr>
        <w:spacing w:after="0" w:line="1" w:lineRule="exact"/>
        <w:rPr>
          <w:sz w:val="20"/>
          <w:szCs w:val="20"/>
          <w:color w:val="auto"/>
        </w:rPr>
      </w:pPr>
    </w:p>
    <w:p>
      <w:pPr>
        <w:ind w:right="660"/>
        <w:spacing w:after="0"/>
        <w:rPr>
          <w:sz w:val="20"/>
          <w:szCs w:val="20"/>
          <w:color w:val="auto"/>
        </w:rPr>
      </w:pPr>
      <w:r>
        <w:rPr>
          <w:rFonts w:ascii="Arial" w:cs="Arial" w:eastAsia="Arial" w:hAnsi="Arial"/>
          <w:sz w:val="17"/>
          <w:szCs w:val="17"/>
          <w:color w:val="auto"/>
        </w:rPr>
        <w:t>knowledge of our operations; and the external auditor's fees. Upon consideration of these and other factors, the Audit Committee has selected KPMG LLP, or KPMG, to serve as our external auditor for fiscal 2024. Although it is not required to do so, the Board, as it</w:t>
      </w:r>
    </w:p>
    <w:p>
      <w:pPr>
        <w:spacing w:after="0" w:line="235" w:lineRule="auto"/>
        <w:rPr>
          <w:sz w:val="20"/>
          <w:szCs w:val="20"/>
          <w:color w:val="auto"/>
        </w:rPr>
      </w:pPr>
      <w:r>
        <w:rPr>
          <w:rFonts w:ascii="Arial" w:cs="Arial" w:eastAsia="Arial" w:hAnsi="Arial"/>
          <w:sz w:val="18"/>
          <w:szCs w:val="18"/>
          <w:color w:val="auto"/>
        </w:rPr>
        <w:t>traditionally has done in the past, is asking our shareholders to ratify the Audit Committee's selection of KPMG. If our shareholders do not</w:t>
      </w:r>
    </w:p>
    <w:p>
      <w:pPr>
        <w:ind w:right="80"/>
        <w:spacing w:after="0"/>
        <w:rPr>
          <w:sz w:val="20"/>
          <w:szCs w:val="20"/>
          <w:color w:val="auto"/>
        </w:rPr>
      </w:pPr>
      <w:r>
        <w:rPr>
          <w:rFonts w:ascii="Arial" w:cs="Arial" w:eastAsia="Arial" w:hAnsi="Arial"/>
          <w:sz w:val="17"/>
          <w:szCs w:val="17"/>
          <w:color w:val="auto"/>
        </w:rPr>
        <w:t>ratify the selection of KPMG, the Audit Committee may reconsider its selection. Even if the selection is ratified by our shareholders, the Audit Committee in its discretion may change the appointment at any time during the year if it determines that such a change would be in the best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interests of our Company and our shareholders.</w:t>
      </w:r>
    </w:p>
    <w:p>
      <w:pPr>
        <w:spacing w:after="0" w:line="86"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Representatives of KPMG will be present at the annual meeting to answer appropriate questions. They also will have the opportunity to make a statement if they wish to do so.</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Audit, Audit-Related, Tax and Other Fees</w:t>
      </w:r>
    </w:p>
    <w:p>
      <w:pPr>
        <w:spacing w:after="0" w:line="99" w:lineRule="exact"/>
        <w:rPr>
          <w:sz w:val="20"/>
          <w:szCs w:val="20"/>
          <w:color w:val="auto"/>
        </w:rPr>
      </w:pPr>
    </w:p>
    <w:p>
      <w:pPr>
        <w:ind w:right="140" w:firstLine="324"/>
        <w:spacing w:after="0" w:line="267" w:lineRule="auto"/>
        <w:rPr>
          <w:sz w:val="20"/>
          <w:szCs w:val="20"/>
          <w:color w:val="auto"/>
        </w:rPr>
      </w:pPr>
      <w:r>
        <w:rPr>
          <w:rFonts w:ascii="Arial" w:cs="Arial" w:eastAsia="Arial" w:hAnsi="Arial"/>
          <w:sz w:val="18"/>
          <w:szCs w:val="18"/>
          <w:color w:val="auto"/>
        </w:rPr>
        <w:t>The following table sets forth the aggregate fees billed to us for professional services rendered by KPMG for fiscal 2023 and fiscal 2022 by category, as described in the footnotes to the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Pr>
          <w:p>
            <w:pPr>
              <w:spacing w:after="0"/>
              <w:rPr>
                <w:sz w:val="17"/>
                <w:szCs w:val="17"/>
                <w:color w:val="auto"/>
              </w:rPr>
            </w:pPr>
          </w:p>
        </w:tc>
        <w:tc>
          <w:tcPr>
            <w:tcW w:w="3020" w:type="dxa"/>
            <w:vAlign w:val="bottom"/>
            <w:shd w:val="clear" w:color="auto" w:fill="BF2115"/>
          </w:tcPr>
          <w:p>
            <w:pPr>
              <w:spacing w:after="0"/>
              <w:rPr>
                <w:sz w:val="17"/>
                <w:szCs w:val="17"/>
                <w:color w:val="auto"/>
              </w:rPr>
            </w:pPr>
          </w:p>
        </w:tc>
        <w:tc>
          <w:tcPr>
            <w:tcW w:w="3520" w:type="dxa"/>
            <w:vAlign w:val="bottom"/>
            <w:shd w:val="clear" w:color="auto" w:fill="BF2115"/>
          </w:tcPr>
          <w:p>
            <w:pPr>
              <w:ind w:left="2500"/>
              <w:spacing w:after="0"/>
              <w:rPr>
                <w:sz w:val="20"/>
                <w:szCs w:val="20"/>
                <w:color w:val="auto"/>
              </w:rPr>
            </w:pPr>
            <w:r>
              <w:rPr>
                <w:rFonts w:ascii="Arial" w:cs="Arial" w:eastAsia="Arial" w:hAnsi="Arial"/>
                <w:sz w:val="14"/>
                <w:szCs w:val="14"/>
                <w:b w:val="1"/>
                <w:bCs w:val="1"/>
                <w:color w:val="FFFFFF"/>
              </w:rPr>
              <w:t>Fiscal 2023</w:t>
            </w:r>
          </w:p>
        </w:tc>
        <w:tc>
          <w:tcPr>
            <w:tcW w:w="1720" w:type="dxa"/>
            <w:vAlign w:val="bottom"/>
            <w:shd w:val="clear" w:color="auto" w:fill="BF2115"/>
          </w:tcPr>
          <w:p>
            <w:pPr>
              <w:spacing w:after="0"/>
              <w:rPr>
                <w:sz w:val="17"/>
                <w:szCs w:val="17"/>
                <w:color w:val="auto"/>
              </w:rPr>
            </w:pPr>
          </w:p>
        </w:tc>
        <w:tc>
          <w:tcPr>
            <w:tcW w:w="2760" w:type="dxa"/>
            <w:vAlign w:val="bottom"/>
            <w:shd w:val="clear" w:color="auto" w:fill="BF2115"/>
          </w:tcPr>
          <w:p>
            <w:pPr>
              <w:jc w:val="right"/>
              <w:ind w:right="1222"/>
              <w:spacing w:after="0"/>
              <w:rPr>
                <w:sz w:val="20"/>
                <w:szCs w:val="20"/>
                <w:color w:val="auto"/>
              </w:rPr>
            </w:pPr>
            <w:r>
              <w:rPr>
                <w:rFonts w:ascii="Arial" w:cs="Arial" w:eastAsia="Arial" w:hAnsi="Arial"/>
                <w:sz w:val="14"/>
                <w:szCs w:val="14"/>
                <w:b w:val="1"/>
                <w:bCs w:val="1"/>
                <w:color w:val="FFFFFF"/>
              </w:rPr>
              <w:t>Fiscal 2022</w:t>
            </w:r>
          </w:p>
        </w:tc>
      </w:tr>
      <w:tr>
        <w:trPr>
          <w:trHeight w:val="212"/>
        </w:trPr>
        <w:tc>
          <w:tcPr>
            <w:tcW w:w="120" w:type="dxa"/>
            <w:vAlign w:val="bottom"/>
          </w:tcPr>
          <w:p>
            <w:pPr>
              <w:spacing w:after="0"/>
              <w:rPr>
                <w:sz w:val="18"/>
                <w:szCs w:val="18"/>
                <w:color w:val="auto"/>
              </w:rPr>
            </w:pPr>
          </w:p>
        </w:tc>
        <w:tc>
          <w:tcPr>
            <w:tcW w:w="6540" w:type="dxa"/>
            <w:vAlign w:val="bottom"/>
            <w:gridSpan w:val="2"/>
            <w:shd w:val="clear" w:color="auto" w:fill="BF2115"/>
          </w:tcPr>
          <w:p>
            <w:pPr>
              <w:ind w:left="5820"/>
              <w:spacing w:after="0"/>
              <w:rPr>
                <w:sz w:val="20"/>
                <w:szCs w:val="20"/>
                <w:color w:val="auto"/>
              </w:rPr>
            </w:pPr>
            <w:r>
              <w:rPr>
                <w:rFonts w:ascii="Arial" w:cs="Arial" w:eastAsia="Arial" w:hAnsi="Arial"/>
                <w:sz w:val="14"/>
                <w:szCs w:val="14"/>
                <w:b w:val="1"/>
                <w:bCs w:val="1"/>
                <w:color w:val="FFFFFF"/>
              </w:rPr>
              <w:t>($)</w:t>
            </w:r>
          </w:p>
        </w:tc>
        <w:tc>
          <w:tcPr>
            <w:tcW w:w="1720" w:type="dxa"/>
            <w:vAlign w:val="bottom"/>
            <w:shd w:val="clear" w:color="auto" w:fill="BF2115"/>
          </w:tcPr>
          <w:p>
            <w:pPr>
              <w:spacing w:after="0"/>
              <w:rPr>
                <w:sz w:val="18"/>
                <w:szCs w:val="18"/>
                <w:color w:val="auto"/>
              </w:rPr>
            </w:pPr>
          </w:p>
        </w:tc>
        <w:tc>
          <w:tcPr>
            <w:tcW w:w="2760" w:type="dxa"/>
            <w:vAlign w:val="bottom"/>
            <w:shd w:val="clear" w:color="auto" w:fill="BF2115"/>
          </w:tcPr>
          <w:p>
            <w:pPr>
              <w:jc w:val="right"/>
              <w:ind w:right="1502"/>
              <w:spacing w:after="0"/>
              <w:rPr>
                <w:sz w:val="20"/>
                <w:szCs w:val="20"/>
                <w:color w:val="auto"/>
              </w:rPr>
            </w:pPr>
            <w:r>
              <w:rPr>
                <w:rFonts w:ascii="Arial" w:cs="Arial" w:eastAsia="Arial" w:hAnsi="Arial"/>
                <w:sz w:val="14"/>
                <w:szCs w:val="14"/>
                <w:b w:val="1"/>
                <w:bCs w:val="1"/>
                <w:color w:val="FFFFFF"/>
              </w:rPr>
              <w:t>($)</w:t>
            </w:r>
          </w:p>
        </w:tc>
      </w:tr>
      <w:tr>
        <w:trPr>
          <w:trHeight w:val="257"/>
        </w:trPr>
        <w:tc>
          <w:tcPr>
            <w:tcW w:w="120" w:type="dxa"/>
            <w:vAlign w:val="bottom"/>
          </w:tcPr>
          <w:p>
            <w:pPr>
              <w:spacing w:after="0"/>
              <w:rPr>
                <w:sz w:val="22"/>
                <w:szCs w:val="22"/>
                <w:color w:val="auto"/>
              </w:rPr>
            </w:pPr>
          </w:p>
        </w:tc>
        <w:tc>
          <w:tcPr>
            <w:tcW w:w="6540" w:type="dxa"/>
            <w:vAlign w:val="bottom"/>
            <w:gridSpan w:val="2"/>
          </w:tcPr>
          <w:p>
            <w:pPr>
              <w:ind w:left="20"/>
              <w:spacing w:after="0" w:line="257" w:lineRule="exact"/>
              <w:rPr>
                <w:sz w:val="20"/>
                <w:szCs w:val="20"/>
                <w:color w:val="auto"/>
              </w:rPr>
            </w:pPr>
            <w:r>
              <w:rPr>
                <w:rFonts w:ascii="Arial" w:cs="Arial" w:eastAsia="Arial" w:hAnsi="Arial"/>
                <w:sz w:val="16"/>
                <w:szCs w:val="16"/>
                <w:color w:val="auto"/>
              </w:rPr>
              <w:t>Audit Fees</w:t>
            </w:r>
            <w:r>
              <w:rPr>
                <w:rFonts w:ascii="Arial" w:cs="Arial" w:eastAsia="Arial" w:hAnsi="Arial"/>
                <w:sz w:val="28"/>
                <w:szCs w:val="28"/>
                <w:color w:val="auto"/>
                <w:vertAlign w:val="superscript"/>
              </w:rPr>
              <w:t>1</w:t>
            </w:r>
          </w:p>
        </w:tc>
        <w:tc>
          <w:tcPr>
            <w:tcW w:w="1720" w:type="dxa"/>
            <w:vAlign w:val="bottom"/>
          </w:tcPr>
          <w:p>
            <w:pPr>
              <w:jc w:val="right"/>
              <w:ind w:right="679"/>
              <w:spacing w:after="0"/>
              <w:rPr>
                <w:sz w:val="20"/>
                <w:szCs w:val="20"/>
                <w:color w:val="auto"/>
              </w:rPr>
            </w:pPr>
            <w:r>
              <w:rPr>
                <w:rFonts w:ascii="Arial" w:cs="Arial" w:eastAsia="Arial" w:hAnsi="Arial"/>
                <w:sz w:val="16"/>
                <w:szCs w:val="16"/>
                <w:color w:val="auto"/>
              </w:rPr>
              <w:t>2,347,305</w:t>
            </w:r>
          </w:p>
        </w:tc>
        <w:tc>
          <w:tcPr>
            <w:tcW w:w="2760" w:type="dxa"/>
            <w:vAlign w:val="bottom"/>
          </w:tcPr>
          <w:p>
            <w:pPr>
              <w:jc w:val="right"/>
              <w:spacing w:after="0"/>
              <w:rPr>
                <w:sz w:val="20"/>
                <w:szCs w:val="20"/>
                <w:color w:val="auto"/>
              </w:rPr>
            </w:pPr>
            <w:r>
              <w:rPr>
                <w:rFonts w:ascii="Arial" w:cs="Arial" w:eastAsia="Arial" w:hAnsi="Arial"/>
                <w:sz w:val="16"/>
                <w:szCs w:val="16"/>
                <w:color w:val="auto"/>
              </w:rPr>
              <w:t>2,013,551</w:t>
            </w:r>
          </w:p>
        </w:tc>
      </w:tr>
      <w:tr>
        <w:trPr>
          <w:trHeight w:val="256"/>
        </w:trPr>
        <w:tc>
          <w:tcPr>
            <w:tcW w:w="120" w:type="dxa"/>
            <w:vAlign w:val="bottom"/>
          </w:tcPr>
          <w:p>
            <w:pPr>
              <w:spacing w:after="0"/>
              <w:rPr>
                <w:sz w:val="22"/>
                <w:szCs w:val="22"/>
                <w:color w:val="auto"/>
              </w:rPr>
            </w:pPr>
          </w:p>
        </w:tc>
        <w:tc>
          <w:tcPr>
            <w:tcW w:w="6540" w:type="dxa"/>
            <w:vAlign w:val="bottom"/>
            <w:gridSpan w:val="2"/>
            <w:shd w:val="clear" w:color="auto" w:fill="DBDBDB"/>
          </w:tcPr>
          <w:p>
            <w:pPr>
              <w:ind w:left="20"/>
              <w:spacing w:after="0" w:line="257" w:lineRule="exact"/>
              <w:rPr>
                <w:sz w:val="20"/>
                <w:szCs w:val="20"/>
                <w:color w:val="auto"/>
              </w:rPr>
            </w:pPr>
            <w:r>
              <w:rPr>
                <w:rFonts w:ascii="Arial" w:cs="Arial" w:eastAsia="Arial" w:hAnsi="Arial"/>
                <w:sz w:val="16"/>
                <w:szCs w:val="16"/>
                <w:color w:val="auto"/>
              </w:rPr>
              <w:t>Audit-Related Fees</w:t>
            </w:r>
            <w:r>
              <w:rPr>
                <w:rFonts w:ascii="Arial" w:cs="Arial" w:eastAsia="Arial" w:hAnsi="Arial"/>
                <w:sz w:val="28"/>
                <w:szCs w:val="28"/>
                <w:color w:val="auto"/>
                <w:vertAlign w:val="superscript"/>
              </w:rPr>
              <w:t>2</w:t>
            </w:r>
          </w:p>
        </w:tc>
        <w:tc>
          <w:tcPr>
            <w:tcW w:w="1720" w:type="dxa"/>
            <w:vAlign w:val="bottom"/>
            <w:shd w:val="clear" w:color="auto" w:fill="DBDBDB"/>
          </w:tcPr>
          <w:p>
            <w:pPr>
              <w:jc w:val="right"/>
              <w:ind w:right="679"/>
              <w:spacing w:after="0"/>
              <w:rPr>
                <w:sz w:val="20"/>
                <w:szCs w:val="20"/>
                <w:color w:val="auto"/>
              </w:rPr>
            </w:pPr>
            <w:r>
              <w:rPr>
                <w:rFonts w:ascii="Arial" w:cs="Arial" w:eastAsia="Arial" w:hAnsi="Arial"/>
                <w:sz w:val="16"/>
                <w:szCs w:val="16"/>
                <w:color w:val="auto"/>
              </w:rPr>
              <w:t>59,500</w:t>
            </w:r>
          </w:p>
        </w:tc>
        <w:tc>
          <w:tcPr>
            <w:tcW w:w="2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56,700</w:t>
            </w:r>
          </w:p>
        </w:tc>
      </w:tr>
      <w:tr>
        <w:trPr>
          <w:trHeight w:val="257"/>
        </w:trPr>
        <w:tc>
          <w:tcPr>
            <w:tcW w:w="120" w:type="dxa"/>
            <w:vAlign w:val="bottom"/>
          </w:tcPr>
          <w:p>
            <w:pPr>
              <w:spacing w:after="0"/>
              <w:rPr>
                <w:sz w:val="22"/>
                <w:szCs w:val="22"/>
                <w:color w:val="auto"/>
              </w:rPr>
            </w:pPr>
          </w:p>
        </w:tc>
        <w:tc>
          <w:tcPr>
            <w:tcW w:w="6540" w:type="dxa"/>
            <w:vAlign w:val="bottom"/>
            <w:gridSpan w:val="2"/>
          </w:tcPr>
          <w:p>
            <w:pPr>
              <w:ind w:left="20"/>
              <w:spacing w:after="0" w:line="257" w:lineRule="exact"/>
              <w:rPr>
                <w:sz w:val="20"/>
                <w:szCs w:val="20"/>
                <w:color w:val="auto"/>
              </w:rPr>
            </w:pPr>
            <w:r>
              <w:rPr>
                <w:rFonts w:ascii="Arial" w:cs="Arial" w:eastAsia="Arial" w:hAnsi="Arial"/>
                <w:sz w:val="16"/>
                <w:szCs w:val="16"/>
                <w:color w:val="auto"/>
              </w:rPr>
              <w:t>Tax Fees</w:t>
            </w:r>
            <w:r>
              <w:rPr>
                <w:rFonts w:ascii="Arial" w:cs="Arial" w:eastAsia="Arial" w:hAnsi="Arial"/>
                <w:sz w:val="28"/>
                <w:szCs w:val="28"/>
                <w:color w:val="auto"/>
                <w:vertAlign w:val="superscript"/>
              </w:rPr>
              <w:t>3</w:t>
            </w:r>
          </w:p>
        </w:tc>
        <w:tc>
          <w:tcPr>
            <w:tcW w:w="1720" w:type="dxa"/>
            <w:vAlign w:val="bottom"/>
          </w:tcPr>
          <w:p>
            <w:pPr>
              <w:jc w:val="right"/>
              <w:ind w:right="679"/>
              <w:spacing w:after="0"/>
              <w:rPr>
                <w:sz w:val="20"/>
                <w:szCs w:val="20"/>
                <w:color w:val="auto"/>
              </w:rPr>
            </w:pPr>
            <w:r>
              <w:rPr>
                <w:rFonts w:ascii="Arial" w:cs="Arial" w:eastAsia="Arial" w:hAnsi="Arial"/>
                <w:sz w:val="16"/>
                <w:szCs w:val="16"/>
                <w:color w:val="auto"/>
              </w:rPr>
              <w:t>174,592</w:t>
            </w:r>
          </w:p>
        </w:tc>
        <w:tc>
          <w:tcPr>
            <w:tcW w:w="2760" w:type="dxa"/>
            <w:vAlign w:val="bottom"/>
          </w:tcPr>
          <w:p>
            <w:pPr>
              <w:jc w:val="right"/>
              <w:spacing w:after="0"/>
              <w:rPr>
                <w:sz w:val="20"/>
                <w:szCs w:val="20"/>
                <w:color w:val="auto"/>
              </w:rPr>
            </w:pPr>
            <w:r>
              <w:rPr>
                <w:rFonts w:ascii="Arial" w:cs="Arial" w:eastAsia="Arial" w:hAnsi="Arial"/>
                <w:sz w:val="16"/>
                <w:szCs w:val="16"/>
                <w:color w:val="auto"/>
              </w:rPr>
              <w:t>142,150</w:t>
            </w:r>
          </w:p>
        </w:tc>
      </w:tr>
      <w:tr>
        <w:trPr>
          <w:trHeight w:val="236"/>
        </w:trPr>
        <w:tc>
          <w:tcPr>
            <w:tcW w:w="120" w:type="dxa"/>
            <w:vAlign w:val="bottom"/>
          </w:tcPr>
          <w:p>
            <w:pPr>
              <w:spacing w:after="0"/>
              <w:rPr>
                <w:sz w:val="20"/>
                <w:szCs w:val="20"/>
                <w:color w:val="auto"/>
              </w:rPr>
            </w:pPr>
          </w:p>
        </w:tc>
        <w:tc>
          <w:tcPr>
            <w:tcW w:w="65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All Other Fees</w:t>
            </w:r>
          </w:p>
        </w:tc>
        <w:tc>
          <w:tcPr>
            <w:tcW w:w="1720" w:type="dxa"/>
            <w:vAlign w:val="bottom"/>
            <w:tcBorders>
              <w:bottom w:val="single" w:sz="8" w:color="DBDBDB"/>
            </w:tcBorders>
            <w:shd w:val="clear" w:color="auto" w:fill="DBDBDB"/>
          </w:tcPr>
          <w:p>
            <w:pPr>
              <w:jc w:val="right"/>
              <w:ind w:right="639"/>
              <w:spacing w:after="0"/>
              <w:rPr>
                <w:sz w:val="20"/>
                <w:szCs w:val="20"/>
                <w:color w:val="auto"/>
              </w:rPr>
            </w:pPr>
            <w:r>
              <w:rPr>
                <w:rFonts w:ascii="Arial" w:cs="Arial" w:eastAsia="Arial" w:hAnsi="Arial"/>
                <w:sz w:val="16"/>
                <w:szCs w:val="16"/>
                <w:color w:val="auto"/>
              </w:rPr>
              <w:t>0</w:t>
            </w:r>
          </w:p>
        </w:tc>
        <w:tc>
          <w:tcPr>
            <w:tcW w:w="2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r>
      <w:tr>
        <w:trPr>
          <w:trHeight w:val="189"/>
        </w:trPr>
        <w:tc>
          <w:tcPr>
            <w:tcW w:w="120" w:type="dxa"/>
            <w:vAlign w:val="bottom"/>
            <w:tcBorders>
              <w:bottom w:val="single" w:sz="8" w:color="C00000"/>
            </w:tcBorders>
          </w:tcPr>
          <w:p>
            <w:pPr>
              <w:spacing w:after="0"/>
              <w:rPr>
                <w:sz w:val="16"/>
                <w:szCs w:val="16"/>
                <w:color w:val="auto"/>
              </w:rPr>
            </w:pPr>
          </w:p>
        </w:tc>
        <w:tc>
          <w:tcPr>
            <w:tcW w:w="3020" w:type="dxa"/>
            <w:vAlign w:val="bottom"/>
            <w:tcBorders>
              <w:bottom w:val="single" w:sz="8" w:color="C00000"/>
            </w:tcBorders>
          </w:tcPr>
          <w:p>
            <w:pPr>
              <w:spacing w:after="0"/>
              <w:rPr>
                <w:sz w:val="16"/>
                <w:szCs w:val="16"/>
                <w:color w:val="auto"/>
              </w:rPr>
            </w:pPr>
          </w:p>
        </w:tc>
        <w:tc>
          <w:tcPr>
            <w:tcW w:w="3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760" w:type="dxa"/>
            <w:vAlign w:val="bottom"/>
          </w:tcPr>
          <w:p>
            <w:pPr>
              <w:spacing w:after="0"/>
              <w:rPr>
                <w:sz w:val="16"/>
                <w:szCs w:val="16"/>
                <w:color w:val="auto"/>
              </w:rPr>
            </w:pPr>
          </w:p>
        </w:tc>
      </w:tr>
    </w:tbl>
    <w:p>
      <w:pPr>
        <w:spacing w:after="0" w:line="130" w:lineRule="exact"/>
        <w:rPr>
          <w:sz w:val="20"/>
          <w:szCs w:val="20"/>
          <w:color w:val="auto"/>
        </w:rPr>
      </w:pPr>
    </w:p>
    <w:p>
      <w:pPr>
        <w:ind w:left="340" w:hanging="332"/>
        <w:spacing w:after="0" w:line="245" w:lineRule="auto"/>
        <w:tabs>
          <w:tab w:leader="none" w:pos="3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 of aggregate fees billed, or expected to be billed, for fiscal 2023 and fiscal 2022, respectively, for professional services rendered by KPMG in connection with the audit of our consolidated financial statements included in our Annual Report on Form 10-K, review of our condensed consolidated financial statements included in our Quarterly Reports on Form 10-Q, statutory audits of certain of our international subsidiaries and the audit of internal control over financial reporting in accordance with Section 404 of the Sarbanes-Oxley Act of 2002. Fees for fiscal 2022 also include audit work related to the Intimidator Group acquisition and consent fees for a registration statement on Form S-8 for the 2022 Plan.</w:t>
      </w:r>
    </w:p>
    <w:p>
      <w:pPr>
        <w:spacing w:after="0" w:line="28" w:lineRule="exact"/>
        <w:rPr>
          <w:rFonts w:ascii="Arial" w:cs="Arial" w:eastAsia="Arial" w:hAnsi="Arial"/>
          <w:sz w:val="18"/>
          <w:szCs w:val="18"/>
          <w:color w:val="auto"/>
        </w:rPr>
      </w:pPr>
    </w:p>
    <w:p>
      <w:pPr>
        <w:ind w:left="340" w:right="420" w:hanging="332"/>
        <w:spacing w:after="0" w:line="266" w:lineRule="auto"/>
        <w:tabs>
          <w:tab w:leader="none" w:pos="3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 of aggregate fees billed for KPMG's services related to audits of employee benefit plans and an international statutory social security audit.</w:t>
      </w:r>
    </w:p>
    <w:p>
      <w:pPr>
        <w:ind w:left="340" w:right="240" w:hanging="332"/>
        <w:spacing w:after="0" w:line="271" w:lineRule="auto"/>
        <w:tabs>
          <w:tab w:leader="none" w:pos="3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 of aggregate fees billed for professional services rendered by KPMG for permissible domestic and international tax consulting, planning and compliance services.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Pre-Approval Policies and Procedures</w:t>
      </w:r>
    </w:p>
    <w:p>
      <w:pPr>
        <w:spacing w:after="0" w:line="99" w:lineRule="exact"/>
        <w:rPr>
          <w:sz w:val="20"/>
          <w:szCs w:val="20"/>
          <w:color w:val="auto"/>
        </w:rPr>
      </w:pPr>
    </w:p>
    <w:p>
      <w:pPr>
        <w:ind w:right="100" w:firstLine="324"/>
        <w:spacing w:after="0" w:line="237" w:lineRule="auto"/>
        <w:rPr>
          <w:sz w:val="20"/>
          <w:szCs w:val="20"/>
          <w:color w:val="auto"/>
        </w:rPr>
      </w:pPr>
      <w:r>
        <w:rPr>
          <w:rFonts w:ascii="Arial" w:cs="Arial" w:eastAsia="Arial" w:hAnsi="Arial"/>
          <w:sz w:val="18"/>
          <w:szCs w:val="18"/>
          <w:color w:val="auto"/>
        </w:rPr>
        <w:t>The Audit Committee Charter requires that the Audit Committee review and approve in advance the retention of our external auditor for all types of audit and non-audit services to be performed for us by our external auditor and approve the fees for such services, other than de</w:t>
      </w:r>
    </w:p>
    <w:p>
      <w:pPr>
        <w:spacing w:after="0" w:line="1"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minimis non-audit services allowed by relevant rules and regulations. All of the services provided to us by KPMG for which we paid fees as shown in the table above were pre-approved by the Audit Committee in accordance with these pre-approval policies and procedures.</w:t>
      </w:r>
    </w:p>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404"/>
        </w:trPr>
        <w:tc>
          <w:tcPr>
            <w:tcW w:w="8820" w:type="dxa"/>
            <w:vAlign w:val="bottom"/>
          </w:tcPr>
          <w:p>
            <w:pPr>
              <w:jc w:val="center"/>
              <w:ind w:right="555"/>
              <w:spacing w:after="0"/>
              <w:rPr>
                <w:sz w:val="20"/>
                <w:szCs w:val="20"/>
                <w:color w:val="auto"/>
              </w:rPr>
            </w:pPr>
            <w:r>
              <w:rPr>
                <w:rFonts w:ascii="Arial" w:cs="Arial" w:eastAsia="Arial" w:hAnsi="Arial"/>
                <w:sz w:val="21"/>
                <w:szCs w:val="21"/>
                <w:b w:val="1"/>
                <w:bCs w:val="1"/>
                <w:color w:val="FFFFFF"/>
              </w:rPr>
              <w:t>The Board of Directors Recommends a Vote FOR Ratification of the Selection of</w:t>
            </w:r>
          </w:p>
        </w:tc>
        <w:tc>
          <w:tcPr>
            <w:tcW w:w="1100" w:type="dxa"/>
            <w:vAlign w:val="bottom"/>
            <w:vMerge w:val="restart"/>
          </w:tcPr>
          <w:p>
            <w:pPr>
              <w:ind w:left="640"/>
              <w:spacing w:after="0" w:line="501" w:lineRule="exact"/>
              <w:rPr>
                <w:sz w:val="20"/>
                <w:szCs w:val="20"/>
                <w:color w:val="auto"/>
              </w:rPr>
            </w:pPr>
            <w:r>
              <w:rPr>
                <w:rFonts w:ascii="MS PGothic" w:cs="MS PGothic" w:eastAsia="MS PGothic" w:hAnsi="MS PGothic"/>
                <w:sz w:val="50"/>
                <w:szCs w:val="50"/>
                <w:color w:val="auto"/>
                <w:highlight w:val="white"/>
                <w:w w:val="87"/>
              </w:rPr>
              <w:t>☑</w:t>
            </w:r>
          </w:p>
        </w:tc>
        <w:tc>
          <w:tcPr>
            <w:tcW w:w="0" w:type="dxa"/>
            <w:vAlign w:val="bottom"/>
          </w:tcPr>
          <w:p>
            <w:pPr>
              <w:spacing w:after="0"/>
              <w:rPr>
                <w:sz w:val="1"/>
                <w:szCs w:val="1"/>
                <w:color w:val="auto"/>
              </w:rPr>
            </w:pPr>
          </w:p>
        </w:tc>
      </w:tr>
      <w:tr>
        <w:trPr>
          <w:trHeight w:val="447"/>
        </w:trPr>
        <w:tc>
          <w:tcPr>
            <w:tcW w:w="8820" w:type="dxa"/>
            <w:vAlign w:val="bottom"/>
          </w:tcPr>
          <w:p>
            <w:pPr>
              <w:jc w:val="center"/>
              <w:ind w:right="555"/>
              <w:spacing w:after="0"/>
              <w:rPr>
                <w:sz w:val="20"/>
                <w:szCs w:val="20"/>
                <w:color w:val="auto"/>
              </w:rPr>
            </w:pPr>
            <w:r>
              <w:rPr>
                <w:rFonts w:ascii="Arial" w:cs="Arial" w:eastAsia="Arial" w:hAnsi="Arial"/>
                <w:sz w:val="21"/>
                <w:szCs w:val="21"/>
                <w:b w:val="1"/>
                <w:bCs w:val="1"/>
                <w:color w:val="FFFFFF"/>
              </w:rPr>
              <w:t>KPMG LLP as our Independent Registered Public Accounting Firm for Fiscal 2024</w:t>
            </w: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15175" cy="4032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517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b w:val="1"/>
          <w:bCs w:val="1"/>
          <w:color w:val="C00000"/>
        </w:rPr>
        <w:t>Audit Committee Report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report is furnished by the Audit Committee with respect to our financial statements for fiscal 2023.</w:t>
      </w:r>
    </w:p>
    <w:p>
      <w:pPr>
        <w:spacing w:after="0" w:line="10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Ultimate responsibility for good corporate governance rests with our Board, whose primary roles and responsibilities involve oversight, counseling and providing direction to our Management in the best long-term interests of TTC and our shareholders. As set forth in its charter, the Audit Committee assists our Board by, among other things, providing oversight of our accounting and financial reporting processes, the audits of our annual financial statements and internal control over financial reporting. Our Audit Committee Charter, which further describes the role and responsibilities of the Audit Committee, is available online at www.thetorocompany.com/corporategovernance.</w:t>
      </w:r>
    </w:p>
    <w:p>
      <w:pPr>
        <w:spacing w:after="0" w:line="65" w:lineRule="exact"/>
        <w:rPr>
          <w:sz w:val="20"/>
          <w:szCs w:val="20"/>
          <w:color w:val="auto"/>
        </w:rPr>
      </w:pPr>
    </w:p>
    <w:p>
      <w:pPr>
        <w:ind w:right="340" w:firstLine="324"/>
        <w:spacing w:after="0" w:line="245" w:lineRule="auto"/>
        <w:rPr>
          <w:sz w:val="20"/>
          <w:szCs w:val="20"/>
          <w:color w:val="auto"/>
        </w:rPr>
      </w:pPr>
      <w:r>
        <w:rPr>
          <w:rFonts w:ascii="Arial" w:cs="Arial" w:eastAsia="Arial" w:hAnsi="Arial"/>
          <w:sz w:val="18"/>
          <w:szCs w:val="18"/>
          <w:color w:val="auto"/>
        </w:rPr>
        <w:t>Management is primarily responsible for the establishment and maintenance of our accounting and financial reporting processes, including our internal controls, and for the preparation and presentation of complete and accurate financial statements. Our independent registered public accounting firm, KPMG LLP, is responsible for performing an independent audit of our financial statements and internal controls over financial reporting in accordance with the standards of the Public Company Accounting Oversight Board (U.S.), or PCAOB, expressing an opinion as to the conformity of the financial statements with generally accepted accounting principles, and expressing an opinion on the effectiveness of our internal control over financial reporting.</w:t>
      </w:r>
    </w:p>
    <w:p>
      <w:pPr>
        <w:spacing w:after="0" w:line="82" w:lineRule="exact"/>
        <w:rPr>
          <w:sz w:val="20"/>
          <w:szCs w:val="20"/>
          <w:color w:val="auto"/>
        </w:rPr>
      </w:pPr>
    </w:p>
    <w:p>
      <w:pPr>
        <w:ind w:right="100" w:firstLine="324"/>
        <w:spacing w:after="0" w:line="247" w:lineRule="auto"/>
        <w:rPr>
          <w:sz w:val="20"/>
          <w:szCs w:val="20"/>
          <w:color w:val="auto"/>
        </w:rPr>
      </w:pPr>
      <w:r>
        <w:rPr>
          <w:rFonts w:ascii="Arial" w:cs="Arial" w:eastAsia="Arial" w:hAnsi="Arial"/>
          <w:sz w:val="18"/>
          <w:szCs w:val="18"/>
          <w:color w:val="auto"/>
        </w:rPr>
        <w:t>In performing its oversight role, the Audit Committee has (i) reviewed and discussed with Management our audited financial statements for fiscal 2023, (ii) discussed with representatives of KPMG the matters required to be discussed by the applicable requirements of the PCAOB and the SEC, (iii) received the written disclosures and the letters from KPMG required by applicable requirements of the PCAOB regarding KPMG's communications with the Audit Committee concerning KPMG's independence, and (iv) discussed with representatives of KPMG its independence and concluded that it is independent from TTC and its Management.</w:t>
      </w:r>
    </w:p>
    <w:p>
      <w:pPr>
        <w:spacing w:after="0" w:line="69" w:lineRule="exact"/>
        <w:rPr>
          <w:sz w:val="20"/>
          <w:szCs w:val="20"/>
          <w:color w:val="auto"/>
        </w:rPr>
      </w:pPr>
    </w:p>
    <w:p>
      <w:pPr>
        <w:jc w:val="both"/>
        <w:ind w:right="40" w:firstLine="324"/>
        <w:spacing w:after="0" w:line="261" w:lineRule="auto"/>
        <w:rPr>
          <w:sz w:val="20"/>
          <w:szCs w:val="20"/>
          <w:color w:val="auto"/>
        </w:rPr>
      </w:pPr>
      <w:r>
        <w:rPr>
          <w:rFonts w:ascii="Arial" w:cs="Arial" w:eastAsia="Arial" w:hAnsi="Arial"/>
          <w:sz w:val="18"/>
          <w:szCs w:val="18"/>
          <w:color w:val="auto"/>
        </w:rPr>
        <w:t>Based on the review and discussions referred to in the foregoing paragraph and subject to the limitations on its responsibilities set forth in its charter, the Audit Committee recommended to our Board that our audited financial statements for fiscal 2023 be included in our Annual Report on Form 10-K for the fiscal year ended October 31, 2023, for filing with the SEC.</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C00000"/>
        </w:rPr>
        <w:t>Audit Committee: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Jill M. Pemberton (Chair)</w:t>
      </w:r>
    </w:p>
    <w:p>
      <w:pPr>
        <w:jc w:val="center"/>
        <w:ind w:right="-59"/>
        <w:spacing w:after="0" w:line="234" w:lineRule="auto"/>
        <w:rPr>
          <w:sz w:val="20"/>
          <w:szCs w:val="20"/>
          <w:color w:val="auto"/>
        </w:rPr>
      </w:pPr>
      <w:r>
        <w:rPr>
          <w:rFonts w:ascii="Arial" w:cs="Arial" w:eastAsia="Arial" w:hAnsi="Arial"/>
          <w:sz w:val="18"/>
          <w:szCs w:val="18"/>
          <w:color w:val="auto"/>
        </w:rPr>
        <w:t>Janet K. Cooper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Dianne C. Craig</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Gary L. Ellis</w:t>
      </w:r>
    </w:p>
    <w:p>
      <w:pPr>
        <w:jc w:val="center"/>
        <w:ind w:right="-59"/>
        <w:spacing w:after="0"/>
        <w:rPr>
          <w:sz w:val="20"/>
          <w:szCs w:val="20"/>
          <w:color w:val="auto"/>
        </w:rPr>
      </w:pPr>
      <w:r>
        <w:rPr>
          <w:rFonts w:ascii="Arial" w:cs="Arial" w:eastAsia="Arial" w:hAnsi="Arial"/>
          <w:sz w:val="18"/>
          <w:szCs w:val="18"/>
          <w:color w:val="auto"/>
        </w:rPr>
        <w:t>Jeffrey L. Harmening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5" w:right="39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22"/>
          <w:szCs w:val="22"/>
          <w:b w:val="1"/>
          <w:bCs w:val="1"/>
          <w:color w:val="FFFFFF"/>
        </w:rPr>
        <w:t>PROPOSAL THREE—ADVISORY APPROVAL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-158750</wp:posOffset>
            </wp:positionV>
            <wp:extent cx="7003415"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03415" cy="18859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Background</w:t>
      </w:r>
    </w:p>
    <w:p>
      <w:pPr>
        <w:spacing w:after="0" w:line="112"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Board is providing our shareholders with an advisory vote on our executive compensation pursuant to the Dodd-Frank Wall Street Consumer Protection Act, or Dodd-Frank Act, and Section 14A of the Securities Exchange Act of 1934, as amended, or Exchange Act. This advisory vote, commonly known as a say-on-pay vote, is a non-binding vote on the compensation paid to our named executive officers as set forth in the "Compensation Discussion and Analysis" and "Executive Compensation" sections of this proxy statement, including in the "Compensation Discussion and Analysis," the accompanying compensation tables and the corresponding narrative discussion and footnotes. At the 2023 Annual Meeting of Shareholders held on March 21 2023, over 94% of the votes cast by our shareholders were in favor of our say-on-pay vote. The Compensation &amp; Human Resources Committee believes that such results affirmed shareholder support of our approach to 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Our Pay Philosophy</w:t>
      </w:r>
    </w:p>
    <w:p>
      <w:pPr>
        <w:spacing w:after="0" w:line="112" w:lineRule="exact"/>
        <w:rPr>
          <w:sz w:val="20"/>
          <w:szCs w:val="20"/>
          <w:color w:val="auto"/>
        </w:rPr>
      </w:pPr>
    </w:p>
    <w:p>
      <w:pPr>
        <w:ind w:right="20" w:firstLine="324"/>
        <w:spacing w:after="0" w:line="244" w:lineRule="auto"/>
        <w:rPr>
          <w:sz w:val="20"/>
          <w:szCs w:val="20"/>
          <w:color w:val="auto"/>
        </w:rPr>
      </w:pPr>
      <w:r>
        <w:rPr>
          <w:rFonts w:ascii="Arial" w:cs="Arial" w:eastAsia="Arial" w:hAnsi="Arial"/>
          <w:sz w:val="18"/>
          <w:szCs w:val="18"/>
          <w:color w:val="auto"/>
        </w:rPr>
        <w:t>Our executive compensation program is generally designed to attract, retain, motivate and reward highly qualified and talented executive officers, including our NEOs, that will enable us to execute our strategic priorities, perform better than our competitors and drive long-term shareholder value. The underlying core principles of our executive compensation program include (i) aligning the interests of our executives with those of our shareholders and linking pay to performance by providing compensation opportunities that are tied directly to the achievement of financial performance goals and long-term stock price performance, and (ii) providing competitive compensation opportunities targeted at the market 50th percentile for both individual elements of compensation and total direct compensation at target levels of financial performance, which we believe allows us to attract and retain the necessary executive talent while motivating and rewarding the accomplishment of annual and long-term financial performance goals and maintaining an appropriate cost structure. The "Compensation Discussion and Analysis" and "Executive Compensation" sections describe our executive compensation program and the executive compensation decisions made by the Compensation &amp; Human Resources Committee for fiscal 2023 in more detail.</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Best Practices</w:t>
      </w:r>
    </w:p>
    <w:p>
      <w:pPr>
        <w:spacing w:after="0" w:line="45"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substantial portion of total executive compensation is linked directly to performance.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incentive compensation is subject to a clawback policy.</w:t>
      </w:r>
    </w:p>
    <w:p>
      <w:pPr>
        <w:spacing w:after="0" w:line="49" w:lineRule="exact"/>
        <w:rPr>
          <w:rFonts w:ascii="Arial" w:cs="Arial" w:eastAsia="Arial" w:hAnsi="Arial"/>
          <w:sz w:val="18"/>
          <w:szCs w:val="18"/>
          <w:color w:val="auto"/>
        </w:rPr>
      </w:pPr>
    </w:p>
    <w:p>
      <w:pPr>
        <w:ind w:left="660" w:right="40" w:hanging="328"/>
        <w:spacing w:after="0" w:line="266"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CEO and other executive officers do not have employment or severance agreements or arrangements, except as provided for in our change in control severance compensation policy, or CIC policy.</w:t>
      </w:r>
    </w:p>
    <w:p>
      <w:pPr>
        <w:ind w:left="660" w:right="580" w:hanging="328"/>
        <w:spacing w:after="0" w:line="266"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do not provide tax “gross-up” payments under our CIC policy or in connection with any annual or long-term compensation, benefits or perquisites provided to our executive officers.</w:t>
      </w: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executive officers receive only modest perquisites.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maintain stock ownership guidelines for our executive officers.</w:t>
      </w:r>
    </w:p>
    <w:p>
      <w:pPr>
        <w:spacing w:after="0" w:line="49"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insider trading policy prohibits executive officers and directors from purchasing TTC securities on margin, borrowing against any account in which TTC securities are held, hedging, or pledging TTC securities as collateral for a loan.</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have an independent Compensation &amp; Human Resources Committee.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utilize an independent external compensation consultant.</w:t>
      </w:r>
    </w:p>
    <w:p>
      <w:pPr>
        <w:spacing w:after="0" w:line="117"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We believe that our executive compensation objectives and core principles have resulted in an executive compensation program and related decisions that have appropriately incentivized the achievement of financial goals and produced financial results that have benefited our Company and our shareholders and are expected to drive long-term shareholder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4" w:right="35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C00000"/>
        </w:rPr>
        <w:t>Proposed Resolution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Accordingly, the Board recommends that our shareholders vote in favor of the say-on-pay vote as set forth in the following resolution:</w:t>
      </w:r>
    </w:p>
    <w:p>
      <w:pPr>
        <w:spacing w:after="0" w:line="104" w:lineRule="exact"/>
        <w:rPr>
          <w:sz w:val="20"/>
          <w:szCs w:val="20"/>
          <w:color w:val="auto"/>
        </w:rPr>
      </w:pPr>
    </w:p>
    <w:p>
      <w:pPr>
        <w:ind w:left="340" w:right="680"/>
        <w:spacing w:after="0" w:line="252" w:lineRule="auto"/>
        <w:rPr>
          <w:sz w:val="20"/>
          <w:szCs w:val="20"/>
          <w:color w:val="auto"/>
        </w:rPr>
      </w:pPr>
      <w:r>
        <w:rPr>
          <w:rFonts w:ascii="Arial" w:cs="Arial" w:eastAsia="Arial" w:hAnsi="Arial"/>
          <w:sz w:val="18"/>
          <w:szCs w:val="18"/>
          <w:color w:val="auto"/>
        </w:rPr>
        <w:t>RESOLVED, that our shareholders approve, on an advisory basis, the compensation paid to our named executive officers, as disclosed pursuant to the compensation disclosure rules of the SEC, including in the "Compensation Discussion and Analysis," the accompanying compensation tables and the corresponding narrative discussion and footnotes, and any related material disclosed in this proxy statement.</w:t>
      </w:r>
    </w:p>
    <w:p>
      <w:pPr>
        <w:spacing w:after="0" w:line="76" w:lineRule="exact"/>
        <w:rPr>
          <w:sz w:val="20"/>
          <w:szCs w:val="20"/>
          <w:color w:val="auto"/>
        </w:rPr>
      </w:pPr>
    </w:p>
    <w:p>
      <w:pPr>
        <w:ind w:firstLine="324"/>
        <w:spacing w:after="0" w:line="247" w:lineRule="auto"/>
        <w:rPr>
          <w:sz w:val="20"/>
          <w:szCs w:val="20"/>
          <w:color w:val="auto"/>
        </w:rPr>
      </w:pPr>
      <w:r>
        <w:rPr>
          <w:rFonts w:ascii="Arial" w:cs="Arial" w:eastAsia="Arial" w:hAnsi="Arial"/>
          <w:sz w:val="18"/>
          <w:szCs w:val="18"/>
          <w:color w:val="auto"/>
        </w:rPr>
        <w:t>Shareholders are not voting to approve or disapprove the Board's recommendation. As this is an advisory vote, the outcome of the vote is not binding on us with respect to future executive compensation decisions, including those relating to our NEOs, or otherwise. Our Compensation &amp; Human Resources Committee and Board expect to take into account the outcome of the vote when considering future executive compensation decisions.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Next Say-on-Pay Vote</w:t>
      </w:r>
    </w:p>
    <w:p>
      <w:pPr>
        <w:spacing w:after="0" w:line="11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Consistent with the results of the advisory vote on the frequency of the say-on-pay vote held at the 2023 Annual Meeting of Shareholders, our Board of Directors has determined that we will conduct a say-on-pay vote on an annual basis. Accordingly, the next say-on-pay vote will occur at our 2025 Annual Meeting of Shareholders.</w:t>
      </w:r>
    </w:p>
    <w:p>
      <w:pPr>
        <w:spacing w:after="0" w:line="81" w:lineRule="exact"/>
        <w:rPr>
          <w:sz w:val="20"/>
          <w:szCs w:val="20"/>
          <w:color w:val="auto"/>
        </w:rPr>
      </w:pPr>
    </w:p>
    <w:tbl>
      <w:tblPr>
        <w:tblLayout w:type="fixed"/>
        <w:tblInd w:w="1520" w:type="dxa"/>
        <w:tblCellMar>
          <w:top w:w="0" w:type="dxa"/>
          <w:left w:w="0" w:type="dxa"/>
          <w:bottom w:w="0" w:type="dxa"/>
          <w:right w:w="0" w:type="dxa"/>
        </w:tblCellMar>
      </w:tblPr>
      <w:tr>
        <w:trPr>
          <w:trHeight w:val="429"/>
        </w:trPr>
        <w:tc>
          <w:tcPr>
            <w:tcW w:w="7980" w:type="dxa"/>
            <w:vAlign w:val="bottom"/>
          </w:tcPr>
          <w:p>
            <w:pPr>
              <w:jc w:val="center"/>
              <w:ind w:right="772"/>
              <w:spacing w:after="0"/>
              <w:rPr>
                <w:sz w:val="20"/>
                <w:szCs w:val="20"/>
                <w:color w:val="auto"/>
              </w:rPr>
            </w:pPr>
            <w:r>
              <w:rPr>
                <w:rFonts w:ascii="Arial" w:cs="Arial" w:eastAsia="Arial" w:hAnsi="Arial"/>
                <w:sz w:val="22"/>
                <w:szCs w:val="22"/>
                <w:b w:val="1"/>
                <w:bCs w:val="1"/>
                <w:color w:val="FFFFFF"/>
                <w:w w:val="97"/>
              </w:rPr>
              <w:t>The Board of Directors Recommends a Vote FOR Approval, on an</w:t>
            </w:r>
          </w:p>
        </w:tc>
        <w:tc>
          <w:tcPr>
            <w:tcW w:w="1320" w:type="dxa"/>
            <w:vAlign w:val="bottom"/>
            <w:vMerge w:val="restart"/>
          </w:tcPr>
          <w:p>
            <w:pPr>
              <w:ind w:left="860"/>
              <w:spacing w:after="0" w:line="501" w:lineRule="exact"/>
              <w:rPr>
                <w:sz w:val="20"/>
                <w:szCs w:val="20"/>
                <w:color w:val="auto"/>
              </w:rPr>
            </w:pPr>
            <w:r>
              <w:rPr>
                <w:rFonts w:ascii="MS PGothic" w:cs="MS PGothic" w:eastAsia="MS PGothic" w:hAnsi="MS PGothic"/>
                <w:sz w:val="50"/>
                <w:szCs w:val="50"/>
                <w:color w:val="auto"/>
                <w:highlight w:val="white"/>
                <w:w w:val="87"/>
              </w:rPr>
              <w:t>☑</w:t>
            </w:r>
          </w:p>
        </w:tc>
        <w:tc>
          <w:tcPr>
            <w:tcW w:w="0" w:type="dxa"/>
            <w:vAlign w:val="bottom"/>
          </w:tcPr>
          <w:p>
            <w:pPr>
              <w:spacing w:after="0"/>
              <w:rPr>
                <w:sz w:val="1"/>
                <w:szCs w:val="1"/>
                <w:color w:val="auto"/>
              </w:rPr>
            </w:pPr>
          </w:p>
        </w:tc>
      </w:tr>
      <w:tr>
        <w:trPr>
          <w:trHeight w:val="422"/>
        </w:trPr>
        <w:tc>
          <w:tcPr>
            <w:tcW w:w="7980" w:type="dxa"/>
            <w:vAlign w:val="bottom"/>
          </w:tcPr>
          <w:p>
            <w:pPr>
              <w:jc w:val="center"/>
              <w:ind w:right="772"/>
              <w:spacing w:after="0"/>
              <w:rPr>
                <w:sz w:val="20"/>
                <w:szCs w:val="20"/>
                <w:color w:val="auto"/>
              </w:rPr>
            </w:pPr>
            <w:r>
              <w:rPr>
                <w:rFonts w:ascii="Arial" w:cs="Arial" w:eastAsia="Arial" w:hAnsi="Arial"/>
                <w:sz w:val="22"/>
                <w:szCs w:val="22"/>
                <w:b w:val="1"/>
                <w:bCs w:val="1"/>
                <w:color w:val="FFFFFF"/>
                <w:w w:val="97"/>
              </w:rPr>
              <w:t>Advisory Basis, of our Executive Compensation, or Say-On-Pay Vote.</w:t>
            </w: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-446405</wp:posOffset>
            </wp:positionV>
            <wp:extent cx="7003415" cy="402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0341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69" w:right="499" w:bottom="1440" w:gutter="0" w:footer="0" w:header="0"/>
        </w:sectPr>
      </w:pPr>
    </w:p>
    <w:bookmarkStart w:id="41" w:name="page42"/>
    <w:bookmarkEnd w:id="41"/>
    <w:p>
      <w:pPr>
        <w:jc w:val="center"/>
        <w:ind w:right="140"/>
        <w:spacing w:after="0"/>
        <w:rPr>
          <w:sz w:val="20"/>
          <w:szCs w:val="20"/>
          <w:color w:val="auto"/>
        </w:rPr>
      </w:pPr>
      <w:r>
        <w:rPr>
          <w:rFonts w:ascii="Arial" w:cs="Arial" w:eastAsia="Arial" w:hAnsi="Arial"/>
          <w:sz w:val="22"/>
          <w:szCs w:val="22"/>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003415"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03415" cy="188595"/>
                    </a:xfrm>
                    <a:prstGeom prst="rect">
                      <a:avLst/>
                    </a:prstGeom>
                    <a:noFill/>
                  </pic:spPr>
                </pic:pic>
              </a:graphicData>
            </a:graphic>
          </wp:anchor>
        </w:drawing>
      </w:r>
    </w:p>
    <w:p>
      <w:pPr>
        <w:spacing w:after="0" w:line="304" w:lineRule="exact"/>
        <w:rPr>
          <w:sz w:val="20"/>
          <w:szCs w:val="20"/>
          <w:color w:val="auto"/>
        </w:rPr>
      </w:pPr>
    </w:p>
    <w:p>
      <w:pPr>
        <w:ind w:firstLine="324"/>
        <w:spacing w:after="0" w:line="251" w:lineRule="auto"/>
        <w:rPr>
          <w:sz w:val="20"/>
          <w:szCs w:val="20"/>
          <w:color w:val="auto"/>
        </w:rPr>
      </w:pPr>
      <w:r>
        <w:rPr>
          <w:rFonts w:ascii="Arial" w:cs="Arial" w:eastAsia="Arial" w:hAnsi="Arial"/>
          <w:sz w:val="17"/>
          <w:szCs w:val="17"/>
          <w:color w:val="auto"/>
        </w:rPr>
        <w:t>This Compensation Discussion and Analysis (CD&amp;A) section discusses our executive compensation programs and plans for the following current and former executive officers of TTC who are named in the Summary Compensation Table. We refer to these individuals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(NEOs)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177800</wp:posOffset>
            </wp:positionV>
            <wp:extent cx="899795" cy="8997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99795" cy="89979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160655</wp:posOffset>
            </wp:positionV>
            <wp:extent cx="899795" cy="900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9979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60" w:type="dxa"/>
        <w:tblCellMar>
          <w:top w:w="0" w:type="dxa"/>
          <w:left w:w="0" w:type="dxa"/>
          <w:bottom w:w="0" w:type="dxa"/>
          <w:right w:w="0" w:type="dxa"/>
        </w:tblCellMar>
      </w:tblPr>
      <w:tr>
        <w:trPr>
          <w:trHeight w:val="184"/>
        </w:trPr>
        <w:tc>
          <w:tcPr>
            <w:tcW w:w="2240" w:type="dxa"/>
            <w:vAlign w:val="bottom"/>
          </w:tcPr>
          <w:p>
            <w:pPr>
              <w:jc w:val="center"/>
              <w:ind w:right="479"/>
              <w:spacing w:after="0"/>
              <w:rPr>
                <w:sz w:val="20"/>
                <w:szCs w:val="20"/>
                <w:color w:val="auto"/>
              </w:rPr>
            </w:pPr>
            <w:r>
              <w:rPr>
                <w:rFonts w:ascii="Arial" w:cs="Arial" w:eastAsia="Arial" w:hAnsi="Arial"/>
                <w:sz w:val="16"/>
                <w:szCs w:val="16"/>
                <w:b w:val="1"/>
                <w:bCs w:val="1"/>
                <w:color w:val="auto"/>
              </w:rPr>
              <w:t>Richard M. Olson</w:t>
            </w:r>
          </w:p>
        </w:tc>
        <w:tc>
          <w:tcPr>
            <w:tcW w:w="2640" w:type="dxa"/>
            <w:vAlign w:val="bottom"/>
          </w:tcPr>
          <w:p>
            <w:pPr>
              <w:jc w:val="center"/>
              <w:spacing w:after="0"/>
              <w:rPr>
                <w:sz w:val="20"/>
                <w:szCs w:val="20"/>
                <w:color w:val="auto"/>
              </w:rPr>
            </w:pPr>
            <w:r>
              <w:rPr>
                <w:rFonts w:ascii="Arial" w:cs="Arial" w:eastAsia="Arial" w:hAnsi="Arial"/>
                <w:sz w:val="16"/>
                <w:szCs w:val="16"/>
                <w:b w:val="1"/>
                <w:bCs w:val="1"/>
                <w:color w:val="auto"/>
              </w:rPr>
              <w:t>Angela C. Drake</w:t>
            </w:r>
          </w:p>
        </w:tc>
        <w:tc>
          <w:tcPr>
            <w:tcW w:w="2420" w:type="dxa"/>
            <w:vAlign w:val="bottom"/>
          </w:tcPr>
          <w:p>
            <w:pPr>
              <w:jc w:val="center"/>
              <w:ind w:left="419"/>
              <w:spacing w:after="0"/>
              <w:rPr>
                <w:sz w:val="20"/>
                <w:szCs w:val="20"/>
                <w:color w:val="auto"/>
              </w:rPr>
            </w:pPr>
            <w:r>
              <w:rPr>
                <w:rFonts w:ascii="Arial" w:cs="Arial" w:eastAsia="Arial" w:hAnsi="Arial"/>
                <w:sz w:val="16"/>
                <w:szCs w:val="16"/>
                <w:b w:val="1"/>
                <w:bCs w:val="1"/>
                <w:color w:val="auto"/>
              </w:rPr>
              <w:t>Renee J. Peterson</w:t>
            </w:r>
          </w:p>
        </w:tc>
      </w:tr>
      <w:tr>
        <w:trPr>
          <w:trHeight w:val="189"/>
        </w:trPr>
        <w:tc>
          <w:tcPr>
            <w:tcW w:w="2240" w:type="dxa"/>
            <w:vAlign w:val="bottom"/>
          </w:tcPr>
          <w:p>
            <w:pPr>
              <w:jc w:val="center"/>
              <w:ind w:right="479"/>
              <w:spacing w:after="0"/>
              <w:rPr>
                <w:sz w:val="20"/>
                <w:szCs w:val="20"/>
                <w:color w:val="auto"/>
              </w:rPr>
            </w:pPr>
            <w:r>
              <w:rPr>
                <w:rFonts w:ascii="Arial" w:cs="Arial" w:eastAsia="Arial" w:hAnsi="Arial"/>
                <w:sz w:val="16"/>
                <w:szCs w:val="16"/>
                <w:color w:val="auto"/>
              </w:rPr>
              <w:t>Chairman of the Board,</w:t>
            </w:r>
          </w:p>
        </w:tc>
        <w:tc>
          <w:tcPr>
            <w:tcW w:w="2640" w:type="dxa"/>
            <w:vAlign w:val="bottom"/>
          </w:tcPr>
          <w:p>
            <w:pPr>
              <w:jc w:val="center"/>
              <w:spacing w:after="0"/>
              <w:rPr>
                <w:sz w:val="20"/>
                <w:szCs w:val="20"/>
                <w:color w:val="auto"/>
              </w:rPr>
            </w:pPr>
            <w:r>
              <w:rPr>
                <w:rFonts w:ascii="Arial" w:cs="Arial" w:eastAsia="Arial" w:hAnsi="Arial"/>
                <w:sz w:val="16"/>
                <w:szCs w:val="16"/>
                <w:color w:val="auto"/>
                <w:w w:val="99"/>
              </w:rPr>
              <w:t>Vice President and</w:t>
            </w:r>
          </w:p>
        </w:tc>
        <w:tc>
          <w:tcPr>
            <w:tcW w:w="2420" w:type="dxa"/>
            <w:vAlign w:val="bottom"/>
          </w:tcPr>
          <w:p>
            <w:pPr>
              <w:jc w:val="center"/>
              <w:ind w:left="419"/>
              <w:spacing w:after="0"/>
              <w:rPr>
                <w:sz w:val="20"/>
                <w:szCs w:val="20"/>
                <w:color w:val="auto"/>
              </w:rPr>
            </w:pPr>
            <w:r>
              <w:rPr>
                <w:rFonts w:ascii="Arial" w:cs="Arial" w:eastAsia="Arial" w:hAnsi="Arial"/>
                <w:sz w:val="16"/>
                <w:szCs w:val="16"/>
                <w:color w:val="auto"/>
              </w:rPr>
              <w:t>Former Vice President and</w:t>
            </w:r>
          </w:p>
        </w:tc>
      </w:tr>
      <w:tr>
        <w:trPr>
          <w:trHeight w:val="189"/>
        </w:trPr>
        <w:tc>
          <w:tcPr>
            <w:tcW w:w="2240" w:type="dxa"/>
            <w:vAlign w:val="bottom"/>
          </w:tcPr>
          <w:p>
            <w:pPr>
              <w:jc w:val="center"/>
              <w:ind w:right="479"/>
              <w:spacing w:after="0"/>
              <w:rPr>
                <w:sz w:val="20"/>
                <w:szCs w:val="20"/>
                <w:color w:val="auto"/>
              </w:rPr>
            </w:pPr>
            <w:r>
              <w:rPr>
                <w:rFonts w:ascii="Arial" w:cs="Arial" w:eastAsia="Arial" w:hAnsi="Arial"/>
                <w:sz w:val="16"/>
                <w:szCs w:val="16"/>
                <w:color w:val="auto"/>
              </w:rPr>
              <w:t>President and</w:t>
            </w:r>
          </w:p>
        </w:tc>
        <w:tc>
          <w:tcPr>
            <w:tcW w:w="2640" w:type="dxa"/>
            <w:vAlign w:val="bottom"/>
          </w:tcPr>
          <w:p>
            <w:pPr>
              <w:jc w:val="center"/>
              <w:spacing w:after="0"/>
              <w:rPr>
                <w:sz w:val="20"/>
                <w:szCs w:val="20"/>
                <w:color w:val="auto"/>
              </w:rPr>
            </w:pPr>
            <w:r>
              <w:rPr>
                <w:rFonts w:ascii="Arial" w:cs="Arial" w:eastAsia="Arial" w:hAnsi="Arial"/>
                <w:sz w:val="16"/>
                <w:szCs w:val="16"/>
                <w:color w:val="auto"/>
              </w:rPr>
              <w:t>Chief Financial Officer</w:t>
            </w:r>
          </w:p>
        </w:tc>
        <w:tc>
          <w:tcPr>
            <w:tcW w:w="2420" w:type="dxa"/>
            <w:vAlign w:val="bottom"/>
          </w:tcPr>
          <w:p>
            <w:pPr>
              <w:jc w:val="center"/>
              <w:ind w:left="419"/>
              <w:spacing w:after="0"/>
              <w:rPr>
                <w:sz w:val="20"/>
                <w:szCs w:val="20"/>
                <w:color w:val="auto"/>
              </w:rPr>
            </w:pPr>
            <w:r>
              <w:rPr>
                <w:rFonts w:ascii="Arial" w:cs="Arial" w:eastAsia="Arial" w:hAnsi="Arial"/>
                <w:sz w:val="16"/>
                <w:szCs w:val="16"/>
                <w:color w:val="auto"/>
              </w:rPr>
              <w:t>Chief Financial Officer</w:t>
            </w:r>
          </w:p>
        </w:tc>
      </w:tr>
      <w:tr>
        <w:trPr>
          <w:trHeight w:val="215"/>
        </w:trPr>
        <w:tc>
          <w:tcPr>
            <w:tcW w:w="2240" w:type="dxa"/>
            <w:vAlign w:val="bottom"/>
          </w:tcPr>
          <w:p>
            <w:pPr>
              <w:jc w:val="center"/>
              <w:ind w:right="479"/>
              <w:spacing w:after="0"/>
              <w:rPr>
                <w:sz w:val="20"/>
                <w:szCs w:val="20"/>
                <w:color w:val="auto"/>
              </w:rPr>
            </w:pPr>
            <w:r>
              <w:rPr>
                <w:rFonts w:ascii="Arial" w:cs="Arial" w:eastAsia="Arial" w:hAnsi="Arial"/>
                <w:sz w:val="16"/>
                <w:szCs w:val="16"/>
                <w:color w:val="auto"/>
              </w:rPr>
              <w:t>Chief Executive Officer</w:t>
            </w:r>
          </w:p>
        </w:tc>
        <w:tc>
          <w:tcPr>
            <w:tcW w:w="2640" w:type="dxa"/>
            <w:vAlign w:val="bottom"/>
          </w:tcPr>
          <w:p>
            <w:pPr>
              <w:spacing w:after="0"/>
              <w:rPr>
                <w:sz w:val="18"/>
                <w:szCs w:val="18"/>
                <w:color w:val="auto"/>
              </w:rPr>
            </w:pPr>
          </w:p>
        </w:tc>
        <w:tc>
          <w:tcPr>
            <w:tcW w:w="24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104140</wp:posOffset>
            </wp:positionV>
            <wp:extent cx="899795" cy="900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99795" cy="90043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86995</wp:posOffset>
            </wp:positionV>
            <wp:extent cx="899795" cy="900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99795" cy="90043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86995</wp:posOffset>
            </wp:positionV>
            <wp:extent cx="900430" cy="900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00430" cy="90043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86995</wp:posOffset>
            </wp:positionV>
            <wp:extent cx="899795" cy="900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9979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2820" w:type="dxa"/>
            <w:vAlign w:val="bottom"/>
          </w:tcPr>
          <w:p>
            <w:pPr>
              <w:jc w:val="center"/>
              <w:ind w:right="459"/>
              <w:spacing w:after="0"/>
              <w:rPr>
                <w:sz w:val="20"/>
                <w:szCs w:val="20"/>
                <w:color w:val="auto"/>
              </w:rPr>
            </w:pPr>
            <w:r>
              <w:rPr>
                <w:rFonts w:ascii="Arial" w:cs="Arial" w:eastAsia="Arial" w:hAnsi="Arial"/>
                <w:sz w:val="16"/>
                <w:szCs w:val="16"/>
                <w:b w:val="1"/>
                <w:bCs w:val="1"/>
                <w:color w:val="auto"/>
              </w:rPr>
              <w:t>Joanna M. Totsky</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Amy E. Dahl</w:t>
            </w:r>
          </w:p>
        </w:tc>
        <w:tc>
          <w:tcPr>
            <w:tcW w:w="3200" w:type="dxa"/>
            <w:vAlign w:val="bottom"/>
          </w:tcPr>
          <w:p>
            <w:pPr>
              <w:jc w:val="center"/>
              <w:ind w:left="179"/>
              <w:spacing w:after="0"/>
              <w:rPr>
                <w:sz w:val="20"/>
                <w:szCs w:val="20"/>
                <w:color w:val="auto"/>
              </w:rPr>
            </w:pPr>
            <w:r>
              <w:rPr>
                <w:rFonts w:ascii="Arial" w:cs="Arial" w:eastAsia="Arial" w:hAnsi="Arial"/>
                <w:sz w:val="16"/>
                <w:szCs w:val="16"/>
                <w:b w:val="1"/>
                <w:bCs w:val="1"/>
                <w:color w:val="auto"/>
              </w:rPr>
              <w:t>Gregory S. Janey</w:t>
            </w:r>
          </w:p>
        </w:tc>
        <w:tc>
          <w:tcPr>
            <w:tcW w:w="2360" w:type="dxa"/>
            <w:vAlign w:val="bottom"/>
          </w:tcPr>
          <w:p>
            <w:pPr>
              <w:jc w:val="center"/>
              <w:ind w:left="159"/>
              <w:spacing w:after="0"/>
              <w:rPr>
                <w:sz w:val="20"/>
                <w:szCs w:val="20"/>
                <w:color w:val="auto"/>
              </w:rPr>
            </w:pPr>
            <w:r>
              <w:rPr>
                <w:rFonts w:ascii="Arial" w:cs="Arial" w:eastAsia="Arial" w:hAnsi="Arial"/>
                <w:sz w:val="16"/>
                <w:szCs w:val="16"/>
                <w:b w:val="1"/>
                <w:bCs w:val="1"/>
                <w:color w:val="auto"/>
              </w:rPr>
              <w:t>Richard W. Rodier</w:t>
            </w:r>
          </w:p>
        </w:tc>
      </w:tr>
      <w:tr>
        <w:trPr>
          <w:trHeight w:val="189"/>
        </w:trPr>
        <w:tc>
          <w:tcPr>
            <w:tcW w:w="2820" w:type="dxa"/>
            <w:vAlign w:val="bottom"/>
          </w:tcPr>
          <w:p>
            <w:pPr>
              <w:jc w:val="center"/>
              <w:ind w:right="459"/>
              <w:spacing w:after="0"/>
              <w:rPr>
                <w:sz w:val="20"/>
                <w:szCs w:val="20"/>
                <w:color w:val="auto"/>
              </w:rPr>
            </w:pPr>
            <w:r>
              <w:rPr>
                <w:rFonts w:ascii="Arial" w:cs="Arial" w:eastAsia="Arial" w:hAnsi="Arial"/>
                <w:sz w:val="16"/>
                <w:szCs w:val="16"/>
                <w:color w:val="auto"/>
              </w:rPr>
              <w:t>Vice President,</w:t>
            </w:r>
          </w:p>
        </w:tc>
        <w:tc>
          <w:tcPr>
            <w:tcW w:w="2100" w:type="dxa"/>
            <w:vAlign w:val="bottom"/>
          </w:tcPr>
          <w:p>
            <w:pPr>
              <w:jc w:val="center"/>
              <w:spacing w:after="0"/>
              <w:rPr>
                <w:sz w:val="20"/>
                <w:szCs w:val="20"/>
                <w:color w:val="auto"/>
              </w:rPr>
            </w:pPr>
            <w:r>
              <w:rPr>
                <w:rFonts w:ascii="Arial" w:cs="Arial" w:eastAsia="Arial" w:hAnsi="Arial"/>
                <w:sz w:val="16"/>
                <w:szCs w:val="16"/>
                <w:color w:val="auto"/>
              </w:rPr>
              <w:t>Vice President,</w:t>
            </w:r>
          </w:p>
        </w:tc>
        <w:tc>
          <w:tcPr>
            <w:tcW w:w="3200" w:type="dxa"/>
            <w:vAlign w:val="bottom"/>
          </w:tcPr>
          <w:p>
            <w:pPr>
              <w:jc w:val="center"/>
              <w:ind w:left="179"/>
              <w:spacing w:after="0"/>
              <w:rPr>
                <w:sz w:val="20"/>
                <w:szCs w:val="20"/>
                <w:color w:val="auto"/>
              </w:rPr>
            </w:pPr>
            <w:r>
              <w:rPr>
                <w:rFonts w:ascii="Arial" w:cs="Arial" w:eastAsia="Arial" w:hAnsi="Arial"/>
                <w:sz w:val="16"/>
                <w:szCs w:val="16"/>
                <w:color w:val="auto"/>
              </w:rPr>
              <w:t>Group Vice President, Landscapes</w:t>
            </w:r>
          </w:p>
        </w:tc>
        <w:tc>
          <w:tcPr>
            <w:tcW w:w="2360" w:type="dxa"/>
            <w:vAlign w:val="bottom"/>
          </w:tcPr>
          <w:p>
            <w:pPr>
              <w:jc w:val="center"/>
              <w:ind w:left="139"/>
              <w:spacing w:after="0"/>
              <w:rPr>
                <w:sz w:val="20"/>
                <w:szCs w:val="20"/>
                <w:color w:val="auto"/>
              </w:rPr>
            </w:pPr>
            <w:r>
              <w:rPr>
                <w:rFonts w:ascii="Arial" w:cs="Arial" w:eastAsia="Arial" w:hAnsi="Arial"/>
                <w:sz w:val="16"/>
                <w:szCs w:val="16"/>
                <w:color w:val="auto"/>
              </w:rPr>
              <w:t>Former Group Vice President,</w:t>
            </w:r>
          </w:p>
        </w:tc>
      </w:tr>
      <w:tr>
        <w:trPr>
          <w:trHeight w:val="215"/>
        </w:trPr>
        <w:tc>
          <w:tcPr>
            <w:tcW w:w="2820" w:type="dxa"/>
            <w:vAlign w:val="bottom"/>
          </w:tcPr>
          <w:p>
            <w:pPr>
              <w:jc w:val="center"/>
              <w:ind w:right="459"/>
              <w:spacing w:after="0"/>
              <w:rPr>
                <w:sz w:val="20"/>
                <w:szCs w:val="20"/>
                <w:color w:val="auto"/>
              </w:rPr>
            </w:pPr>
            <w:r>
              <w:rPr>
                <w:rFonts w:ascii="Arial" w:cs="Arial" w:eastAsia="Arial" w:hAnsi="Arial"/>
                <w:sz w:val="16"/>
                <w:szCs w:val="16"/>
                <w:color w:val="auto"/>
              </w:rPr>
              <w:t>General Counsel and Corporate</w:t>
            </w:r>
          </w:p>
        </w:tc>
        <w:tc>
          <w:tcPr>
            <w:tcW w:w="2100" w:type="dxa"/>
            <w:vAlign w:val="bottom"/>
          </w:tcPr>
          <w:p>
            <w:pPr>
              <w:jc w:val="center"/>
              <w:spacing w:after="0"/>
              <w:rPr>
                <w:sz w:val="20"/>
                <w:szCs w:val="20"/>
                <w:color w:val="auto"/>
              </w:rPr>
            </w:pPr>
            <w:r>
              <w:rPr>
                <w:rFonts w:ascii="Arial" w:cs="Arial" w:eastAsia="Arial" w:hAnsi="Arial"/>
                <w:sz w:val="16"/>
                <w:szCs w:val="16"/>
                <w:color w:val="auto"/>
              </w:rPr>
              <w:t>International</w:t>
            </w:r>
          </w:p>
        </w:tc>
        <w:tc>
          <w:tcPr>
            <w:tcW w:w="3200" w:type="dxa"/>
            <w:vAlign w:val="bottom"/>
          </w:tcPr>
          <w:p>
            <w:pPr>
              <w:jc w:val="center"/>
              <w:ind w:left="179"/>
              <w:spacing w:after="0"/>
              <w:rPr>
                <w:sz w:val="20"/>
                <w:szCs w:val="20"/>
                <w:color w:val="auto"/>
              </w:rPr>
            </w:pPr>
            <w:r>
              <w:rPr>
                <w:rFonts w:ascii="Arial" w:cs="Arial" w:eastAsia="Arial" w:hAnsi="Arial"/>
                <w:sz w:val="16"/>
                <w:szCs w:val="16"/>
                <w:color w:val="auto"/>
              </w:rPr>
              <w:t>and Contractor</w:t>
            </w:r>
          </w:p>
        </w:tc>
        <w:tc>
          <w:tcPr>
            <w:tcW w:w="2360" w:type="dxa"/>
            <w:vAlign w:val="bottom"/>
          </w:tcPr>
          <w:p>
            <w:pPr>
              <w:jc w:val="center"/>
              <w:ind w:left="139"/>
              <w:spacing w:after="0"/>
              <w:rPr>
                <w:sz w:val="20"/>
                <w:szCs w:val="20"/>
                <w:color w:val="auto"/>
              </w:rPr>
            </w:pPr>
            <w:r>
              <w:rPr>
                <w:rFonts w:ascii="Arial" w:cs="Arial" w:eastAsia="Arial" w:hAnsi="Arial"/>
                <w:sz w:val="16"/>
                <w:szCs w:val="16"/>
                <w:color w:val="auto"/>
              </w:rPr>
              <w:t>Construction Businesses</w:t>
            </w:r>
          </w:p>
        </w:tc>
      </w:tr>
      <w:tr>
        <w:trPr>
          <w:trHeight w:val="215"/>
        </w:trPr>
        <w:tc>
          <w:tcPr>
            <w:tcW w:w="2820" w:type="dxa"/>
            <w:vAlign w:val="bottom"/>
          </w:tcPr>
          <w:p>
            <w:pPr>
              <w:jc w:val="center"/>
              <w:ind w:right="459"/>
              <w:spacing w:after="0"/>
              <w:rPr>
                <w:sz w:val="20"/>
                <w:szCs w:val="20"/>
                <w:color w:val="auto"/>
              </w:rPr>
            </w:pPr>
            <w:r>
              <w:rPr>
                <w:rFonts w:ascii="Arial" w:cs="Arial" w:eastAsia="Arial" w:hAnsi="Arial"/>
                <w:sz w:val="16"/>
                <w:szCs w:val="16"/>
                <w:color w:val="auto"/>
                <w:w w:val="99"/>
              </w:rPr>
              <w:t>Secretary</w:t>
            </w:r>
          </w:p>
        </w:tc>
        <w:tc>
          <w:tcPr>
            <w:tcW w:w="2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360" w:type="dxa"/>
            <w:vAlign w:val="bottom"/>
          </w:tcPr>
          <w:p>
            <w:pPr>
              <w:spacing w:after="0"/>
              <w:rPr>
                <w:sz w:val="18"/>
                <w:szCs w:val="18"/>
                <w:color w:val="auto"/>
              </w:rPr>
            </w:pPr>
          </w:p>
        </w:tc>
      </w:tr>
    </w:tbl>
    <w:p>
      <w:pPr>
        <w:spacing w:after="0" w:line="199"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The CD&amp;A should be read together with the related tables and disclosures that follow and our advisory vote on executive compensation, which can be found under "Proposal Three—Advisory Approval of our Executive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Executive Summary: Changes in Senior Leadership Team</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experienced several changes in our senior leadership team during fiscal 2023, including the following:</w:t>
      </w:r>
    </w:p>
    <w:p>
      <w:pPr>
        <w:spacing w:after="0" w:line="144"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Effective November 1, 2022, we promoted Gregory S. Janey to Group Vice President, Landscapes and Contractor.</w:t>
      </w:r>
    </w:p>
    <w:p>
      <w:pPr>
        <w:spacing w:after="0" w:line="157" w:lineRule="exact"/>
        <w:rPr>
          <w:rFonts w:ascii="Arial" w:cs="Arial" w:eastAsia="Arial" w:hAnsi="Arial"/>
          <w:sz w:val="18"/>
          <w:szCs w:val="18"/>
          <w:color w:val="auto"/>
        </w:rPr>
      </w:pPr>
    </w:p>
    <w:p>
      <w:pPr>
        <w:ind w:left="660" w:right="280" w:hanging="328"/>
        <w:spacing w:after="0" w:line="27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Effective March 1, 2023, Amy E. Dahl assumed the role of Vice President, International in addition to her then current role of Vice President, General Counsel and Corporate Secretary.</w:t>
      </w:r>
    </w:p>
    <w:p>
      <w:pPr>
        <w:spacing w:after="0" w:line="86" w:lineRule="exact"/>
        <w:rPr>
          <w:rFonts w:ascii="Arial" w:cs="Arial" w:eastAsia="Arial" w:hAnsi="Arial"/>
          <w:sz w:val="18"/>
          <w:szCs w:val="18"/>
          <w:color w:val="auto"/>
        </w:rPr>
      </w:pPr>
    </w:p>
    <w:p>
      <w:pPr>
        <w:ind w:left="660" w:right="100" w:hanging="328"/>
        <w:spacing w:after="0" w:line="275" w:lineRule="auto"/>
        <w:tabs>
          <w:tab w:leader="none" w:pos="6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Effective March 10, 2023, we promoted Angela C. Drake to Vice President, Chief Financial Officer, to succeed Renee J. Peterson, who retired on July 19, 2023; Prior to her retirement, and as a part of the succession plan to ensure an orderly transition of Ms. Drake into her new role, Ms. Peterson served as Vice President, Finance from March 10, 2023 until her retirement on July 10, 2023</w:t>
      </w:r>
    </w:p>
    <w:p>
      <w:pPr>
        <w:spacing w:after="0" w:line="84" w:lineRule="exact"/>
        <w:rPr>
          <w:rFonts w:ascii="Arial" w:cs="Arial" w:eastAsia="Arial" w:hAnsi="Arial"/>
          <w:sz w:val="17"/>
          <w:szCs w:val="17"/>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Effective April 14, 2023, Richard W. Rodier, our Group Vice President, Construction Businesses, retired.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Effective June 19, 2023, we hired Joanna M. Totsky as our new Vice President,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4" w:right="39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color w:val="C00000"/>
        </w:rPr>
        <w:t>Executive Summary: Fiscal 2023 Compensation Actions and Outcomes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One of our key executive compensation objectives is to link pay to performance by aligning the financial interests of our executive</w:t>
      </w:r>
    </w:p>
    <w:p>
      <w:pPr>
        <w:spacing w:after="0" w:line="234" w:lineRule="auto"/>
        <w:rPr>
          <w:sz w:val="20"/>
          <w:szCs w:val="20"/>
          <w:color w:val="auto"/>
        </w:rPr>
      </w:pPr>
      <w:r>
        <w:rPr>
          <w:rFonts w:ascii="Arial" w:cs="Arial" w:eastAsia="Arial" w:hAnsi="Arial"/>
          <w:sz w:val="18"/>
          <w:szCs w:val="18"/>
          <w:color w:val="auto"/>
        </w:rPr>
        <w:t>officers, including our NEOs, with those of our shareholders and by emphasizing pay for performance in our compensation programs. Fiscal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2023 compensation actions and incentive plan outcomes based on our performance are summarized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260" w:type="dxa"/>
            <w:vAlign w:val="bottom"/>
            <w:shd w:val="clear" w:color="auto" w:fill="BF2115"/>
          </w:tcPr>
          <w:p>
            <w:pPr>
              <w:ind w:left="20"/>
              <w:spacing w:after="0"/>
              <w:rPr>
                <w:sz w:val="20"/>
                <w:szCs w:val="20"/>
                <w:color w:val="auto"/>
              </w:rPr>
            </w:pPr>
            <w:r>
              <w:rPr>
                <w:rFonts w:ascii="Arial" w:cs="Arial" w:eastAsia="Arial" w:hAnsi="Arial"/>
                <w:sz w:val="18"/>
                <w:szCs w:val="18"/>
                <w:b w:val="1"/>
                <w:bCs w:val="1"/>
                <w:color w:val="FFFFFF"/>
              </w:rPr>
              <w:t>Pay Element</w:t>
            </w:r>
          </w:p>
        </w:tc>
        <w:tc>
          <w:tcPr>
            <w:tcW w:w="3640" w:type="dxa"/>
            <w:vAlign w:val="bottom"/>
            <w:gridSpan w:val="2"/>
            <w:shd w:val="clear" w:color="auto" w:fill="BF2115"/>
          </w:tcPr>
          <w:p>
            <w:pPr>
              <w:ind w:left="280"/>
              <w:spacing w:after="0"/>
              <w:rPr>
                <w:sz w:val="20"/>
                <w:szCs w:val="20"/>
                <w:color w:val="auto"/>
              </w:rPr>
            </w:pPr>
            <w:r>
              <w:rPr>
                <w:rFonts w:ascii="Arial" w:cs="Arial" w:eastAsia="Arial" w:hAnsi="Arial"/>
                <w:sz w:val="18"/>
                <w:szCs w:val="18"/>
                <w:b w:val="1"/>
                <w:bCs w:val="1"/>
                <w:color w:val="FFFFFF"/>
              </w:rPr>
              <w:t>Fiscal 2023 Actions</w:t>
            </w:r>
          </w:p>
        </w:tc>
        <w:tc>
          <w:tcPr>
            <w:tcW w:w="1260" w:type="dxa"/>
            <w:vAlign w:val="bottom"/>
            <w:shd w:val="clear" w:color="auto" w:fill="BF2115"/>
          </w:tcPr>
          <w:p>
            <w:pPr>
              <w:spacing w:after="0"/>
              <w:rPr>
                <w:sz w:val="22"/>
                <w:szCs w:val="22"/>
                <w:color w:val="auto"/>
              </w:rPr>
            </w:pPr>
          </w:p>
        </w:tc>
        <w:tc>
          <w:tcPr>
            <w:tcW w:w="4060" w:type="dxa"/>
            <w:vAlign w:val="bottom"/>
            <w:shd w:val="clear" w:color="auto" w:fill="BF2115"/>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260" w:type="dxa"/>
            <w:vAlign w:val="bottom"/>
          </w:tcPr>
          <w:p>
            <w:pPr>
              <w:ind w:left="20"/>
              <w:spacing w:after="0"/>
              <w:rPr>
                <w:sz w:val="20"/>
                <w:szCs w:val="20"/>
                <w:color w:val="auto"/>
              </w:rPr>
            </w:pPr>
            <w:r>
              <w:rPr>
                <w:rFonts w:ascii="Arial" w:cs="Arial" w:eastAsia="Arial" w:hAnsi="Arial"/>
                <w:sz w:val="16"/>
                <w:szCs w:val="16"/>
                <w:i w:val="1"/>
                <w:iCs w:val="1"/>
                <w:color w:val="auto"/>
              </w:rPr>
              <w:t>Base Salary</w:t>
            </w:r>
          </w:p>
        </w:tc>
        <w:tc>
          <w:tcPr>
            <w:tcW w:w="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580" w:type="dxa"/>
            <w:vAlign w:val="bottom"/>
            <w:gridSpan w:val="3"/>
          </w:tcPr>
          <w:p>
            <w:pPr>
              <w:ind w:left="40"/>
              <w:spacing w:after="0"/>
              <w:rPr>
                <w:sz w:val="20"/>
                <w:szCs w:val="20"/>
                <w:color w:val="auto"/>
              </w:rPr>
            </w:pPr>
            <w:r>
              <w:rPr>
                <w:rFonts w:ascii="Arial" w:cs="Arial" w:eastAsia="Arial" w:hAnsi="Arial"/>
                <w:sz w:val="16"/>
                <w:szCs w:val="16"/>
                <w:color w:val="auto"/>
              </w:rPr>
              <w:t>With the exception of Ms. Drake who was promoted on March 10, 2023, Ms. Totsky who joined our Company in June</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580" w:type="dxa"/>
            <w:vAlign w:val="bottom"/>
            <w:gridSpan w:val="3"/>
          </w:tcPr>
          <w:p>
            <w:pPr>
              <w:ind w:left="60"/>
              <w:spacing w:after="0" w:line="175" w:lineRule="exact"/>
              <w:rPr>
                <w:sz w:val="20"/>
                <w:szCs w:val="20"/>
                <w:color w:val="auto"/>
              </w:rPr>
            </w:pPr>
            <w:r>
              <w:rPr>
                <w:rFonts w:ascii="Arial" w:cs="Arial" w:eastAsia="Arial" w:hAnsi="Arial"/>
                <w:sz w:val="16"/>
                <w:szCs w:val="16"/>
                <w:color w:val="auto"/>
              </w:rPr>
              <w:t>2023 and Mr. Rodier who announced his retirement in January 2023, our NEOs received base salary increases on</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6"/>
                <w:szCs w:val="16"/>
                <w:color w:val="auto"/>
              </w:rPr>
              <w:t>March 1, 2023.</w:t>
            </w:r>
          </w:p>
        </w:tc>
        <w:tc>
          <w:tcPr>
            <w:tcW w:w="12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8580" w:type="dxa"/>
            <w:vAlign w:val="bottom"/>
            <w:gridSpan w:val="3"/>
          </w:tcPr>
          <w:p>
            <w:pPr>
              <w:ind w:left="40"/>
              <w:spacing w:after="0"/>
              <w:rPr>
                <w:sz w:val="20"/>
                <w:szCs w:val="20"/>
                <w:color w:val="auto"/>
              </w:rPr>
            </w:pPr>
            <w:r>
              <w:rPr>
                <w:rFonts w:ascii="Arial" w:cs="Arial" w:eastAsia="Arial" w:hAnsi="Arial"/>
                <w:sz w:val="16"/>
                <w:szCs w:val="16"/>
                <w:color w:val="auto"/>
              </w:rPr>
              <w:t>Our Chairman and CEO received a base salary increase of 4.1% and our other NEOs received a base salary</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580" w:type="dxa"/>
            <w:vAlign w:val="bottom"/>
            <w:gridSpan w:val="3"/>
          </w:tcPr>
          <w:p>
            <w:pPr>
              <w:ind w:left="60"/>
              <w:spacing w:after="0"/>
              <w:rPr>
                <w:sz w:val="20"/>
                <w:szCs w:val="20"/>
                <w:color w:val="auto"/>
              </w:rPr>
            </w:pPr>
            <w:r>
              <w:rPr>
                <w:rFonts w:ascii="Arial" w:cs="Arial" w:eastAsia="Arial" w:hAnsi="Arial"/>
                <w:sz w:val="16"/>
                <w:szCs w:val="16"/>
                <w:color w:val="auto"/>
              </w:rPr>
              <w:t>increase ranging from 2.4% to 4.1% on March 1, 2023.</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380" w:type="dxa"/>
            <w:vAlign w:val="bottom"/>
          </w:tcPr>
          <w:p>
            <w:pPr>
              <w:ind w:left="280"/>
              <w:spacing w:after="0" w:line="175" w:lineRule="exact"/>
              <w:rPr>
                <w:sz w:val="20"/>
                <w:szCs w:val="20"/>
                <w:color w:val="auto"/>
              </w:rPr>
            </w:pPr>
            <w:r>
              <w:rPr>
                <w:rFonts w:ascii="Arial" w:cs="Arial" w:eastAsia="Arial" w:hAnsi="Arial"/>
                <w:sz w:val="16"/>
                <w:szCs w:val="16"/>
                <w:color w:val="auto"/>
              </w:rPr>
              <w:t>•</w:t>
            </w:r>
          </w:p>
        </w:tc>
        <w:tc>
          <w:tcPr>
            <w:tcW w:w="8580" w:type="dxa"/>
            <w:vAlign w:val="bottom"/>
            <w:gridSpan w:val="3"/>
          </w:tcPr>
          <w:p>
            <w:pPr>
              <w:ind w:left="40"/>
              <w:spacing w:after="0" w:line="175" w:lineRule="exact"/>
              <w:rPr>
                <w:sz w:val="20"/>
                <w:szCs w:val="20"/>
                <w:color w:val="auto"/>
              </w:rPr>
            </w:pPr>
            <w:r>
              <w:rPr>
                <w:rFonts w:ascii="Arial" w:cs="Arial" w:eastAsia="Arial" w:hAnsi="Arial"/>
                <w:sz w:val="16"/>
                <w:szCs w:val="16"/>
                <w:color w:val="auto"/>
              </w:rPr>
              <w:t>Mr. Janey received a promotional base salary increase on November 1, 2022 and Ms. Drake received a promotional</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60" w:type="dxa"/>
            <w:vAlign w:val="bottom"/>
          </w:tcPr>
          <w:p>
            <w:pPr>
              <w:ind w:left="60"/>
              <w:spacing w:after="0"/>
              <w:rPr>
                <w:sz w:val="20"/>
                <w:szCs w:val="20"/>
                <w:color w:val="auto"/>
              </w:rPr>
            </w:pPr>
            <w:r>
              <w:rPr>
                <w:rFonts w:ascii="Arial" w:cs="Arial" w:eastAsia="Arial" w:hAnsi="Arial"/>
                <w:sz w:val="16"/>
                <w:szCs w:val="16"/>
                <w:color w:val="auto"/>
              </w:rPr>
              <w:t>increase on March 10, 2023.</w:t>
            </w:r>
          </w:p>
        </w:tc>
        <w:tc>
          <w:tcPr>
            <w:tcW w:w="1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260" w:type="dxa"/>
            <w:vAlign w:val="bottom"/>
            <w:tcBorders>
              <w:bottom w:val="single" w:sz="8" w:color="D9D9D9"/>
            </w:tcBorders>
          </w:tcPr>
          <w:p>
            <w:pPr>
              <w:spacing w:after="0"/>
              <w:rPr>
                <w:sz w:val="3"/>
                <w:szCs w:val="3"/>
                <w:color w:val="auto"/>
              </w:rPr>
            </w:pPr>
          </w:p>
        </w:tc>
        <w:tc>
          <w:tcPr>
            <w:tcW w:w="380" w:type="dxa"/>
            <w:vAlign w:val="bottom"/>
            <w:tcBorders>
              <w:bottom w:val="single" w:sz="8" w:color="D9D9D9"/>
            </w:tcBorders>
          </w:tcPr>
          <w:p>
            <w:pPr>
              <w:spacing w:after="0"/>
              <w:rPr>
                <w:sz w:val="3"/>
                <w:szCs w:val="3"/>
                <w:color w:val="auto"/>
              </w:rPr>
            </w:pPr>
          </w:p>
        </w:tc>
        <w:tc>
          <w:tcPr>
            <w:tcW w:w="4520" w:type="dxa"/>
            <w:vAlign w:val="bottom"/>
            <w:tcBorders>
              <w:bottom w:val="single" w:sz="8" w:color="D9D9D9"/>
            </w:tcBorders>
            <w:gridSpan w:val="2"/>
          </w:tcPr>
          <w:p>
            <w:pPr>
              <w:spacing w:after="0"/>
              <w:rPr>
                <w:sz w:val="3"/>
                <w:szCs w:val="3"/>
                <w:color w:val="auto"/>
              </w:rPr>
            </w:pPr>
          </w:p>
        </w:tc>
        <w:tc>
          <w:tcPr>
            <w:tcW w:w="406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260" w:type="dxa"/>
            <w:vAlign w:val="bottom"/>
          </w:tcPr>
          <w:p>
            <w:pPr>
              <w:ind w:left="20"/>
              <w:spacing w:after="0"/>
              <w:rPr>
                <w:sz w:val="20"/>
                <w:szCs w:val="20"/>
                <w:color w:val="auto"/>
              </w:rPr>
            </w:pPr>
            <w:r>
              <w:rPr>
                <w:rFonts w:ascii="Arial" w:cs="Arial" w:eastAsia="Arial" w:hAnsi="Arial"/>
                <w:sz w:val="16"/>
                <w:szCs w:val="16"/>
                <w:i w:val="1"/>
                <w:iCs w:val="1"/>
                <w:color w:val="auto"/>
              </w:rPr>
              <w:t>Annual Cash Incentive</w:t>
            </w:r>
          </w:p>
        </w:tc>
        <w:tc>
          <w:tcPr>
            <w:tcW w:w="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580" w:type="dxa"/>
            <w:vAlign w:val="bottom"/>
            <w:gridSpan w:val="3"/>
          </w:tcPr>
          <w:p>
            <w:pPr>
              <w:ind w:left="40"/>
              <w:spacing w:after="0"/>
              <w:rPr>
                <w:sz w:val="20"/>
                <w:szCs w:val="20"/>
                <w:color w:val="auto"/>
              </w:rPr>
            </w:pPr>
            <w:r>
              <w:rPr>
                <w:rFonts w:ascii="Arial" w:cs="Arial" w:eastAsia="Arial" w:hAnsi="Arial"/>
                <w:sz w:val="16"/>
                <w:szCs w:val="16"/>
                <w:color w:val="auto"/>
              </w:rPr>
              <w:t>Target annual cash incentive award opportunities as a percent of base salary were established for each of our</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580" w:type="dxa"/>
            <w:vAlign w:val="bottom"/>
            <w:gridSpan w:val="3"/>
          </w:tcPr>
          <w:p>
            <w:pPr>
              <w:ind w:left="60"/>
              <w:spacing w:after="0" w:line="175" w:lineRule="exact"/>
              <w:rPr>
                <w:sz w:val="20"/>
                <w:szCs w:val="20"/>
                <w:color w:val="auto"/>
              </w:rPr>
            </w:pPr>
            <w:r>
              <w:rPr>
                <w:rFonts w:ascii="Arial" w:cs="Arial" w:eastAsia="Arial" w:hAnsi="Arial"/>
                <w:sz w:val="16"/>
                <w:szCs w:val="16"/>
                <w:color w:val="auto"/>
              </w:rPr>
              <w:t>NEOs, representing 130% of base salary for our Chaiman and CEO and ranging from 55% to 80% of base salary for</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6"/>
                <w:szCs w:val="16"/>
                <w:color w:val="auto"/>
              </w:rPr>
              <w:t>our other NEOs.</w:t>
            </w:r>
          </w:p>
        </w:tc>
        <w:tc>
          <w:tcPr>
            <w:tcW w:w="12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8580" w:type="dxa"/>
            <w:vAlign w:val="bottom"/>
            <w:gridSpan w:val="3"/>
          </w:tcPr>
          <w:p>
            <w:pPr>
              <w:ind w:left="40"/>
              <w:spacing w:after="0"/>
              <w:rPr>
                <w:sz w:val="20"/>
                <w:szCs w:val="20"/>
                <w:color w:val="auto"/>
              </w:rPr>
            </w:pPr>
            <w:r>
              <w:rPr>
                <w:rFonts w:ascii="Arial" w:cs="Arial" w:eastAsia="Arial" w:hAnsi="Arial"/>
                <w:sz w:val="16"/>
                <w:szCs w:val="16"/>
                <w:color w:val="auto"/>
              </w:rPr>
              <w:t>In connection with her promotion, Ms. Drake received an increase from 55% to 65% in her target annual cash</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580" w:type="dxa"/>
            <w:vAlign w:val="bottom"/>
            <w:gridSpan w:val="3"/>
          </w:tcPr>
          <w:p>
            <w:pPr>
              <w:ind w:left="60"/>
              <w:spacing w:after="0" w:line="175" w:lineRule="exact"/>
              <w:rPr>
                <w:sz w:val="20"/>
                <w:szCs w:val="20"/>
                <w:color w:val="auto"/>
              </w:rPr>
            </w:pPr>
            <w:r>
              <w:rPr>
                <w:rFonts w:ascii="Arial" w:cs="Arial" w:eastAsia="Arial" w:hAnsi="Arial"/>
                <w:sz w:val="16"/>
                <w:szCs w:val="16"/>
                <w:color w:val="auto"/>
              </w:rPr>
              <w:t>incentive award opportunity. Mr. Janey's target annual cash incentive award opportunity represented an increase</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580" w:type="dxa"/>
            <w:vAlign w:val="bottom"/>
            <w:gridSpan w:val="3"/>
          </w:tcPr>
          <w:p>
            <w:pPr>
              <w:ind w:left="60"/>
              <w:spacing w:after="0"/>
              <w:rPr>
                <w:sz w:val="20"/>
                <w:szCs w:val="20"/>
                <w:color w:val="auto"/>
              </w:rPr>
            </w:pPr>
            <w:r>
              <w:rPr>
                <w:rFonts w:ascii="Arial" w:cs="Arial" w:eastAsia="Arial" w:hAnsi="Arial"/>
                <w:sz w:val="16"/>
                <w:szCs w:val="16"/>
                <w:color w:val="auto"/>
              </w:rPr>
              <w:t>from 55% to 6% in connection with his promotion.</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380" w:type="dxa"/>
            <w:vAlign w:val="bottom"/>
          </w:tcPr>
          <w:p>
            <w:pPr>
              <w:ind w:left="280"/>
              <w:spacing w:after="0" w:line="175" w:lineRule="exact"/>
              <w:rPr>
                <w:sz w:val="20"/>
                <w:szCs w:val="20"/>
                <w:color w:val="auto"/>
              </w:rPr>
            </w:pPr>
            <w:r>
              <w:rPr>
                <w:rFonts w:ascii="Arial" w:cs="Arial" w:eastAsia="Arial" w:hAnsi="Arial"/>
                <w:sz w:val="16"/>
                <w:szCs w:val="16"/>
                <w:color w:val="auto"/>
              </w:rPr>
              <w:t>•</w:t>
            </w:r>
          </w:p>
        </w:tc>
        <w:tc>
          <w:tcPr>
            <w:tcW w:w="8580" w:type="dxa"/>
            <w:vAlign w:val="bottom"/>
            <w:gridSpan w:val="3"/>
          </w:tcPr>
          <w:p>
            <w:pPr>
              <w:ind w:left="40"/>
              <w:spacing w:after="0" w:line="175" w:lineRule="exact"/>
              <w:rPr>
                <w:sz w:val="20"/>
                <w:szCs w:val="20"/>
                <w:color w:val="auto"/>
              </w:rPr>
            </w:pPr>
            <w:r>
              <w:rPr>
                <w:rFonts w:ascii="Arial" w:cs="Arial" w:eastAsia="Arial" w:hAnsi="Arial"/>
                <w:sz w:val="16"/>
                <w:szCs w:val="16"/>
                <w:color w:val="auto"/>
              </w:rPr>
              <w:t>Corporate performance measures, weightings and goals were established for all of our NEOs. Additionally, divisional</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580" w:type="dxa"/>
            <w:vAlign w:val="bottom"/>
            <w:gridSpan w:val="3"/>
          </w:tcPr>
          <w:p>
            <w:pPr>
              <w:ind w:left="60"/>
              <w:spacing w:after="0"/>
              <w:rPr>
                <w:sz w:val="20"/>
                <w:szCs w:val="20"/>
                <w:color w:val="auto"/>
              </w:rPr>
            </w:pPr>
            <w:r>
              <w:rPr>
                <w:rFonts w:ascii="Arial" w:cs="Arial" w:eastAsia="Arial" w:hAnsi="Arial"/>
                <w:sz w:val="16"/>
                <w:szCs w:val="16"/>
                <w:color w:val="auto"/>
              </w:rPr>
              <w:t>performance measures weightings and goals were established for Ms. Dahl, who assumed the position of Vice</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6"/>
                <w:szCs w:val="16"/>
                <w:color w:val="auto"/>
              </w:rPr>
              <w:t>President, International on March 1, 2023</w:t>
            </w:r>
          </w:p>
        </w:tc>
        <w:tc>
          <w:tcPr>
            <w:tcW w:w="12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580" w:type="dxa"/>
            <w:vAlign w:val="bottom"/>
            <w:gridSpan w:val="3"/>
          </w:tcPr>
          <w:p>
            <w:pPr>
              <w:ind w:left="40"/>
              <w:spacing w:after="0"/>
              <w:rPr>
                <w:sz w:val="20"/>
                <w:szCs w:val="20"/>
                <w:color w:val="auto"/>
              </w:rPr>
            </w:pPr>
            <w:r>
              <w:rPr>
                <w:rFonts w:ascii="Arial" w:cs="Arial" w:eastAsia="Arial" w:hAnsi="Arial"/>
                <w:sz w:val="16"/>
                <w:szCs w:val="16"/>
                <w:color w:val="auto"/>
              </w:rPr>
              <w:t>The corporate performance measures and weightings were as follows:</w:t>
            </w:r>
          </w:p>
        </w:tc>
        <w:tc>
          <w:tcPr>
            <w:tcW w:w="0" w:type="dxa"/>
            <w:vAlign w:val="bottom"/>
          </w:tcPr>
          <w:p>
            <w:pPr>
              <w:spacing w:after="0"/>
              <w:rPr>
                <w:sz w:val="1"/>
                <w:szCs w:val="1"/>
                <w:color w:val="auto"/>
              </w:rPr>
            </w:pPr>
          </w:p>
        </w:tc>
      </w:tr>
      <w:tr>
        <w:trPr>
          <w:trHeight w:val="43"/>
        </w:trPr>
        <w:tc>
          <w:tcPr>
            <w:tcW w:w="2260" w:type="dxa"/>
            <w:vAlign w:val="bottom"/>
            <w:tcBorders>
              <w:bottom w:val="single" w:sz="8" w:color="BFBFBF"/>
            </w:tcBorders>
          </w:tcPr>
          <w:p>
            <w:pPr>
              <w:spacing w:after="0"/>
              <w:rPr>
                <w:sz w:val="3"/>
                <w:szCs w:val="3"/>
                <w:color w:val="auto"/>
              </w:rPr>
            </w:pPr>
          </w:p>
        </w:tc>
        <w:tc>
          <w:tcPr>
            <w:tcW w:w="3640" w:type="dxa"/>
            <w:vAlign w:val="bottom"/>
            <w:tcBorders>
              <w:bottom w:val="single" w:sz="8" w:color="BFBFBF"/>
            </w:tcBorders>
            <w:gridSpan w:val="2"/>
          </w:tcPr>
          <w:p>
            <w:pPr>
              <w:spacing w:after="0"/>
              <w:rPr>
                <w:sz w:val="3"/>
                <w:szCs w:val="3"/>
                <w:color w:val="auto"/>
              </w:rPr>
            </w:pPr>
          </w:p>
        </w:tc>
        <w:tc>
          <w:tcPr>
            <w:tcW w:w="1260" w:type="dxa"/>
            <w:vAlign w:val="bottom"/>
            <w:tcBorders>
              <w:bottom w:val="single" w:sz="8" w:color="BFBFBF"/>
            </w:tcBorders>
          </w:tcPr>
          <w:p>
            <w:pPr>
              <w:spacing w:after="0"/>
              <w:rPr>
                <w:sz w:val="3"/>
                <w:szCs w:val="3"/>
                <w:color w:val="auto"/>
              </w:rPr>
            </w:pPr>
          </w:p>
        </w:tc>
        <w:tc>
          <w:tcPr>
            <w:tcW w:w="406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2260" w:type="dxa"/>
            <w:vAlign w:val="bottom"/>
          </w:tcPr>
          <w:p>
            <w:pPr>
              <w:spacing w:after="0"/>
              <w:rPr>
                <w:sz w:val="10"/>
                <w:szCs w:val="10"/>
                <w:color w:val="auto"/>
              </w:rPr>
            </w:pPr>
          </w:p>
        </w:tc>
        <w:tc>
          <w:tcPr>
            <w:tcW w:w="3640" w:type="dxa"/>
            <w:vAlign w:val="bottom"/>
            <w:gridSpan w:val="2"/>
          </w:tcPr>
          <w:p>
            <w:pPr>
              <w:spacing w:after="0"/>
              <w:rPr>
                <w:sz w:val="10"/>
                <w:szCs w:val="10"/>
                <w:color w:val="auto"/>
              </w:rPr>
            </w:pPr>
          </w:p>
        </w:tc>
        <w:tc>
          <w:tcPr>
            <w:tcW w:w="1260" w:type="dxa"/>
            <w:vAlign w:val="bottom"/>
          </w:tcPr>
          <w:p>
            <w:pPr>
              <w:spacing w:after="0"/>
              <w:rPr>
                <w:sz w:val="10"/>
                <w:szCs w:val="10"/>
                <w:color w:val="auto"/>
              </w:rPr>
            </w:pPr>
          </w:p>
        </w:tc>
        <w:tc>
          <w:tcPr>
            <w:tcW w:w="40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3640" w:type="dxa"/>
            <w:vAlign w:val="bottom"/>
            <w:tcBorders>
              <w:bottom w:val="single" w:sz="8" w:color="BF2115"/>
            </w:tcBorders>
            <w:gridSpan w:val="2"/>
            <w:shd w:val="clear" w:color="auto" w:fill="BF2115"/>
          </w:tcPr>
          <w:p>
            <w:pPr>
              <w:ind w:left="20"/>
              <w:spacing w:after="0"/>
              <w:rPr>
                <w:sz w:val="20"/>
                <w:szCs w:val="20"/>
                <w:color w:val="auto"/>
              </w:rPr>
            </w:pPr>
            <w:r>
              <w:rPr>
                <w:rFonts w:ascii="Arial" w:cs="Arial" w:eastAsia="Arial" w:hAnsi="Arial"/>
                <w:sz w:val="16"/>
                <w:szCs w:val="16"/>
                <w:b w:val="1"/>
                <w:bCs w:val="1"/>
                <w:color w:val="FFFFFF"/>
              </w:rPr>
              <w:t>Corporate Performance Measures</w:t>
            </w:r>
          </w:p>
        </w:tc>
        <w:tc>
          <w:tcPr>
            <w:tcW w:w="126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6"/>
                <w:szCs w:val="16"/>
                <w:b w:val="1"/>
                <w:bCs w:val="1"/>
                <w:color w:val="FFFFFF"/>
              </w:rPr>
              <w:t>Weighting</w:t>
            </w:r>
          </w:p>
        </w:tc>
        <w:tc>
          <w:tcPr>
            <w:tcW w:w="4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3640" w:type="dxa"/>
            <w:vAlign w:val="bottom"/>
            <w:gridSpan w:val="2"/>
          </w:tcPr>
          <w:p>
            <w:pPr>
              <w:ind w:left="20"/>
              <w:spacing w:after="0"/>
              <w:rPr>
                <w:sz w:val="20"/>
                <w:szCs w:val="20"/>
                <w:color w:val="auto"/>
              </w:rPr>
            </w:pPr>
            <w:r>
              <w:rPr>
                <w:rFonts w:ascii="Arial" w:cs="Arial" w:eastAsia="Arial" w:hAnsi="Arial"/>
                <w:sz w:val="16"/>
                <w:szCs w:val="16"/>
                <w:color w:val="auto"/>
              </w:rPr>
              <w:t>Adjusted diluted EPS*</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260" w:type="dxa"/>
            <w:vAlign w:val="bottom"/>
          </w:tcPr>
          <w:p>
            <w:pPr>
              <w:spacing w:after="0"/>
              <w:rPr>
                <w:sz w:val="2"/>
                <w:szCs w:val="2"/>
                <w:color w:val="auto"/>
              </w:rPr>
            </w:pPr>
          </w:p>
        </w:tc>
        <w:tc>
          <w:tcPr>
            <w:tcW w:w="36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60" w:type="dxa"/>
            <w:vAlign w:val="bottom"/>
          </w:tcPr>
          <w:p>
            <w:pPr>
              <w:spacing w:after="0"/>
              <w:rPr>
                <w:sz w:val="19"/>
                <w:szCs w:val="19"/>
                <w:color w:val="auto"/>
              </w:rPr>
            </w:pPr>
          </w:p>
        </w:tc>
        <w:tc>
          <w:tcPr>
            <w:tcW w:w="36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Revenue growth</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9"/>
              </w:rPr>
              <w:t>25%</w:t>
            </w:r>
          </w:p>
        </w:tc>
        <w:tc>
          <w:tcPr>
            <w:tcW w:w="4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3640" w:type="dxa"/>
            <w:vAlign w:val="bottom"/>
            <w:gridSpan w:val="2"/>
          </w:tcPr>
          <w:p>
            <w:pPr>
              <w:ind w:left="20"/>
              <w:spacing w:after="0"/>
              <w:rPr>
                <w:sz w:val="20"/>
                <w:szCs w:val="20"/>
                <w:color w:val="auto"/>
              </w:rPr>
            </w:pPr>
            <w:r>
              <w:rPr>
                <w:rFonts w:ascii="Arial" w:cs="Arial" w:eastAsia="Arial" w:hAnsi="Arial"/>
                <w:sz w:val="16"/>
                <w:szCs w:val="16"/>
                <w:color w:val="auto"/>
              </w:rPr>
              <w:t>Working capital as a percent of sales</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25%</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2220" w:right="2300" w:hanging="161"/>
        <w:spacing w:after="0" w:line="248" w:lineRule="auto"/>
        <w:rPr>
          <w:sz w:val="20"/>
          <w:szCs w:val="20"/>
          <w:color w:val="auto"/>
        </w:rPr>
      </w:pPr>
      <w:r>
        <w:rPr>
          <w:rFonts w:ascii="Arial" w:cs="Arial" w:eastAsia="Arial" w:hAnsi="Arial"/>
          <w:sz w:val="16"/>
          <w:szCs w:val="16"/>
          <w:color w:val="auto"/>
        </w:rPr>
        <w:t>• Actual corporate performance was between threshold and target for adjusted diluted EPS and below threshold for revenue growth and working capital as a percent of sales. The resulting corporate payout percentage was 29.0% of target.</w:t>
      </w:r>
    </w:p>
    <w:p>
      <w:pPr>
        <w:spacing w:after="0" w:line="29" w:lineRule="exact"/>
        <w:rPr>
          <w:sz w:val="20"/>
          <w:szCs w:val="20"/>
          <w:color w:val="auto"/>
        </w:rPr>
      </w:pPr>
    </w:p>
    <w:p>
      <w:pPr>
        <w:ind w:left="2260" w:right="2580" w:hanging="159"/>
        <w:spacing w:after="0" w:line="264" w:lineRule="auto"/>
        <w:rPr>
          <w:sz w:val="20"/>
          <w:szCs w:val="20"/>
          <w:color w:val="auto"/>
        </w:rPr>
      </w:pPr>
      <w:r>
        <w:rPr>
          <w:rFonts w:ascii="Arial" w:cs="Arial" w:eastAsia="Arial" w:hAnsi="Arial"/>
          <w:sz w:val="14"/>
          <w:szCs w:val="14"/>
          <w:color w:val="auto"/>
        </w:rPr>
        <w:t>* Non-GAAP financial measure. See fiscal 2023 investor presentation for definition and reconciliation to 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9" w:right="3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70"/>
        </w:trPr>
        <w:tc>
          <w:tcPr>
            <w:tcW w:w="2040" w:type="dxa"/>
            <w:vAlign w:val="bottom"/>
            <w:shd w:val="clear" w:color="auto" w:fill="BF2115"/>
          </w:tcPr>
          <w:p>
            <w:pPr>
              <w:ind w:left="20"/>
              <w:spacing w:after="0"/>
              <w:rPr>
                <w:sz w:val="20"/>
                <w:szCs w:val="20"/>
                <w:color w:val="auto"/>
              </w:rPr>
            </w:pPr>
            <w:r>
              <w:rPr>
                <w:rFonts w:ascii="Arial" w:cs="Arial" w:eastAsia="Arial" w:hAnsi="Arial"/>
                <w:sz w:val="18"/>
                <w:szCs w:val="18"/>
                <w:b w:val="1"/>
                <w:bCs w:val="1"/>
                <w:color w:val="FFFFFF"/>
              </w:rPr>
              <w:t>Pay Element</w:t>
            </w:r>
          </w:p>
        </w:tc>
        <w:tc>
          <w:tcPr>
            <w:tcW w:w="9140" w:type="dxa"/>
            <w:vAlign w:val="bottom"/>
            <w:gridSpan w:val="2"/>
            <w:shd w:val="clear" w:color="auto" w:fill="BF2115"/>
          </w:tcPr>
          <w:p>
            <w:pPr>
              <w:ind w:left="480"/>
              <w:spacing w:after="0"/>
              <w:rPr>
                <w:sz w:val="20"/>
                <w:szCs w:val="20"/>
                <w:color w:val="auto"/>
              </w:rPr>
            </w:pPr>
            <w:r>
              <w:rPr>
                <w:rFonts w:ascii="Arial" w:cs="Arial" w:eastAsia="Arial" w:hAnsi="Arial"/>
                <w:sz w:val="18"/>
                <w:szCs w:val="18"/>
                <w:b w:val="1"/>
                <w:bCs w:val="1"/>
                <w:color w:val="FFFFFF"/>
              </w:rPr>
              <w:t>Fiscal 2023 Actions</w:t>
            </w:r>
          </w:p>
        </w:tc>
      </w:tr>
      <w:tr>
        <w:trPr>
          <w:trHeight w:val="202"/>
        </w:trPr>
        <w:tc>
          <w:tcPr>
            <w:tcW w:w="2040" w:type="dxa"/>
            <w:vAlign w:val="bottom"/>
          </w:tcPr>
          <w:p>
            <w:pPr>
              <w:ind w:left="20"/>
              <w:spacing w:after="0"/>
              <w:rPr>
                <w:sz w:val="20"/>
                <w:szCs w:val="20"/>
                <w:color w:val="auto"/>
              </w:rPr>
            </w:pPr>
            <w:r>
              <w:rPr>
                <w:rFonts w:ascii="Arial" w:cs="Arial" w:eastAsia="Arial" w:hAnsi="Arial"/>
                <w:sz w:val="16"/>
                <w:szCs w:val="16"/>
                <w:i w:val="1"/>
                <w:iCs w:val="1"/>
                <w:color w:val="auto"/>
              </w:rPr>
              <w:t>Long-Term Incentives</w:t>
            </w:r>
          </w:p>
        </w:tc>
        <w:tc>
          <w:tcPr>
            <w:tcW w:w="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560" w:type="dxa"/>
            <w:vAlign w:val="bottom"/>
          </w:tcPr>
          <w:p>
            <w:pPr>
              <w:ind w:left="40"/>
              <w:spacing w:after="0"/>
              <w:rPr>
                <w:sz w:val="20"/>
                <w:szCs w:val="20"/>
                <w:color w:val="auto"/>
              </w:rPr>
            </w:pPr>
            <w:r>
              <w:rPr>
                <w:rFonts w:ascii="Arial" w:cs="Arial" w:eastAsia="Arial" w:hAnsi="Arial"/>
                <w:sz w:val="16"/>
                <w:szCs w:val="16"/>
                <w:color w:val="auto"/>
              </w:rPr>
              <w:t>All of our NEOs, other than Ms. Totsky had a target long-term incentive value established with the long-term mix</w:t>
            </w:r>
          </w:p>
        </w:tc>
      </w:tr>
      <w:tr>
        <w:trPr>
          <w:trHeight w:val="189"/>
        </w:trPr>
        <w:tc>
          <w:tcPr>
            <w:tcW w:w="2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560" w:type="dxa"/>
            <w:vAlign w:val="bottom"/>
          </w:tcPr>
          <w:p>
            <w:pPr>
              <w:ind w:left="60"/>
              <w:spacing w:after="0"/>
              <w:rPr>
                <w:sz w:val="20"/>
                <w:szCs w:val="20"/>
                <w:color w:val="auto"/>
              </w:rPr>
            </w:pPr>
            <w:r>
              <w:rPr>
                <w:rFonts w:ascii="Arial" w:cs="Arial" w:eastAsia="Arial" w:hAnsi="Arial"/>
                <w:sz w:val="16"/>
                <w:szCs w:val="16"/>
                <w:color w:val="auto"/>
              </w:rPr>
              <w:t>consisting of 50% of the target value in stock options and 50% in performance share awards.</w:t>
            </w:r>
          </w:p>
        </w:tc>
      </w:tr>
      <w:tr>
        <w:trPr>
          <w:trHeight w:val="203"/>
        </w:trPr>
        <w:tc>
          <w:tcPr>
            <w:tcW w:w="2040" w:type="dxa"/>
            <w:vAlign w:val="bottom"/>
          </w:tcPr>
          <w:p>
            <w:pPr>
              <w:spacing w:after="0"/>
              <w:rPr>
                <w:sz w:val="17"/>
                <w:szCs w:val="17"/>
                <w:color w:val="auto"/>
              </w:rPr>
            </w:pPr>
          </w:p>
        </w:tc>
        <w:tc>
          <w:tcPr>
            <w:tcW w:w="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560" w:type="dxa"/>
            <w:vAlign w:val="bottom"/>
          </w:tcPr>
          <w:p>
            <w:pPr>
              <w:ind w:left="40"/>
              <w:spacing w:after="0"/>
              <w:rPr>
                <w:sz w:val="20"/>
                <w:szCs w:val="20"/>
                <w:color w:val="auto"/>
              </w:rPr>
            </w:pPr>
            <w:r>
              <w:rPr>
                <w:rFonts w:ascii="Arial" w:cs="Arial" w:eastAsia="Arial" w:hAnsi="Arial"/>
                <w:sz w:val="16"/>
                <w:szCs w:val="16"/>
                <w:color w:val="auto"/>
              </w:rPr>
              <w:t>The stock options vest in annual installments over three years.</w:t>
            </w:r>
          </w:p>
        </w:tc>
      </w:tr>
      <w:tr>
        <w:trPr>
          <w:trHeight w:val="175"/>
        </w:trPr>
        <w:tc>
          <w:tcPr>
            <w:tcW w:w="2040" w:type="dxa"/>
            <w:vAlign w:val="bottom"/>
          </w:tcPr>
          <w:p>
            <w:pPr>
              <w:spacing w:after="0"/>
              <w:rPr>
                <w:sz w:val="15"/>
                <w:szCs w:val="15"/>
                <w:color w:val="auto"/>
              </w:rPr>
            </w:pPr>
          </w:p>
        </w:tc>
        <w:tc>
          <w:tcPr>
            <w:tcW w:w="580" w:type="dxa"/>
            <w:vAlign w:val="bottom"/>
          </w:tcPr>
          <w:p>
            <w:pPr>
              <w:ind w:left="4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560" w:type="dxa"/>
            <w:vAlign w:val="bottom"/>
          </w:tcPr>
          <w:p>
            <w:pPr>
              <w:ind w:left="40"/>
              <w:spacing w:after="0" w:line="175" w:lineRule="exact"/>
              <w:rPr>
                <w:sz w:val="20"/>
                <w:szCs w:val="20"/>
                <w:color w:val="auto"/>
              </w:rPr>
            </w:pPr>
            <w:r>
              <w:rPr>
                <w:rFonts w:ascii="Arial" w:cs="Arial" w:eastAsia="Arial" w:hAnsi="Arial"/>
                <w:sz w:val="16"/>
                <w:szCs w:val="16"/>
                <w:color w:val="auto"/>
              </w:rPr>
              <w:t>The performance share awards may vest and be paid out in shares of our common stock dependent upon the</w:t>
            </w:r>
          </w:p>
        </w:tc>
      </w:tr>
      <w:tr>
        <w:trPr>
          <w:trHeight w:val="176"/>
        </w:trPr>
        <w:tc>
          <w:tcPr>
            <w:tcW w:w="2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560" w:type="dxa"/>
            <w:vAlign w:val="bottom"/>
          </w:tcPr>
          <w:p>
            <w:pPr>
              <w:ind w:left="60"/>
              <w:spacing w:after="0" w:line="175" w:lineRule="exact"/>
              <w:rPr>
                <w:sz w:val="20"/>
                <w:szCs w:val="20"/>
                <w:color w:val="auto"/>
              </w:rPr>
            </w:pPr>
            <w:r>
              <w:rPr>
                <w:rFonts w:ascii="Arial" w:cs="Arial" w:eastAsia="Arial" w:hAnsi="Arial"/>
                <w:sz w:val="16"/>
                <w:szCs w:val="16"/>
                <w:color w:val="auto"/>
              </w:rPr>
              <w:t>achievement of the following corporate performance measures over a three-year performance period from fiscal</w:t>
            </w:r>
          </w:p>
        </w:tc>
      </w:tr>
      <w:tr>
        <w:trPr>
          <w:trHeight w:val="215"/>
        </w:trPr>
        <w:tc>
          <w:tcPr>
            <w:tcW w:w="2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60" w:type="dxa"/>
            <w:vAlign w:val="bottom"/>
          </w:tcPr>
          <w:p>
            <w:pPr>
              <w:ind w:left="60"/>
              <w:spacing w:after="0"/>
              <w:rPr>
                <w:sz w:val="20"/>
                <w:szCs w:val="20"/>
                <w:color w:val="auto"/>
              </w:rPr>
            </w:pPr>
            <w:r>
              <w:rPr>
                <w:rFonts w:ascii="Arial" w:cs="Arial" w:eastAsia="Arial" w:hAnsi="Arial"/>
                <w:sz w:val="16"/>
                <w:szCs w:val="16"/>
                <w:color w:val="auto"/>
              </w:rPr>
              <w:t>2023 to fiscal 2025:</w:t>
            </w:r>
          </w:p>
        </w:tc>
      </w:tr>
    </w:tbl>
    <w:p>
      <w:pPr>
        <w:spacing w:after="0" w:line="164" w:lineRule="exact"/>
        <w:rPr>
          <w:sz w:val="20"/>
          <w:szCs w:val="20"/>
          <w:color w:val="auto"/>
        </w:rPr>
      </w:pPr>
    </w:p>
    <w:tbl>
      <w:tblPr>
        <w:tblLayout w:type="fixed"/>
        <w:tblInd w:w="2200" w:type="dxa"/>
        <w:tblCellMar>
          <w:top w:w="0" w:type="dxa"/>
          <w:left w:w="0" w:type="dxa"/>
          <w:bottom w:w="0" w:type="dxa"/>
          <w:right w:w="0" w:type="dxa"/>
        </w:tblCellMar>
      </w:tblPr>
      <w:tr>
        <w:trPr>
          <w:trHeight w:val="243"/>
        </w:trPr>
        <w:tc>
          <w:tcPr>
            <w:tcW w:w="348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Performance Measures</w:t>
            </w:r>
          </w:p>
        </w:tc>
        <w:tc>
          <w:tcPr>
            <w:tcW w:w="12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Weighting</w:t>
            </w:r>
          </w:p>
        </w:tc>
      </w:tr>
      <w:tr>
        <w:trPr>
          <w:trHeight w:val="215"/>
        </w:trPr>
        <w:tc>
          <w:tcPr>
            <w:tcW w:w="3480" w:type="dxa"/>
            <w:vAlign w:val="bottom"/>
          </w:tcPr>
          <w:p>
            <w:pPr>
              <w:ind w:left="20"/>
              <w:spacing w:after="0"/>
              <w:rPr>
                <w:sz w:val="20"/>
                <w:szCs w:val="20"/>
                <w:color w:val="auto"/>
              </w:rPr>
            </w:pPr>
            <w:r>
              <w:rPr>
                <w:rFonts w:ascii="Arial" w:cs="Arial" w:eastAsia="Arial" w:hAnsi="Arial"/>
                <w:sz w:val="16"/>
                <w:szCs w:val="16"/>
                <w:color w:val="auto"/>
              </w:rPr>
              <w:t>Cumulative net income, plus after-tax interest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50%</w:t>
            </w:r>
          </w:p>
        </w:tc>
      </w:tr>
      <w:tr>
        <w:trPr>
          <w:trHeight w:val="28"/>
        </w:trPr>
        <w:tc>
          <w:tcPr>
            <w:tcW w:w="3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3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Cumulative revenue</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9"/>
              </w:rPr>
              <w:t>25%</w:t>
            </w:r>
          </w:p>
        </w:tc>
      </w:tr>
      <w:tr>
        <w:trPr>
          <w:trHeight w:val="215"/>
        </w:trPr>
        <w:tc>
          <w:tcPr>
            <w:tcW w:w="3480" w:type="dxa"/>
            <w:vAlign w:val="bottom"/>
          </w:tcPr>
          <w:p>
            <w:pPr>
              <w:ind w:left="20"/>
              <w:spacing w:after="0"/>
              <w:rPr>
                <w:sz w:val="20"/>
                <w:szCs w:val="20"/>
                <w:color w:val="auto"/>
              </w:rPr>
            </w:pPr>
            <w:r>
              <w:rPr>
                <w:rFonts w:ascii="Arial" w:cs="Arial" w:eastAsia="Arial" w:hAnsi="Arial"/>
                <w:sz w:val="16"/>
                <w:szCs w:val="16"/>
                <w:color w:val="auto"/>
              </w:rPr>
              <w:t>Working capital as a percent of sales</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25%</w:t>
            </w: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400" w:type="dxa"/>
            <w:vAlign w:val="bottom"/>
          </w:tcPr>
          <w:p>
            <w:pPr>
              <w:ind w:left="40"/>
              <w:spacing w:after="0"/>
              <w:rPr>
                <w:sz w:val="20"/>
                <w:szCs w:val="20"/>
                <w:color w:val="auto"/>
              </w:rPr>
            </w:pPr>
            <w:r>
              <w:rPr>
                <w:rFonts w:ascii="Arial" w:cs="Arial" w:eastAsia="Arial" w:hAnsi="Arial"/>
                <w:sz w:val="16"/>
                <w:szCs w:val="16"/>
                <w:color w:val="auto"/>
              </w:rPr>
              <w:t>Actual performance of our fiscal 2021-2023 performance share awards, which excluded the financial impacts of</w:t>
            </w:r>
          </w:p>
        </w:tc>
      </w:tr>
      <w:tr>
        <w:trPr>
          <w:trHeight w:val="189"/>
        </w:trPr>
        <w:tc>
          <w:tcPr>
            <w:tcW w:w="2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0" w:type="dxa"/>
            <w:vAlign w:val="bottom"/>
          </w:tcPr>
          <w:p>
            <w:pPr>
              <w:ind w:left="60"/>
              <w:spacing w:after="0"/>
              <w:rPr>
                <w:sz w:val="20"/>
                <w:szCs w:val="20"/>
                <w:color w:val="auto"/>
              </w:rPr>
            </w:pPr>
            <w:r>
              <w:rPr>
                <w:rFonts w:ascii="Arial" w:cs="Arial" w:eastAsia="Arial" w:hAnsi="Arial"/>
                <w:sz w:val="16"/>
                <w:szCs w:val="16"/>
                <w:color w:val="auto"/>
              </w:rPr>
              <w:t>our January 2022 acquisition of Intimidator Group., was between target and maximum for cumulative net income</w:t>
            </w:r>
          </w:p>
        </w:tc>
      </w:tr>
      <w:tr>
        <w:trPr>
          <w:trHeight w:val="176"/>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0" w:type="dxa"/>
            <w:vAlign w:val="bottom"/>
          </w:tcPr>
          <w:p>
            <w:pPr>
              <w:ind w:left="60"/>
              <w:spacing w:after="0" w:line="175" w:lineRule="exact"/>
              <w:rPr>
                <w:sz w:val="20"/>
                <w:szCs w:val="20"/>
                <w:color w:val="auto"/>
              </w:rPr>
            </w:pPr>
            <w:r>
              <w:rPr>
                <w:rFonts w:ascii="Arial" w:cs="Arial" w:eastAsia="Arial" w:hAnsi="Arial"/>
                <w:sz w:val="16"/>
                <w:szCs w:val="16"/>
                <w:color w:val="auto"/>
              </w:rPr>
              <w:t>plus after-tax interest, above maximum for cumulative revenue and below threshold for working capital as a</w:t>
            </w:r>
          </w:p>
        </w:tc>
      </w:tr>
      <w:tr>
        <w:trPr>
          <w:trHeight w:val="189"/>
        </w:trPr>
        <w:tc>
          <w:tcPr>
            <w:tcW w:w="2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0" w:type="dxa"/>
            <w:vAlign w:val="bottom"/>
          </w:tcPr>
          <w:p>
            <w:pPr>
              <w:ind w:left="60"/>
              <w:spacing w:after="0"/>
              <w:rPr>
                <w:sz w:val="20"/>
                <w:szCs w:val="20"/>
                <w:color w:val="auto"/>
              </w:rPr>
            </w:pPr>
            <w:r>
              <w:rPr>
                <w:rFonts w:ascii="Arial" w:cs="Arial" w:eastAsia="Arial" w:hAnsi="Arial"/>
                <w:sz w:val="16"/>
                <w:szCs w:val="16"/>
                <w:color w:val="auto"/>
              </w:rPr>
              <w:t>percent of sales, resulting in a payout percentage was 130.7% of target.</w:t>
            </w:r>
          </w:p>
        </w:tc>
      </w:tr>
      <w:tr>
        <w:trPr>
          <w:trHeight w:val="189"/>
        </w:trPr>
        <w:tc>
          <w:tcPr>
            <w:tcW w:w="2280" w:type="dxa"/>
            <w:vAlign w:val="bottom"/>
          </w:tcPr>
          <w:p>
            <w:pPr>
              <w:spacing w:after="0"/>
              <w:rPr>
                <w:sz w:val="16"/>
                <w:szCs w:val="16"/>
                <w:color w:val="auto"/>
              </w:rPr>
            </w:pP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8400" w:type="dxa"/>
            <w:vAlign w:val="bottom"/>
          </w:tcPr>
          <w:p>
            <w:pPr>
              <w:ind w:left="40"/>
              <w:spacing w:after="0"/>
              <w:rPr>
                <w:sz w:val="20"/>
                <w:szCs w:val="20"/>
                <w:color w:val="auto"/>
              </w:rPr>
            </w:pPr>
            <w:r>
              <w:rPr>
                <w:rFonts w:ascii="Arial" w:cs="Arial" w:eastAsia="Arial" w:hAnsi="Arial"/>
                <w:sz w:val="16"/>
                <w:szCs w:val="16"/>
                <w:color w:val="auto"/>
              </w:rPr>
              <w:t>In connection with her hiring, Ms. Totsky was granted a restricted stock unit award which vests in annual</w:t>
            </w:r>
          </w:p>
        </w:tc>
      </w:tr>
      <w:tr>
        <w:trPr>
          <w:trHeight w:val="189"/>
        </w:trPr>
        <w:tc>
          <w:tcPr>
            <w:tcW w:w="2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0" w:type="dxa"/>
            <w:vAlign w:val="bottom"/>
          </w:tcPr>
          <w:p>
            <w:pPr>
              <w:ind w:left="60"/>
              <w:spacing w:after="0"/>
              <w:rPr>
                <w:sz w:val="20"/>
                <w:szCs w:val="20"/>
                <w:color w:val="auto"/>
              </w:rPr>
            </w:pPr>
            <w:r>
              <w:rPr>
                <w:rFonts w:ascii="Arial" w:cs="Arial" w:eastAsia="Arial" w:hAnsi="Arial"/>
                <w:sz w:val="16"/>
                <w:szCs w:val="16"/>
                <w:color w:val="auto"/>
              </w:rPr>
              <w:t>installments over three years.</w:t>
            </w:r>
          </w:p>
        </w:tc>
      </w:tr>
      <w:tr>
        <w:trPr>
          <w:trHeight w:val="176"/>
        </w:trPr>
        <w:tc>
          <w:tcPr>
            <w:tcW w:w="2280" w:type="dxa"/>
            <w:vAlign w:val="bottom"/>
          </w:tcPr>
          <w:p>
            <w:pPr>
              <w:spacing w:after="0"/>
              <w:rPr>
                <w:sz w:val="15"/>
                <w:szCs w:val="15"/>
                <w:color w:val="auto"/>
              </w:rPr>
            </w:pPr>
          </w:p>
        </w:tc>
        <w:tc>
          <w:tcPr>
            <w:tcW w:w="280" w:type="dxa"/>
            <w:vAlign w:val="bottom"/>
          </w:tcPr>
          <w:p>
            <w:pPr>
              <w:ind w:left="180"/>
              <w:spacing w:after="0" w:line="175" w:lineRule="exact"/>
              <w:rPr>
                <w:sz w:val="20"/>
                <w:szCs w:val="20"/>
                <w:color w:val="auto"/>
              </w:rPr>
            </w:pPr>
            <w:r>
              <w:rPr>
                <w:rFonts w:ascii="Arial" w:cs="Arial" w:eastAsia="Arial" w:hAnsi="Arial"/>
                <w:sz w:val="16"/>
                <w:szCs w:val="16"/>
                <w:color w:val="auto"/>
              </w:rPr>
              <w:t>•</w:t>
            </w:r>
          </w:p>
        </w:tc>
        <w:tc>
          <w:tcPr>
            <w:tcW w:w="8400" w:type="dxa"/>
            <w:vAlign w:val="bottom"/>
          </w:tcPr>
          <w:p>
            <w:pPr>
              <w:ind w:left="40"/>
              <w:spacing w:after="0" w:line="175" w:lineRule="exact"/>
              <w:rPr>
                <w:sz w:val="20"/>
                <w:szCs w:val="20"/>
                <w:color w:val="auto"/>
              </w:rPr>
            </w:pPr>
            <w:r>
              <w:rPr>
                <w:rFonts w:ascii="Arial" w:cs="Arial" w:eastAsia="Arial" w:hAnsi="Arial"/>
                <w:sz w:val="16"/>
                <w:szCs w:val="16"/>
                <w:color w:val="auto"/>
              </w:rPr>
              <w:t>In connection with their promotions, Ms. Drake and Mr. Janey were granted restricted stock unit awards which vest</w:t>
            </w:r>
          </w:p>
        </w:tc>
      </w:tr>
      <w:tr>
        <w:trPr>
          <w:trHeight w:val="215"/>
        </w:trPr>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0" w:type="dxa"/>
            <w:vAlign w:val="bottom"/>
          </w:tcPr>
          <w:p>
            <w:pPr>
              <w:ind w:left="60"/>
              <w:spacing w:after="0"/>
              <w:rPr>
                <w:sz w:val="20"/>
                <w:szCs w:val="20"/>
                <w:color w:val="auto"/>
              </w:rPr>
            </w:pPr>
            <w:r>
              <w:rPr>
                <w:rFonts w:ascii="Arial" w:cs="Arial" w:eastAsia="Arial" w:hAnsi="Arial"/>
                <w:sz w:val="16"/>
                <w:szCs w:val="16"/>
                <w:color w:val="auto"/>
              </w:rPr>
              <w:t>in annual installments over three years.</w:t>
            </w:r>
          </w:p>
        </w:tc>
      </w:tr>
      <w:tr>
        <w:trPr>
          <w:trHeight w:val="43"/>
        </w:trPr>
        <w:tc>
          <w:tcPr>
            <w:tcW w:w="2280" w:type="dxa"/>
            <w:vAlign w:val="bottom"/>
            <w:tcBorders>
              <w:bottom w:val="single" w:sz="8" w:color="BFBFBF"/>
            </w:tcBorders>
          </w:tcPr>
          <w:p>
            <w:pPr>
              <w:spacing w:after="0"/>
              <w:rPr>
                <w:sz w:val="3"/>
                <w:szCs w:val="3"/>
                <w:color w:val="auto"/>
              </w:rPr>
            </w:pPr>
          </w:p>
        </w:tc>
        <w:tc>
          <w:tcPr>
            <w:tcW w:w="280" w:type="dxa"/>
            <w:vAlign w:val="bottom"/>
            <w:tcBorders>
              <w:bottom w:val="single" w:sz="8" w:color="BFBFBF"/>
            </w:tcBorders>
          </w:tcPr>
          <w:p>
            <w:pPr>
              <w:spacing w:after="0"/>
              <w:rPr>
                <w:sz w:val="3"/>
                <w:szCs w:val="3"/>
                <w:color w:val="auto"/>
              </w:rPr>
            </w:pPr>
          </w:p>
        </w:tc>
        <w:tc>
          <w:tcPr>
            <w:tcW w:w="8400" w:type="dxa"/>
            <w:vAlign w:val="bottom"/>
            <w:tcBorders>
              <w:bottom w:val="single" w:sz="8" w:color="BFBFBF"/>
            </w:tcBorders>
          </w:tcPr>
          <w:p>
            <w:pPr>
              <w:spacing w:after="0"/>
              <w:rPr>
                <w:sz w:val="3"/>
                <w:szCs w:val="3"/>
                <w:color w:val="auto"/>
              </w:rPr>
            </w:pPr>
          </w:p>
        </w:tc>
      </w:tr>
      <w:tr>
        <w:trPr>
          <w:trHeight w:val="182"/>
        </w:trPr>
        <w:tc>
          <w:tcPr>
            <w:tcW w:w="2280" w:type="dxa"/>
            <w:vAlign w:val="bottom"/>
          </w:tcPr>
          <w:p>
            <w:pPr>
              <w:ind w:left="20"/>
              <w:spacing w:after="0" w:line="182" w:lineRule="exact"/>
              <w:rPr>
                <w:sz w:val="20"/>
                <w:szCs w:val="20"/>
                <w:color w:val="auto"/>
              </w:rPr>
            </w:pPr>
            <w:r>
              <w:rPr>
                <w:rFonts w:ascii="Arial" w:cs="Arial" w:eastAsia="Arial" w:hAnsi="Arial"/>
                <w:sz w:val="16"/>
                <w:szCs w:val="16"/>
                <w:i w:val="1"/>
                <w:iCs w:val="1"/>
                <w:color w:val="auto"/>
              </w:rPr>
              <w:t>Say-on-Pay Vote</w:t>
            </w:r>
          </w:p>
        </w:tc>
        <w:tc>
          <w:tcPr>
            <w:tcW w:w="280" w:type="dxa"/>
            <w:vAlign w:val="bottom"/>
          </w:tcPr>
          <w:p>
            <w:pPr>
              <w:ind w:left="180"/>
              <w:spacing w:after="0" w:line="182" w:lineRule="exact"/>
              <w:rPr>
                <w:sz w:val="20"/>
                <w:szCs w:val="20"/>
                <w:color w:val="auto"/>
              </w:rPr>
            </w:pPr>
            <w:r>
              <w:rPr>
                <w:rFonts w:ascii="Times New Roman" w:cs="Times New Roman" w:eastAsia="Times New Roman" w:hAnsi="Times New Roman"/>
                <w:sz w:val="16"/>
                <w:szCs w:val="16"/>
                <w:color w:val="auto"/>
              </w:rPr>
              <w:t>•</w:t>
            </w:r>
          </w:p>
        </w:tc>
        <w:tc>
          <w:tcPr>
            <w:tcW w:w="8400" w:type="dxa"/>
            <w:vAlign w:val="bottom"/>
          </w:tcPr>
          <w:p>
            <w:pPr>
              <w:ind w:left="40"/>
              <w:spacing w:after="0" w:line="182" w:lineRule="exact"/>
              <w:rPr>
                <w:sz w:val="20"/>
                <w:szCs w:val="20"/>
                <w:color w:val="auto"/>
              </w:rPr>
            </w:pPr>
            <w:r>
              <w:rPr>
                <w:rFonts w:ascii="Arial" w:cs="Arial" w:eastAsia="Arial" w:hAnsi="Arial"/>
                <w:sz w:val="16"/>
                <w:szCs w:val="16"/>
                <w:color w:val="auto"/>
              </w:rPr>
              <w:t>Our shareholders had the opportunity to vote on an advisory say-on-pay proposal at our 2023 Annual Meeting of</w:t>
            </w:r>
          </w:p>
        </w:tc>
      </w:tr>
      <w:tr>
        <w:trPr>
          <w:trHeight w:val="203"/>
        </w:trPr>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0" w:type="dxa"/>
            <w:vAlign w:val="bottom"/>
          </w:tcPr>
          <w:p>
            <w:pPr>
              <w:ind w:left="60"/>
              <w:spacing w:after="0"/>
              <w:rPr>
                <w:sz w:val="20"/>
                <w:szCs w:val="20"/>
                <w:color w:val="auto"/>
              </w:rPr>
            </w:pPr>
            <w:r>
              <w:rPr>
                <w:rFonts w:ascii="Arial" w:cs="Arial" w:eastAsia="Arial" w:hAnsi="Arial"/>
                <w:sz w:val="16"/>
                <w:szCs w:val="16"/>
                <w:color w:val="auto"/>
              </w:rPr>
              <w:t>Shareholders. Over 94% of votes cast were in favor of the proposal.</w:t>
            </w:r>
          </w:p>
        </w:tc>
      </w:tr>
      <w:tr>
        <w:trPr>
          <w:trHeight w:val="175"/>
        </w:trPr>
        <w:tc>
          <w:tcPr>
            <w:tcW w:w="2280" w:type="dxa"/>
            <w:vAlign w:val="bottom"/>
          </w:tcPr>
          <w:p>
            <w:pPr>
              <w:spacing w:after="0"/>
              <w:rPr>
                <w:sz w:val="15"/>
                <w:szCs w:val="15"/>
                <w:color w:val="auto"/>
              </w:rPr>
            </w:pPr>
          </w:p>
        </w:tc>
        <w:tc>
          <w:tcPr>
            <w:tcW w:w="28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400" w:type="dxa"/>
            <w:vAlign w:val="bottom"/>
          </w:tcPr>
          <w:p>
            <w:pPr>
              <w:ind w:left="40"/>
              <w:spacing w:after="0" w:line="175" w:lineRule="exact"/>
              <w:rPr>
                <w:sz w:val="20"/>
                <w:szCs w:val="20"/>
                <w:color w:val="auto"/>
              </w:rPr>
            </w:pPr>
            <w:r>
              <w:rPr>
                <w:rFonts w:ascii="Arial" w:cs="Arial" w:eastAsia="Arial" w:hAnsi="Arial"/>
                <w:sz w:val="16"/>
                <w:szCs w:val="16"/>
                <w:color w:val="auto"/>
              </w:rPr>
              <w:t>The Compensation &amp; Human Resources Committee believes these results affirmed shareholder support of our</w:t>
            </w:r>
          </w:p>
        </w:tc>
      </w:tr>
      <w:tr>
        <w:trPr>
          <w:trHeight w:val="176"/>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0" w:type="dxa"/>
            <w:vAlign w:val="bottom"/>
          </w:tcPr>
          <w:p>
            <w:pPr>
              <w:ind w:left="60"/>
              <w:spacing w:after="0" w:line="175" w:lineRule="exact"/>
              <w:rPr>
                <w:sz w:val="20"/>
                <w:szCs w:val="20"/>
                <w:color w:val="auto"/>
              </w:rPr>
            </w:pPr>
            <w:r>
              <w:rPr>
                <w:rFonts w:ascii="Arial" w:cs="Arial" w:eastAsia="Arial" w:hAnsi="Arial"/>
                <w:sz w:val="16"/>
                <w:szCs w:val="16"/>
                <w:color w:val="auto"/>
              </w:rPr>
              <w:t>approach to executive compensation. As a result, we did not believe it was necessary to, and, therefore, did not,</w:t>
            </w:r>
          </w:p>
        </w:tc>
      </w:tr>
      <w:tr>
        <w:trPr>
          <w:trHeight w:val="189"/>
        </w:trPr>
        <w:tc>
          <w:tcPr>
            <w:tcW w:w="2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0" w:type="dxa"/>
            <w:vAlign w:val="bottom"/>
          </w:tcPr>
          <w:p>
            <w:pPr>
              <w:ind w:left="60"/>
              <w:spacing w:after="0"/>
              <w:rPr>
                <w:sz w:val="20"/>
                <w:szCs w:val="20"/>
                <w:color w:val="auto"/>
              </w:rPr>
            </w:pPr>
            <w:r>
              <w:rPr>
                <w:rFonts w:ascii="Arial" w:cs="Arial" w:eastAsia="Arial" w:hAnsi="Arial"/>
                <w:sz w:val="16"/>
                <w:szCs w:val="16"/>
                <w:color w:val="auto"/>
              </w:rPr>
              <w:t>make any significant structural changes to our executive compensation program in response to our Say-on-Pay</w:t>
            </w:r>
          </w:p>
        </w:tc>
      </w:tr>
      <w:tr>
        <w:trPr>
          <w:trHeight w:val="215"/>
        </w:trPr>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0" w:type="dxa"/>
            <w:vAlign w:val="bottom"/>
          </w:tcPr>
          <w:p>
            <w:pPr>
              <w:ind w:left="60"/>
              <w:spacing w:after="0"/>
              <w:rPr>
                <w:sz w:val="20"/>
                <w:szCs w:val="20"/>
                <w:color w:val="auto"/>
              </w:rPr>
            </w:pPr>
            <w:r>
              <w:rPr>
                <w:rFonts w:ascii="Arial" w:cs="Arial" w:eastAsia="Arial" w:hAnsi="Arial"/>
                <w:sz w:val="16"/>
                <w:szCs w:val="16"/>
                <w:color w:val="auto"/>
              </w:rPr>
              <w:t>vote last year.</w:t>
            </w:r>
          </w:p>
        </w:tc>
      </w:tr>
      <w:tr>
        <w:trPr>
          <w:trHeight w:val="217"/>
        </w:trPr>
        <w:tc>
          <w:tcPr>
            <w:tcW w:w="2280" w:type="dxa"/>
            <w:vAlign w:val="bottom"/>
          </w:tcPr>
          <w:p>
            <w:pPr>
              <w:ind w:left="20"/>
              <w:spacing w:after="0"/>
              <w:rPr>
                <w:sz w:val="20"/>
                <w:szCs w:val="20"/>
                <w:color w:val="auto"/>
              </w:rPr>
            </w:pPr>
            <w:r>
              <w:rPr>
                <w:rFonts w:ascii="Arial" w:cs="Arial" w:eastAsia="Arial" w:hAnsi="Arial"/>
                <w:sz w:val="16"/>
                <w:szCs w:val="16"/>
                <w:i w:val="1"/>
                <w:iCs w:val="1"/>
                <w:color w:val="auto"/>
              </w:rPr>
              <w:t>Other Compensation Related</w:t>
            </w: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400" w:type="dxa"/>
            <w:vAlign w:val="bottom"/>
          </w:tcPr>
          <w:p>
            <w:pPr>
              <w:ind w:left="40"/>
              <w:spacing w:after="0"/>
              <w:rPr>
                <w:sz w:val="20"/>
                <w:szCs w:val="20"/>
                <w:color w:val="auto"/>
              </w:rPr>
            </w:pPr>
            <w:r>
              <w:rPr>
                <w:rFonts w:ascii="Arial" w:cs="Arial" w:eastAsia="Arial" w:hAnsi="Arial"/>
                <w:sz w:val="16"/>
                <w:szCs w:val="16"/>
                <w:color w:val="auto"/>
              </w:rPr>
              <w:t>In connection with her hiring, Ms. Totsky received a cash sign-on bonus and customary relocation benefits, in</w:t>
            </w:r>
          </w:p>
        </w:tc>
      </w:tr>
      <w:tr>
        <w:trPr>
          <w:trHeight w:val="203"/>
        </w:trPr>
        <w:tc>
          <w:tcPr>
            <w:tcW w:w="2280" w:type="dxa"/>
            <w:vAlign w:val="bottom"/>
          </w:tcPr>
          <w:p>
            <w:pPr>
              <w:ind w:left="20"/>
              <w:spacing w:after="0"/>
              <w:rPr>
                <w:sz w:val="20"/>
                <w:szCs w:val="20"/>
                <w:color w:val="auto"/>
              </w:rPr>
            </w:pPr>
            <w:r>
              <w:rPr>
                <w:rFonts w:ascii="Arial" w:cs="Arial" w:eastAsia="Arial" w:hAnsi="Arial"/>
                <w:sz w:val="16"/>
                <w:szCs w:val="16"/>
                <w:i w:val="1"/>
                <w:iCs w:val="1"/>
                <w:color w:val="auto"/>
              </w:rPr>
              <w:t>Actions</w:t>
            </w:r>
          </w:p>
        </w:tc>
        <w:tc>
          <w:tcPr>
            <w:tcW w:w="280" w:type="dxa"/>
            <w:vAlign w:val="bottom"/>
          </w:tcPr>
          <w:p>
            <w:pPr>
              <w:spacing w:after="0"/>
              <w:rPr>
                <w:sz w:val="17"/>
                <w:szCs w:val="17"/>
                <w:color w:val="auto"/>
              </w:rPr>
            </w:pPr>
          </w:p>
        </w:tc>
        <w:tc>
          <w:tcPr>
            <w:tcW w:w="8400" w:type="dxa"/>
            <w:vAlign w:val="bottom"/>
          </w:tcPr>
          <w:p>
            <w:pPr>
              <w:ind w:left="60"/>
              <w:spacing w:after="0"/>
              <w:rPr>
                <w:sz w:val="20"/>
                <w:szCs w:val="20"/>
                <w:color w:val="auto"/>
              </w:rPr>
            </w:pPr>
            <w:r>
              <w:rPr>
                <w:rFonts w:ascii="Arial" w:cs="Arial" w:eastAsia="Arial" w:hAnsi="Arial"/>
                <w:sz w:val="16"/>
                <w:szCs w:val="16"/>
                <w:color w:val="auto"/>
              </w:rPr>
              <w:t>addition to her restricted stock unit award and other customary compensation.</w:t>
            </w:r>
          </w:p>
        </w:tc>
      </w:tr>
      <w:tr>
        <w:trPr>
          <w:trHeight w:val="175"/>
        </w:trPr>
        <w:tc>
          <w:tcPr>
            <w:tcW w:w="2280" w:type="dxa"/>
            <w:vAlign w:val="bottom"/>
          </w:tcPr>
          <w:p>
            <w:pPr>
              <w:spacing w:after="0"/>
              <w:rPr>
                <w:sz w:val="15"/>
                <w:szCs w:val="15"/>
                <w:color w:val="auto"/>
              </w:rPr>
            </w:pPr>
          </w:p>
        </w:tc>
        <w:tc>
          <w:tcPr>
            <w:tcW w:w="280" w:type="dxa"/>
            <w:vAlign w:val="bottom"/>
          </w:tcPr>
          <w:p>
            <w:pPr>
              <w:ind w:left="180"/>
              <w:spacing w:after="0" w:line="175" w:lineRule="exact"/>
              <w:rPr>
                <w:sz w:val="20"/>
                <w:szCs w:val="20"/>
                <w:color w:val="auto"/>
              </w:rPr>
            </w:pPr>
            <w:r>
              <w:rPr>
                <w:rFonts w:ascii="Arial" w:cs="Arial" w:eastAsia="Arial" w:hAnsi="Arial"/>
                <w:sz w:val="16"/>
                <w:szCs w:val="16"/>
                <w:color w:val="auto"/>
              </w:rPr>
              <w:t>•</w:t>
            </w:r>
          </w:p>
        </w:tc>
        <w:tc>
          <w:tcPr>
            <w:tcW w:w="8400" w:type="dxa"/>
            <w:vAlign w:val="bottom"/>
          </w:tcPr>
          <w:p>
            <w:pPr>
              <w:ind w:left="40"/>
              <w:spacing w:after="0" w:line="175" w:lineRule="exact"/>
              <w:rPr>
                <w:sz w:val="20"/>
                <w:szCs w:val="20"/>
                <w:color w:val="auto"/>
              </w:rPr>
            </w:pPr>
            <w:r>
              <w:rPr>
                <w:rFonts w:ascii="Arial" w:cs="Arial" w:eastAsia="Arial" w:hAnsi="Arial"/>
                <w:sz w:val="16"/>
                <w:szCs w:val="16"/>
                <w:color w:val="auto"/>
              </w:rPr>
              <w:t>Effective October 2, 2023, we revised our clawback policy to conform with final NYSE clawback rules that require</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0" w:type="dxa"/>
            <w:vAlign w:val="bottom"/>
          </w:tcPr>
          <w:p>
            <w:pPr>
              <w:ind w:left="60"/>
              <w:spacing w:after="0" w:line="175" w:lineRule="exact"/>
              <w:rPr>
                <w:sz w:val="20"/>
                <w:szCs w:val="20"/>
                <w:color w:val="auto"/>
              </w:rPr>
            </w:pPr>
            <w:r>
              <w:rPr>
                <w:rFonts w:ascii="Arial" w:cs="Arial" w:eastAsia="Arial" w:hAnsi="Arial"/>
                <w:sz w:val="16"/>
                <w:szCs w:val="16"/>
                <w:color w:val="auto"/>
              </w:rPr>
              <w:t>clawback of erroneously awarded compensation as mandated under the Dodd-Frank Wall Street Reform and</w:t>
            </w:r>
          </w:p>
        </w:tc>
      </w:tr>
      <w:tr>
        <w:trPr>
          <w:trHeight w:val="203"/>
        </w:trPr>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0" w:type="dxa"/>
            <w:vAlign w:val="bottom"/>
          </w:tcPr>
          <w:p>
            <w:pPr>
              <w:ind w:left="60"/>
              <w:spacing w:after="0"/>
              <w:rPr>
                <w:sz w:val="20"/>
                <w:szCs w:val="20"/>
                <w:color w:val="auto"/>
              </w:rPr>
            </w:pPr>
            <w:r>
              <w:rPr>
                <w:rFonts w:ascii="Arial" w:cs="Arial" w:eastAsia="Arial" w:hAnsi="Arial"/>
                <w:sz w:val="16"/>
                <w:szCs w:val="16"/>
                <w:color w:val="auto"/>
              </w:rPr>
              <w:t>Protection Act.</w:t>
            </w:r>
          </w:p>
        </w:tc>
      </w:tr>
      <w:tr>
        <w:trPr>
          <w:trHeight w:val="175"/>
        </w:trPr>
        <w:tc>
          <w:tcPr>
            <w:tcW w:w="2280" w:type="dxa"/>
            <w:vAlign w:val="bottom"/>
          </w:tcPr>
          <w:p>
            <w:pPr>
              <w:spacing w:after="0"/>
              <w:rPr>
                <w:sz w:val="15"/>
                <w:szCs w:val="15"/>
                <w:color w:val="auto"/>
              </w:rPr>
            </w:pPr>
          </w:p>
        </w:tc>
        <w:tc>
          <w:tcPr>
            <w:tcW w:w="280" w:type="dxa"/>
            <w:vAlign w:val="bottom"/>
          </w:tcPr>
          <w:p>
            <w:pPr>
              <w:ind w:left="180"/>
              <w:spacing w:after="0" w:line="175" w:lineRule="exact"/>
              <w:rPr>
                <w:sz w:val="20"/>
                <w:szCs w:val="20"/>
                <w:color w:val="auto"/>
              </w:rPr>
            </w:pPr>
            <w:r>
              <w:rPr>
                <w:rFonts w:ascii="Arial" w:cs="Arial" w:eastAsia="Arial" w:hAnsi="Arial"/>
                <w:sz w:val="16"/>
                <w:szCs w:val="16"/>
                <w:color w:val="auto"/>
              </w:rPr>
              <w:t>•</w:t>
            </w:r>
          </w:p>
        </w:tc>
        <w:tc>
          <w:tcPr>
            <w:tcW w:w="8400" w:type="dxa"/>
            <w:vAlign w:val="bottom"/>
          </w:tcPr>
          <w:p>
            <w:pPr>
              <w:ind w:left="40"/>
              <w:spacing w:after="0" w:line="175" w:lineRule="exact"/>
              <w:rPr>
                <w:sz w:val="20"/>
                <w:szCs w:val="20"/>
                <w:color w:val="auto"/>
              </w:rPr>
            </w:pPr>
            <w:r>
              <w:rPr>
                <w:rFonts w:ascii="Arial" w:cs="Arial" w:eastAsia="Arial" w:hAnsi="Arial"/>
                <w:sz w:val="16"/>
                <w:szCs w:val="16"/>
                <w:color w:val="auto"/>
              </w:rPr>
              <w:t>In January 2024, we revised our stock ownership guidelines to increase the guideline for our Chairman and CEO</w:t>
            </w:r>
          </w:p>
        </w:tc>
      </w:tr>
      <w:tr>
        <w:trPr>
          <w:trHeight w:val="215"/>
        </w:trPr>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0" w:type="dxa"/>
            <w:vAlign w:val="bottom"/>
          </w:tcPr>
          <w:p>
            <w:pPr>
              <w:ind w:left="60"/>
              <w:spacing w:after="0"/>
              <w:rPr>
                <w:sz w:val="20"/>
                <w:szCs w:val="20"/>
                <w:color w:val="auto"/>
              </w:rPr>
            </w:pPr>
            <w:r>
              <w:rPr>
                <w:rFonts w:ascii="Arial" w:cs="Arial" w:eastAsia="Arial" w:hAnsi="Arial"/>
                <w:sz w:val="16"/>
                <w:szCs w:val="16"/>
                <w:color w:val="auto"/>
              </w:rPr>
              <w:t>and to add a holding requirement.</w:t>
            </w:r>
          </w:p>
        </w:tc>
      </w:tr>
      <w:tr>
        <w:trPr>
          <w:trHeight w:val="43"/>
        </w:trPr>
        <w:tc>
          <w:tcPr>
            <w:tcW w:w="2280" w:type="dxa"/>
            <w:vAlign w:val="bottom"/>
            <w:tcBorders>
              <w:bottom w:val="single" w:sz="8" w:color="BFBFBF"/>
            </w:tcBorders>
          </w:tcPr>
          <w:p>
            <w:pPr>
              <w:spacing w:after="0"/>
              <w:rPr>
                <w:sz w:val="3"/>
                <w:szCs w:val="3"/>
                <w:color w:val="auto"/>
              </w:rPr>
            </w:pPr>
          </w:p>
        </w:tc>
        <w:tc>
          <w:tcPr>
            <w:tcW w:w="280" w:type="dxa"/>
            <w:vAlign w:val="bottom"/>
            <w:tcBorders>
              <w:bottom w:val="single" w:sz="8" w:color="BFBFBF"/>
            </w:tcBorders>
          </w:tcPr>
          <w:p>
            <w:pPr>
              <w:spacing w:after="0"/>
              <w:rPr>
                <w:sz w:val="3"/>
                <w:szCs w:val="3"/>
                <w:color w:val="auto"/>
              </w:rPr>
            </w:pPr>
          </w:p>
        </w:tc>
        <w:tc>
          <w:tcPr>
            <w:tcW w:w="8400" w:type="dxa"/>
            <w:vAlign w:val="bottom"/>
            <w:tcBorders>
              <w:bottom w:val="single" w:sz="8" w:color="BFBFBF"/>
            </w:tcBorders>
          </w:tcPr>
          <w:p>
            <w:pPr>
              <w:spacing w:after="0"/>
              <w:rPr>
                <w:sz w:val="3"/>
                <w:szCs w:val="3"/>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Compensation Philosophy</w:t>
      </w:r>
    </w:p>
    <w:p>
      <w:pPr>
        <w:spacing w:after="0" w:line="85" w:lineRule="exact"/>
        <w:rPr>
          <w:sz w:val="20"/>
          <w:szCs w:val="20"/>
          <w:color w:val="auto"/>
        </w:rPr>
      </w:pPr>
    </w:p>
    <w:p>
      <w:pPr>
        <w:jc w:val="both"/>
        <w:ind w:right="260" w:firstLine="324"/>
        <w:spacing w:after="0" w:line="237" w:lineRule="auto"/>
        <w:rPr>
          <w:sz w:val="20"/>
          <w:szCs w:val="20"/>
          <w:color w:val="auto"/>
        </w:rPr>
      </w:pPr>
      <w:r>
        <w:rPr>
          <w:rFonts w:ascii="Arial" w:cs="Arial" w:eastAsia="Arial" w:hAnsi="Arial"/>
          <w:sz w:val="18"/>
          <w:szCs w:val="18"/>
          <w:color w:val="auto"/>
        </w:rPr>
        <w:t>Our guiding compensation philosophy is to maintain an executive compensation program that allows us to attract, retain, motivate and reward highly qualified and talented executive officers who will enable us to execute on our strategic priorities, perform better than our</w:t>
      </w:r>
    </w:p>
    <w:p>
      <w:pPr>
        <w:spacing w:after="0" w:line="1"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competitors and drive long-term shareholder value. The following core principles provide a framework for our executive compensation program:</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80" w:type="dxa"/>
            <w:vAlign w:val="bottom"/>
          </w:tcPr>
          <w:p>
            <w:pPr>
              <w:ind w:left="20"/>
              <w:spacing w:after="0"/>
              <w:rPr>
                <w:sz w:val="20"/>
                <w:szCs w:val="20"/>
                <w:color w:val="auto"/>
              </w:rPr>
            </w:pPr>
            <w:r>
              <w:rPr>
                <w:rFonts w:ascii="Arial" w:cs="Arial" w:eastAsia="Arial" w:hAnsi="Arial"/>
                <w:sz w:val="16"/>
                <w:szCs w:val="16"/>
                <w:color w:val="auto"/>
              </w:rPr>
              <w:t>Align with Shareholder Interests</w:t>
            </w:r>
          </w:p>
        </w:tc>
        <w:tc>
          <w:tcPr>
            <w:tcW w:w="380" w:type="dxa"/>
            <w:vAlign w:val="bottom"/>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Our executive compensation program is designed to align the interests of our executive officers with shareholder</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38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interests</w:t>
            </w: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8380" w:type="dxa"/>
            <w:vAlign w:val="bottom"/>
          </w:tcPr>
          <w:p>
            <w:pPr>
              <w:ind w:left="20"/>
              <w:spacing w:after="0"/>
              <w:rPr>
                <w:sz w:val="20"/>
                <w:szCs w:val="20"/>
                <w:color w:val="auto"/>
              </w:rPr>
            </w:pPr>
            <w:r>
              <w:rPr>
                <w:rFonts w:ascii="Arial" w:cs="Arial" w:eastAsia="Arial" w:hAnsi="Arial"/>
                <w:sz w:val="16"/>
                <w:szCs w:val="16"/>
                <w:color w:val="auto"/>
              </w:rPr>
              <w:t>At least two-thirds of our executive compensation is tied to TTC performance and the market value of our common</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38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stock</w:t>
            </w: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8380" w:type="dxa"/>
            <w:vAlign w:val="bottom"/>
          </w:tcPr>
          <w:p>
            <w:pPr>
              <w:ind w:left="20"/>
              <w:spacing w:after="0"/>
              <w:rPr>
                <w:sz w:val="20"/>
                <w:szCs w:val="20"/>
                <w:color w:val="auto"/>
              </w:rPr>
            </w:pPr>
            <w:r>
              <w:rPr>
                <w:rFonts w:ascii="Arial" w:cs="Arial" w:eastAsia="Arial" w:hAnsi="Arial"/>
                <w:sz w:val="16"/>
                <w:szCs w:val="16"/>
                <w:color w:val="auto"/>
              </w:rPr>
              <w:t>Our stock ownership guidelines strengthen alignment of our executive officers interests with those of our</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80" w:type="dxa"/>
            <w:vAlign w:val="bottom"/>
          </w:tcPr>
          <w:p>
            <w:pPr>
              <w:ind w:left="20"/>
              <w:spacing w:after="0"/>
              <w:rPr>
                <w:sz w:val="20"/>
                <w:szCs w:val="20"/>
                <w:color w:val="auto"/>
              </w:rPr>
            </w:pPr>
            <w:r>
              <w:rPr>
                <w:rFonts w:ascii="Arial" w:cs="Arial" w:eastAsia="Arial" w:hAnsi="Arial"/>
                <w:sz w:val="16"/>
                <w:szCs w:val="16"/>
                <w:color w:val="auto"/>
              </w:rPr>
              <w:t>shareholders</w:t>
            </w:r>
          </w:p>
        </w:tc>
        <w:tc>
          <w:tcPr>
            <w:tcW w:w="0" w:type="dxa"/>
            <w:vAlign w:val="bottom"/>
          </w:tcPr>
          <w:p>
            <w:pPr>
              <w:spacing w:after="0"/>
              <w:rPr>
                <w:sz w:val="1"/>
                <w:szCs w:val="1"/>
                <w:color w:val="auto"/>
              </w:rPr>
            </w:pPr>
          </w:p>
        </w:tc>
      </w:tr>
      <w:tr>
        <w:trPr>
          <w:trHeight w:val="244"/>
        </w:trPr>
        <w:tc>
          <w:tcPr>
            <w:tcW w:w="2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Link Pay to Performance</w:t>
            </w:r>
          </w:p>
        </w:tc>
        <w:tc>
          <w:tcPr>
            <w:tcW w:w="380" w:type="dxa"/>
            <w:vAlign w:val="bottom"/>
            <w:shd w:val="clear" w:color="auto" w:fill="DBDBDB"/>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At least two-thirds of our executive compensation is tied to TTC performance</w:t>
            </w:r>
          </w:p>
        </w:tc>
        <w:tc>
          <w:tcPr>
            <w:tcW w:w="0" w:type="dxa"/>
            <w:vAlign w:val="bottom"/>
          </w:tcPr>
          <w:p>
            <w:pPr>
              <w:spacing w:after="0"/>
              <w:rPr>
                <w:sz w:val="1"/>
                <w:szCs w:val="1"/>
                <w:color w:val="auto"/>
              </w:rPr>
            </w:pPr>
          </w:p>
        </w:tc>
      </w:tr>
      <w:tr>
        <w:trPr>
          <w:trHeight w:val="243"/>
        </w:trPr>
        <w:tc>
          <w:tcPr>
            <w:tcW w:w="2480" w:type="dxa"/>
            <w:vAlign w:val="bottom"/>
            <w:shd w:val="clear" w:color="auto" w:fill="DBDBDB"/>
          </w:tcPr>
          <w:p>
            <w:pPr>
              <w:spacing w:after="0"/>
              <w:rPr>
                <w:sz w:val="21"/>
                <w:szCs w:val="21"/>
                <w:color w:val="auto"/>
              </w:rPr>
            </w:pPr>
          </w:p>
        </w:tc>
        <w:tc>
          <w:tcPr>
            <w:tcW w:w="380" w:type="dxa"/>
            <w:vAlign w:val="bottom"/>
            <w:shd w:val="clear" w:color="auto" w:fill="DBDBDB"/>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Our annual cash incentive targets align with our annual financial goals</w:t>
            </w:r>
          </w:p>
        </w:tc>
        <w:tc>
          <w:tcPr>
            <w:tcW w:w="0" w:type="dxa"/>
            <w:vAlign w:val="bottom"/>
          </w:tcPr>
          <w:p>
            <w:pPr>
              <w:spacing w:after="0"/>
              <w:rPr>
                <w:sz w:val="1"/>
                <w:szCs w:val="1"/>
                <w:color w:val="auto"/>
              </w:rPr>
            </w:pPr>
          </w:p>
        </w:tc>
      </w:tr>
      <w:tr>
        <w:trPr>
          <w:trHeight w:val="243"/>
        </w:trPr>
        <w:tc>
          <w:tcPr>
            <w:tcW w:w="2480" w:type="dxa"/>
            <w:vAlign w:val="bottom"/>
            <w:shd w:val="clear" w:color="auto" w:fill="DBDBDB"/>
          </w:tcPr>
          <w:p>
            <w:pPr>
              <w:spacing w:after="0"/>
              <w:rPr>
                <w:sz w:val="21"/>
                <w:szCs w:val="21"/>
                <w:color w:val="auto"/>
              </w:rPr>
            </w:pPr>
          </w:p>
        </w:tc>
        <w:tc>
          <w:tcPr>
            <w:tcW w:w="380" w:type="dxa"/>
            <w:vAlign w:val="bottom"/>
            <w:shd w:val="clear" w:color="auto" w:fill="DBDBDB"/>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Our long-term incentives align with our long-term growth strategy</w:t>
            </w:r>
          </w:p>
        </w:tc>
        <w:tc>
          <w:tcPr>
            <w:tcW w:w="0" w:type="dxa"/>
            <w:vAlign w:val="bottom"/>
          </w:tcPr>
          <w:p>
            <w:pPr>
              <w:spacing w:after="0"/>
              <w:rPr>
                <w:sz w:val="1"/>
                <w:szCs w:val="1"/>
                <w:color w:val="auto"/>
              </w:rPr>
            </w:pPr>
          </w:p>
        </w:tc>
      </w:tr>
      <w:tr>
        <w:trPr>
          <w:trHeight w:val="196"/>
        </w:trPr>
        <w:tc>
          <w:tcPr>
            <w:tcW w:w="2480" w:type="dxa"/>
            <w:vAlign w:val="bottom"/>
          </w:tcPr>
          <w:p>
            <w:pPr>
              <w:ind w:left="20"/>
              <w:spacing w:after="0"/>
              <w:rPr>
                <w:sz w:val="20"/>
                <w:szCs w:val="20"/>
                <w:color w:val="auto"/>
              </w:rPr>
            </w:pPr>
            <w:r>
              <w:rPr>
                <w:rFonts w:ascii="Arial" w:cs="Arial" w:eastAsia="Arial" w:hAnsi="Arial"/>
                <w:sz w:val="16"/>
                <w:szCs w:val="16"/>
                <w:color w:val="auto"/>
              </w:rPr>
              <w:t>Provide Competitive Pay</w:t>
            </w:r>
          </w:p>
        </w:tc>
        <w:tc>
          <w:tcPr>
            <w:tcW w:w="380" w:type="dxa"/>
            <w:vAlign w:val="bottom"/>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We obtain market data from our independent external consultant</w:t>
            </w:r>
          </w:p>
        </w:tc>
        <w:tc>
          <w:tcPr>
            <w:tcW w:w="0" w:type="dxa"/>
            <w:vAlign w:val="bottom"/>
          </w:tcPr>
          <w:p>
            <w:pPr>
              <w:spacing w:after="0"/>
              <w:rPr>
                <w:sz w:val="1"/>
                <w:szCs w:val="1"/>
                <w:color w:val="auto"/>
              </w:rPr>
            </w:pPr>
          </w:p>
        </w:tc>
      </w:tr>
      <w:tr>
        <w:trPr>
          <w:trHeight w:val="376"/>
        </w:trPr>
        <w:tc>
          <w:tcPr>
            <w:tcW w:w="2480" w:type="dxa"/>
            <w:vAlign w:val="bottom"/>
          </w:tcPr>
          <w:p>
            <w:pPr>
              <w:spacing w:after="0"/>
              <w:rPr>
                <w:sz w:val="24"/>
                <w:szCs w:val="24"/>
                <w:color w:val="auto"/>
              </w:rPr>
            </w:pPr>
          </w:p>
        </w:tc>
        <w:tc>
          <w:tcPr>
            <w:tcW w:w="380" w:type="dxa"/>
            <w:vAlign w:val="bottom"/>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We typically target pay opportunities within a competitive range of the market 50</w:t>
            </w:r>
            <w:r>
              <w:rPr>
                <w:rFonts w:ascii="Arial" w:cs="Arial" w:eastAsia="Arial" w:hAnsi="Arial"/>
                <w:sz w:val="28"/>
                <w:szCs w:val="28"/>
                <w:color w:val="auto"/>
                <w:vertAlign w:val="superscript"/>
              </w:rPr>
              <w:t>th</w:t>
            </w:r>
            <w:r>
              <w:rPr>
                <w:rFonts w:ascii="Arial" w:cs="Arial" w:eastAsia="Arial" w:hAnsi="Arial"/>
                <w:sz w:val="16"/>
                <w:szCs w:val="16"/>
                <w:color w:val="auto"/>
              </w:rPr>
              <w:t xml:space="preserve"> percentile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sectPr>
      </w:pPr>
    </w:p>
    <w:bookmarkStart w:id="44" w:name="page45"/>
    <w:bookmarkEnd w:id="44"/>
    <w:p>
      <w:pPr>
        <w:ind w:left="53"/>
        <w:spacing w:after="0"/>
        <w:rPr>
          <w:sz w:val="20"/>
          <w:szCs w:val="20"/>
          <w:color w:val="auto"/>
        </w:rPr>
      </w:pPr>
      <w:r>
        <w:rPr>
          <w:rFonts w:ascii="Arial" w:cs="Arial" w:eastAsia="Arial" w:hAnsi="Arial"/>
          <w:sz w:val="20"/>
          <w:szCs w:val="20"/>
          <w:b w:val="1"/>
          <w:bCs w:val="1"/>
          <w:color w:val="C00000"/>
        </w:rPr>
        <w:t>Compensation Highlights and Best Practices</w:t>
      </w:r>
    </w:p>
    <w:p>
      <w:pPr>
        <w:spacing w:after="0" w:line="112" w:lineRule="exact"/>
        <w:rPr>
          <w:sz w:val="20"/>
          <w:szCs w:val="20"/>
          <w:color w:val="auto"/>
        </w:rPr>
      </w:pPr>
    </w:p>
    <w:p>
      <w:pPr>
        <w:ind w:left="53" w:right="80" w:firstLine="324"/>
        <w:spacing w:after="0" w:line="271" w:lineRule="auto"/>
        <w:rPr>
          <w:sz w:val="20"/>
          <w:szCs w:val="20"/>
          <w:color w:val="auto"/>
        </w:rPr>
      </w:pPr>
      <w:r>
        <w:rPr>
          <w:rFonts w:ascii="Arial" w:cs="Arial" w:eastAsia="Arial" w:hAnsi="Arial"/>
          <w:sz w:val="18"/>
          <w:szCs w:val="18"/>
          <w:color w:val="auto"/>
        </w:rPr>
        <w:t>Our compensation practices include many best pay practices that support our executive compensation objectives and philosophy, and benefit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66675</wp:posOffset>
            </wp:positionV>
            <wp:extent cx="6943725"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43725" cy="163195"/>
                    </a:xfrm>
                    <a:prstGeom prst="rect">
                      <a:avLst/>
                    </a:prstGeom>
                    <a:noFill/>
                  </pic:spPr>
                </pic:pic>
              </a:graphicData>
            </a:graphic>
          </wp:anchor>
        </w:drawing>
      </w:r>
    </w:p>
    <w:p>
      <w:pPr>
        <w:sectPr>
          <w:pgSz w:w="11900" w:h="16838" w:orient="portrait"/>
          <w:cols w:equalWidth="0" w:num="1">
            <w:col w:w="11113"/>
          </w:cols>
          <w:pgMar w:left="267" w:top="1169" w:right="519" w:bottom="1440" w:gutter="0" w:footer="0" w:header="0"/>
        </w:sectPr>
      </w:pPr>
    </w:p>
    <w:p>
      <w:pPr>
        <w:spacing w:after="0" w:line="113" w:lineRule="exact"/>
        <w:rPr>
          <w:sz w:val="20"/>
          <w:szCs w:val="20"/>
          <w:color w:val="auto"/>
        </w:rPr>
      </w:pPr>
    </w:p>
    <w:p>
      <w:pPr>
        <w:ind w:left="2533"/>
        <w:spacing w:after="0"/>
        <w:rPr>
          <w:sz w:val="20"/>
          <w:szCs w:val="20"/>
          <w:color w:val="auto"/>
        </w:rPr>
      </w:pPr>
      <w:r>
        <w:rPr>
          <w:rFonts w:ascii="Arial" w:cs="Arial" w:eastAsia="Arial" w:hAnsi="Arial"/>
          <w:sz w:val="18"/>
          <w:szCs w:val="18"/>
          <w:b w:val="1"/>
          <w:bCs w:val="1"/>
          <w:color w:val="FFFFFF"/>
        </w:rPr>
        <w:t>What We Do</w:t>
      </w:r>
    </w:p>
    <w:p>
      <w:pPr>
        <w:spacing w:after="0" w:line="41" w:lineRule="exact"/>
        <w:rPr>
          <w:sz w:val="20"/>
          <w:szCs w:val="20"/>
          <w:color w:val="auto"/>
        </w:rPr>
      </w:pPr>
    </w:p>
    <w:p>
      <w:pPr>
        <w:ind w:left="453" w:right="20" w:hanging="453"/>
        <w:spacing w:after="0" w:line="182" w:lineRule="auto"/>
        <w:tabs>
          <w:tab w:leader="none" w:pos="453" w:val="left"/>
        </w:tabs>
        <w:numPr>
          <w:ilvl w:val="0"/>
          <w:numId w:val="55"/>
        </w:numPr>
        <w:rPr>
          <w:rFonts w:ascii="MS PGothic" w:cs="MS PGothic" w:eastAsia="MS PGothic" w:hAnsi="MS PGothic"/>
          <w:sz w:val="34"/>
          <w:szCs w:val="34"/>
          <w:color w:val="auto"/>
          <w:vertAlign w:val="subscript"/>
          <w:shd w:val="clear" w:color="auto" w:fill="C00000"/>
        </w:rPr>
      </w:pPr>
      <w:r>
        <w:rPr>
          <w:rFonts w:ascii="Arial" w:cs="Arial" w:eastAsia="Arial" w:hAnsi="Arial"/>
          <w:sz w:val="15"/>
          <w:szCs w:val="15"/>
          <w:color w:val="auto"/>
        </w:rPr>
        <w:t>Structure our executive officer compensation so it is competitive, and a significant portion of pay is at risk</w:t>
      </w:r>
    </w:p>
    <w:p>
      <w:pPr>
        <w:spacing w:after="0" w:line="29" w:lineRule="exact"/>
        <w:rPr>
          <w:rFonts w:ascii="MS PGothic" w:cs="MS PGothic" w:eastAsia="MS PGothic" w:hAnsi="MS PGothic"/>
          <w:sz w:val="34"/>
          <w:szCs w:val="34"/>
          <w:color w:val="auto"/>
          <w:vertAlign w:val="subscript"/>
          <w:shd w:val="clear" w:color="auto" w:fill="C00000"/>
        </w:rPr>
      </w:pPr>
    </w:p>
    <w:p>
      <w:pPr>
        <w:ind w:left="453" w:right="360" w:hanging="453"/>
        <w:spacing w:after="0" w:line="182" w:lineRule="auto"/>
        <w:tabs>
          <w:tab w:leader="none" w:pos="453" w:val="left"/>
        </w:tabs>
        <w:numPr>
          <w:ilvl w:val="0"/>
          <w:numId w:val="55"/>
        </w:numPr>
        <w:rPr>
          <w:rFonts w:ascii="MS PGothic" w:cs="MS PGothic" w:eastAsia="MS PGothic" w:hAnsi="MS PGothic"/>
          <w:sz w:val="34"/>
          <w:szCs w:val="34"/>
          <w:color w:val="auto"/>
          <w:vertAlign w:val="subscript"/>
          <w:shd w:val="clear" w:color="auto" w:fill="C00000"/>
        </w:rPr>
      </w:pPr>
      <w:r>
        <w:rPr>
          <w:rFonts w:ascii="Arial" w:cs="Arial" w:eastAsia="Arial" w:hAnsi="Arial"/>
          <w:sz w:val="15"/>
          <w:szCs w:val="15"/>
          <w:color w:val="auto"/>
        </w:rPr>
        <w:t>Emphasize long-term performance in our equity-based incentive awards</w:t>
      </w:r>
    </w:p>
    <w:p>
      <w:pPr>
        <w:spacing w:after="0" w:line="43" w:lineRule="exact"/>
        <w:rPr>
          <w:rFonts w:ascii="MS PGothic" w:cs="MS PGothic" w:eastAsia="MS PGothic" w:hAnsi="MS PGothic"/>
          <w:sz w:val="34"/>
          <w:szCs w:val="34"/>
          <w:color w:val="auto"/>
          <w:vertAlign w:val="subscript"/>
          <w:shd w:val="clear" w:color="auto" w:fill="C00000"/>
        </w:rPr>
      </w:pPr>
    </w:p>
    <w:p>
      <w:pPr>
        <w:ind w:left="453" w:hanging="453"/>
        <w:spacing w:after="0"/>
        <w:tabs>
          <w:tab w:leader="none" w:pos="453" w:val="left"/>
        </w:tabs>
        <w:numPr>
          <w:ilvl w:val="0"/>
          <w:numId w:val="55"/>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Use a mix of performance measures in our incentive plans</w:t>
      </w:r>
    </w:p>
    <w:p>
      <w:pPr>
        <w:spacing w:after="0" w:line="77" w:lineRule="exact"/>
        <w:rPr>
          <w:rFonts w:ascii="MS PGothic" w:cs="MS PGothic" w:eastAsia="MS PGothic" w:hAnsi="MS PGothic"/>
          <w:sz w:val="20"/>
          <w:szCs w:val="20"/>
          <w:color w:val="auto"/>
          <w:shd w:val="clear" w:color="auto" w:fill="C00000"/>
        </w:rPr>
      </w:pPr>
    </w:p>
    <w:p>
      <w:pPr>
        <w:ind w:left="453" w:hanging="453"/>
        <w:spacing w:after="0"/>
        <w:tabs>
          <w:tab w:leader="none" w:pos="453" w:val="left"/>
        </w:tabs>
        <w:numPr>
          <w:ilvl w:val="0"/>
          <w:numId w:val="55"/>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Establish threshold levels of performance and caps on payouts</w:t>
      </w:r>
    </w:p>
    <w:p>
      <w:pPr>
        <w:spacing w:after="0" w:line="145" w:lineRule="exact"/>
        <w:rPr>
          <w:rFonts w:ascii="MS PGothic" w:cs="MS PGothic" w:eastAsia="MS PGothic" w:hAnsi="MS PGothic"/>
          <w:sz w:val="20"/>
          <w:szCs w:val="20"/>
          <w:color w:val="auto"/>
          <w:shd w:val="clear" w:color="auto" w:fill="C00000"/>
        </w:rPr>
      </w:pPr>
    </w:p>
    <w:p>
      <w:pPr>
        <w:ind w:left="453" w:hanging="453"/>
        <w:spacing w:after="0"/>
        <w:tabs>
          <w:tab w:leader="none" w:pos="453" w:val="left"/>
        </w:tabs>
        <w:numPr>
          <w:ilvl w:val="0"/>
          <w:numId w:val="55"/>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Maintain a robust clawback policy and provisions</w:t>
      </w:r>
    </w:p>
    <w:p>
      <w:pPr>
        <w:spacing w:after="0" w:line="131" w:lineRule="exact"/>
        <w:rPr>
          <w:rFonts w:ascii="MS PGothic" w:cs="MS PGothic" w:eastAsia="MS PGothic" w:hAnsi="MS PGothic"/>
          <w:sz w:val="20"/>
          <w:szCs w:val="20"/>
          <w:color w:val="auto"/>
          <w:shd w:val="clear" w:color="auto" w:fill="C00000"/>
        </w:rPr>
      </w:pPr>
    </w:p>
    <w:p>
      <w:pPr>
        <w:ind w:left="453" w:hanging="453"/>
        <w:spacing w:after="0" w:line="182" w:lineRule="auto"/>
        <w:tabs>
          <w:tab w:leader="none" w:pos="453" w:val="left"/>
        </w:tabs>
        <w:numPr>
          <w:ilvl w:val="0"/>
          <w:numId w:val="55"/>
        </w:numPr>
        <w:rPr>
          <w:rFonts w:ascii="MS PGothic" w:cs="MS PGothic" w:eastAsia="MS PGothic" w:hAnsi="MS PGothic"/>
          <w:sz w:val="34"/>
          <w:szCs w:val="34"/>
          <w:color w:val="auto"/>
          <w:vertAlign w:val="subscript"/>
          <w:shd w:val="clear" w:color="auto" w:fill="C00000"/>
        </w:rPr>
      </w:pPr>
      <w:r>
        <w:rPr>
          <w:rFonts w:ascii="Arial" w:cs="Arial" w:eastAsia="Arial" w:hAnsi="Arial"/>
          <w:sz w:val="15"/>
          <w:szCs w:val="15"/>
          <w:color w:val="auto"/>
        </w:rPr>
        <w:t>Have robust stock ownership guidelines and holding requirements for executive officers</w:t>
      </w:r>
    </w:p>
    <w:p>
      <w:pPr>
        <w:spacing w:after="0" w:line="43" w:lineRule="exact"/>
        <w:rPr>
          <w:rFonts w:ascii="MS PGothic" w:cs="MS PGothic" w:eastAsia="MS PGothic" w:hAnsi="MS PGothic"/>
          <w:sz w:val="34"/>
          <w:szCs w:val="34"/>
          <w:color w:val="auto"/>
          <w:vertAlign w:val="subscript"/>
          <w:shd w:val="clear" w:color="auto" w:fill="C00000"/>
        </w:rPr>
      </w:pPr>
    </w:p>
    <w:p>
      <w:pPr>
        <w:ind w:left="453" w:hanging="453"/>
        <w:spacing w:after="0"/>
        <w:tabs>
          <w:tab w:leader="none" w:pos="453" w:val="left"/>
        </w:tabs>
        <w:numPr>
          <w:ilvl w:val="0"/>
          <w:numId w:val="55"/>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Require minimum vesting periods on equity awards</w:t>
      </w:r>
    </w:p>
    <w:p>
      <w:pPr>
        <w:spacing w:after="0" w:line="77" w:lineRule="exact"/>
        <w:rPr>
          <w:rFonts w:ascii="MS PGothic" w:cs="MS PGothic" w:eastAsia="MS PGothic" w:hAnsi="MS PGothic"/>
          <w:sz w:val="20"/>
          <w:szCs w:val="20"/>
          <w:color w:val="auto"/>
          <w:shd w:val="clear" w:color="auto" w:fill="C00000"/>
        </w:rPr>
      </w:pPr>
    </w:p>
    <w:p>
      <w:pPr>
        <w:ind w:left="453" w:hanging="453"/>
        <w:spacing w:after="0"/>
        <w:tabs>
          <w:tab w:leader="none" w:pos="453" w:val="left"/>
        </w:tabs>
        <w:numPr>
          <w:ilvl w:val="0"/>
          <w:numId w:val="55"/>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Hold an annual say-on-pay vote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2055"/>
        <w:spacing w:after="0"/>
        <w:rPr>
          <w:sz w:val="20"/>
          <w:szCs w:val="20"/>
          <w:color w:val="auto"/>
        </w:rPr>
      </w:pPr>
      <w:r>
        <w:rPr>
          <w:rFonts w:ascii="Arial" w:cs="Arial" w:eastAsia="Arial" w:hAnsi="Arial"/>
          <w:sz w:val="18"/>
          <w:szCs w:val="18"/>
          <w:b w:val="1"/>
          <w:bCs w:val="1"/>
          <w:color w:val="FFFFFF"/>
        </w:rPr>
        <w:t>What We Don't Do</w:t>
      </w:r>
    </w:p>
    <w:p>
      <w:pPr>
        <w:spacing w:after="0" w:line="122" w:lineRule="exact"/>
        <w:rPr>
          <w:sz w:val="20"/>
          <w:szCs w:val="20"/>
          <w:color w:val="auto"/>
        </w:rPr>
      </w:pPr>
    </w:p>
    <w:p>
      <w:pPr>
        <w:ind w:left="355" w:hanging="355"/>
        <w:spacing w:after="0"/>
        <w:tabs>
          <w:tab w:leader="none" w:pos="355" w:val="left"/>
        </w:tabs>
        <w:numPr>
          <w:ilvl w:val="0"/>
          <w:numId w:val="56"/>
        </w:numPr>
        <w:rPr>
          <w:rFonts w:ascii="Arial" w:cs="Arial" w:eastAsia="Arial" w:hAnsi="Arial"/>
          <w:sz w:val="18"/>
          <w:szCs w:val="18"/>
          <w:b w:val="1"/>
          <w:bCs w:val="1"/>
          <w:i w:val="1"/>
          <w:iCs w:val="1"/>
          <w:color w:val="BF2115"/>
        </w:rPr>
      </w:pPr>
      <w:r>
        <w:rPr>
          <w:rFonts w:ascii="Arial" w:cs="Arial" w:eastAsia="Arial" w:hAnsi="Arial"/>
          <w:sz w:val="16"/>
          <w:szCs w:val="16"/>
          <w:color w:val="auto"/>
        </w:rPr>
        <w:t>No guaranteed salary increases</w:t>
      </w:r>
    </w:p>
    <w:p>
      <w:pPr>
        <w:spacing w:after="0" w:line="211" w:lineRule="exact"/>
        <w:rPr>
          <w:rFonts w:ascii="Arial" w:cs="Arial" w:eastAsia="Arial" w:hAnsi="Arial"/>
          <w:sz w:val="18"/>
          <w:szCs w:val="18"/>
          <w:b w:val="1"/>
          <w:bCs w:val="1"/>
          <w:i w:val="1"/>
          <w:iCs w:val="1"/>
          <w:color w:val="BF2115"/>
        </w:rPr>
      </w:pPr>
    </w:p>
    <w:p>
      <w:pPr>
        <w:ind w:left="355" w:hanging="355"/>
        <w:spacing w:after="0"/>
        <w:tabs>
          <w:tab w:leader="none" w:pos="355" w:val="left"/>
        </w:tabs>
        <w:numPr>
          <w:ilvl w:val="0"/>
          <w:numId w:val="56"/>
        </w:numPr>
        <w:rPr>
          <w:rFonts w:ascii="Arial" w:cs="Arial" w:eastAsia="Arial" w:hAnsi="Arial"/>
          <w:sz w:val="18"/>
          <w:szCs w:val="18"/>
          <w:b w:val="1"/>
          <w:bCs w:val="1"/>
          <w:i w:val="1"/>
          <w:iCs w:val="1"/>
          <w:color w:val="BF2115"/>
        </w:rPr>
      </w:pPr>
      <w:r>
        <w:rPr>
          <w:rFonts w:ascii="Arial" w:cs="Arial" w:eastAsia="Arial" w:hAnsi="Arial"/>
          <w:sz w:val="16"/>
          <w:szCs w:val="16"/>
          <w:color w:val="auto"/>
        </w:rPr>
        <w:t>No guaranteed bonuses, except on occasion to new hires</w:t>
      </w:r>
    </w:p>
    <w:p>
      <w:pPr>
        <w:spacing w:after="0" w:line="144" w:lineRule="exact"/>
        <w:rPr>
          <w:rFonts w:ascii="Arial" w:cs="Arial" w:eastAsia="Arial" w:hAnsi="Arial"/>
          <w:sz w:val="18"/>
          <w:szCs w:val="18"/>
          <w:b w:val="1"/>
          <w:bCs w:val="1"/>
          <w:i w:val="1"/>
          <w:iCs w:val="1"/>
          <w:color w:val="BF2115"/>
        </w:rPr>
      </w:pPr>
    </w:p>
    <w:p>
      <w:pPr>
        <w:ind w:left="355" w:hanging="355"/>
        <w:spacing w:after="0"/>
        <w:tabs>
          <w:tab w:leader="none" w:pos="355" w:val="left"/>
        </w:tabs>
        <w:numPr>
          <w:ilvl w:val="0"/>
          <w:numId w:val="56"/>
        </w:numPr>
        <w:rPr>
          <w:rFonts w:ascii="Arial" w:cs="Arial" w:eastAsia="Arial" w:hAnsi="Arial"/>
          <w:sz w:val="18"/>
          <w:szCs w:val="18"/>
          <w:b w:val="1"/>
          <w:bCs w:val="1"/>
          <w:i w:val="1"/>
          <w:iCs w:val="1"/>
          <w:color w:val="BF2115"/>
        </w:rPr>
      </w:pPr>
      <w:r>
        <w:rPr>
          <w:rFonts w:ascii="Arial" w:cs="Arial" w:eastAsia="Arial" w:hAnsi="Arial"/>
          <w:sz w:val="16"/>
          <w:szCs w:val="16"/>
          <w:color w:val="auto"/>
        </w:rPr>
        <w:t>No excessive perquisites</w:t>
      </w:r>
    </w:p>
    <w:p>
      <w:pPr>
        <w:spacing w:after="0" w:line="76" w:lineRule="exact"/>
        <w:rPr>
          <w:rFonts w:ascii="Arial" w:cs="Arial" w:eastAsia="Arial" w:hAnsi="Arial"/>
          <w:sz w:val="18"/>
          <w:szCs w:val="18"/>
          <w:b w:val="1"/>
          <w:bCs w:val="1"/>
          <w:i w:val="1"/>
          <w:iCs w:val="1"/>
          <w:color w:val="BF2115"/>
        </w:rPr>
      </w:pPr>
    </w:p>
    <w:p>
      <w:pPr>
        <w:ind w:left="355" w:hanging="355"/>
        <w:spacing w:after="0"/>
        <w:tabs>
          <w:tab w:leader="none" w:pos="355" w:val="left"/>
        </w:tabs>
        <w:numPr>
          <w:ilvl w:val="0"/>
          <w:numId w:val="56"/>
        </w:numPr>
        <w:rPr>
          <w:rFonts w:ascii="Arial" w:cs="Arial" w:eastAsia="Arial" w:hAnsi="Arial"/>
          <w:sz w:val="18"/>
          <w:szCs w:val="18"/>
          <w:b w:val="1"/>
          <w:bCs w:val="1"/>
          <w:i w:val="1"/>
          <w:iCs w:val="1"/>
          <w:color w:val="BF2115"/>
        </w:rPr>
      </w:pPr>
      <w:r>
        <w:rPr>
          <w:rFonts w:ascii="Arial" w:cs="Arial" w:eastAsia="Arial" w:hAnsi="Arial"/>
          <w:sz w:val="16"/>
          <w:szCs w:val="16"/>
          <w:color w:val="auto"/>
        </w:rPr>
        <w:t>No individual employment agreements</w:t>
      </w:r>
    </w:p>
    <w:p>
      <w:pPr>
        <w:spacing w:after="0" w:line="63" w:lineRule="exact"/>
        <w:rPr>
          <w:rFonts w:ascii="Arial" w:cs="Arial" w:eastAsia="Arial" w:hAnsi="Arial"/>
          <w:sz w:val="18"/>
          <w:szCs w:val="18"/>
          <w:b w:val="1"/>
          <w:bCs w:val="1"/>
          <w:i w:val="1"/>
          <w:iCs w:val="1"/>
          <w:color w:val="BF2115"/>
        </w:rPr>
      </w:pPr>
    </w:p>
    <w:p>
      <w:pPr>
        <w:ind w:left="355"/>
        <w:spacing w:after="0"/>
        <w:rPr>
          <w:rFonts w:ascii="Arial" w:cs="Arial" w:eastAsia="Arial" w:hAnsi="Arial"/>
          <w:sz w:val="18"/>
          <w:szCs w:val="18"/>
          <w:b w:val="1"/>
          <w:bCs w:val="1"/>
          <w:i w:val="1"/>
          <w:iCs w:val="1"/>
          <w:color w:val="BF2115"/>
        </w:rPr>
      </w:pPr>
      <w:r>
        <w:rPr>
          <w:rFonts w:ascii="Arial" w:cs="Arial" w:eastAsia="Arial" w:hAnsi="Arial"/>
          <w:sz w:val="16"/>
          <w:szCs w:val="16"/>
          <w:color w:val="auto"/>
        </w:rPr>
        <w:t>No short sales or derivative transactions in TTC stock, including</w:t>
      </w:r>
    </w:p>
    <w:p>
      <w:pPr>
        <w:spacing w:after="0" w:line="7" w:lineRule="exact"/>
        <w:rPr>
          <w:rFonts w:ascii="Arial" w:cs="Arial" w:eastAsia="Arial" w:hAnsi="Arial"/>
          <w:sz w:val="18"/>
          <w:szCs w:val="18"/>
          <w:b w:val="1"/>
          <w:bCs w:val="1"/>
          <w:i w:val="1"/>
          <w:iCs w:val="1"/>
          <w:color w:val="BF2115"/>
        </w:rPr>
      </w:pPr>
    </w:p>
    <w:p>
      <w:pPr>
        <w:ind w:left="355" w:hanging="355"/>
        <w:spacing w:after="0" w:line="180" w:lineRule="auto"/>
        <w:tabs>
          <w:tab w:leader="none" w:pos="355" w:val="left"/>
        </w:tabs>
        <w:numPr>
          <w:ilvl w:val="0"/>
          <w:numId w:val="56"/>
        </w:numPr>
        <w:rPr>
          <w:rFonts w:ascii="Arial" w:cs="Arial" w:eastAsia="Arial" w:hAnsi="Arial"/>
          <w:sz w:val="23"/>
          <w:szCs w:val="23"/>
          <w:b w:val="1"/>
          <w:bCs w:val="1"/>
          <w:i w:val="1"/>
          <w:iCs w:val="1"/>
          <w:color w:val="BF2115"/>
          <w:vertAlign w:val="superscript"/>
        </w:rPr>
      </w:pPr>
      <w:r>
        <w:rPr>
          <w:rFonts w:ascii="Arial" w:cs="Arial" w:eastAsia="Arial" w:hAnsi="Arial"/>
          <w:sz w:val="12"/>
          <w:szCs w:val="12"/>
          <w:color w:val="auto"/>
        </w:rPr>
        <w:t>hedges, or pledging</w:t>
      </w:r>
    </w:p>
    <w:p>
      <w:pPr>
        <w:spacing w:after="0" w:line="125" w:lineRule="exact"/>
        <w:rPr>
          <w:rFonts w:ascii="Arial" w:cs="Arial" w:eastAsia="Arial" w:hAnsi="Arial"/>
          <w:sz w:val="23"/>
          <w:szCs w:val="23"/>
          <w:b w:val="1"/>
          <w:bCs w:val="1"/>
          <w:i w:val="1"/>
          <w:iCs w:val="1"/>
          <w:color w:val="BF2115"/>
          <w:vertAlign w:val="superscript"/>
        </w:rPr>
      </w:pPr>
    </w:p>
    <w:p>
      <w:pPr>
        <w:ind w:left="355" w:hanging="355"/>
        <w:spacing w:after="0" w:line="230" w:lineRule="auto"/>
        <w:tabs>
          <w:tab w:leader="none" w:pos="355" w:val="left"/>
        </w:tabs>
        <w:numPr>
          <w:ilvl w:val="0"/>
          <w:numId w:val="56"/>
        </w:numPr>
        <w:rPr>
          <w:rFonts w:ascii="Arial" w:cs="Arial" w:eastAsia="Arial" w:hAnsi="Arial"/>
          <w:sz w:val="18"/>
          <w:szCs w:val="18"/>
          <w:b w:val="1"/>
          <w:bCs w:val="1"/>
          <w:i w:val="1"/>
          <w:iCs w:val="1"/>
          <w:color w:val="BF2115"/>
        </w:rPr>
      </w:pPr>
      <w:r>
        <w:rPr>
          <w:rFonts w:ascii="Arial" w:cs="Arial" w:eastAsia="Arial" w:hAnsi="Arial"/>
          <w:sz w:val="16"/>
          <w:szCs w:val="16"/>
          <w:color w:val="auto"/>
        </w:rPr>
        <w:t>No current payment of dividends on unvested awards</w:t>
      </w:r>
    </w:p>
    <w:p>
      <w:pPr>
        <w:spacing w:after="0" w:line="136" w:lineRule="exact"/>
        <w:rPr>
          <w:rFonts w:ascii="Arial" w:cs="Arial" w:eastAsia="Arial" w:hAnsi="Arial"/>
          <w:sz w:val="18"/>
          <w:szCs w:val="18"/>
          <w:b w:val="1"/>
          <w:bCs w:val="1"/>
          <w:i w:val="1"/>
          <w:iCs w:val="1"/>
          <w:color w:val="BF2115"/>
        </w:rPr>
      </w:pPr>
    </w:p>
    <w:p>
      <w:pPr>
        <w:ind w:left="355" w:hanging="355"/>
        <w:spacing w:after="0"/>
        <w:tabs>
          <w:tab w:leader="none" w:pos="355" w:val="left"/>
        </w:tabs>
        <w:numPr>
          <w:ilvl w:val="0"/>
          <w:numId w:val="56"/>
        </w:numPr>
        <w:rPr>
          <w:rFonts w:ascii="Arial" w:cs="Arial" w:eastAsia="Arial" w:hAnsi="Arial"/>
          <w:sz w:val="18"/>
          <w:szCs w:val="18"/>
          <w:b w:val="1"/>
          <w:bCs w:val="1"/>
          <w:i w:val="1"/>
          <w:iCs w:val="1"/>
          <w:color w:val="BF2115"/>
        </w:rPr>
      </w:pPr>
      <w:r>
        <w:rPr>
          <w:rFonts w:ascii="Arial" w:cs="Arial" w:eastAsia="Arial" w:hAnsi="Arial"/>
          <w:sz w:val="16"/>
          <w:szCs w:val="16"/>
          <w:color w:val="auto"/>
        </w:rPr>
        <w:t>No repricing of stock options</w:t>
      </w:r>
    </w:p>
    <w:p>
      <w:pPr>
        <w:spacing w:after="0" w:line="76" w:lineRule="exact"/>
        <w:rPr>
          <w:rFonts w:ascii="Arial" w:cs="Arial" w:eastAsia="Arial" w:hAnsi="Arial"/>
          <w:sz w:val="18"/>
          <w:szCs w:val="18"/>
          <w:b w:val="1"/>
          <w:bCs w:val="1"/>
          <w:i w:val="1"/>
          <w:iCs w:val="1"/>
          <w:color w:val="BF2115"/>
        </w:rPr>
      </w:pPr>
    </w:p>
    <w:p>
      <w:pPr>
        <w:ind w:left="355" w:hanging="355"/>
        <w:spacing w:after="0"/>
        <w:tabs>
          <w:tab w:leader="none" w:pos="355" w:val="left"/>
        </w:tabs>
        <w:numPr>
          <w:ilvl w:val="0"/>
          <w:numId w:val="56"/>
        </w:numPr>
        <w:rPr>
          <w:rFonts w:ascii="Arial" w:cs="Arial" w:eastAsia="Arial" w:hAnsi="Arial"/>
          <w:sz w:val="18"/>
          <w:szCs w:val="18"/>
          <w:b w:val="1"/>
          <w:bCs w:val="1"/>
          <w:i w:val="1"/>
          <w:iCs w:val="1"/>
          <w:color w:val="BF2115"/>
        </w:rPr>
      </w:pPr>
      <w:r>
        <w:rPr>
          <w:rFonts w:ascii="Arial" w:cs="Arial" w:eastAsia="Arial" w:hAnsi="Arial"/>
          <w:sz w:val="16"/>
          <w:szCs w:val="16"/>
          <w:color w:val="auto"/>
        </w:rPr>
        <w:t>No excise or other tax gross-ups</w:t>
      </w:r>
    </w:p>
    <w:p>
      <w:pPr>
        <w:spacing w:after="0" w:line="200" w:lineRule="exact"/>
        <w:rPr>
          <w:sz w:val="20"/>
          <w:szCs w:val="20"/>
          <w:color w:val="auto"/>
        </w:rPr>
      </w:pPr>
    </w:p>
    <w:p>
      <w:pPr>
        <w:sectPr>
          <w:pgSz w:w="11900" w:h="16838" w:orient="portrait"/>
          <w:cols w:equalWidth="0" w:num="2">
            <w:col w:w="5413" w:space="245"/>
            <w:col w:w="5455"/>
          </w:cols>
          <w:pgMar w:left="267" w:top="1169" w:right="519" w:bottom="1440" w:gutter="0" w:footer="0" w:header="0"/>
          <w:type w:val="continuous"/>
        </w:sectPr>
      </w:pPr>
    </w:p>
    <w:p>
      <w:pPr>
        <w:spacing w:after="0" w:line="83" w:lineRule="exact"/>
        <w:rPr>
          <w:sz w:val="20"/>
          <w:szCs w:val="20"/>
          <w:color w:val="auto"/>
        </w:rPr>
      </w:pPr>
    </w:p>
    <w:p>
      <w:pPr>
        <w:ind w:left="53"/>
        <w:spacing w:after="0"/>
        <w:rPr>
          <w:sz w:val="20"/>
          <w:szCs w:val="20"/>
          <w:color w:val="auto"/>
        </w:rPr>
      </w:pPr>
      <w:r>
        <w:rPr>
          <w:rFonts w:ascii="Arial" w:cs="Arial" w:eastAsia="Arial" w:hAnsi="Arial"/>
          <w:sz w:val="20"/>
          <w:szCs w:val="20"/>
          <w:b w:val="1"/>
          <w:bCs w:val="1"/>
          <w:color w:val="C00000"/>
        </w:rPr>
        <w:t>Pay for Performance and Pay Mix</w:t>
      </w:r>
    </w:p>
    <w:p>
      <w:pPr>
        <w:spacing w:after="0" w:line="99" w:lineRule="exact"/>
        <w:rPr>
          <w:sz w:val="20"/>
          <w:szCs w:val="20"/>
          <w:color w:val="auto"/>
        </w:rPr>
      </w:pPr>
    </w:p>
    <w:p>
      <w:pPr>
        <w:ind w:left="393"/>
        <w:spacing w:after="0"/>
        <w:rPr>
          <w:sz w:val="20"/>
          <w:szCs w:val="20"/>
          <w:color w:val="auto"/>
        </w:rPr>
      </w:pPr>
      <w:r>
        <w:rPr>
          <w:rFonts w:ascii="Arial" w:cs="Arial" w:eastAsia="Arial" w:hAnsi="Arial"/>
          <w:sz w:val="18"/>
          <w:szCs w:val="18"/>
          <w:color w:val="auto"/>
        </w:rPr>
        <w:t>We seek to motivate executive officers to achieve improved financial performance of our Company through incentive plans that reward</w:t>
      </w:r>
    </w:p>
    <w:p>
      <w:pPr>
        <w:spacing w:after="0" w:line="14" w:lineRule="exact"/>
        <w:rPr>
          <w:sz w:val="20"/>
          <w:szCs w:val="20"/>
          <w:color w:val="auto"/>
        </w:rPr>
      </w:pPr>
    </w:p>
    <w:p>
      <w:pPr>
        <w:ind w:left="53" w:right="160"/>
        <w:spacing w:after="0"/>
        <w:rPr>
          <w:sz w:val="20"/>
          <w:szCs w:val="20"/>
          <w:color w:val="auto"/>
        </w:rPr>
      </w:pPr>
      <w:r>
        <w:rPr>
          <w:rFonts w:ascii="Arial" w:cs="Arial" w:eastAsia="Arial" w:hAnsi="Arial"/>
          <w:sz w:val="17"/>
          <w:szCs w:val="17"/>
          <w:color w:val="auto"/>
        </w:rPr>
        <w:t>better performance with increased incentive payouts and hold executive officers accountable for financial performance that falls below targeted levels by paying reduced or no incentive payouts. Accordingly, a significant portion of the target total direct compensation for our</w:t>
      </w:r>
    </w:p>
    <w:p>
      <w:pPr>
        <w:spacing w:after="0" w:line="1" w:lineRule="exact"/>
        <w:rPr>
          <w:sz w:val="20"/>
          <w:szCs w:val="20"/>
          <w:color w:val="auto"/>
        </w:rPr>
      </w:pPr>
    </w:p>
    <w:p>
      <w:pPr>
        <w:ind w:left="53"/>
        <w:spacing w:after="0" w:line="250" w:lineRule="auto"/>
        <w:rPr>
          <w:sz w:val="20"/>
          <w:szCs w:val="20"/>
          <w:color w:val="auto"/>
        </w:rPr>
      </w:pPr>
      <w:r>
        <w:rPr>
          <w:rFonts w:ascii="Arial" w:cs="Arial" w:eastAsia="Arial" w:hAnsi="Arial"/>
          <w:sz w:val="18"/>
          <w:szCs w:val="18"/>
          <w:color w:val="auto"/>
        </w:rPr>
        <w:t>Chairman and CEO and other executive officers is comprised of short- and long-term variable performance-based, or at risk, compensation to directly link their pay to performance. Generally, higher level executive positions have a higher level of pay that is performance-based.</w:t>
      </w:r>
    </w:p>
    <w:p>
      <w:pPr>
        <w:spacing w:after="0" w:line="50" w:lineRule="exact"/>
        <w:rPr>
          <w:sz w:val="20"/>
          <w:szCs w:val="20"/>
          <w:color w:val="auto"/>
        </w:rPr>
      </w:pPr>
    </w:p>
    <w:p>
      <w:pPr>
        <w:ind w:left="53" w:right="120" w:firstLine="324"/>
        <w:spacing w:after="0" w:line="271" w:lineRule="auto"/>
        <w:rPr>
          <w:sz w:val="20"/>
          <w:szCs w:val="20"/>
          <w:color w:val="auto"/>
        </w:rPr>
      </w:pPr>
      <w:r>
        <w:rPr>
          <w:rFonts w:ascii="Arial" w:cs="Arial" w:eastAsia="Arial" w:hAnsi="Arial"/>
          <w:sz w:val="18"/>
          <w:szCs w:val="18"/>
          <w:color w:val="auto"/>
        </w:rPr>
        <w:t>The breakdown of variable, at-risk, pay (broken out between target annual cash incentives and target long-term incentives) compared fixed pay (i.e., annual base salary) for our Chairman and CEO is shown below:</w:t>
      </w:r>
    </w:p>
    <w:p>
      <w:pPr>
        <w:spacing w:after="0" w:line="98" w:lineRule="exact"/>
        <w:rPr>
          <w:sz w:val="20"/>
          <w:szCs w:val="20"/>
          <w:color w:val="auto"/>
        </w:rPr>
      </w:pPr>
    </w:p>
    <w:p>
      <w:pPr>
        <w:jc w:val="center"/>
        <w:ind w:right="5887"/>
        <w:spacing w:after="0"/>
        <w:rPr>
          <w:sz w:val="20"/>
          <w:szCs w:val="20"/>
          <w:color w:val="auto"/>
        </w:rPr>
      </w:pPr>
      <w:r>
        <w:rPr>
          <w:rFonts w:ascii="Arial" w:cs="Arial" w:eastAsia="Arial" w:hAnsi="Arial"/>
          <w:sz w:val="16"/>
          <w:szCs w:val="16"/>
          <w:b w:val="1"/>
          <w:bCs w:val="1"/>
          <w:color w:val="FFFFFF"/>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-111760</wp:posOffset>
            </wp:positionV>
            <wp:extent cx="2837180" cy="2400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37180" cy="240030"/>
                    </a:xfrm>
                    <a:prstGeom prst="rect">
                      <a:avLst/>
                    </a:prstGeom>
                    <a:noFill/>
                  </pic:spPr>
                </pic:pic>
              </a:graphicData>
            </a:graphic>
          </wp:anchor>
        </w:drawing>
      </w:r>
    </w:p>
    <w:p>
      <w:pPr>
        <w:jc w:val="center"/>
        <w:ind w:right="5887"/>
        <w:spacing w:after="0"/>
        <w:rPr>
          <w:sz w:val="20"/>
          <w:szCs w:val="20"/>
          <w:color w:val="auto"/>
        </w:rPr>
      </w:pPr>
      <w:r>
        <w:rPr>
          <w:rFonts w:ascii="Arial" w:cs="Arial" w:eastAsia="Arial" w:hAnsi="Arial"/>
          <w:sz w:val="16"/>
          <w:szCs w:val="16"/>
          <w:b w:val="1"/>
          <w:bCs w:val="1"/>
          <w:color w:val="FFFFFF"/>
        </w:rPr>
        <w:t>Target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45085</wp:posOffset>
            </wp:positionV>
            <wp:extent cx="2297430" cy="1568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9743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52"/>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74930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3"/>
          </w:cols>
          <w:pgMar w:left="267" w:top="1169" w:right="51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b w:val="1"/>
          <w:bCs w:val="1"/>
          <w:color w:val="C00000"/>
        </w:rPr>
        <w:t>Elements of Our Executive Compensation Program</w:t>
      </w:r>
    </w:p>
    <w:p>
      <w:pPr>
        <w:spacing w:after="0" w:line="112" w:lineRule="exact"/>
        <w:rPr>
          <w:sz w:val="20"/>
          <w:szCs w:val="20"/>
          <w:color w:val="auto"/>
        </w:rPr>
      </w:pPr>
    </w:p>
    <w:p>
      <w:pPr>
        <w:ind w:right="60" w:firstLine="324"/>
        <w:spacing w:after="0" w:line="271" w:lineRule="auto"/>
        <w:rPr>
          <w:sz w:val="20"/>
          <w:szCs w:val="20"/>
          <w:color w:val="auto"/>
        </w:rPr>
      </w:pPr>
      <w:r>
        <w:rPr>
          <w:rFonts w:ascii="Arial" w:cs="Arial" w:eastAsia="Arial" w:hAnsi="Arial"/>
          <w:sz w:val="18"/>
          <w:szCs w:val="18"/>
          <w:color w:val="auto"/>
        </w:rPr>
        <w:t>During fiscal 2023, our executive compensation program consisted of the following key elements, which are described in the table below and pages that follow, along with the key characteristics of and purpose for, each element and key actions taken during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66675</wp:posOffset>
            </wp:positionV>
            <wp:extent cx="7106285"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ectPr>
          <w:pgSz w:w="11900" w:h="16838" w:orient="portrait"/>
          <w:cols w:equalWidth="0" w:num="1">
            <w:col w:w="11220"/>
          </w:cols>
          <w:pgMar w:left="320" w:top="1115" w:right="359" w:bottom="1440" w:gutter="0" w:footer="0" w:header="0"/>
        </w:sectPr>
      </w:pPr>
    </w:p>
    <w:p>
      <w:pPr>
        <w:spacing w:after="0" w:line="123" w:lineRule="exact"/>
        <w:rPr>
          <w:sz w:val="20"/>
          <w:szCs w:val="20"/>
          <w:color w:val="auto"/>
        </w:rPr>
      </w:pPr>
    </w:p>
    <w:p>
      <w:pPr>
        <w:jc w:val="center"/>
        <w:ind w:left="380"/>
        <w:spacing w:after="0"/>
        <w:rPr>
          <w:sz w:val="20"/>
          <w:szCs w:val="20"/>
          <w:color w:val="auto"/>
        </w:rPr>
      </w:pPr>
      <w:r>
        <w:rPr>
          <w:rFonts w:ascii="Arial" w:cs="Arial" w:eastAsia="Arial" w:hAnsi="Arial"/>
          <w:sz w:val="14"/>
          <w:szCs w:val="14"/>
          <w:b w:val="1"/>
          <w:bCs w:val="1"/>
          <w:color w:val="FFFFFF"/>
        </w:rPr>
        <w:t>Element</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Base Salary</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FFFFFF"/>
        </w:rPr>
        <w:t>Key Characteristics</w:t>
      </w:r>
    </w:p>
    <w:p>
      <w:pPr>
        <w:spacing w:after="0" w:line="6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 fixed amount, paid in cash and reviewed annually and,</w:t>
      </w:r>
    </w:p>
    <w:p>
      <w:pPr>
        <w:spacing w:after="0"/>
        <w:rPr>
          <w:sz w:val="20"/>
          <w:szCs w:val="20"/>
          <w:color w:val="auto"/>
        </w:rPr>
      </w:pPr>
      <w:r>
        <w:rPr>
          <w:rFonts w:ascii="Arial" w:cs="Arial" w:eastAsia="Arial" w:hAnsi="Arial"/>
          <w:sz w:val="16"/>
          <w:szCs w:val="16"/>
          <w:color w:val="auto"/>
        </w:rPr>
        <w:t>if appropriate, adjusted.</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1300"/>
        <w:spacing w:after="0"/>
        <w:tabs>
          <w:tab w:leader="none" w:pos="4260" w:val="left"/>
        </w:tabs>
        <w:rPr>
          <w:sz w:val="20"/>
          <w:szCs w:val="20"/>
          <w:color w:val="auto"/>
        </w:rPr>
      </w:pPr>
      <w:r>
        <w:rPr>
          <w:rFonts w:ascii="Arial" w:cs="Arial" w:eastAsia="Arial" w:hAnsi="Arial"/>
          <w:sz w:val="14"/>
          <w:szCs w:val="14"/>
          <w:b w:val="1"/>
          <w:bCs w:val="1"/>
          <w:color w:val="FFFFFF"/>
        </w:rPr>
        <w:t>Purpose</w:t>
      </w:r>
      <w:r>
        <w:rPr>
          <w:sz w:val="20"/>
          <w:szCs w:val="20"/>
          <w:color w:val="auto"/>
        </w:rPr>
        <w:tab/>
      </w:r>
      <w:r>
        <w:rPr>
          <w:rFonts w:ascii="Arial" w:cs="Arial" w:eastAsia="Arial" w:hAnsi="Arial"/>
          <w:sz w:val="14"/>
          <w:szCs w:val="14"/>
          <w:b w:val="1"/>
          <w:bCs w:val="1"/>
          <w:color w:val="FFFFFF"/>
        </w:rPr>
        <w:t>Key Fiscal 2023 Actions</w:t>
      </w:r>
    </w:p>
    <w:p>
      <w:pPr>
        <w:spacing w:after="0" w:line="37" w:lineRule="exact"/>
        <w:rPr>
          <w:sz w:val="20"/>
          <w:szCs w:val="20"/>
          <w:color w:val="auto"/>
        </w:rPr>
      </w:pPr>
    </w:p>
    <w:p>
      <w:pPr>
        <w:spacing w:after="0"/>
        <w:tabs>
          <w:tab w:leader="none" w:pos="3180" w:val="left"/>
        </w:tabs>
        <w:rPr>
          <w:sz w:val="20"/>
          <w:szCs w:val="20"/>
          <w:color w:val="auto"/>
        </w:rPr>
      </w:pPr>
      <w:r>
        <w:rPr>
          <w:rFonts w:ascii="Arial" w:cs="Arial" w:eastAsia="Arial" w:hAnsi="Arial"/>
          <w:sz w:val="16"/>
          <w:szCs w:val="16"/>
          <w:color w:val="auto"/>
        </w:rPr>
        <w:t>Provide a source of fixed income that is</w:t>
      </w:r>
      <w:r>
        <w:rPr>
          <w:sz w:val="20"/>
          <w:szCs w:val="20"/>
          <w:color w:val="auto"/>
        </w:rPr>
        <w:tab/>
      </w:r>
      <w:r>
        <w:rPr>
          <w:rFonts w:ascii="Arial" w:cs="Arial" w:eastAsia="Arial" w:hAnsi="Arial"/>
          <w:sz w:val="16"/>
          <w:szCs w:val="16"/>
          <w:color w:val="auto"/>
        </w:rPr>
        <w:t>With the exception of Ms. Drake who was promoted</w:t>
      </w:r>
    </w:p>
    <w:p>
      <w:pPr>
        <w:spacing w:after="0" w:line="8" w:lineRule="exact"/>
        <w:rPr>
          <w:sz w:val="20"/>
          <w:szCs w:val="20"/>
          <w:color w:val="auto"/>
        </w:rPr>
      </w:pPr>
    </w:p>
    <w:p>
      <w:pPr>
        <w:spacing w:after="0"/>
        <w:tabs>
          <w:tab w:leader="none" w:pos="3180" w:val="left"/>
        </w:tabs>
        <w:rPr>
          <w:sz w:val="20"/>
          <w:szCs w:val="20"/>
          <w:color w:val="auto"/>
        </w:rPr>
      </w:pPr>
      <w:r>
        <w:rPr>
          <w:rFonts w:ascii="Arial" w:cs="Arial" w:eastAsia="Arial" w:hAnsi="Arial"/>
          <w:sz w:val="16"/>
          <w:szCs w:val="16"/>
          <w:color w:val="auto"/>
        </w:rPr>
        <w:t>market competitive and reflects scope and</w:t>
        <w:tab/>
        <w:t>on March 10, 2023, Ms. Totsky who joined our</w:t>
      </w:r>
    </w:p>
    <w:p>
      <w:pPr>
        <w:spacing w:after="0" w:line="5" w:lineRule="exact"/>
        <w:rPr>
          <w:sz w:val="20"/>
          <w:szCs w:val="20"/>
          <w:color w:val="auto"/>
        </w:rPr>
      </w:pPr>
    </w:p>
    <w:p>
      <w:pPr>
        <w:spacing w:after="0"/>
        <w:tabs>
          <w:tab w:leader="none" w:pos="3180" w:val="left"/>
        </w:tabs>
        <w:rPr>
          <w:sz w:val="20"/>
          <w:szCs w:val="20"/>
          <w:color w:val="auto"/>
        </w:rPr>
      </w:pPr>
      <w:r>
        <w:rPr>
          <w:rFonts w:ascii="Arial" w:cs="Arial" w:eastAsia="Arial" w:hAnsi="Arial"/>
          <w:sz w:val="16"/>
          <w:szCs w:val="16"/>
          <w:color w:val="auto"/>
        </w:rPr>
        <w:t>responsibility of the position held.</w:t>
      </w:r>
      <w:r>
        <w:rPr>
          <w:sz w:val="20"/>
          <w:szCs w:val="20"/>
          <w:color w:val="auto"/>
        </w:rPr>
        <w:tab/>
      </w:r>
      <w:r>
        <w:rPr>
          <w:rFonts w:ascii="Arial" w:cs="Arial" w:eastAsia="Arial" w:hAnsi="Arial"/>
          <w:sz w:val="16"/>
          <w:szCs w:val="16"/>
          <w:color w:val="auto"/>
        </w:rPr>
        <w:t>Company on June 19, 2023 and Mr. Rodier who</w:t>
      </w:r>
    </w:p>
    <w:p>
      <w:pPr>
        <w:ind w:left="3200"/>
        <w:spacing w:after="0" w:line="235" w:lineRule="auto"/>
        <w:rPr>
          <w:sz w:val="20"/>
          <w:szCs w:val="20"/>
          <w:color w:val="auto"/>
        </w:rPr>
      </w:pPr>
      <w:r>
        <w:rPr>
          <w:rFonts w:ascii="Arial" w:cs="Arial" w:eastAsia="Arial" w:hAnsi="Arial"/>
          <w:sz w:val="16"/>
          <w:szCs w:val="16"/>
          <w:color w:val="auto"/>
        </w:rPr>
        <w:t>announced his retirement in January 2023, our</w:t>
      </w:r>
    </w:p>
    <w:p>
      <w:pPr>
        <w:ind w:left="3200"/>
        <w:spacing w:after="0"/>
        <w:rPr>
          <w:sz w:val="20"/>
          <w:szCs w:val="20"/>
          <w:color w:val="auto"/>
        </w:rPr>
      </w:pPr>
      <w:r>
        <w:rPr>
          <w:rFonts w:ascii="Arial" w:cs="Arial" w:eastAsia="Arial" w:hAnsi="Arial"/>
          <w:sz w:val="16"/>
          <w:szCs w:val="16"/>
          <w:color w:val="auto"/>
        </w:rPr>
        <w:t>NEOs received base salary increases on March 1,</w:t>
      </w:r>
    </w:p>
    <w:p>
      <w:pPr>
        <w:spacing w:after="0" w:line="5"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2023.</w:t>
      </w:r>
    </w:p>
    <w:p>
      <w:pPr>
        <w:spacing w:after="0" w:line="43"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Our Chairman and CEO received a base salary</w:t>
      </w:r>
    </w:p>
    <w:p>
      <w:pPr>
        <w:spacing w:after="0" w:line="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increase of 4.1% and our other NEOs received a</w:t>
      </w:r>
    </w:p>
    <w:p>
      <w:pPr>
        <w:spacing w:after="0" w:line="5"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base salary increase of 2.4% to 4.1% over their</w:t>
      </w:r>
    </w:p>
    <w:p>
      <w:pPr>
        <w:spacing w:after="0" w:line="5"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respective fiscal 2022 base salaries.</w:t>
      </w:r>
    </w:p>
    <w:p>
      <w:pPr>
        <w:spacing w:after="0" w:line="30"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Ms. Drake received a 36% base salary increase on</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March 10, 2023 in connection with her promotion to</w:t>
      </w:r>
    </w:p>
    <w:p>
      <w:pPr>
        <w:spacing w:after="0" w:line="5"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Vice President, Chief Financial Officer.</w:t>
      </w:r>
    </w:p>
    <w:p>
      <w:pPr>
        <w:spacing w:after="0" w:line="30"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Mr. Janey received a 9.7% base salary increase on</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November 1, 2022 in connection with his promotion</w:t>
      </w:r>
    </w:p>
    <w:p>
      <w:pPr>
        <w:ind w:left="3200"/>
        <w:spacing w:after="0" w:line="235" w:lineRule="auto"/>
        <w:rPr>
          <w:sz w:val="20"/>
          <w:szCs w:val="20"/>
          <w:color w:val="auto"/>
        </w:rPr>
      </w:pPr>
      <w:r>
        <w:rPr>
          <w:rFonts w:ascii="Arial" w:cs="Arial" w:eastAsia="Arial" w:hAnsi="Arial"/>
          <w:sz w:val="16"/>
          <w:szCs w:val="16"/>
          <w:color w:val="auto"/>
        </w:rPr>
        <w:t>to Group Vice President, Landscapes and</w:t>
      </w:r>
    </w:p>
    <w:p>
      <w:pPr>
        <w:ind w:left="3200"/>
        <w:spacing w:after="0"/>
        <w:rPr>
          <w:sz w:val="20"/>
          <w:szCs w:val="20"/>
          <w:color w:val="auto"/>
        </w:rPr>
      </w:pPr>
      <w:r>
        <w:rPr>
          <w:rFonts w:ascii="Arial" w:cs="Arial" w:eastAsia="Arial" w:hAnsi="Arial"/>
          <w:sz w:val="16"/>
          <w:szCs w:val="16"/>
          <w:color w:val="auto"/>
        </w:rPr>
        <w:t>Contractor.</w:t>
      </w:r>
    </w:p>
    <w:p>
      <w:pPr>
        <w:spacing w:after="0" w:line="44" w:lineRule="exact"/>
        <w:rPr>
          <w:sz w:val="20"/>
          <w:szCs w:val="20"/>
          <w:color w:val="auto"/>
        </w:rPr>
      </w:pPr>
    </w:p>
    <w:p>
      <w:pPr>
        <w:sectPr>
          <w:pgSz w:w="11900" w:h="16838" w:orient="portrait"/>
          <w:cols w:equalWidth="0" w:num="3">
            <w:col w:w="940" w:space="380"/>
            <w:col w:w="2360" w:space="520"/>
            <w:col w:w="7020"/>
          </w:cols>
          <w:pgMar w:left="320" w:top="1115" w:right="3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120" w:type="dxa"/>
            <w:vAlign w:val="bottom"/>
            <w:shd w:val="clear" w:color="auto" w:fill="DBDBDB"/>
          </w:tcPr>
          <w:p>
            <w:pPr>
              <w:spacing w:after="0"/>
              <w:rPr>
                <w:sz w:val="20"/>
                <w:szCs w:val="20"/>
                <w:color w:val="auto"/>
              </w:rPr>
            </w:pPr>
            <w:r>
              <w:rPr>
                <w:rFonts w:ascii="Arial" w:cs="Arial" w:eastAsia="Arial" w:hAnsi="Arial"/>
                <w:sz w:val="16"/>
                <w:szCs w:val="16"/>
                <w:color w:val="auto"/>
              </w:rPr>
              <w:t>Annual Cash</w:t>
            </w:r>
          </w:p>
        </w:tc>
        <w:tc>
          <w:tcPr>
            <w:tcW w:w="2960" w:type="dxa"/>
            <w:vAlign w:val="bottom"/>
            <w:shd w:val="clear" w:color="auto" w:fill="DBDBDB"/>
          </w:tcPr>
          <w:p>
            <w:pPr>
              <w:ind w:left="160"/>
              <w:spacing w:after="0"/>
              <w:rPr>
                <w:sz w:val="20"/>
                <w:szCs w:val="20"/>
                <w:color w:val="auto"/>
              </w:rPr>
            </w:pPr>
            <w:r>
              <w:rPr>
                <w:rFonts w:ascii="Arial" w:cs="Arial" w:eastAsia="Arial" w:hAnsi="Arial"/>
                <w:sz w:val="16"/>
                <w:szCs w:val="16"/>
                <w:color w:val="auto"/>
              </w:rPr>
              <w:t>A variable, short-term element of</w:t>
            </w:r>
          </w:p>
        </w:tc>
        <w:tc>
          <w:tcPr>
            <w:tcW w:w="3200" w:type="dxa"/>
            <w:vAlign w:val="bottom"/>
            <w:shd w:val="clear" w:color="auto" w:fill="DBDBDB"/>
          </w:tcPr>
          <w:p>
            <w:pPr>
              <w:ind w:left="80"/>
              <w:spacing w:after="0"/>
              <w:rPr>
                <w:sz w:val="20"/>
                <w:szCs w:val="20"/>
                <w:color w:val="auto"/>
              </w:rPr>
            </w:pPr>
            <w:r>
              <w:rPr>
                <w:rFonts w:ascii="Arial" w:cs="Arial" w:eastAsia="Arial" w:hAnsi="Arial"/>
                <w:sz w:val="16"/>
                <w:szCs w:val="16"/>
                <w:color w:val="auto"/>
              </w:rPr>
              <w:t>Motivate and reward our executive officers</w:t>
            </w:r>
          </w:p>
        </w:tc>
        <w:tc>
          <w:tcPr>
            <w:tcW w:w="3900" w:type="dxa"/>
            <w:vAlign w:val="bottom"/>
            <w:shd w:val="clear" w:color="auto" w:fill="DBDBDB"/>
          </w:tcPr>
          <w:p>
            <w:pPr>
              <w:ind w:left="80"/>
              <w:spacing w:after="0"/>
              <w:rPr>
                <w:sz w:val="20"/>
                <w:szCs w:val="20"/>
                <w:color w:val="auto"/>
              </w:rPr>
            </w:pPr>
            <w:r>
              <w:rPr>
                <w:rFonts w:ascii="Arial" w:cs="Arial" w:eastAsia="Arial" w:hAnsi="Arial"/>
                <w:sz w:val="16"/>
                <w:szCs w:val="16"/>
                <w:color w:val="auto"/>
              </w:rPr>
              <w:t>At the beginning of fiscal 2023, a target award as a</w:t>
            </w:r>
          </w:p>
        </w:tc>
        <w:tc>
          <w:tcPr>
            <w:tcW w:w="0" w:type="dxa"/>
            <w:vAlign w:val="bottom"/>
          </w:tcPr>
          <w:p>
            <w:pPr>
              <w:spacing w:after="0"/>
              <w:rPr>
                <w:sz w:val="1"/>
                <w:szCs w:val="1"/>
                <w:color w:val="auto"/>
              </w:rPr>
            </w:pPr>
          </w:p>
        </w:tc>
      </w:tr>
      <w:tr>
        <w:trPr>
          <w:trHeight w:val="148"/>
        </w:trPr>
        <w:tc>
          <w:tcPr>
            <w:tcW w:w="1120" w:type="dxa"/>
            <w:vAlign w:val="bottom"/>
            <w:shd w:val="clear" w:color="auto" w:fill="DBDBDB"/>
          </w:tcPr>
          <w:p>
            <w:pPr>
              <w:spacing w:after="0" w:line="148" w:lineRule="exact"/>
              <w:rPr>
                <w:sz w:val="20"/>
                <w:szCs w:val="20"/>
                <w:color w:val="auto"/>
              </w:rPr>
            </w:pPr>
            <w:r>
              <w:rPr>
                <w:rFonts w:ascii="Arial" w:cs="Arial" w:eastAsia="Arial" w:hAnsi="Arial"/>
                <w:sz w:val="16"/>
                <w:szCs w:val="16"/>
                <w:color w:val="auto"/>
              </w:rPr>
              <w:t>Incentive</w:t>
            </w:r>
          </w:p>
        </w:tc>
        <w:tc>
          <w:tcPr>
            <w:tcW w:w="2960" w:type="dxa"/>
            <w:vAlign w:val="bottom"/>
            <w:shd w:val="clear" w:color="auto" w:fill="DBDBDB"/>
          </w:tcPr>
          <w:p>
            <w:pPr>
              <w:ind w:left="160"/>
              <w:spacing w:after="0" w:line="148" w:lineRule="exact"/>
              <w:rPr>
                <w:sz w:val="20"/>
                <w:szCs w:val="20"/>
                <w:color w:val="auto"/>
              </w:rPr>
            </w:pPr>
            <w:r>
              <w:rPr>
                <w:rFonts w:ascii="Arial" w:cs="Arial" w:eastAsia="Arial" w:hAnsi="Arial"/>
                <w:sz w:val="16"/>
                <w:szCs w:val="16"/>
                <w:color w:val="auto"/>
              </w:rPr>
              <w:t>compensation, payable in cash based</w:t>
            </w:r>
          </w:p>
        </w:tc>
        <w:tc>
          <w:tcPr>
            <w:tcW w:w="3200" w:type="dxa"/>
            <w:vAlign w:val="bottom"/>
            <w:shd w:val="clear" w:color="auto" w:fill="DBDBDB"/>
          </w:tcPr>
          <w:p>
            <w:pPr>
              <w:ind w:left="80"/>
              <w:spacing w:after="0" w:line="148" w:lineRule="exact"/>
              <w:rPr>
                <w:sz w:val="20"/>
                <w:szCs w:val="20"/>
                <w:color w:val="auto"/>
              </w:rPr>
            </w:pPr>
            <w:r>
              <w:rPr>
                <w:rFonts w:ascii="Arial" w:cs="Arial" w:eastAsia="Arial" w:hAnsi="Arial"/>
                <w:sz w:val="16"/>
                <w:szCs w:val="16"/>
                <w:color w:val="auto"/>
              </w:rPr>
              <w:t>for achievement of annual financial goals</w:t>
            </w:r>
          </w:p>
        </w:tc>
        <w:tc>
          <w:tcPr>
            <w:tcW w:w="3900" w:type="dxa"/>
            <w:vAlign w:val="bottom"/>
            <w:vMerge w:val="restart"/>
            <w:shd w:val="clear" w:color="auto" w:fill="DBDBDB"/>
          </w:tcPr>
          <w:p>
            <w:pPr>
              <w:ind w:left="80"/>
              <w:spacing w:after="0"/>
              <w:rPr>
                <w:sz w:val="20"/>
                <w:szCs w:val="20"/>
                <w:color w:val="auto"/>
              </w:rPr>
            </w:pPr>
            <w:r>
              <w:rPr>
                <w:rFonts w:ascii="Arial" w:cs="Arial" w:eastAsia="Arial" w:hAnsi="Arial"/>
                <w:sz w:val="16"/>
                <w:szCs w:val="16"/>
                <w:color w:val="auto"/>
              </w:rPr>
              <w:t>percent of base salary was established at 130% for</w:t>
            </w:r>
          </w:p>
        </w:tc>
        <w:tc>
          <w:tcPr>
            <w:tcW w:w="0" w:type="dxa"/>
            <w:vAlign w:val="bottom"/>
          </w:tcPr>
          <w:p>
            <w:pPr>
              <w:spacing w:after="0"/>
              <w:rPr>
                <w:sz w:val="1"/>
                <w:szCs w:val="1"/>
                <w:color w:val="auto"/>
              </w:rPr>
            </w:pPr>
          </w:p>
        </w:tc>
      </w:tr>
      <w:tr>
        <w:trPr>
          <w:trHeight w:val="40"/>
        </w:trPr>
        <w:tc>
          <w:tcPr>
            <w:tcW w:w="1120" w:type="dxa"/>
            <w:vAlign w:val="bottom"/>
            <w:shd w:val="clear" w:color="auto" w:fill="DBDBDB"/>
          </w:tcPr>
          <w:p>
            <w:pPr>
              <w:spacing w:after="0"/>
              <w:rPr>
                <w:sz w:val="3"/>
                <w:szCs w:val="3"/>
                <w:color w:val="auto"/>
              </w:rPr>
            </w:pPr>
          </w:p>
        </w:tc>
        <w:tc>
          <w:tcPr>
            <w:tcW w:w="2960" w:type="dxa"/>
            <w:vAlign w:val="bottom"/>
            <w:vMerge w:val="restart"/>
            <w:shd w:val="clear" w:color="auto" w:fill="DBDBDB"/>
          </w:tcPr>
          <w:p>
            <w:pPr>
              <w:ind w:left="160"/>
              <w:spacing w:after="0"/>
              <w:rPr>
                <w:sz w:val="20"/>
                <w:szCs w:val="20"/>
                <w:color w:val="auto"/>
              </w:rPr>
            </w:pPr>
            <w:r>
              <w:rPr>
                <w:rFonts w:ascii="Arial" w:cs="Arial" w:eastAsia="Arial" w:hAnsi="Arial"/>
                <w:sz w:val="16"/>
                <w:szCs w:val="16"/>
                <w:color w:val="auto"/>
              </w:rPr>
              <w:t>on achievement of pre-established</w:t>
            </w:r>
          </w:p>
        </w:tc>
        <w:tc>
          <w:tcPr>
            <w:tcW w:w="3200" w:type="dxa"/>
            <w:vAlign w:val="bottom"/>
            <w:vMerge w:val="restart"/>
            <w:shd w:val="clear" w:color="auto" w:fill="DBDBDB"/>
          </w:tcPr>
          <w:p>
            <w:pPr>
              <w:ind w:left="80"/>
              <w:spacing w:after="0"/>
              <w:rPr>
                <w:sz w:val="20"/>
                <w:szCs w:val="20"/>
                <w:color w:val="auto"/>
              </w:rPr>
            </w:pPr>
            <w:r>
              <w:rPr>
                <w:rFonts w:ascii="Arial" w:cs="Arial" w:eastAsia="Arial" w:hAnsi="Arial"/>
                <w:sz w:val="16"/>
                <w:szCs w:val="16"/>
                <w:color w:val="auto"/>
              </w:rPr>
              <w:t>intended to drive overall company, division</w:t>
            </w:r>
          </w:p>
        </w:tc>
        <w:tc>
          <w:tcPr>
            <w:tcW w:w="3900" w:type="dxa"/>
            <w:vAlign w:val="bottom"/>
            <w:vMerge w:val="continue"/>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120" w:type="dxa"/>
            <w:vAlign w:val="bottom"/>
            <w:shd w:val="clear" w:color="auto" w:fill="DBDBDB"/>
          </w:tcPr>
          <w:p>
            <w:pPr>
              <w:spacing w:after="0"/>
              <w:rPr>
                <w:sz w:val="14"/>
                <w:szCs w:val="14"/>
                <w:color w:val="auto"/>
              </w:rPr>
            </w:pPr>
          </w:p>
        </w:tc>
        <w:tc>
          <w:tcPr>
            <w:tcW w:w="2960" w:type="dxa"/>
            <w:vAlign w:val="bottom"/>
            <w:vMerge w:val="continue"/>
            <w:shd w:val="clear" w:color="auto" w:fill="DBDBDB"/>
          </w:tcPr>
          <w:p>
            <w:pPr>
              <w:spacing w:after="0"/>
              <w:rPr>
                <w:sz w:val="14"/>
                <w:szCs w:val="14"/>
                <w:color w:val="auto"/>
              </w:rPr>
            </w:pPr>
          </w:p>
        </w:tc>
        <w:tc>
          <w:tcPr>
            <w:tcW w:w="3200" w:type="dxa"/>
            <w:vAlign w:val="bottom"/>
            <w:vMerge w:val="continue"/>
            <w:shd w:val="clear" w:color="auto" w:fill="DBDBDB"/>
          </w:tcPr>
          <w:p>
            <w:pPr>
              <w:spacing w:after="0"/>
              <w:rPr>
                <w:sz w:val="14"/>
                <w:szCs w:val="14"/>
                <w:color w:val="auto"/>
              </w:rPr>
            </w:pPr>
          </w:p>
        </w:tc>
        <w:tc>
          <w:tcPr>
            <w:tcW w:w="3900" w:type="dxa"/>
            <w:vAlign w:val="bottom"/>
            <w:shd w:val="clear" w:color="auto" w:fill="DBDBDB"/>
          </w:tcPr>
          <w:p>
            <w:pPr>
              <w:ind w:left="80"/>
              <w:spacing w:after="0" w:line="163" w:lineRule="exact"/>
              <w:rPr>
                <w:sz w:val="20"/>
                <w:szCs w:val="20"/>
                <w:color w:val="auto"/>
              </w:rPr>
            </w:pPr>
            <w:r>
              <w:rPr>
                <w:rFonts w:ascii="Arial" w:cs="Arial" w:eastAsia="Arial" w:hAnsi="Arial"/>
                <w:sz w:val="16"/>
                <w:szCs w:val="16"/>
                <w:color w:val="auto"/>
              </w:rPr>
              <w:t>our Chairman and CEO. Target awards for other</w:t>
            </w:r>
          </w:p>
        </w:tc>
        <w:tc>
          <w:tcPr>
            <w:tcW w:w="0" w:type="dxa"/>
            <w:vAlign w:val="bottom"/>
          </w:tcPr>
          <w:p>
            <w:pPr>
              <w:spacing w:after="0"/>
              <w:rPr>
                <w:sz w:val="1"/>
                <w:szCs w:val="1"/>
                <w:color w:val="auto"/>
              </w:rPr>
            </w:pPr>
          </w:p>
        </w:tc>
      </w:tr>
      <w:tr>
        <w:trPr>
          <w:trHeight w:val="176"/>
        </w:trPr>
        <w:tc>
          <w:tcPr>
            <w:tcW w:w="1120" w:type="dxa"/>
            <w:vAlign w:val="bottom"/>
            <w:shd w:val="clear" w:color="auto" w:fill="DBDBDB"/>
          </w:tcPr>
          <w:p>
            <w:pPr>
              <w:spacing w:after="0"/>
              <w:rPr>
                <w:sz w:val="15"/>
                <w:szCs w:val="15"/>
                <w:color w:val="auto"/>
              </w:rPr>
            </w:pPr>
          </w:p>
        </w:tc>
        <w:tc>
          <w:tcPr>
            <w:tcW w:w="2960" w:type="dxa"/>
            <w:vAlign w:val="bottom"/>
            <w:shd w:val="clear" w:color="auto" w:fill="DBDBDB"/>
          </w:tcPr>
          <w:p>
            <w:pPr>
              <w:ind w:left="160"/>
              <w:spacing w:after="0" w:line="175" w:lineRule="exact"/>
              <w:rPr>
                <w:sz w:val="20"/>
                <w:szCs w:val="20"/>
                <w:color w:val="auto"/>
              </w:rPr>
            </w:pPr>
            <w:r>
              <w:rPr>
                <w:rFonts w:ascii="Arial" w:cs="Arial" w:eastAsia="Arial" w:hAnsi="Arial"/>
                <w:sz w:val="16"/>
                <w:szCs w:val="16"/>
                <w:color w:val="auto"/>
              </w:rPr>
              <w:t>annual financial goals.</w:t>
            </w:r>
          </w:p>
        </w:tc>
        <w:tc>
          <w:tcPr>
            <w:tcW w:w="3200" w:type="dxa"/>
            <w:vAlign w:val="bottom"/>
            <w:shd w:val="clear" w:color="auto" w:fill="DBDBDB"/>
          </w:tcPr>
          <w:p>
            <w:pPr>
              <w:ind w:left="80"/>
              <w:spacing w:after="0" w:line="175" w:lineRule="exact"/>
              <w:rPr>
                <w:sz w:val="20"/>
                <w:szCs w:val="20"/>
                <w:color w:val="auto"/>
              </w:rPr>
            </w:pPr>
            <w:r>
              <w:rPr>
                <w:rFonts w:ascii="Arial" w:cs="Arial" w:eastAsia="Arial" w:hAnsi="Arial"/>
                <w:sz w:val="16"/>
                <w:szCs w:val="16"/>
                <w:color w:val="auto"/>
              </w:rPr>
              <w:t>or business and / or operational</w:t>
            </w:r>
          </w:p>
        </w:tc>
        <w:tc>
          <w:tcPr>
            <w:tcW w:w="3900" w:type="dxa"/>
            <w:vAlign w:val="bottom"/>
            <w:shd w:val="clear" w:color="auto" w:fill="DBDBDB"/>
          </w:tcPr>
          <w:p>
            <w:pPr>
              <w:ind w:left="80"/>
              <w:spacing w:after="0" w:line="175" w:lineRule="exact"/>
              <w:rPr>
                <w:sz w:val="20"/>
                <w:szCs w:val="20"/>
                <w:color w:val="auto"/>
              </w:rPr>
            </w:pPr>
            <w:r>
              <w:rPr>
                <w:rFonts w:ascii="Arial" w:cs="Arial" w:eastAsia="Arial" w:hAnsi="Arial"/>
                <w:sz w:val="16"/>
                <w:szCs w:val="16"/>
                <w:color w:val="auto"/>
              </w:rPr>
              <w:t>NEOs were established between 55% and 80% of</w:t>
            </w:r>
          </w:p>
        </w:tc>
        <w:tc>
          <w:tcPr>
            <w:tcW w:w="0" w:type="dxa"/>
            <w:vAlign w:val="bottom"/>
          </w:tcPr>
          <w:p>
            <w:pPr>
              <w:spacing w:after="0"/>
              <w:rPr>
                <w:sz w:val="1"/>
                <w:szCs w:val="1"/>
                <w:color w:val="auto"/>
              </w:rPr>
            </w:pPr>
          </w:p>
        </w:tc>
      </w:tr>
      <w:tr>
        <w:trPr>
          <w:trHeight w:val="227"/>
        </w:trPr>
        <w:tc>
          <w:tcPr>
            <w:tcW w:w="1120" w:type="dxa"/>
            <w:vAlign w:val="bottom"/>
            <w:shd w:val="clear" w:color="auto" w:fill="DBDBDB"/>
          </w:tcPr>
          <w:p>
            <w:pPr>
              <w:spacing w:after="0"/>
              <w:rPr>
                <w:sz w:val="19"/>
                <w:szCs w:val="19"/>
                <w:color w:val="auto"/>
              </w:rPr>
            </w:pPr>
          </w:p>
        </w:tc>
        <w:tc>
          <w:tcPr>
            <w:tcW w:w="2960" w:type="dxa"/>
            <w:vAlign w:val="bottom"/>
            <w:shd w:val="clear" w:color="auto" w:fill="DBDBDB"/>
          </w:tcPr>
          <w:p>
            <w:pPr>
              <w:spacing w:after="0"/>
              <w:rPr>
                <w:sz w:val="19"/>
                <w:szCs w:val="19"/>
                <w:color w:val="auto"/>
              </w:rPr>
            </w:pPr>
          </w:p>
        </w:tc>
        <w:tc>
          <w:tcPr>
            <w:tcW w:w="3200" w:type="dxa"/>
            <w:vAlign w:val="bottom"/>
            <w:shd w:val="clear" w:color="auto" w:fill="DBDBDB"/>
          </w:tcPr>
          <w:p>
            <w:pPr>
              <w:ind w:left="80"/>
              <w:spacing w:after="0"/>
              <w:rPr>
                <w:sz w:val="20"/>
                <w:szCs w:val="20"/>
                <w:color w:val="auto"/>
              </w:rPr>
            </w:pPr>
            <w:r>
              <w:rPr>
                <w:rFonts w:ascii="Arial" w:cs="Arial" w:eastAsia="Arial" w:hAnsi="Arial"/>
                <w:sz w:val="16"/>
                <w:szCs w:val="16"/>
                <w:color w:val="auto"/>
              </w:rPr>
              <w:t>performance.</w:t>
            </w:r>
          </w:p>
        </w:tc>
        <w:tc>
          <w:tcPr>
            <w:tcW w:w="3900" w:type="dxa"/>
            <w:vAlign w:val="bottom"/>
            <w:shd w:val="clear" w:color="auto" w:fill="DBDBDB"/>
          </w:tcPr>
          <w:p>
            <w:pPr>
              <w:ind w:left="80"/>
              <w:spacing w:after="0"/>
              <w:rPr>
                <w:sz w:val="20"/>
                <w:szCs w:val="20"/>
                <w:color w:val="auto"/>
              </w:rPr>
            </w:pPr>
            <w:r>
              <w:rPr>
                <w:rFonts w:ascii="Arial" w:cs="Arial" w:eastAsia="Arial" w:hAnsi="Arial"/>
                <w:sz w:val="16"/>
                <w:szCs w:val="16"/>
                <w:color w:val="auto"/>
              </w:rPr>
              <w:t>base salary.</w:t>
            </w:r>
          </w:p>
        </w:tc>
        <w:tc>
          <w:tcPr>
            <w:tcW w:w="0" w:type="dxa"/>
            <w:vAlign w:val="bottom"/>
          </w:tcPr>
          <w:p>
            <w:pPr>
              <w:spacing w:after="0"/>
              <w:rPr>
                <w:sz w:val="1"/>
                <w:szCs w:val="1"/>
                <w:color w:val="auto"/>
              </w:rPr>
            </w:pPr>
          </w:p>
        </w:tc>
      </w:tr>
      <w:tr>
        <w:trPr>
          <w:trHeight w:val="217"/>
        </w:trPr>
        <w:tc>
          <w:tcPr>
            <w:tcW w:w="1120" w:type="dxa"/>
            <w:vAlign w:val="bottom"/>
            <w:shd w:val="clear" w:color="auto" w:fill="DBDBDB"/>
          </w:tcPr>
          <w:p>
            <w:pPr>
              <w:spacing w:after="0"/>
              <w:rPr>
                <w:sz w:val="18"/>
                <w:szCs w:val="18"/>
                <w:color w:val="auto"/>
              </w:rPr>
            </w:pPr>
          </w:p>
        </w:tc>
        <w:tc>
          <w:tcPr>
            <w:tcW w:w="2960" w:type="dxa"/>
            <w:vAlign w:val="bottom"/>
            <w:shd w:val="clear" w:color="auto" w:fill="DBDBDB"/>
          </w:tcPr>
          <w:p>
            <w:pPr>
              <w:spacing w:after="0"/>
              <w:rPr>
                <w:sz w:val="18"/>
                <w:szCs w:val="18"/>
                <w:color w:val="auto"/>
              </w:rPr>
            </w:pPr>
          </w:p>
        </w:tc>
        <w:tc>
          <w:tcPr>
            <w:tcW w:w="3200" w:type="dxa"/>
            <w:vAlign w:val="bottom"/>
            <w:shd w:val="clear" w:color="auto" w:fill="DBDBDB"/>
          </w:tcPr>
          <w:p>
            <w:pPr>
              <w:spacing w:after="0"/>
              <w:rPr>
                <w:sz w:val="18"/>
                <w:szCs w:val="18"/>
                <w:color w:val="auto"/>
              </w:rPr>
            </w:pPr>
          </w:p>
        </w:tc>
        <w:tc>
          <w:tcPr>
            <w:tcW w:w="3900" w:type="dxa"/>
            <w:vAlign w:val="bottom"/>
            <w:shd w:val="clear" w:color="auto" w:fill="DBDBDB"/>
          </w:tcPr>
          <w:p>
            <w:pPr>
              <w:ind w:left="80"/>
              <w:spacing w:after="0"/>
              <w:rPr>
                <w:sz w:val="20"/>
                <w:szCs w:val="20"/>
                <w:color w:val="auto"/>
              </w:rPr>
            </w:pPr>
            <w:r>
              <w:rPr>
                <w:rFonts w:ascii="Arial" w:cs="Arial" w:eastAsia="Arial" w:hAnsi="Arial"/>
                <w:sz w:val="16"/>
                <w:szCs w:val="16"/>
                <w:color w:val="auto"/>
              </w:rPr>
              <w:t>Ms. Drake's target award as a percent of base salary</w:t>
            </w:r>
          </w:p>
        </w:tc>
        <w:tc>
          <w:tcPr>
            <w:tcW w:w="0" w:type="dxa"/>
            <w:vAlign w:val="bottom"/>
          </w:tcPr>
          <w:p>
            <w:pPr>
              <w:spacing w:after="0"/>
              <w:rPr>
                <w:sz w:val="1"/>
                <w:szCs w:val="1"/>
                <w:color w:val="auto"/>
              </w:rPr>
            </w:pPr>
          </w:p>
        </w:tc>
      </w:tr>
      <w:tr>
        <w:trPr>
          <w:trHeight w:val="175"/>
        </w:trPr>
        <w:tc>
          <w:tcPr>
            <w:tcW w:w="1120" w:type="dxa"/>
            <w:vAlign w:val="bottom"/>
            <w:shd w:val="clear" w:color="auto" w:fill="DBDBDB"/>
          </w:tcPr>
          <w:p>
            <w:pPr>
              <w:spacing w:after="0"/>
              <w:rPr>
                <w:sz w:val="15"/>
                <w:szCs w:val="15"/>
                <w:color w:val="auto"/>
              </w:rPr>
            </w:pPr>
          </w:p>
        </w:tc>
        <w:tc>
          <w:tcPr>
            <w:tcW w:w="2960" w:type="dxa"/>
            <w:vAlign w:val="bottom"/>
            <w:shd w:val="clear" w:color="auto" w:fill="DBDBDB"/>
          </w:tcPr>
          <w:p>
            <w:pPr>
              <w:spacing w:after="0"/>
              <w:rPr>
                <w:sz w:val="15"/>
                <w:szCs w:val="15"/>
                <w:color w:val="auto"/>
              </w:rPr>
            </w:pPr>
          </w:p>
        </w:tc>
        <w:tc>
          <w:tcPr>
            <w:tcW w:w="3200" w:type="dxa"/>
            <w:vAlign w:val="bottom"/>
            <w:shd w:val="clear" w:color="auto" w:fill="DBDBDB"/>
          </w:tcPr>
          <w:p>
            <w:pPr>
              <w:spacing w:after="0"/>
              <w:rPr>
                <w:sz w:val="15"/>
                <w:szCs w:val="15"/>
                <w:color w:val="auto"/>
              </w:rPr>
            </w:pPr>
          </w:p>
        </w:tc>
        <w:tc>
          <w:tcPr>
            <w:tcW w:w="3900" w:type="dxa"/>
            <w:vAlign w:val="bottom"/>
            <w:shd w:val="clear" w:color="auto" w:fill="DBDBDB"/>
          </w:tcPr>
          <w:p>
            <w:pPr>
              <w:ind w:left="80"/>
              <w:spacing w:after="0" w:line="175" w:lineRule="exact"/>
              <w:rPr>
                <w:sz w:val="20"/>
                <w:szCs w:val="20"/>
                <w:color w:val="auto"/>
              </w:rPr>
            </w:pPr>
            <w:r>
              <w:rPr>
                <w:rFonts w:ascii="Arial" w:cs="Arial" w:eastAsia="Arial" w:hAnsi="Arial"/>
                <w:sz w:val="16"/>
                <w:szCs w:val="16"/>
                <w:color w:val="auto"/>
              </w:rPr>
              <w:t>was increased from 55% to 65% in connection with</w:t>
            </w:r>
          </w:p>
        </w:tc>
        <w:tc>
          <w:tcPr>
            <w:tcW w:w="0" w:type="dxa"/>
            <w:vAlign w:val="bottom"/>
          </w:tcPr>
          <w:p>
            <w:pPr>
              <w:spacing w:after="0"/>
              <w:rPr>
                <w:sz w:val="1"/>
                <w:szCs w:val="1"/>
                <w:color w:val="auto"/>
              </w:rPr>
            </w:pPr>
          </w:p>
        </w:tc>
      </w:tr>
      <w:tr>
        <w:trPr>
          <w:trHeight w:val="175"/>
        </w:trPr>
        <w:tc>
          <w:tcPr>
            <w:tcW w:w="1120" w:type="dxa"/>
            <w:vAlign w:val="bottom"/>
            <w:shd w:val="clear" w:color="auto" w:fill="DBDBDB"/>
          </w:tcPr>
          <w:p>
            <w:pPr>
              <w:spacing w:after="0"/>
              <w:rPr>
                <w:sz w:val="15"/>
                <w:szCs w:val="15"/>
                <w:color w:val="auto"/>
              </w:rPr>
            </w:pPr>
          </w:p>
        </w:tc>
        <w:tc>
          <w:tcPr>
            <w:tcW w:w="2960" w:type="dxa"/>
            <w:vAlign w:val="bottom"/>
            <w:shd w:val="clear" w:color="auto" w:fill="DBDBDB"/>
          </w:tcPr>
          <w:p>
            <w:pPr>
              <w:spacing w:after="0"/>
              <w:rPr>
                <w:sz w:val="15"/>
                <w:szCs w:val="15"/>
                <w:color w:val="auto"/>
              </w:rPr>
            </w:pPr>
          </w:p>
        </w:tc>
        <w:tc>
          <w:tcPr>
            <w:tcW w:w="3200" w:type="dxa"/>
            <w:vAlign w:val="bottom"/>
            <w:shd w:val="clear" w:color="auto" w:fill="DBDBDB"/>
          </w:tcPr>
          <w:p>
            <w:pPr>
              <w:spacing w:after="0"/>
              <w:rPr>
                <w:sz w:val="15"/>
                <w:szCs w:val="15"/>
                <w:color w:val="auto"/>
              </w:rPr>
            </w:pPr>
          </w:p>
        </w:tc>
        <w:tc>
          <w:tcPr>
            <w:tcW w:w="3900" w:type="dxa"/>
            <w:vAlign w:val="bottom"/>
            <w:shd w:val="clear" w:color="auto" w:fill="DBDBDB"/>
          </w:tcPr>
          <w:p>
            <w:pPr>
              <w:ind w:left="80"/>
              <w:spacing w:after="0" w:line="175" w:lineRule="exact"/>
              <w:rPr>
                <w:sz w:val="20"/>
                <w:szCs w:val="20"/>
                <w:color w:val="auto"/>
              </w:rPr>
            </w:pPr>
            <w:r>
              <w:rPr>
                <w:rFonts w:ascii="Arial" w:cs="Arial" w:eastAsia="Arial" w:hAnsi="Arial"/>
                <w:sz w:val="16"/>
                <w:szCs w:val="16"/>
                <w:color w:val="auto"/>
              </w:rPr>
              <w:t>her promotion to Vice President and Chief Financial</w:t>
            </w:r>
          </w:p>
        </w:tc>
        <w:tc>
          <w:tcPr>
            <w:tcW w:w="0" w:type="dxa"/>
            <w:vAlign w:val="bottom"/>
          </w:tcPr>
          <w:p>
            <w:pPr>
              <w:spacing w:after="0"/>
              <w:rPr>
                <w:sz w:val="1"/>
                <w:szCs w:val="1"/>
                <w:color w:val="auto"/>
              </w:rPr>
            </w:pPr>
          </w:p>
        </w:tc>
      </w:tr>
      <w:tr>
        <w:trPr>
          <w:trHeight w:val="215"/>
        </w:trPr>
        <w:tc>
          <w:tcPr>
            <w:tcW w:w="1120" w:type="dxa"/>
            <w:vAlign w:val="bottom"/>
            <w:shd w:val="clear" w:color="auto" w:fill="DBDBDB"/>
          </w:tcPr>
          <w:p>
            <w:pPr>
              <w:spacing w:after="0"/>
              <w:rPr>
                <w:sz w:val="18"/>
                <w:szCs w:val="18"/>
                <w:color w:val="auto"/>
              </w:rPr>
            </w:pPr>
          </w:p>
        </w:tc>
        <w:tc>
          <w:tcPr>
            <w:tcW w:w="2960" w:type="dxa"/>
            <w:vAlign w:val="bottom"/>
            <w:shd w:val="clear" w:color="auto" w:fill="DBDBDB"/>
          </w:tcPr>
          <w:p>
            <w:pPr>
              <w:spacing w:after="0"/>
              <w:rPr>
                <w:sz w:val="18"/>
                <w:szCs w:val="18"/>
                <w:color w:val="auto"/>
              </w:rPr>
            </w:pPr>
          </w:p>
        </w:tc>
        <w:tc>
          <w:tcPr>
            <w:tcW w:w="3200" w:type="dxa"/>
            <w:vAlign w:val="bottom"/>
            <w:shd w:val="clear" w:color="auto" w:fill="DBDBDB"/>
          </w:tcPr>
          <w:p>
            <w:pPr>
              <w:spacing w:after="0"/>
              <w:rPr>
                <w:sz w:val="18"/>
                <w:szCs w:val="18"/>
                <w:color w:val="auto"/>
              </w:rPr>
            </w:pPr>
          </w:p>
        </w:tc>
        <w:tc>
          <w:tcPr>
            <w:tcW w:w="3900" w:type="dxa"/>
            <w:vAlign w:val="bottom"/>
            <w:shd w:val="clear" w:color="auto" w:fill="DBDBDB"/>
          </w:tcPr>
          <w:p>
            <w:pPr>
              <w:ind w:left="80"/>
              <w:spacing w:after="0"/>
              <w:rPr>
                <w:sz w:val="20"/>
                <w:szCs w:val="20"/>
                <w:color w:val="auto"/>
              </w:rPr>
            </w:pPr>
            <w:r>
              <w:rPr>
                <w:rFonts w:ascii="Arial" w:cs="Arial" w:eastAsia="Arial" w:hAnsi="Arial"/>
                <w:sz w:val="16"/>
                <w:szCs w:val="16"/>
                <w:color w:val="auto"/>
              </w:rPr>
              <w:t>Officer.</w:t>
            </w:r>
          </w:p>
        </w:tc>
        <w:tc>
          <w:tcPr>
            <w:tcW w:w="0" w:type="dxa"/>
            <w:vAlign w:val="bottom"/>
          </w:tcPr>
          <w:p>
            <w:pPr>
              <w:spacing w:after="0"/>
              <w:rPr>
                <w:sz w:val="1"/>
                <w:szCs w:val="1"/>
                <w:color w:val="auto"/>
              </w:rPr>
            </w:pPr>
          </w:p>
        </w:tc>
      </w:tr>
      <w:tr>
        <w:trPr>
          <w:trHeight w:val="204"/>
        </w:trPr>
        <w:tc>
          <w:tcPr>
            <w:tcW w:w="1120" w:type="dxa"/>
            <w:vAlign w:val="bottom"/>
            <w:shd w:val="clear" w:color="auto" w:fill="DBDBDB"/>
          </w:tcPr>
          <w:p>
            <w:pPr>
              <w:spacing w:after="0"/>
              <w:rPr>
                <w:sz w:val="17"/>
                <w:szCs w:val="17"/>
                <w:color w:val="auto"/>
              </w:rPr>
            </w:pPr>
          </w:p>
        </w:tc>
        <w:tc>
          <w:tcPr>
            <w:tcW w:w="2960" w:type="dxa"/>
            <w:vAlign w:val="bottom"/>
            <w:shd w:val="clear" w:color="auto" w:fill="DBDBDB"/>
          </w:tcPr>
          <w:p>
            <w:pPr>
              <w:spacing w:after="0"/>
              <w:rPr>
                <w:sz w:val="17"/>
                <w:szCs w:val="17"/>
                <w:color w:val="auto"/>
              </w:rPr>
            </w:pPr>
          </w:p>
        </w:tc>
        <w:tc>
          <w:tcPr>
            <w:tcW w:w="3200" w:type="dxa"/>
            <w:vAlign w:val="bottom"/>
            <w:shd w:val="clear" w:color="auto" w:fill="DBDBDB"/>
          </w:tcPr>
          <w:p>
            <w:pPr>
              <w:spacing w:after="0"/>
              <w:rPr>
                <w:sz w:val="17"/>
                <w:szCs w:val="17"/>
                <w:color w:val="auto"/>
              </w:rPr>
            </w:pPr>
          </w:p>
        </w:tc>
        <w:tc>
          <w:tcPr>
            <w:tcW w:w="3900" w:type="dxa"/>
            <w:vAlign w:val="bottom"/>
            <w:shd w:val="clear" w:color="auto" w:fill="DBDBDB"/>
          </w:tcPr>
          <w:p>
            <w:pPr>
              <w:ind w:left="80"/>
              <w:spacing w:after="0"/>
              <w:rPr>
                <w:sz w:val="20"/>
                <w:szCs w:val="20"/>
                <w:color w:val="auto"/>
              </w:rPr>
            </w:pPr>
            <w:r>
              <w:rPr>
                <w:rFonts w:ascii="Arial" w:cs="Arial" w:eastAsia="Arial" w:hAnsi="Arial"/>
                <w:sz w:val="16"/>
                <w:szCs w:val="16"/>
                <w:color w:val="auto"/>
              </w:rPr>
              <w:t>Mr. Janey's target award as a percent of base salary</w:t>
            </w:r>
          </w:p>
        </w:tc>
        <w:tc>
          <w:tcPr>
            <w:tcW w:w="0" w:type="dxa"/>
            <w:vAlign w:val="bottom"/>
          </w:tcPr>
          <w:p>
            <w:pPr>
              <w:spacing w:after="0"/>
              <w:rPr>
                <w:sz w:val="1"/>
                <w:szCs w:val="1"/>
                <w:color w:val="auto"/>
              </w:rPr>
            </w:pPr>
          </w:p>
        </w:tc>
      </w:tr>
      <w:tr>
        <w:trPr>
          <w:trHeight w:val="175"/>
        </w:trPr>
        <w:tc>
          <w:tcPr>
            <w:tcW w:w="1120" w:type="dxa"/>
            <w:vAlign w:val="bottom"/>
            <w:shd w:val="clear" w:color="auto" w:fill="DBDBDB"/>
          </w:tcPr>
          <w:p>
            <w:pPr>
              <w:spacing w:after="0"/>
              <w:rPr>
                <w:sz w:val="15"/>
                <w:szCs w:val="15"/>
                <w:color w:val="auto"/>
              </w:rPr>
            </w:pPr>
          </w:p>
        </w:tc>
        <w:tc>
          <w:tcPr>
            <w:tcW w:w="2960" w:type="dxa"/>
            <w:vAlign w:val="bottom"/>
            <w:shd w:val="clear" w:color="auto" w:fill="DBDBDB"/>
          </w:tcPr>
          <w:p>
            <w:pPr>
              <w:spacing w:after="0"/>
              <w:rPr>
                <w:sz w:val="15"/>
                <w:szCs w:val="15"/>
                <w:color w:val="auto"/>
              </w:rPr>
            </w:pPr>
          </w:p>
        </w:tc>
        <w:tc>
          <w:tcPr>
            <w:tcW w:w="3200" w:type="dxa"/>
            <w:vAlign w:val="bottom"/>
            <w:shd w:val="clear" w:color="auto" w:fill="DBDBDB"/>
          </w:tcPr>
          <w:p>
            <w:pPr>
              <w:spacing w:after="0"/>
              <w:rPr>
                <w:sz w:val="15"/>
                <w:szCs w:val="15"/>
                <w:color w:val="auto"/>
              </w:rPr>
            </w:pPr>
          </w:p>
        </w:tc>
        <w:tc>
          <w:tcPr>
            <w:tcW w:w="3900" w:type="dxa"/>
            <w:vAlign w:val="bottom"/>
            <w:shd w:val="clear" w:color="auto" w:fill="DBDBDB"/>
          </w:tcPr>
          <w:p>
            <w:pPr>
              <w:ind w:left="80"/>
              <w:spacing w:after="0" w:line="175" w:lineRule="exact"/>
              <w:rPr>
                <w:sz w:val="20"/>
                <w:szCs w:val="20"/>
                <w:color w:val="auto"/>
              </w:rPr>
            </w:pPr>
            <w:r>
              <w:rPr>
                <w:rFonts w:ascii="Arial" w:cs="Arial" w:eastAsia="Arial" w:hAnsi="Arial"/>
                <w:sz w:val="16"/>
                <w:szCs w:val="16"/>
                <w:color w:val="auto"/>
              </w:rPr>
              <w:t>was increased from 55% to 65% in connection with</w:t>
            </w:r>
          </w:p>
        </w:tc>
        <w:tc>
          <w:tcPr>
            <w:tcW w:w="0" w:type="dxa"/>
            <w:vAlign w:val="bottom"/>
          </w:tcPr>
          <w:p>
            <w:pPr>
              <w:spacing w:after="0"/>
              <w:rPr>
                <w:sz w:val="1"/>
                <w:szCs w:val="1"/>
                <w:color w:val="auto"/>
              </w:rPr>
            </w:pPr>
          </w:p>
        </w:tc>
      </w:tr>
      <w:tr>
        <w:trPr>
          <w:trHeight w:val="189"/>
        </w:trPr>
        <w:tc>
          <w:tcPr>
            <w:tcW w:w="1120" w:type="dxa"/>
            <w:vAlign w:val="bottom"/>
            <w:shd w:val="clear" w:color="auto" w:fill="DBDBDB"/>
          </w:tcPr>
          <w:p>
            <w:pPr>
              <w:spacing w:after="0"/>
              <w:rPr>
                <w:sz w:val="16"/>
                <w:szCs w:val="16"/>
                <w:color w:val="auto"/>
              </w:rPr>
            </w:pPr>
          </w:p>
        </w:tc>
        <w:tc>
          <w:tcPr>
            <w:tcW w:w="2960" w:type="dxa"/>
            <w:vAlign w:val="bottom"/>
            <w:shd w:val="clear" w:color="auto" w:fill="DBDBDB"/>
          </w:tcPr>
          <w:p>
            <w:pPr>
              <w:spacing w:after="0"/>
              <w:rPr>
                <w:sz w:val="16"/>
                <w:szCs w:val="16"/>
                <w:color w:val="auto"/>
              </w:rPr>
            </w:pPr>
          </w:p>
        </w:tc>
        <w:tc>
          <w:tcPr>
            <w:tcW w:w="3200" w:type="dxa"/>
            <w:vAlign w:val="bottom"/>
            <w:shd w:val="clear" w:color="auto" w:fill="DBDBDB"/>
          </w:tcPr>
          <w:p>
            <w:pPr>
              <w:spacing w:after="0"/>
              <w:rPr>
                <w:sz w:val="16"/>
                <w:szCs w:val="16"/>
                <w:color w:val="auto"/>
              </w:rPr>
            </w:pPr>
          </w:p>
        </w:tc>
        <w:tc>
          <w:tcPr>
            <w:tcW w:w="3900" w:type="dxa"/>
            <w:vAlign w:val="bottom"/>
            <w:shd w:val="clear" w:color="auto" w:fill="DBDBDB"/>
          </w:tcPr>
          <w:p>
            <w:pPr>
              <w:ind w:left="80"/>
              <w:spacing w:after="0"/>
              <w:rPr>
                <w:sz w:val="20"/>
                <w:szCs w:val="20"/>
                <w:color w:val="auto"/>
              </w:rPr>
            </w:pPr>
            <w:r>
              <w:rPr>
                <w:rFonts w:ascii="Arial" w:cs="Arial" w:eastAsia="Arial" w:hAnsi="Arial"/>
                <w:sz w:val="16"/>
                <w:szCs w:val="16"/>
                <w:color w:val="auto"/>
              </w:rPr>
              <w:t>his promotion to Group Vice President, Landscapes</w:t>
            </w:r>
          </w:p>
        </w:tc>
        <w:tc>
          <w:tcPr>
            <w:tcW w:w="0" w:type="dxa"/>
            <w:vAlign w:val="bottom"/>
          </w:tcPr>
          <w:p>
            <w:pPr>
              <w:spacing w:after="0"/>
              <w:rPr>
                <w:sz w:val="1"/>
                <w:szCs w:val="1"/>
                <w:color w:val="auto"/>
              </w:rPr>
            </w:pPr>
          </w:p>
        </w:tc>
      </w:tr>
      <w:tr>
        <w:trPr>
          <w:trHeight w:val="215"/>
        </w:trPr>
        <w:tc>
          <w:tcPr>
            <w:tcW w:w="1120" w:type="dxa"/>
            <w:vAlign w:val="bottom"/>
            <w:shd w:val="clear" w:color="auto" w:fill="DBDBDB"/>
          </w:tcPr>
          <w:p>
            <w:pPr>
              <w:spacing w:after="0"/>
              <w:rPr>
                <w:sz w:val="18"/>
                <w:szCs w:val="18"/>
                <w:color w:val="auto"/>
              </w:rPr>
            </w:pPr>
          </w:p>
        </w:tc>
        <w:tc>
          <w:tcPr>
            <w:tcW w:w="2960" w:type="dxa"/>
            <w:vAlign w:val="bottom"/>
            <w:shd w:val="clear" w:color="auto" w:fill="DBDBDB"/>
          </w:tcPr>
          <w:p>
            <w:pPr>
              <w:spacing w:after="0"/>
              <w:rPr>
                <w:sz w:val="18"/>
                <w:szCs w:val="18"/>
                <w:color w:val="auto"/>
              </w:rPr>
            </w:pPr>
          </w:p>
        </w:tc>
        <w:tc>
          <w:tcPr>
            <w:tcW w:w="3200" w:type="dxa"/>
            <w:vAlign w:val="bottom"/>
            <w:shd w:val="clear" w:color="auto" w:fill="DBDBDB"/>
          </w:tcPr>
          <w:p>
            <w:pPr>
              <w:spacing w:after="0"/>
              <w:rPr>
                <w:sz w:val="18"/>
                <w:szCs w:val="18"/>
                <w:color w:val="auto"/>
              </w:rPr>
            </w:pPr>
          </w:p>
        </w:tc>
        <w:tc>
          <w:tcPr>
            <w:tcW w:w="3900" w:type="dxa"/>
            <w:vAlign w:val="bottom"/>
            <w:shd w:val="clear" w:color="auto" w:fill="DBDBDB"/>
          </w:tcPr>
          <w:p>
            <w:pPr>
              <w:ind w:left="80"/>
              <w:spacing w:after="0"/>
              <w:rPr>
                <w:sz w:val="20"/>
                <w:szCs w:val="20"/>
                <w:color w:val="auto"/>
              </w:rPr>
            </w:pPr>
            <w:r>
              <w:rPr>
                <w:rFonts w:ascii="Arial" w:cs="Arial" w:eastAsia="Arial" w:hAnsi="Arial"/>
                <w:sz w:val="16"/>
                <w:szCs w:val="16"/>
                <w:color w:val="auto"/>
              </w:rPr>
              <w:t>and Contractor.</w:t>
            </w:r>
          </w:p>
        </w:tc>
        <w:tc>
          <w:tcPr>
            <w:tcW w:w="0" w:type="dxa"/>
            <w:vAlign w:val="bottom"/>
          </w:tcPr>
          <w:p>
            <w:pPr>
              <w:spacing w:after="0"/>
              <w:rPr>
                <w:sz w:val="1"/>
                <w:szCs w:val="1"/>
                <w:color w:val="auto"/>
              </w:rPr>
            </w:pPr>
          </w:p>
        </w:tc>
      </w:tr>
      <w:tr>
        <w:trPr>
          <w:trHeight w:val="204"/>
        </w:trPr>
        <w:tc>
          <w:tcPr>
            <w:tcW w:w="1120" w:type="dxa"/>
            <w:vAlign w:val="bottom"/>
            <w:shd w:val="clear" w:color="auto" w:fill="DBDBDB"/>
          </w:tcPr>
          <w:p>
            <w:pPr>
              <w:spacing w:after="0"/>
              <w:rPr>
                <w:sz w:val="17"/>
                <w:szCs w:val="17"/>
                <w:color w:val="auto"/>
              </w:rPr>
            </w:pPr>
          </w:p>
        </w:tc>
        <w:tc>
          <w:tcPr>
            <w:tcW w:w="2960" w:type="dxa"/>
            <w:vAlign w:val="bottom"/>
            <w:shd w:val="clear" w:color="auto" w:fill="DBDBDB"/>
          </w:tcPr>
          <w:p>
            <w:pPr>
              <w:spacing w:after="0"/>
              <w:rPr>
                <w:sz w:val="17"/>
                <w:szCs w:val="17"/>
                <w:color w:val="auto"/>
              </w:rPr>
            </w:pPr>
          </w:p>
        </w:tc>
        <w:tc>
          <w:tcPr>
            <w:tcW w:w="3200" w:type="dxa"/>
            <w:vAlign w:val="bottom"/>
            <w:shd w:val="clear" w:color="auto" w:fill="DBDBDB"/>
          </w:tcPr>
          <w:p>
            <w:pPr>
              <w:spacing w:after="0"/>
              <w:rPr>
                <w:sz w:val="17"/>
                <w:szCs w:val="17"/>
                <w:color w:val="auto"/>
              </w:rPr>
            </w:pPr>
          </w:p>
        </w:tc>
        <w:tc>
          <w:tcPr>
            <w:tcW w:w="3900" w:type="dxa"/>
            <w:vAlign w:val="bottom"/>
            <w:shd w:val="clear" w:color="auto" w:fill="DBDBDB"/>
          </w:tcPr>
          <w:p>
            <w:pPr>
              <w:ind w:left="80"/>
              <w:spacing w:after="0"/>
              <w:rPr>
                <w:sz w:val="20"/>
                <w:szCs w:val="20"/>
                <w:color w:val="auto"/>
              </w:rPr>
            </w:pPr>
            <w:r>
              <w:rPr>
                <w:rFonts w:ascii="Arial" w:cs="Arial" w:eastAsia="Arial" w:hAnsi="Arial"/>
                <w:sz w:val="16"/>
                <w:szCs w:val="16"/>
                <w:color w:val="auto"/>
              </w:rPr>
              <w:t>Corporate performance measures, weightings and</w:t>
            </w:r>
          </w:p>
        </w:tc>
        <w:tc>
          <w:tcPr>
            <w:tcW w:w="0" w:type="dxa"/>
            <w:vAlign w:val="bottom"/>
          </w:tcPr>
          <w:p>
            <w:pPr>
              <w:spacing w:after="0"/>
              <w:rPr>
                <w:sz w:val="1"/>
                <w:szCs w:val="1"/>
                <w:color w:val="auto"/>
              </w:rPr>
            </w:pPr>
          </w:p>
        </w:tc>
      </w:tr>
      <w:tr>
        <w:trPr>
          <w:trHeight w:val="176"/>
        </w:trPr>
        <w:tc>
          <w:tcPr>
            <w:tcW w:w="1120" w:type="dxa"/>
            <w:vAlign w:val="bottom"/>
            <w:shd w:val="clear" w:color="auto" w:fill="DBDBDB"/>
          </w:tcPr>
          <w:p>
            <w:pPr>
              <w:spacing w:after="0"/>
              <w:rPr>
                <w:sz w:val="15"/>
                <w:szCs w:val="15"/>
                <w:color w:val="auto"/>
              </w:rPr>
            </w:pPr>
          </w:p>
        </w:tc>
        <w:tc>
          <w:tcPr>
            <w:tcW w:w="2960" w:type="dxa"/>
            <w:vAlign w:val="bottom"/>
            <w:shd w:val="clear" w:color="auto" w:fill="DBDBDB"/>
          </w:tcPr>
          <w:p>
            <w:pPr>
              <w:spacing w:after="0"/>
              <w:rPr>
                <w:sz w:val="15"/>
                <w:szCs w:val="15"/>
                <w:color w:val="auto"/>
              </w:rPr>
            </w:pPr>
          </w:p>
        </w:tc>
        <w:tc>
          <w:tcPr>
            <w:tcW w:w="3200" w:type="dxa"/>
            <w:vAlign w:val="bottom"/>
            <w:shd w:val="clear" w:color="auto" w:fill="DBDBDB"/>
          </w:tcPr>
          <w:p>
            <w:pPr>
              <w:spacing w:after="0"/>
              <w:rPr>
                <w:sz w:val="15"/>
                <w:szCs w:val="15"/>
                <w:color w:val="auto"/>
              </w:rPr>
            </w:pPr>
          </w:p>
        </w:tc>
        <w:tc>
          <w:tcPr>
            <w:tcW w:w="3900" w:type="dxa"/>
            <w:vAlign w:val="bottom"/>
            <w:shd w:val="clear" w:color="auto" w:fill="DBDBDB"/>
          </w:tcPr>
          <w:p>
            <w:pPr>
              <w:ind w:left="80"/>
              <w:spacing w:after="0" w:line="175" w:lineRule="exact"/>
              <w:rPr>
                <w:sz w:val="20"/>
                <w:szCs w:val="20"/>
                <w:color w:val="auto"/>
              </w:rPr>
            </w:pPr>
            <w:r>
              <w:rPr>
                <w:rFonts w:ascii="Arial" w:cs="Arial" w:eastAsia="Arial" w:hAnsi="Arial"/>
                <w:sz w:val="16"/>
                <w:szCs w:val="16"/>
                <w:color w:val="auto"/>
              </w:rPr>
              <w:t>goals were established for all of our NEOs.</w:t>
            </w:r>
          </w:p>
        </w:tc>
        <w:tc>
          <w:tcPr>
            <w:tcW w:w="0" w:type="dxa"/>
            <w:vAlign w:val="bottom"/>
          </w:tcPr>
          <w:p>
            <w:pPr>
              <w:spacing w:after="0"/>
              <w:rPr>
                <w:sz w:val="1"/>
                <w:szCs w:val="1"/>
                <w:color w:val="auto"/>
              </w:rPr>
            </w:pPr>
          </w:p>
        </w:tc>
      </w:tr>
      <w:tr>
        <w:trPr>
          <w:trHeight w:val="175"/>
        </w:trPr>
        <w:tc>
          <w:tcPr>
            <w:tcW w:w="1120" w:type="dxa"/>
            <w:vAlign w:val="bottom"/>
            <w:shd w:val="clear" w:color="auto" w:fill="DBDBDB"/>
          </w:tcPr>
          <w:p>
            <w:pPr>
              <w:spacing w:after="0"/>
              <w:rPr>
                <w:sz w:val="15"/>
                <w:szCs w:val="15"/>
                <w:color w:val="auto"/>
              </w:rPr>
            </w:pPr>
          </w:p>
        </w:tc>
        <w:tc>
          <w:tcPr>
            <w:tcW w:w="2960" w:type="dxa"/>
            <w:vAlign w:val="bottom"/>
            <w:shd w:val="clear" w:color="auto" w:fill="DBDBDB"/>
          </w:tcPr>
          <w:p>
            <w:pPr>
              <w:spacing w:after="0"/>
              <w:rPr>
                <w:sz w:val="15"/>
                <w:szCs w:val="15"/>
                <w:color w:val="auto"/>
              </w:rPr>
            </w:pPr>
          </w:p>
        </w:tc>
        <w:tc>
          <w:tcPr>
            <w:tcW w:w="3200" w:type="dxa"/>
            <w:vAlign w:val="bottom"/>
            <w:shd w:val="clear" w:color="auto" w:fill="DBDBDB"/>
          </w:tcPr>
          <w:p>
            <w:pPr>
              <w:spacing w:after="0"/>
              <w:rPr>
                <w:sz w:val="15"/>
                <w:szCs w:val="15"/>
                <w:color w:val="auto"/>
              </w:rPr>
            </w:pPr>
          </w:p>
        </w:tc>
        <w:tc>
          <w:tcPr>
            <w:tcW w:w="3900" w:type="dxa"/>
            <w:vAlign w:val="bottom"/>
            <w:shd w:val="clear" w:color="auto" w:fill="DBDBDB"/>
          </w:tcPr>
          <w:p>
            <w:pPr>
              <w:ind w:left="80"/>
              <w:spacing w:after="0" w:line="175" w:lineRule="exact"/>
              <w:rPr>
                <w:sz w:val="20"/>
                <w:szCs w:val="20"/>
                <w:color w:val="auto"/>
              </w:rPr>
            </w:pPr>
            <w:r>
              <w:rPr>
                <w:rFonts w:ascii="Arial" w:cs="Arial" w:eastAsia="Arial" w:hAnsi="Arial"/>
                <w:sz w:val="16"/>
                <w:szCs w:val="16"/>
                <w:color w:val="auto"/>
              </w:rPr>
              <w:t>Additionally, divisional performance measures,</w:t>
            </w:r>
          </w:p>
        </w:tc>
        <w:tc>
          <w:tcPr>
            <w:tcW w:w="0" w:type="dxa"/>
            <w:vAlign w:val="bottom"/>
          </w:tcPr>
          <w:p>
            <w:pPr>
              <w:spacing w:after="0"/>
              <w:rPr>
                <w:sz w:val="1"/>
                <w:szCs w:val="1"/>
                <w:color w:val="auto"/>
              </w:rPr>
            </w:pPr>
          </w:p>
        </w:tc>
      </w:tr>
      <w:tr>
        <w:trPr>
          <w:trHeight w:val="175"/>
        </w:trPr>
        <w:tc>
          <w:tcPr>
            <w:tcW w:w="1120" w:type="dxa"/>
            <w:vAlign w:val="bottom"/>
            <w:shd w:val="clear" w:color="auto" w:fill="DBDBDB"/>
          </w:tcPr>
          <w:p>
            <w:pPr>
              <w:spacing w:after="0"/>
              <w:rPr>
                <w:sz w:val="15"/>
                <w:szCs w:val="15"/>
                <w:color w:val="auto"/>
              </w:rPr>
            </w:pPr>
          </w:p>
        </w:tc>
        <w:tc>
          <w:tcPr>
            <w:tcW w:w="2960" w:type="dxa"/>
            <w:vAlign w:val="bottom"/>
            <w:shd w:val="clear" w:color="auto" w:fill="DBDBDB"/>
          </w:tcPr>
          <w:p>
            <w:pPr>
              <w:spacing w:after="0"/>
              <w:rPr>
                <w:sz w:val="15"/>
                <w:szCs w:val="15"/>
                <w:color w:val="auto"/>
              </w:rPr>
            </w:pPr>
          </w:p>
        </w:tc>
        <w:tc>
          <w:tcPr>
            <w:tcW w:w="3200" w:type="dxa"/>
            <w:vAlign w:val="bottom"/>
            <w:shd w:val="clear" w:color="auto" w:fill="DBDBDB"/>
          </w:tcPr>
          <w:p>
            <w:pPr>
              <w:spacing w:after="0"/>
              <w:rPr>
                <w:sz w:val="15"/>
                <w:szCs w:val="15"/>
                <w:color w:val="auto"/>
              </w:rPr>
            </w:pPr>
          </w:p>
        </w:tc>
        <w:tc>
          <w:tcPr>
            <w:tcW w:w="3900" w:type="dxa"/>
            <w:vAlign w:val="bottom"/>
            <w:shd w:val="clear" w:color="auto" w:fill="DBDBDB"/>
          </w:tcPr>
          <w:p>
            <w:pPr>
              <w:ind w:left="80"/>
              <w:spacing w:after="0" w:line="175" w:lineRule="exact"/>
              <w:rPr>
                <w:sz w:val="20"/>
                <w:szCs w:val="20"/>
                <w:color w:val="auto"/>
              </w:rPr>
            </w:pPr>
            <w:r>
              <w:rPr>
                <w:rFonts w:ascii="Arial" w:cs="Arial" w:eastAsia="Arial" w:hAnsi="Arial"/>
                <w:sz w:val="16"/>
                <w:szCs w:val="16"/>
                <w:color w:val="auto"/>
              </w:rPr>
              <w:t>weightings and goals were established for Ms. Dahl,</w:t>
            </w:r>
          </w:p>
        </w:tc>
        <w:tc>
          <w:tcPr>
            <w:tcW w:w="0" w:type="dxa"/>
            <w:vAlign w:val="bottom"/>
          </w:tcPr>
          <w:p>
            <w:pPr>
              <w:spacing w:after="0"/>
              <w:rPr>
                <w:sz w:val="1"/>
                <w:szCs w:val="1"/>
                <w:color w:val="auto"/>
              </w:rPr>
            </w:pPr>
          </w:p>
        </w:tc>
      </w:tr>
      <w:tr>
        <w:trPr>
          <w:trHeight w:val="189"/>
        </w:trPr>
        <w:tc>
          <w:tcPr>
            <w:tcW w:w="1120" w:type="dxa"/>
            <w:vAlign w:val="bottom"/>
            <w:shd w:val="clear" w:color="auto" w:fill="DBDBDB"/>
          </w:tcPr>
          <w:p>
            <w:pPr>
              <w:spacing w:after="0"/>
              <w:rPr>
                <w:sz w:val="16"/>
                <w:szCs w:val="16"/>
                <w:color w:val="auto"/>
              </w:rPr>
            </w:pPr>
          </w:p>
        </w:tc>
        <w:tc>
          <w:tcPr>
            <w:tcW w:w="2960" w:type="dxa"/>
            <w:vAlign w:val="bottom"/>
            <w:shd w:val="clear" w:color="auto" w:fill="DBDBDB"/>
          </w:tcPr>
          <w:p>
            <w:pPr>
              <w:spacing w:after="0"/>
              <w:rPr>
                <w:sz w:val="16"/>
                <w:szCs w:val="16"/>
                <w:color w:val="auto"/>
              </w:rPr>
            </w:pPr>
          </w:p>
        </w:tc>
        <w:tc>
          <w:tcPr>
            <w:tcW w:w="3200" w:type="dxa"/>
            <w:vAlign w:val="bottom"/>
            <w:shd w:val="clear" w:color="auto" w:fill="DBDBDB"/>
          </w:tcPr>
          <w:p>
            <w:pPr>
              <w:spacing w:after="0"/>
              <w:rPr>
                <w:sz w:val="16"/>
                <w:szCs w:val="16"/>
                <w:color w:val="auto"/>
              </w:rPr>
            </w:pPr>
          </w:p>
        </w:tc>
        <w:tc>
          <w:tcPr>
            <w:tcW w:w="3900" w:type="dxa"/>
            <w:vAlign w:val="bottom"/>
            <w:shd w:val="clear" w:color="auto" w:fill="DBDBDB"/>
          </w:tcPr>
          <w:p>
            <w:pPr>
              <w:ind w:left="80"/>
              <w:spacing w:after="0"/>
              <w:rPr>
                <w:sz w:val="20"/>
                <w:szCs w:val="20"/>
                <w:color w:val="auto"/>
              </w:rPr>
            </w:pPr>
            <w:r>
              <w:rPr>
                <w:rFonts w:ascii="Arial" w:cs="Arial" w:eastAsia="Arial" w:hAnsi="Arial"/>
                <w:sz w:val="16"/>
                <w:szCs w:val="16"/>
                <w:color w:val="auto"/>
              </w:rPr>
              <w:t>who assumed the position of Vice President,</w:t>
            </w:r>
          </w:p>
        </w:tc>
        <w:tc>
          <w:tcPr>
            <w:tcW w:w="0" w:type="dxa"/>
            <w:vAlign w:val="bottom"/>
          </w:tcPr>
          <w:p>
            <w:pPr>
              <w:spacing w:after="0"/>
              <w:rPr>
                <w:sz w:val="1"/>
                <w:szCs w:val="1"/>
                <w:color w:val="auto"/>
              </w:rPr>
            </w:pPr>
          </w:p>
        </w:tc>
      </w:tr>
      <w:tr>
        <w:trPr>
          <w:trHeight w:val="215"/>
        </w:trPr>
        <w:tc>
          <w:tcPr>
            <w:tcW w:w="1120" w:type="dxa"/>
            <w:vAlign w:val="bottom"/>
            <w:shd w:val="clear" w:color="auto" w:fill="DBDBDB"/>
          </w:tcPr>
          <w:p>
            <w:pPr>
              <w:spacing w:after="0"/>
              <w:rPr>
                <w:sz w:val="18"/>
                <w:szCs w:val="18"/>
                <w:color w:val="auto"/>
              </w:rPr>
            </w:pPr>
          </w:p>
        </w:tc>
        <w:tc>
          <w:tcPr>
            <w:tcW w:w="2960" w:type="dxa"/>
            <w:vAlign w:val="bottom"/>
            <w:shd w:val="clear" w:color="auto" w:fill="DBDBDB"/>
          </w:tcPr>
          <w:p>
            <w:pPr>
              <w:spacing w:after="0"/>
              <w:rPr>
                <w:sz w:val="18"/>
                <w:szCs w:val="18"/>
                <w:color w:val="auto"/>
              </w:rPr>
            </w:pPr>
          </w:p>
        </w:tc>
        <w:tc>
          <w:tcPr>
            <w:tcW w:w="3200" w:type="dxa"/>
            <w:vAlign w:val="bottom"/>
            <w:shd w:val="clear" w:color="auto" w:fill="DBDBDB"/>
          </w:tcPr>
          <w:p>
            <w:pPr>
              <w:spacing w:after="0"/>
              <w:rPr>
                <w:sz w:val="18"/>
                <w:szCs w:val="18"/>
                <w:color w:val="auto"/>
              </w:rPr>
            </w:pPr>
          </w:p>
        </w:tc>
        <w:tc>
          <w:tcPr>
            <w:tcW w:w="3900" w:type="dxa"/>
            <w:vAlign w:val="bottom"/>
            <w:shd w:val="clear" w:color="auto" w:fill="DBDBDB"/>
          </w:tcPr>
          <w:p>
            <w:pPr>
              <w:ind w:left="80"/>
              <w:spacing w:after="0"/>
              <w:rPr>
                <w:sz w:val="20"/>
                <w:szCs w:val="20"/>
                <w:color w:val="auto"/>
              </w:rPr>
            </w:pPr>
            <w:r>
              <w:rPr>
                <w:rFonts w:ascii="Arial" w:cs="Arial" w:eastAsia="Arial" w:hAnsi="Arial"/>
                <w:sz w:val="16"/>
                <w:szCs w:val="16"/>
                <w:color w:val="auto"/>
              </w:rPr>
              <w:t>International on March 1, 2023.</w:t>
            </w:r>
          </w:p>
        </w:tc>
        <w:tc>
          <w:tcPr>
            <w:tcW w:w="0" w:type="dxa"/>
            <w:vAlign w:val="bottom"/>
          </w:tcPr>
          <w:p>
            <w:pPr>
              <w:spacing w:after="0"/>
              <w:rPr>
                <w:sz w:val="1"/>
                <w:szCs w:val="1"/>
                <w:color w:val="auto"/>
              </w:rPr>
            </w:pPr>
          </w:p>
        </w:tc>
      </w:tr>
      <w:tr>
        <w:trPr>
          <w:trHeight w:val="29"/>
        </w:trPr>
        <w:tc>
          <w:tcPr>
            <w:tcW w:w="1120" w:type="dxa"/>
            <w:vAlign w:val="bottom"/>
            <w:shd w:val="clear" w:color="auto" w:fill="DBDBDB"/>
          </w:tcPr>
          <w:p>
            <w:pPr>
              <w:spacing w:after="0"/>
              <w:rPr>
                <w:sz w:val="2"/>
                <w:szCs w:val="2"/>
                <w:color w:val="auto"/>
              </w:rPr>
            </w:pPr>
          </w:p>
        </w:tc>
        <w:tc>
          <w:tcPr>
            <w:tcW w:w="2960" w:type="dxa"/>
            <w:vAlign w:val="bottom"/>
            <w:shd w:val="clear" w:color="auto" w:fill="DBDBDB"/>
          </w:tcPr>
          <w:p>
            <w:pPr>
              <w:spacing w:after="0"/>
              <w:rPr>
                <w:sz w:val="2"/>
                <w:szCs w:val="2"/>
                <w:color w:val="auto"/>
              </w:rPr>
            </w:pPr>
          </w:p>
        </w:tc>
        <w:tc>
          <w:tcPr>
            <w:tcW w:w="3200" w:type="dxa"/>
            <w:vAlign w:val="bottom"/>
            <w:shd w:val="clear" w:color="auto" w:fill="DBDBDB"/>
          </w:tcPr>
          <w:p>
            <w:pPr>
              <w:spacing w:after="0"/>
              <w:rPr>
                <w:sz w:val="2"/>
                <w:szCs w:val="2"/>
                <w:color w:val="auto"/>
              </w:rPr>
            </w:pPr>
          </w:p>
        </w:tc>
        <w:tc>
          <w:tcPr>
            <w:tcW w:w="39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115" w:right="359" w:bottom="1440" w:gutter="0" w:footer="0" w:header="0"/>
          <w:type w:val="continuous"/>
        </w:sectPr>
      </w:pPr>
    </w:p>
    <w:tbl>
      <w:tblPr>
        <w:tblLayout w:type="fixed"/>
        <w:tblInd w:w="40" w:type="dxa"/>
        <w:tblCellMar>
          <w:top w:w="0" w:type="dxa"/>
          <w:left w:w="0" w:type="dxa"/>
          <w:bottom w:w="0" w:type="dxa"/>
          <w:right w:w="0" w:type="dxa"/>
        </w:tblCellMar>
      </w:tblPr>
      <w:tr>
        <w:trPr>
          <w:trHeight w:val="175"/>
        </w:trPr>
        <w:tc>
          <w:tcPr>
            <w:tcW w:w="1040" w:type="dxa"/>
            <w:vAlign w:val="bottom"/>
          </w:tcPr>
          <w:p>
            <w:pPr>
              <w:spacing w:after="0" w:line="175" w:lineRule="exact"/>
              <w:rPr>
                <w:sz w:val="20"/>
                <w:szCs w:val="20"/>
                <w:color w:val="auto"/>
              </w:rPr>
            </w:pPr>
            <w:r>
              <w:rPr>
                <w:rFonts w:ascii="Arial" w:cs="Arial" w:eastAsia="Arial" w:hAnsi="Arial"/>
                <w:sz w:val="16"/>
                <w:szCs w:val="16"/>
                <w:color w:val="auto"/>
              </w:rPr>
              <w:t>Long-Term</w:t>
            </w:r>
          </w:p>
        </w:tc>
        <w:tc>
          <w:tcPr>
            <w:tcW w:w="3080" w:type="dxa"/>
            <w:vAlign w:val="bottom"/>
          </w:tcPr>
          <w:p>
            <w:pPr>
              <w:ind w:left="240"/>
              <w:spacing w:after="0" w:line="175" w:lineRule="exact"/>
              <w:rPr>
                <w:sz w:val="20"/>
                <w:szCs w:val="20"/>
                <w:color w:val="auto"/>
              </w:rPr>
            </w:pPr>
            <w:r>
              <w:rPr>
                <w:rFonts w:ascii="Arial" w:cs="Arial" w:eastAsia="Arial" w:hAnsi="Arial"/>
                <w:sz w:val="16"/>
                <w:szCs w:val="16"/>
                <w:color w:val="auto"/>
              </w:rPr>
              <w:t>A variable, long-term element of</w:t>
            </w:r>
          </w:p>
        </w:tc>
        <w:tc>
          <w:tcPr>
            <w:tcW w:w="3180" w:type="dxa"/>
            <w:vAlign w:val="bottom"/>
          </w:tcPr>
          <w:p>
            <w:pPr>
              <w:ind w:left="40"/>
              <w:spacing w:after="0" w:line="175" w:lineRule="exact"/>
              <w:rPr>
                <w:sz w:val="20"/>
                <w:szCs w:val="20"/>
                <w:color w:val="auto"/>
              </w:rPr>
            </w:pPr>
            <w:r>
              <w:rPr>
                <w:rFonts w:ascii="Arial" w:cs="Arial" w:eastAsia="Arial" w:hAnsi="Arial"/>
                <w:sz w:val="16"/>
                <w:szCs w:val="16"/>
                <w:color w:val="auto"/>
              </w:rPr>
              <w:t>Align the interests of our executive officers</w:t>
            </w:r>
          </w:p>
        </w:tc>
      </w:tr>
      <w:tr>
        <w:trPr>
          <w:trHeight w:val="189"/>
        </w:trPr>
        <w:tc>
          <w:tcPr>
            <w:tcW w:w="1040" w:type="dxa"/>
            <w:vAlign w:val="bottom"/>
          </w:tcPr>
          <w:p>
            <w:pPr>
              <w:spacing w:after="0"/>
              <w:rPr>
                <w:sz w:val="20"/>
                <w:szCs w:val="20"/>
                <w:color w:val="auto"/>
              </w:rPr>
            </w:pPr>
            <w:r>
              <w:rPr>
                <w:rFonts w:ascii="Arial" w:cs="Arial" w:eastAsia="Arial" w:hAnsi="Arial"/>
                <w:sz w:val="16"/>
                <w:szCs w:val="16"/>
                <w:color w:val="auto"/>
              </w:rPr>
              <w:t>Incentives</w:t>
            </w:r>
          </w:p>
        </w:tc>
        <w:tc>
          <w:tcPr>
            <w:tcW w:w="3080" w:type="dxa"/>
            <w:vAlign w:val="bottom"/>
          </w:tcPr>
          <w:p>
            <w:pPr>
              <w:ind w:left="240"/>
              <w:spacing w:after="0"/>
              <w:rPr>
                <w:sz w:val="20"/>
                <w:szCs w:val="20"/>
                <w:color w:val="auto"/>
              </w:rPr>
            </w:pPr>
            <w:r>
              <w:rPr>
                <w:rFonts w:ascii="Arial" w:cs="Arial" w:eastAsia="Arial" w:hAnsi="Arial"/>
                <w:sz w:val="16"/>
                <w:szCs w:val="16"/>
                <w:color w:val="auto"/>
              </w:rPr>
              <w:t>compensation, provided in the form of</w:t>
            </w:r>
          </w:p>
        </w:tc>
        <w:tc>
          <w:tcPr>
            <w:tcW w:w="3180" w:type="dxa"/>
            <w:vAlign w:val="bottom"/>
          </w:tcPr>
          <w:p>
            <w:pPr>
              <w:ind w:left="40"/>
              <w:spacing w:after="0"/>
              <w:rPr>
                <w:sz w:val="20"/>
                <w:szCs w:val="20"/>
                <w:color w:val="auto"/>
              </w:rPr>
            </w:pPr>
            <w:r>
              <w:rPr>
                <w:rFonts w:ascii="Arial" w:cs="Arial" w:eastAsia="Arial" w:hAnsi="Arial"/>
                <w:sz w:val="16"/>
                <w:szCs w:val="16"/>
                <w:color w:val="auto"/>
              </w:rPr>
              <w:t>with our shareholders; encourage focus on</w:t>
            </w:r>
          </w:p>
        </w:tc>
      </w:tr>
      <w:tr>
        <w:trPr>
          <w:trHeight w:val="189"/>
        </w:trPr>
        <w:tc>
          <w:tcPr>
            <w:tcW w:w="1040" w:type="dxa"/>
            <w:vAlign w:val="bottom"/>
          </w:tcPr>
          <w:p>
            <w:pPr>
              <w:spacing w:after="0"/>
              <w:rPr>
                <w:sz w:val="16"/>
                <w:szCs w:val="16"/>
                <w:color w:val="auto"/>
              </w:rPr>
            </w:pPr>
          </w:p>
        </w:tc>
        <w:tc>
          <w:tcPr>
            <w:tcW w:w="3080" w:type="dxa"/>
            <w:vAlign w:val="bottom"/>
          </w:tcPr>
          <w:p>
            <w:pPr>
              <w:ind w:left="240"/>
              <w:spacing w:after="0"/>
              <w:rPr>
                <w:sz w:val="20"/>
                <w:szCs w:val="20"/>
                <w:color w:val="auto"/>
              </w:rPr>
            </w:pPr>
            <w:r>
              <w:rPr>
                <w:rFonts w:ascii="Arial" w:cs="Arial" w:eastAsia="Arial" w:hAnsi="Arial"/>
                <w:sz w:val="16"/>
                <w:szCs w:val="16"/>
                <w:color w:val="auto"/>
              </w:rPr>
              <w:t>performance share awards (payable</w:t>
            </w:r>
          </w:p>
        </w:tc>
        <w:tc>
          <w:tcPr>
            <w:tcW w:w="3180" w:type="dxa"/>
            <w:vAlign w:val="bottom"/>
          </w:tcPr>
          <w:p>
            <w:pPr>
              <w:ind w:left="40"/>
              <w:spacing w:after="0"/>
              <w:rPr>
                <w:sz w:val="20"/>
                <w:szCs w:val="20"/>
                <w:color w:val="auto"/>
              </w:rPr>
            </w:pPr>
            <w:r>
              <w:rPr>
                <w:rFonts w:ascii="Arial" w:cs="Arial" w:eastAsia="Arial" w:hAnsi="Arial"/>
                <w:sz w:val="16"/>
                <w:szCs w:val="16"/>
                <w:color w:val="auto"/>
              </w:rPr>
              <w:t>long-term company financial performance</w:t>
            </w:r>
          </w:p>
        </w:tc>
      </w:tr>
      <w:tr>
        <w:trPr>
          <w:trHeight w:val="175"/>
        </w:trPr>
        <w:tc>
          <w:tcPr>
            <w:tcW w:w="1040" w:type="dxa"/>
            <w:vAlign w:val="bottom"/>
          </w:tcPr>
          <w:p>
            <w:pPr>
              <w:spacing w:after="0"/>
              <w:rPr>
                <w:sz w:val="15"/>
                <w:szCs w:val="15"/>
                <w:color w:val="auto"/>
              </w:rPr>
            </w:pPr>
          </w:p>
        </w:tc>
        <w:tc>
          <w:tcPr>
            <w:tcW w:w="3080" w:type="dxa"/>
            <w:vAlign w:val="bottom"/>
          </w:tcPr>
          <w:p>
            <w:pPr>
              <w:ind w:left="240"/>
              <w:spacing w:after="0" w:line="175" w:lineRule="exact"/>
              <w:rPr>
                <w:sz w:val="20"/>
                <w:szCs w:val="20"/>
                <w:color w:val="auto"/>
              </w:rPr>
            </w:pPr>
            <w:r>
              <w:rPr>
                <w:rFonts w:ascii="Arial" w:cs="Arial" w:eastAsia="Arial" w:hAnsi="Arial"/>
                <w:sz w:val="16"/>
                <w:szCs w:val="16"/>
                <w:color w:val="auto"/>
              </w:rPr>
              <w:t>based on achievement of three-year</w:t>
            </w:r>
          </w:p>
        </w:tc>
        <w:tc>
          <w:tcPr>
            <w:tcW w:w="3180" w:type="dxa"/>
            <w:vAlign w:val="bottom"/>
          </w:tcPr>
          <w:p>
            <w:pPr>
              <w:ind w:left="40"/>
              <w:spacing w:after="0" w:line="175" w:lineRule="exact"/>
              <w:rPr>
                <w:sz w:val="20"/>
                <w:szCs w:val="20"/>
                <w:color w:val="auto"/>
              </w:rPr>
            </w:pPr>
            <w:r>
              <w:rPr>
                <w:rFonts w:ascii="Arial" w:cs="Arial" w:eastAsia="Arial" w:hAnsi="Arial"/>
                <w:sz w:val="16"/>
                <w:szCs w:val="16"/>
                <w:color w:val="auto"/>
              </w:rPr>
              <w:t>measures that are deemed strategically and</w:t>
            </w:r>
          </w:p>
        </w:tc>
      </w:tr>
      <w:tr>
        <w:trPr>
          <w:trHeight w:val="189"/>
        </w:trPr>
        <w:tc>
          <w:tcPr>
            <w:tcW w:w="1040" w:type="dxa"/>
            <w:vAlign w:val="bottom"/>
          </w:tcPr>
          <w:p>
            <w:pPr>
              <w:spacing w:after="0"/>
              <w:rPr>
                <w:sz w:val="16"/>
                <w:szCs w:val="16"/>
                <w:color w:val="auto"/>
              </w:rPr>
            </w:pPr>
          </w:p>
        </w:tc>
        <w:tc>
          <w:tcPr>
            <w:tcW w:w="3080" w:type="dxa"/>
            <w:vAlign w:val="bottom"/>
          </w:tcPr>
          <w:p>
            <w:pPr>
              <w:ind w:left="240"/>
              <w:spacing w:after="0"/>
              <w:rPr>
                <w:sz w:val="20"/>
                <w:szCs w:val="20"/>
                <w:color w:val="auto"/>
              </w:rPr>
            </w:pPr>
            <w:r>
              <w:rPr>
                <w:rFonts w:ascii="Arial" w:cs="Arial" w:eastAsia="Arial" w:hAnsi="Arial"/>
                <w:sz w:val="16"/>
                <w:szCs w:val="16"/>
                <w:color w:val="auto"/>
              </w:rPr>
              <w:t>cumulative financial goals) and stock</w:t>
            </w:r>
          </w:p>
        </w:tc>
        <w:tc>
          <w:tcPr>
            <w:tcW w:w="3180" w:type="dxa"/>
            <w:vAlign w:val="bottom"/>
          </w:tcPr>
          <w:p>
            <w:pPr>
              <w:ind w:left="40"/>
              <w:spacing w:after="0"/>
              <w:rPr>
                <w:sz w:val="20"/>
                <w:szCs w:val="20"/>
                <w:color w:val="auto"/>
              </w:rPr>
            </w:pPr>
            <w:r>
              <w:rPr>
                <w:rFonts w:ascii="Arial" w:cs="Arial" w:eastAsia="Arial" w:hAnsi="Arial"/>
                <w:sz w:val="16"/>
                <w:szCs w:val="16"/>
                <w:color w:val="auto"/>
              </w:rPr>
              <w:t>operationally important to our Company;</w:t>
            </w:r>
          </w:p>
        </w:tc>
      </w:tr>
      <w:tr>
        <w:trPr>
          <w:trHeight w:val="189"/>
        </w:trPr>
        <w:tc>
          <w:tcPr>
            <w:tcW w:w="1040" w:type="dxa"/>
            <w:vAlign w:val="bottom"/>
          </w:tcPr>
          <w:p>
            <w:pPr>
              <w:spacing w:after="0"/>
              <w:rPr>
                <w:sz w:val="16"/>
                <w:szCs w:val="16"/>
                <w:color w:val="auto"/>
              </w:rPr>
            </w:pPr>
          </w:p>
        </w:tc>
        <w:tc>
          <w:tcPr>
            <w:tcW w:w="3080" w:type="dxa"/>
            <w:vAlign w:val="bottom"/>
          </w:tcPr>
          <w:p>
            <w:pPr>
              <w:ind w:left="240"/>
              <w:spacing w:after="0"/>
              <w:rPr>
                <w:sz w:val="20"/>
                <w:szCs w:val="20"/>
                <w:color w:val="auto"/>
              </w:rPr>
            </w:pPr>
            <w:r>
              <w:rPr>
                <w:rFonts w:ascii="Arial" w:cs="Arial" w:eastAsia="Arial" w:hAnsi="Arial"/>
                <w:sz w:val="16"/>
                <w:szCs w:val="16"/>
                <w:color w:val="auto"/>
              </w:rPr>
              <w:t>options, which vest annually over three</w:t>
            </w:r>
          </w:p>
        </w:tc>
        <w:tc>
          <w:tcPr>
            <w:tcW w:w="3180" w:type="dxa"/>
            <w:vAlign w:val="bottom"/>
          </w:tcPr>
          <w:p>
            <w:pPr>
              <w:ind w:left="40"/>
              <w:spacing w:after="0"/>
              <w:rPr>
                <w:sz w:val="20"/>
                <w:szCs w:val="20"/>
                <w:color w:val="auto"/>
              </w:rPr>
            </w:pPr>
            <w:r>
              <w:rPr>
                <w:rFonts w:ascii="Arial" w:cs="Arial" w:eastAsia="Arial" w:hAnsi="Arial"/>
                <w:sz w:val="16"/>
                <w:szCs w:val="16"/>
                <w:color w:val="auto"/>
              </w:rPr>
              <w:t>promote retention of our executive officers;</w:t>
            </w:r>
          </w:p>
        </w:tc>
      </w:tr>
      <w:tr>
        <w:trPr>
          <w:trHeight w:val="175"/>
        </w:trPr>
        <w:tc>
          <w:tcPr>
            <w:tcW w:w="1040" w:type="dxa"/>
            <w:vAlign w:val="bottom"/>
          </w:tcPr>
          <w:p>
            <w:pPr>
              <w:spacing w:after="0"/>
              <w:rPr>
                <w:sz w:val="15"/>
                <w:szCs w:val="15"/>
                <w:color w:val="auto"/>
              </w:rPr>
            </w:pPr>
          </w:p>
        </w:tc>
        <w:tc>
          <w:tcPr>
            <w:tcW w:w="3080" w:type="dxa"/>
            <w:vAlign w:val="bottom"/>
          </w:tcPr>
          <w:p>
            <w:pPr>
              <w:ind w:left="240"/>
              <w:spacing w:after="0" w:line="175" w:lineRule="exact"/>
              <w:rPr>
                <w:sz w:val="20"/>
                <w:szCs w:val="20"/>
                <w:color w:val="auto"/>
              </w:rPr>
            </w:pPr>
            <w:r>
              <w:rPr>
                <w:rFonts w:ascii="Arial" w:cs="Arial" w:eastAsia="Arial" w:hAnsi="Arial"/>
                <w:sz w:val="16"/>
                <w:szCs w:val="16"/>
                <w:color w:val="auto"/>
              </w:rPr>
              <w:t>years.</w:t>
            </w:r>
          </w:p>
        </w:tc>
        <w:tc>
          <w:tcPr>
            <w:tcW w:w="3180" w:type="dxa"/>
            <w:vAlign w:val="bottom"/>
          </w:tcPr>
          <w:p>
            <w:pPr>
              <w:ind w:left="40"/>
              <w:spacing w:after="0" w:line="175" w:lineRule="exact"/>
              <w:rPr>
                <w:sz w:val="20"/>
                <w:szCs w:val="20"/>
                <w:color w:val="auto"/>
              </w:rPr>
            </w:pPr>
            <w:r>
              <w:rPr>
                <w:rFonts w:ascii="Arial" w:cs="Arial" w:eastAsia="Arial" w:hAnsi="Arial"/>
                <w:sz w:val="16"/>
                <w:szCs w:val="16"/>
                <w:color w:val="auto"/>
              </w:rPr>
              <w:t>and encourage significant ownership of our</w:t>
            </w:r>
          </w:p>
        </w:tc>
      </w:tr>
      <w:tr>
        <w:trPr>
          <w:trHeight w:val="215"/>
        </w:trPr>
        <w:tc>
          <w:tcPr>
            <w:tcW w:w="1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180" w:type="dxa"/>
            <w:vAlign w:val="bottom"/>
          </w:tcPr>
          <w:p>
            <w:pPr>
              <w:ind w:left="40"/>
              <w:spacing w:after="0"/>
              <w:rPr>
                <w:sz w:val="20"/>
                <w:szCs w:val="20"/>
                <w:color w:val="auto"/>
              </w:rPr>
            </w:pPr>
            <w:r>
              <w:rPr>
                <w:rFonts w:ascii="Arial" w:cs="Arial" w:eastAsia="Arial" w:hAnsi="Arial"/>
                <w:sz w:val="16"/>
                <w:szCs w:val="16"/>
                <w:color w:val="auto"/>
              </w:rPr>
              <w:t>common stock.</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All of our NEOs, other than Ms. Totsky, were granted performance share awards and stock options.</w:t>
      </w:r>
    </w:p>
    <w:p>
      <w:pPr>
        <w:ind w:right="620"/>
        <w:spacing w:after="0" w:line="264" w:lineRule="auto"/>
        <w:rPr>
          <w:sz w:val="20"/>
          <w:szCs w:val="20"/>
          <w:color w:val="auto"/>
        </w:rPr>
      </w:pPr>
      <w:r>
        <w:rPr>
          <w:rFonts w:ascii="Arial" w:cs="Arial" w:eastAsia="Arial" w:hAnsi="Arial"/>
          <w:sz w:val="16"/>
          <w:szCs w:val="16"/>
          <w:color w:val="auto"/>
        </w:rPr>
        <w:t>In connection with her hiring, Ms. Totsky was granted a restricted stock unit award.</w:t>
      </w:r>
    </w:p>
    <w:p>
      <w:pPr>
        <w:ind w:right="80"/>
        <w:spacing w:after="0" w:line="268" w:lineRule="auto"/>
        <w:rPr>
          <w:sz w:val="20"/>
          <w:szCs w:val="20"/>
          <w:color w:val="auto"/>
        </w:rPr>
      </w:pPr>
      <w:r>
        <w:rPr>
          <w:rFonts w:ascii="Arial" w:cs="Arial" w:eastAsia="Arial" w:hAnsi="Arial"/>
          <w:sz w:val="16"/>
          <w:szCs w:val="16"/>
          <w:color w:val="auto"/>
        </w:rPr>
        <w:t>In connection with their promotions, Ms. Drake and Mr. Janey were granted restricted stock unit awards.</w:t>
      </w:r>
    </w:p>
    <w:p>
      <w:pPr>
        <w:spacing w:after="0" w:line="422" w:lineRule="exact"/>
        <w:rPr>
          <w:sz w:val="20"/>
          <w:szCs w:val="20"/>
          <w:color w:val="auto"/>
        </w:rPr>
      </w:pPr>
    </w:p>
    <w:p>
      <w:pPr>
        <w:sectPr>
          <w:pgSz w:w="11900" w:h="16838" w:orient="portrait"/>
          <w:cols w:equalWidth="0" w:num="2">
            <w:col w:w="7340" w:space="60"/>
            <w:col w:w="3820"/>
          </w:cols>
          <w:pgMar w:left="320" w:top="111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5" w:right="359" w:bottom="1440" w:gutter="0" w:footer="0" w:header="0"/>
          <w:type w:val="continuous"/>
        </w:sectPr>
      </w:pPr>
    </w:p>
    <w:bookmarkStart w:id="46" w:name="page47"/>
    <w:bookmarkEnd w:id="46"/>
    <w:tbl>
      <w:tblPr>
        <w:tblLayout w:type="fixed"/>
        <w:tblInd w:w="40" w:type="dxa"/>
        <w:tblCellMar>
          <w:top w:w="0" w:type="dxa"/>
          <w:left w:w="0" w:type="dxa"/>
          <w:bottom w:w="0" w:type="dxa"/>
          <w:right w:w="0" w:type="dxa"/>
        </w:tblCellMar>
      </w:tblPr>
      <w:tr>
        <w:trPr>
          <w:trHeight w:val="188"/>
        </w:trPr>
        <w:tc>
          <w:tcPr>
            <w:tcW w:w="1240" w:type="dxa"/>
            <w:vAlign w:val="bottom"/>
            <w:shd w:val="clear" w:color="auto" w:fill="DBDBDB"/>
          </w:tcPr>
          <w:p>
            <w:pPr>
              <w:spacing w:after="0"/>
              <w:rPr>
                <w:sz w:val="20"/>
                <w:szCs w:val="20"/>
                <w:color w:val="auto"/>
              </w:rPr>
            </w:pPr>
            <w:r>
              <w:rPr>
                <w:rFonts w:ascii="Arial" w:cs="Arial" w:eastAsia="Arial" w:hAnsi="Arial"/>
                <w:sz w:val="16"/>
                <w:szCs w:val="16"/>
                <w:color w:val="auto"/>
              </w:rPr>
              <w:t>Health and</w:t>
            </w:r>
          </w:p>
        </w:tc>
        <w:tc>
          <w:tcPr>
            <w:tcW w:w="5900" w:type="dxa"/>
            <w:vAlign w:val="bottom"/>
            <w:shd w:val="clear" w:color="auto" w:fill="DBDBDB"/>
          </w:tcPr>
          <w:p>
            <w:pPr>
              <w:ind w:left="40"/>
              <w:spacing w:after="0"/>
              <w:rPr>
                <w:sz w:val="20"/>
                <w:szCs w:val="20"/>
                <w:color w:val="auto"/>
              </w:rPr>
            </w:pPr>
            <w:r>
              <w:rPr>
                <w:rFonts w:ascii="Arial" w:cs="Arial" w:eastAsia="Arial" w:hAnsi="Arial"/>
                <w:sz w:val="16"/>
                <w:szCs w:val="16"/>
                <w:color w:val="auto"/>
              </w:rPr>
              <w:t>Includes medical and dental insurance, Provide competitive health and welfare</w:t>
            </w:r>
          </w:p>
        </w:tc>
        <w:tc>
          <w:tcPr>
            <w:tcW w:w="40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No significant changes were made to our health and</w:t>
            </w:r>
          </w:p>
        </w:tc>
      </w:tr>
      <w:tr>
        <w:trPr>
          <w:trHeight w:val="176"/>
        </w:trPr>
        <w:tc>
          <w:tcPr>
            <w:tcW w:w="1240" w:type="dxa"/>
            <w:vAlign w:val="bottom"/>
            <w:shd w:val="clear" w:color="auto" w:fill="DBDBDB"/>
          </w:tcPr>
          <w:p>
            <w:pPr>
              <w:spacing w:after="0" w:line="175" w:lineRule="exact"/>
              <w:rPr>
                <w:sz w:val="20"/>
                <w:szCs w:val="20"/>
                <w:color w:val="auto"/>
              </w:rPr>
            </w:pPr>
            <w:r>
              <w:rPr>
                <w:rFonts w:ascii="Arial" w:cs="Arial" w:eastAsia="Arial" w:hAnsi="Arial"/>
                <w:sz w:val="16"/>
                <w:szCs w:val="16"/>
                <w:color w:val="auto"/>
              </w:rPr>
              <w:t>Welfare Benefits</w:t>
            </w:r>
          </w:p>
        </w:tc>
        <w:tc>
          <w:tcPr>
            <w:tcW w:w="5900" w:type="dxa"/>
            <w:vAlign w:val="bottom"/>
            <w:shd w:val="clear" w:color="auto" w:fill="DBDBDB"/>
          </w:tcPr>
          <w:p>
            <w:pPr>
              <w:ind w:left="40"/>
              <w:spacing w:after="0" w:line="175" w:lineRule="exact"/>
              <w:rPr>
                <w:sz w:val="20"/>
                <w:szCs w:val="20"/>
                <w:color w:val="auto"/>
              </w:rPr>
            </w:pPr>
            <w:r>
              <w:rPr>
                <w:rFonts w:ascii="Arial" w:cs="Arial" w:eastAsia="Arial" w:hAnsi="Arial"/>
                <w:sz w:val="16"/>
                <w:szCs w:val="16"/>
                <w:color w:val="auto"/>
              </w:rPr>
              <w:t>life and disability insurance and certain benefits.</w:t>
            </w:r>
          </w:p>
        </w:tc>
        <w:tc>
          <w:tcPr>
            <w:tcW w:w="4040" w:type="dxa"/>
            <w:vAlign w:val="bottom"/>
            <w:shd w:val="clear" w:color="auto" w:fill="DBDBDB"/>
          </w:tcPr>
          <w:p>
            <w:pPr>
              <w:ind w:left="220"/>
              <w:spacing w:after="0" w:line="175" w:lineRule="exact"/>
              <w:rPr>
                <w:sz w:val="20"/>
                <w:szCs w:val="20"/>
                <w:color w:val="auto"/>
              </w:rPr>
            </w:pPr>
            <w:r>
              <w:rPr>
                <w:rFonts w:ascii="Arial" w:cs="Arial" w:eastAsia="Arial" w:hAnsi="Arial"/>
                <w:sz w:val="16"/>
                <w:szCs w:val="16"/>
                <w:color w:val="auto"/>
              </w:rPr>
              <w:t>welfare benefits.</w:t>
            </w:r>
          </w:p>
        </w:tc>
      </w:tr>
      <w:tr>
        <w:trPr>
          <w:trHeight w:val="215"/>
        </w:trPr>
        <w:tc>
          <w:tcPr>
            <w:tcW w:w="1240" w:type="dxa"/>
            <w:vAlign w:val="bottom"/>
            <w:shd w:val="clear" w:color="auto" w:fill="DBDBDB"/>
          </w:tcPr>
          <w:p>
            <w:pPr>
              <w:spacing w:after="0"/>
              <w:rPr>
                <w:sz w:val="18"/>
                <w:szCs w:val="18"/>
                <w:color w:val="auto"/>
              </w:rPr>
            </w:pPr>
          </w:p>
        </w:tc>
        <w:tc>
          <w:tcPr>
            <w:tcW w:w="5900" w:type="dxa"/>
            <w:vAlign w:val="bottom"/>
            <w:shd w:val="clear" w:color="auto" w:fill="DBDBDB"/>
          </w:tcPr>
          <w:p>
            <w:pPr>
              <w:ind w:left="40"/>
              <w:spacing w:after="0"/>
              <w:rPr>
                <w:sz w:val="20"/>
                <w:szCs w:val="20"/>
                <w:color w:val="auto"/>
              </w:rPr>
            </w:pPr>
            <w:r>
              <w:rPr>
                <w:rFonts w:ascii="Arial" w:cs="Arial" w:eastAsia="Arial" w:hAnsi="Arial"/>
                <w:sz w:val="16"/>
                <w:szCs w:val="16"/>
                <w:color w:val="auto"/>
              </w:rPr>
              <w:t>voluntary benefits.</w:t>
            </w:r>
          </w:p>
        </w:tc>
        <w:tc>
          <w:tcPr>
            <w:tcW w:w="4040" w:type="dxa"/>
            <w:vAlign w:val="bottom"/>
            <w:shd w:val="clear" w:color="auto" w:fill="DBDBDB"/>
          </w:tcPr>
          <w:p>
            <w:pPr>
              <w:spacing w:after="0"/>
              <w:rPr>
                <w:sz w:val="18"/>
                <w:szCs w:val="18"/>
                <w:color w:val="auto"/>
              </w:rPr>
            </w:pPr>
          </w:p>
        </w:tc>
      </w:tr>
      <w:tr>
        <w:trPr>
          <w:trHeight w:val="29"/>
        </w:trPr>
        <w:tc>
          <w:tcPr>
            <w:tcW w:w="1240" w:type="dxa"/>
            <w:vAlign w:val="bottom"/>
            <w:shd w:val="clear" w:color="auto" w:fill="DBDBDB"/>
          </w:tcPr>
          <w:p>
            <w:pPr>
              <w:spacing w:after="0"/>
              <w:rPr>
                <w:sz w:val="2"/>
                <w:szCs w:val="2"/>
                <w:color w:val="auto"/>
              </w:rPr>
            </w:pPr>
          </w:p>
        </w:tc>
        <w:tc>
          <w:tcPr>
            <w:tcW w:w="5900" w:type="dxa"/>
            <w:vAlign w:val="bottom"/>
            <w:shd w:val="clear" w:color="auto" w:fill="DBDBDB"/>
          </w:tcPr>
          <w:p>
            <w:pPr>
              <w:spacing w:after="0"/>
              <w:rPr>
                <w:sz w:val="2"/>
                <w:szCs w:val="2"/>
                <w:color w:val="auto"/>
              </w:rPr>
            </w:pPr>
          </w:p>
        </w:tc>
        <w:tc>
          <w:tcPr>
            <w:tcW w:w="4040" w:type="dxa"/>
            <w:vAlign w:val="bottom"/>
            <w:shd w:val="clear" w:color="auto" w:fill="DBDBDB"/>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20"/>
          </w:cols>
          <w:pgMar w:left="320" w:top="1166" w:right="359" w:bottom="1440" w:gutter="0" w:footer="0" w:header="0"/>
        </w:sectPr>
      </w:pPr>
    </w:p>
    <w:p>
      <w:pPr>
        <w:ind w:left="1320" w:hanging="1281"/>
        <w:spacing w:after="0" w:line="257" w:lineRule="auto"/>
        <w:rPr>
          <w:sz w:val="20"/>
          <w:szCs w:val="20"/>
          <w:color w:val="auto"/>
        </w:rPr>
      </w:pPr>
      <w:r>
        <w:rPr>
          <w:rFonts w:ascii="Arial" w:cs="Arial" w:eastAsia="Arial" w:hAnsi="Arial"/>
          <w:sz w:val="16"/>
          <w:szCs w:val="16"/>
          <w:color w:val="auto"/>
        </w:rPr>
        <w:t>Retirement Plans Includes a defined contribution retirement plan and certain nonqualified retirement plans.</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Provide an opportunity for employees to save and prepare financially for retirement.</w:t>
      </w:r>
    </w:p>
    <w:p>
      <w:pPr>
        <w:spacing w:after="0" w:line="20" w:lineRule="exact"/>
        <w:rPr>
          <w:sz w:val="20"/>
          <w:szCs w:val="20"/>
          <w:color w:val="auto"/>
        </w:rPr>
      </w:pPr>
      <w:r>
        <w:rPr>
          <w:sz w:val="20"/>
          <w:szCs w:val="20"/>
          <w:color w:val="auto"/>
        </w:rPr>
        <w:br w:type="column"/>
      </w:r>
    </w:p>
    <w:p>
      <w:pPr>
        <w:ind w:right="100"/>
        <w:spacing w:after="0" w:line="285" w:lineRule="auto"/>
        <w:rPr>
          <w:sz w:val="20"/>
          <w:szCs w:val="20"/>
          <w:color w:val="auto"/>
        </w:rPr>
      </w:pPr>
      <w:r>
        <w:rPr>
          <w:rFonts w:ascii="Arial" w:cs="Arial" w:eastAsia="Arial" w:hAnsi="Arial"/>
          <w:sz w:val="16"/>
          <w:szCs w:val="16"/>
          <w:color w:val="auto"/>
        </w:rPr>
        <w:t>No significant changes were made to our retirement plans.</w:t>
      </w:r>
    </w:p>
    <w:p>
      <w:pPr>
        <w:spacing w:after="0" w:line="170" w:lineRule="exact"/>
        <w:rPr>
          <w:sz w:val="20"/>
          <w:szCs w:val="20"/>
          <w:color w:val="auto"/>
        </w:rPr>
      </w:pPr>
    </w:p>
    <w:p>
      <w:pPr>
        <w:sectPr>
          <w:pgSz w:w="11900" w:h="16838" w:orient="portrait"/>
          <w:cols w:equalWidth="0" w:num="3">
            <w:col w:w="3520" w:space="680"/>
            <w:col w:w="3060" w:space="140"/>
            <w:col w:w="3820"/>
          </w:cols>
          <w:pgMar w:left="320" w:top="1166" w:right="359" w:bottom="1440" w:gutter="0" w:footer="0" w:header="0"/>
          <w:type w:val="continuous"/>
        </w:sectPr>
      </w:pPr>
    </w:p>
    <w:p>
      <w:pPr>
        <w:ind w:left="40"/>
        <w:spacing w:after="0"/>
        <w:tabs>
          <w:tab w:leader="none" w:pos="1300" w:val="left"/>
          <w:tab w:leader="none" w:pos="4180" w:val="left"/>
          <w:tab w:leader="none" w:pos="7380" w:val="left"/>
        </w:tabs>
        <w:rPr>
          <w:sz w:val="20"/>
          <w:szCs w:val="20"/>
          <w:color w:val="auto"/>
        </w:rPr>
      </w:pPr>
      <w:r>
        <w:rPr>
          <w:rFonts w:ascii="Arial" w:cs="Arial" w:eastAsia="Arial" w:hAnsi="Arial"/>
          <w:sz w:val="16"/>
          <w:szCs w:val="16"/>
          <w:color w:val="auto"/>
        </w:rPr>
        <w:t>Perquisites</w:t>
      </w:r>
      <w:r>
        <w:rPr>
          <w:sz w:val="20"/>
          <w:szCs w:val="20"/>
          <w:color w:val="auto"/>
        </w:rPr>
        <w:tab/>
      </w:r>
      <w:r>
        <w:rPr>
          <w:rFonts w:ascii="Arial" w:cs="Arial" w:eastAsia="Arial" w:hAnsi="Arial"/>
          <w:sz w:val="16"/>
          <w:szCs w:val="16"/>
          <w:color w:val="auto"/>
        </w:rPr>
        <w:t>Includes a financial planning</w:t>
      </w:r>
      <w:r>
        <w:rPr>
          <w:sz w:val="20"/>
          <w:szCs w:val="20"/>
          <w:color w:val="auto"/>
        </w:rPr>
        <w:tab/>
      </w:r>
      <w:r>
        <w:rPr>
          <w:rFonts w:ascii="Arial" w:cs="Arial" w:eastAsia="Arial" w:hAnsi="Arial"/>
          <w:sz w:val="16"/>
          <w:szCs w:val="16"/>
          <w:color w:val="auto"/>
        </w:rPr>
        <w:t>Assist in promoting the personal financial</w:t>
        <w:tab/>
        <w:t>No significant changes were made to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-115570</wp:posOffset>
            </wp:positionV>
            <wp:extent cx="7106285" cy="8572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06285" cy="857250"/>
                    </a:xfrm>
                    <a:prstGeom prst="rect">
                      <a:avLst/>
                    </a:prstGeom>
                    <a:noFill/>
                  </pic:spPr>
                </pic:pic>
              </a:graphicData>
            </a:graphic>
          </wp:anchor>
        </w:drawing>
      </w:r>
    </w:p>
    <w:p>
      <w:pPr>
        <w:ind w:left="1320"/>
        <w:spacing w:after="0"/>
        <w:tabs>
          <w:tab w:leader="none" w:pos="4180" w:val="left"/>
        </w:tabs>
        <w:rPr>
          <w:sz w:val="20"/>
          <w:szCs w:val="20"/>
          <w:color w:val="auto"/>
        </w:rPr>
      </w:pPr>
      <w:r>
        <w:rPr>
          <w:rFonts w:ascii="Arial" w:cs="Arial" w:eastAsia="Arial" w:hAnsi="Arial"/>
          <w:sz w:val="16"/>
          <w:szCs w:val="16"/>
          <w:color w:val="auto"/>
        </w:rPr>
        <w:t>allowance, Company products,</w:t>
      </w:r>
      <w:r>
        <w:rPr>
          <w:sz w:val="20"/>
          <w:szCs w:val="20"/>
          <w:color w:val="auto"/>
        </w:rPr>
        <w:tab/>
      </w:r>
      <w:r>
        <w:rPr>
          <w:rFonts w:ascii="Arial" w:cs="Arial" w:eastAsia="Arial" w:hAnsi="Arial"/>
          <w:sz w:val="16"/>
          <w:szCs w:val="16"/>
          <w:color w:val="auto"/>
        </w:rPr>
        <w:t>security of our executive officers; promote</w:t>
      </w:r>
    </w:p>
    <w:p>
      <w:pPr>
        <w:ind w:left="1320"/>
        <w:spacing w:after="0"/>
        <w:rPr>
          <w:sz w:val="20"/>
          <w:szCs w:val="20"/>
          <w:color w:val="auto"/>
        </w:rPr>
      </w:pPr>
      <w:r>
        <w:rPr>
          <w:rFonts w:ascii="Arial" w:cs="Arial" w:eastAsia="Arial" w:hAnsi="Arial"/>
          <w:sz w:val="16"/>
          <w:szCs w:val="16"/>
          <w:color w:val="auto"/>
        </w:rPr>
        <w:t>company-leased automobile, executive personal use of our products by our</w:t>
      </w:r>
    </w:p>
    <w:p>
      <w:pPr>
        <w:spacing w:after="0" w:line="5" w:lineRule="exact"/>
        <w:rPr>
          <w:sz w:val="20"/>
          <w:szCs w:val="20"/>
          <w:color w:val="auto"/>
        </w:rPr>
      </w:pPr>
    </w:p>
    <w:p>
      <w:pPr>
        <w:ind w:left="1320"/>
        <w:spacing w:after="0"/>
        <w:tabs>
          <w:tab w:leader="none" w:pos="4180" w:val="left"/>
        </w:tabs>
        <w:rPr>
          <w:sz w:val="20"/>
          <w:szCs w:val="20"/>
          <w:color w:val="auto"/>
        </w:rPr>
      </w:pPr>
      <w:r>
        <w:rPr>
          <w:rFonts w:ascii="Arial" w:cs="Arial" w:eastAsia="Arial" w:hAnsi="Arial"/>
          <w:sz w:val="16"/>
          <w:szCs w:val="16"/>
          <w:color w:val="auto"/>
        </w:rPr>
        <w:t>physical and certain travel costs for</w:t>
      </w:r>
      <w:r>
        <w:rPr>
          <w:sz w:val="20"/>
          <w:szCs w:val="20"/>
          <w:color w:val="auto"/>
        </w:rPr>
        <w:tab/>
      </w:r>
      <w:r>
        <w:rPr>
          <w:rFonts w:ascii="Arial" w:cs="Arial" w:eastAsia="Arial" w:hAnsi="Arial"/>
          <w:sz w:val="16"/>
          <w:szCs w:val="16"/>
          <w:color w:val="auto"/>
        </w:rPr>
        <w:t>executive officers and the attraction,</w:t>
      </w:r>
    </w:p>
    <w:p>
      <w:pPr>
        <w:ind w:left="1320"/>
        <w:spacing w:after="0" w:line="235" w:lineRule="auto"/>
        <w:rPr>
          <w:sz w:val="20"/>
          <w:szCs w:val="20"/>
          <w:color w:val="auto"/>
        </w:rPr>
      </w:pPr>
      <w:r>
        <w:rPr>
          <w:rFonts w:ascii="Arial" w:cs="Arial" w:eastAsia="Arial" w:hAnsi="Arial"/>
          <w:sz w:val="16"/>
          <w:szCs w:val="16"/>
          <w:color w:val="auto"/>
        </w:rPr>
        <w:t>spouses in connection with certain off-  retention and wellbeing of our executive</w:t>
      </w:r>
    </w:p>
    <w:p>
      <w:pPr>
        <w:ind w:left="1320"/>
        <w:spacing w:after="0"/>
        <w:rPr>
          <w:sz w:val="20"/>
          <w:szCs w:val="20"/>
          <w:color w:val="auto"/>
        </w:rPr>
      </w:pPr>
      <w:r>
        <w:rPr>
          <w:rFonts w:ascii="Arial" w:cs="Arial" w:eastAsia="Arial" w:hAnsi="Arial"/>
          <w:sz w:val="16"/>
          <w:szCs w:val="16"/>
          <w:color w:val="auto"/>
        </w:rPr>
        <w:t>site business related meetings in which officers.</w:t>
      </w:r>
    </w:p>
    <w:p>
      <w:pPr>
        <w:spacing w:after="0" w:line="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it is appropriate for a spouse to attend.</w:t>
      </w:r>
    </w:p>
    <w:p>
      <w:pPr>
        <w:spacing w:after="0" w:line="227" w:lineRule="exact"/>
        <w:rPr>
          <w:sz w:val="20"/>
          <w:szCs w:val="20"/>
          <w:color w:val="auto"/>
        </w:rPr>
      </w:pPr>
    </w:p>
    <w:p>
      <w:pPr>
        <w:ind w:right="540" w:firstLine="324"/>
        <w:spacing w:after="0" w:line="271" w:lineRule="auto"/>
        <w:rPr>
          <w:sz w:val="20"/>
          <w:szCs w:val="20"/>
          <w:color w:val="auto"/>
        </w:rPr>
      </w:pPr>
      <w:r>
        <w:rPr>
          <w:rFonts w:ascii="Arial" w:cs="Arial" w:eastAsia="Arial" w:hAnsi="Arial"/>
          <w:sz w:val="18"/>
          <w:szCs w:val="18"/>
          <w:color w:val="auto"/>
        </w:rPr>
        <w:t>In connection with her hiring in fiscal 2023, Ms. Totsky, our Vice President, General Counsel and Corporate Secretary received the following as a part of her employment offer:</w:t>
      </w:r>
    </w:p>
    <w:p>
      <w:pPr>
        <w:spacing w:after="0" w:line="32" w:lineRule="exact"/>
        <w:rPr>
          <w:sz w:val="20"/>
          <w:szCs w:val="20"/>
          <w:color w:val="auto"/>
        </w:rPr>
      </w:pPr>
    </w:p>
    <w:p>
      <w:pPr>
        <w:ind w:left="660" w:right="420" w:hanging="328"/>
        <w:spacing w:after="0" w:line="266"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cash sign-on bonus of $150,000 to help offset forfeited compensation from her previous employer and which is was subject to repayment if Ms. Totsky voluntarily terminates her employment prior to June 19, 2024, her one-year anniversary with TTC;</w:t>
      </w:r>
    </w:p>
    <w:p>
      <w:pPr>
        <w:ind w:left="660" w:right="20" w:hanging="328"/>
        <w:spacing w:after="0" w:line="266"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one-time restricted stock unit award of 13,878 shares, valued at $1.35 million intended to help offset forfeited equity value from her previous employer and which will vest in three annual installments over three years; and</w:t>
      </w:r>
    </w:p>
    <w:p>
      <w:pPr>
        <w:ind w:left="660" w:right="220" w:hanging="328"/>
        <w:spacing w:after="0" w:line="271"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relocation benefits, in line with our standard relocation policy, including temporary living, shipment of household goods and automobile and home closing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6" w:right="359" w:bottom="1440" w:gutter="0" w:footer="0" w:header="0"/>
          <w:type w:val="continuous"/>
        </w:sectPr>
      </w:pPr>
    </w:p>
    <w:bookmarkStart w:id="47" w:name="page48"/>
    <w:bookmarkEnd w:id="47"/>
    <w:p>
      <w:pPr>
        <w:ind w:left="340"/>
        <w:spacing w:after="0"/>
        <w:rPr>
          <w:sz w:val="20"/>
          <w:szCs w:val="20"/>
          <w:color w:val="auto"/>
        </w:rPr>
      </w:pPr>
      <w:r>
        <w:rPr>
          <w:rFonts w:ascii="Arial" w:cs="Arial" w:eastAsia="Arial" w:hAnsi="Arial"/>
          <w:sz w:val="18"/>
          <w:szCs w:val="18"/>
          <w:b w:val="1"/>
          <w:bCs w:val="1"/>
          <w:color w:val="auto"/>
        </w:rPr>
        <w:t>Base Salary</w:t>
      </w:r>
    </w:p>
    <w:p>
      <w:pPr>
        <w:spacing w:after="0" w:line="104" w:lineRule="exact"/>
        <w:rPr>
          <w:sz w:val="20"/>
          <w:szCs w:val="20"/>
          <w:color w:val="auto"/>
        </w:rPr>
      </w:pPr>
    </w:p>
    <w:p>
      <w:pPr>
        <w:ind w:right="420" w:firstLine="324"/>
        <w:spacing w:after="0" w:line="23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set base salaries for new executive officers at the time of hire and review base salaries for our executive officers on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basis to ensure they remain market competitive and reflect the scope and responsibility of their positions. Base salaries for our</w:t>
      </w:r>
    </w:p>
    <w:p>
      <w:pPr>
        <w:spacing w:after="0" w:line="235" w:lineRule="auto"/>
        <w:rPr>
          <w:sz w:val="20"/>
          <w:szCs w:val="20"/>
          <w:color w:val="auto"/>
        </w:rPr>
      </w:pPr>
      <w:r>
        <w:rPr>
          <w:rFonts w:ascii="Arial" w:cs="Arial" w:eastAsia="Arial" w:hAnsi="Arial"/>
          <w:sz w:val="18"/>
          <w:szCs w:val="18"/>
          <w:color w:val="auto"/>
        </w:rPr>
        <w:t>executive officers are reviewed and discussed at the regular meeting of the Compensation &amp; Human Resources Committee held each</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December and are effective the following March 1st. We also review base salaries in connection with promotions and otherwise upon a significant change in an executive officer's responsibilities or role.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We take into consideration the following factors in setting or reviewing base salaries for our executive officers:</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current base salary; positioning relative to competitive market data; scope and complexity of the position; experience; tenure; historical and current levels of function, division and individual performance; future potential; and internal pay comparisons.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fiscal 2023 base salaries of our NEOs and any percent increase over fiscal 2022 base salaries are provided in the table below.</w:t>
      </w:r>
    </w:p>
    <w:p>
      <w:pPr>
        <w:spacing w:after="0" w:line="163" w:lineRule="exact"/>
        <w:rPr>
          <w:sz w:val="20"/>
          <w:szCs w:val="20"/>
          <w:color w:val="auto"/>
        </w:rPr>
      </w:pPr>
    </w:p>
    <w:tbl>
      <w:tblPr>
        <w:tblLayout w:type="fixed"/>
        <w:tblInd w:w="1240" w:type="dxa"/>
        <w:tblCellMar>
          <w:top w:w="0" w:type="dxa"/>
          <w:left w:w="0" w:type="dxa"/>
          <w:bottom w:w="0" w:type="dxa"/>
          <w:right w:w="0" w:type="dxa"/>
        </w:tblCellMar>
      </w:tblPr>
      <w:tr>
        <w:trPr>
          <w:trHeight w:val="193"/>
        </w:trPr>
        <w:tc>
          <w:tcPr>
            <w:tcW w:w="1960" w:type="dxa"/>
            <w:vAlign w:val="bottom"/>
            <w:shd w:val="clear" w:color="auto" w:fill="BF2115"/>
          </w:tcPr>
          <w:p>
            <w:pPr>
              <w:spacing w:after="0"/>
              <w:rPr>
                <w:sz w:val="16"/>
                <w:szCs w:val="16"/>
                <w:color w:val="auto"/>
              </w:rPr>
            </w:pPr>
          </w:p>
        </w:tc>
        <w:tc>
          <w:tcPr>
            <w:tcW w:w="3880" w:type="dxa"/>
            <w:vAlign w:val="bottom"/>
            <w:shd w:val="clear" w:color="auto" w:fill="BF2115"/>
          </w:tcPr>
          <w:p>
            <w:pPr>
              <w:spacing w:after="0"/>
              <w:rPr>
                <w:sz w:val="16"/>
                <w:szCs w:val="16"/>
                <w:color w:val="auto"/>
              </w:rPr>
            </w:pPr>
          </w:p>
        </w:tc>
        <w:tc>
          <w:tcPr>
            <w:tcW w:w="2940" w:type="dxa"/>
            <w:vAlign w:val="bottom"/>
            <w:shd w:val="clear" w:color="auto" w:fill="BF2115"/>
          </w:tcPr>
          <w:p>
            <w:pPr>
              <w:jc w:val="center"/>
              <w:ind w:right="35"/>
              <w:spacing w:after="0"/>
              <w:rPr>
                <w:sz w:val="20"/>
                <w:szCs w:val="20"/>
                <w:color w:val="auto"/>
              </w:rPr>
            </w:pPr>
            <w:r>
              <w:rPr>
                <w:rFonts w:ascii="Arial" w:cs="Arial" w:eastAsia="Arial" w:hAnsi="Arial"/>
                <w:sz w:val="14"/>
                <w:szCs w:val="14"/>
                <w:b w:val="1"/>
                <w:bCs w:val="1"/>
                <w:color w:val="FFFFFF"/>
              </w:rPr>
              <w:t>Percent Increase Over Previous Base</w:t>
            </w:r>
          </w:p>
        </w:tc>
      </w:tr>
      <w:tr>
        <w:trPr>
          <w:trHeight w:val="175"/>
        </w:trPr>
        <w:tc>
          <w:tcPr>
            <w:tcW w:w="1960" w:type="dxa"/>
            <w:vAlign w:val="bottom"/>
            <w:shd w:val="clear" w:color="auto" w:fill="BF2115"/>
          </w:tcPr>
          <w:p>
            <w:pPr>
              <w:spacing w:after="0"/>
              <w:rPr>
                <w:sz w:val="15"/>
                <w:szCs w:val="15"/>
                <w:color w:val="auto"/>
              </w:rPr>
            </w:pPr>
          </w:p>
        </w:tc>
        <w:tc>
          <w:tcPr>
            <w:tcW w:w="3880" w:type="dxa"/>
            <w:vAlign w:val="bottom"/>
            <w:shd w:val="clear" w:color="auto" w:fill="BF2115"/>
          </w:tcPr>
          <w:p>
            <w:pPr>
              <w:jc w:val="right"/>
              <w:ind w:right="281"/>
              <w:spacing w:after="0"/>
              <w:rPr>
                <w:sz w:val="20"/>
                <w:szCs w:val="20"/>
                <w:color w:val="auto"/>
              </w:rPr>
            </w:pPr>
            <w:r>
              <w:rPr>
                <w:rFonts w:ascii="Arial" w:cs="Arial" w:eastAsia="Arial" w:hAnsi="Arial"/>
                <w:sz w:val="14"/>
                <w:szCs w:val="14"/>
                <w:b w:val="1"/>
                <w:bCs w:val="1"/>
                <w:color w:val="FFFFFF"/>
              </w:rPr>
              <w:t>New Base Salary as of March 1, 2023</w:t>
            </w:r>
          </w:p>
        </w:tc>
        <w:tc>
          <w:tcPr>
            <w:tcW w:w="2940" w:type="dxa"/>
            <w:vAlign w:val="bottom"/>
            <w:shd w:val="clear" w:color="auto" w:fill="BF2115"/>
          </w:tcPr>
          <w:p>
            <w:pPr>
              <w:jc w:val="center"/>
              <w:ind w:right="35"/>
              <w:spacing w:after="0"/>
              <w:rPr>
                <w:sz w:val="20"/>
                <w:szCs w:val="20"/>
                <w:color w:val="auto"/>
              </w:rPr>
            </w:pPr>
            <w:r>
              <w:rPr>
                <w:rFonts w:ascii="Arial" w:cs="Arial" w:eastAsia="Arial" w:hAnsi="Arial"/>
                <w:sz w:val="14"/>
                <w:szCs w:val="14"/>
                <w:b w:val="1"/>
                <w:bCs w:val="1"/>
                <w:color w:val="FFFFFF"/>
                <w:w w:val="99"/>
              </w:rPr>
              <w:t>Salary</w:t>
            </w:r>
          </w:p>
        </w:tc>
      </w:tr>
      <w:tr>
        <w:trPr>
          <w:trHeight w:val="212"/>
        </w:trPr>
        <w:tc>
          <w:tcPr>
            <w:tcW w:w="196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3880" w:type="dxa"/>
            <w:vAlign w:val="bottom"/>
            <w:shd w:val="clear" w:color="auto" w:fill="BF2115"/>
          </w:tcPr>
          <w:p>
            <w:pPr>
              <w:jc w:val="right"/>
              <w:ind w:right="1461"/>
              <w:spacing w:after="0"/>
              <w:rPr>
                <w:sz w:val="20"/>
                <w:szCs w:val="20"/>
                <w:color w:val="auto"/>
              </w:rPr>
            </w:pPr>
            <w:r>
              <w:rPr>
                <w:rFonts w:ascii="Arial" w:cs="Arial" w:eastAsia="Arial" w:hAnsi="Arial"/>
                <w:sz w:val="14"/>
                <w:szCs w:val="14"/>
                <w:b w:val="1"/>
                <w:bCs w:val="1"/>
                <w:color w:val="FFFFFF"/>
              </w:rPr>
              <w:t>($)</w:t>
            </w:r>
          </w:p>
        </w:tc>
        <w:tc>
          <w:tcPr>
            <w:tcW w:w="2940" w:type="dxa"/>
            <w:vAlign w:val="bottom"/>
            <w:shd w:val="clear" w:color="auto" w:fill="BF2115"/>
          </w:tcPr>
          <w:p>
            <w:pPr>
              <w:jc w:val="center"/>
              <w:ind w:right="35"/>
              <w:spacing w:after="0"/>
              <w:rPr>
                <w:sz w:val="20"/>
                <w:szCs w:val="20"/>
                <w:color w:val="auto"/>
              </w:rPr>
            </w:pPr>
            <w:r>
              <w:rPr>
                <w:rFonts w:ascii="Arial" w:cs="Arial" w:eastAsia="Arial" w:hAnsi="Arial"/>
                <w:sz w:val="14"/>
                <w:szCs w:val="14"/>
                <w:b w:val="1"/>
                <w:bCs w:val="1"/>
                <w:color w:val="FFFFFF"/>
              </w:rPr>
              <w:t>(%)</w:t>
            </w:r>
          </w:p>
        </w:tc>
      </w:tr>
      <w:tr>
        <w:trPr>
          <w:trHeight w:val="243"/>
        </w:trPr>
        <w:tc>
          <w:tcPr>
            <w:tcW w:w="1960" w:type="dxa"/>
            <w:vAlign w:val="bottom"/>
          </w:tcPr>
          <w:p>
            <w:pPr>
              <w:ind w:left="20"/>
              <w:spacing w:after="0"/>
              <w:rPr>
                <w:sz w:val="20"/>
                <w:szCs w:val="20"/>
                <w:color w:val="auto"/>
              </w:rPr>
            </w:pPr>
            <w:r>
              <w:rPr>
                <w:rFonts w:ascii="Arial" w:cs="Arial" w:eastAsia="Arial" w:hAnsi="Arial"/>
                <w:sz w:val="16"/>
                <w:szCs w:val="16"/>
                <w:color w:val="auto"/>
              </w:rPr>
              <w:t>Mr. Olson</w:t>
            </w:r>
          </w:p>
        </w:tc>
        <w:tc>
          <w:tcPr>
            <w:tcW w:w="3880" w:type="dxa"/>
            <w:vAlign w:val="bottom"/>
          </w:tcPr>
          <w:p>
            <w:pPr>
              <w:jc w:val="right"/>
              <w:ind w:right="41"/>
              <w:spacing w:after="0"/>
              <w:rPr>
                <w:sz w:val="20"/>
                <w:szCs w:val="20"/>
                <w:color w:val="auto"/>
              </w:rPr>
            </w:pPr>
            <w:r>
              <w:rPr>
                <w:rFonts w:ascii="Arial" w:cs="Arial" w:eastAsia="Arial" w:hAnsi="Arial"/>
                <w:sz w:val="16"/>
                <w:szCs w:val="16"/>
                <w:color w:val="auto"/>
              </w:rPr>
              <w:t>1,145,000</w:t>
            </w:r>
          </w:p>
        </w:tc>
        <w:tc>
          <w:tcPr>
            <w:tcW w:w="2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1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Ms. Drake</w:t>
            </w:r>
            <w:r>
              <w:rPr>
                <w:rFonts w:ascii="Arial" w:cs="Arial" w:eastAsia="Arial" w:hAnsi="Arial"/>
                <w:sz w:val="21"/>
                <w:szCs w:val="21"/>
                <w:color w:val="auto"/>
                <w:vertAlign w:val="superscript"/>
              </w:rPr>
              <w:t>1</w:t>
            </w:r>
          </w:p>
        </w:tc>
        <w:tc>
          <w:tcPr>
            <w:tcW w:w="388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565,000</w:t>
            </w:r>
          </w:p>
        </w:tc>
        <w:tc>
          <w:tcPr>
            <w:tcW w:w="2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36.0</w:t>
            </w:r>
          </w:p>
        </w:tc>
      </w:tr>
      <w:tr>
        <w:trPr>
          <w:trHeight w:val="243"/>
        </w:trPr>
        <w:tc>
          <w:tcPr>
            <w:tcW w:w="1960" w:type="dxa"/>
            <w:vAlign w:val="bottom"/>
          </w:tcPr>
          <w:p>
            <w:pPr>
              <w:ind w:left="20"/>
              <w:spacing w:after="0"/>
              <w:rPr>
                <w:sz w:val="20"/>
                <w:szCs w:val="20"/>
                <w:color w:val="auto"/>
              </w:rPr>
            </w:pPr>
            <w:r>
              <w:rPr>
                <w:rFonts w:ascii="Arial" w:cs="Arial" w:eastAsia="Arial" w:hAnsi="Arial"/>
                <w:sz w:val="16"/>
                <w:szCs w:val="16"/>
                <w:color w:val="auto"/>
              </w:rPr>
              <w:t>Ms. Peterson</w:t>
            </w:r>
          </w:p>
        </w:tc>
        <w:tc>
          <w:tcPr>
            <w:tcW w:w="3880" w:type="dxa"/>
            <w:vAlign w:val="bottom"/>
          </w:tcPr>
          <w:p>
            <w:pPr>
              <w:jc w:val="right"/>
              <w:ind w:right="41"/>
              <w:spacing w:after="0"/>
              <w:rPr>
                <w:sz w:val="20"/>
                <w:szCs w:val="20"/>
                <w:color w:val="auto"/>
              </w:rPr>
            </w:pPr>
            <w:r>
              <w:rPr>
                <w:rFonts w:ascii="Arial" w:cs="Arial" w:eastAsia="Arial" w:hAnsi="Arial"/>
                <w:sz w:val="16"/>
                <w:szCs w:val="16"/>
                <w:color w:val="auto"/>
              </w:rPr>
              <w:t>630,000</w:t>
            </w:r>
          </w:p>
        </w:tc>
        <w:tc>
          <w:tcPr>
            <w:tcW w:w="2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1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Ms. Totsky</w:t>
            </w:r>
            <w:r>
              <w:rPr>
                <w:rFonts w:ascii="Arial" w:cs="Arial" w:eastAsia="Arial" w:hAnsi="Arial"/>
                <w:sz w:val="21"/>
                <w:szCs w:val="21"/>
                <w:color w:val="auto"/>
                <w:vertAlign w:val="superscript"/>
              </w:rPr>
              <w:t>2</w:t>
            </w:r>
          </w:p>
        </w:tc>
        <w:tc>
          <w:tcPr>
            <w:tcW w:w="388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510,000</w:t>
            </w:r>
          </w:p>
        </w:tc>
        <w:tc>
          <w:tcPr>
            <w:tcW w:w="2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1960" w:type="dxa"/>
            <w:vAlign w:val="bottom"/>
          </w:tcPr>
          <w:p>
            <w:pPr>
              <w:ind w:left="20"/>
              <w:spacing w:after="0"/>
              <w:rPr>
                <w:sz w:val="20"/>
                <w:szCs w:val="20"/>
                <w:color w:val="auto"/>
              </w:rPr>
            </w:pPr>
            <w:r>
              <w:rPr>
                <w:rFonts w:ascii="Arial" w:cs="Arial" w:eastAsia="Arial" w:hAnsi="Arial"/>
                <w:sz w:val="16"/>
                <w:szCs w:val="16"/>
                <w:color w:val="auto"/>
              </w:rPr>
              <w:t>Ms. Dahl</w:t>
            </w:r>
          </w:p>
        </w:tc>
        <w:tc>
          <w:tcPr>
            <w:tcW w:w="3880" w:type="dxa"/>
            <w:vAlign w:val="bottom"/>
          </w:tcPr>
          <w:p>
            <w:pPr>
              <w:jc w:val="right"/>
              <w:ind w:right="41"/>
              <w:spacing w:after="0"/>
              <w:rPr>
                <w:sz w:val="20"/>
                <w:szCs w:val="20"/>
                <w:color w:val="auto"/>
              </w:rPr>
            </w:pPr>
            <w:r>
              <w:rPr>
                <w:rFonts w:ascii="Arial" w:cs="Arial" w:eastAsia="Arial" w:hAnsi="Arial"/>
                <w:sz w:val="16"/>
                <w:szCs w:val="16"/>
                <w:color w:val="auto"/>
              </w:rPr>
              <w:t>531,000</w:t>
            </w:r>
          </w:p>
        </w:tc>
        <w:tc>
          <w:tcPr>
            <w:tcW w:w="2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1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Mr. Janey</w:t>
            </w:r>
            <w:r>
              <w:rPr>
                <w:rFonts w:ascii="Arial" w:cs="Arial" w:eastAsia="Arial" w:hAnsi="Arial"/>
                <w:sz w:val="21"/>
                <w:szCs w:val="21"/>
                <w:color w:val="auto"/>
                <w:vertAlign w:val="superscript"/>
              </w:rPr>
              <w:t>3</w:t>
            </w:r>
          </w:p>
        </w:tc>
        <w:tc>
          <w:tcPr>
            <w:tcW w:w="388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435,000</w:t>
            </w:r>
          </w:p>
        </w:tc>
        <w:tc>
          <w:tcPr>
            <w:tcW w:w="2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w:t>
            </w:r>
          </w:p>
        </w:tc>
      </w:tr>
      <w:tr>
        <w:trPr>
          <w:trHeight w:val="247"/>
        </w:trPr>
        <w:tc>
          <w:tcPr>
            <w:tcW w:w="1960" w:type="dxa"/>
            <w:vAlign w:val="bottom"/>
          </w:tcPr>
          <w:p>
            <w:pPr>
              <w:ind w:left="20"/>
              <w:spacing w:after="0"/>
              <w:rPr>
                <w:sz w:val="20"/>
                <w:szCs w:val="20"/>
                <w:color w:val="auto"/>
              </w:rPr>
            </w:pPr>
            <w:r>
              <w:rPr>
                <w:rFonts w:ascii="Arial" w:cs="Arial" w:eastAsia="Arial" w:hAnsi="Arial"/>
                <w:sz w:val="16"/>
                <w:szCs w:val="16"/>
                <w:color w:val="auto"/>
              </w:rPr>
              <w:t>Mr. Rodier</w:t>
            </w:r>
          </w:p>
        </w:tc>
        <w:tc>
          <w:tcPr>
            <w:tcW w:w="3880" w:type="dxa"/>
            <w:vAlign w:val="bottom"/>
          </w:tcPr>
          <w:p>
            <w:pPr>
              <w:jc w:val="right"/>
              <w:ind w:right="41"/>
              <w:spacing w:after="0"/>
              <w:rPr>
                <w:sz w:val="20"/>
                <w:szCs w:val="20"/>
                <w:color w:val="auto"/>
              </w:rPr>
            </w:pPr>
            <w:r>
              <w:rPr>
                <w:rFonts w:ascii="Arial" w:cs="Arial" w:eastAsia="Arial" w:hAnsi="Arial"/>
                <w:sz w:val="16"/>
                <w:szCs w:val="16"/>
                <w:color w:val="auto"/>
              </w:rPr>
              <w:t>543,000</w:t>
            </w:r>
          </w:p>
        </w:tc>
        <w:tc>
          <w:tcPr>
            <w:tcW w:w="29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53" w:lineRule="exact"/>
        <w:rPr>
          <w:sz w:val="20"/>
          <w:szCs w:val="20"/>
          <w:color w:val="auto"/>
        </w:rPr>
      </w:pPr>
    </w:p>
    <w:p>
      <w:pPr>
        <w:ind w:left="340" w:right="480" w:hanging="332"/>
        <w:spacing w:after="0" w:line="271" w:lineRule="auto"/>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Ms. Drake received a base salary increase of 36% on March 10, 2023 in connection with her promotion to Vice President and Chief Financial Officer, and therefore, did not receive an annual base salary increase on March 1, 2023.</w:t>
      </w:r>
    </w:p>
    <w:p>
      <w:pPr>
        <w:spacing w:after="0" w:line="45" w:lineRule="exact"/>
        <w:rPr>
          <w:rFonts w:ascii="Arial" w:cs="Arial" w:eastAsia="Arial" w:hAnsi="Arial"/>
          <w:sz w:val="18"/>
          <w:szCs w:val="18"/>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Ms. Totsky joined TTC on June 19, 2023.</w:t>
      </w:r>
    </w:p>
    <w:p>
      <w:pPr>
        <w:spacing w:after="0" w:line="90" w:lineRule="exact"/>
        <w:rPr>
          <w:rFonts w:ascii="Arial" w:cs="Arial" w:eastAsia="Arial" w:hAnsi="Arial"/>
          <w:sz w:val="18"/>
          <w:szCs w:val="18"/>
          <w:color w:val="auto"/>
        </w:rPr>
      </w:pPr>
    </w:p>
    <w:p>
      <w:pPr>
        <w:ind w:left="340" w:right="480" w:hanging="332"/>
        <w:spacing w:after="0" w:line="271" w:lineRule="auto"/>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Mr. Janey received a base salary increase of 9.7% on November 1, 2022 in connection with his promotion to Group Vice President, Landscapes and Contractor and an additional increase of 2.4% effective on March 1, 2023.</w:t>
      </w:r>
    </w:p>
    <w:p>
      <w:pPr>
        <w:spacing w:after="0" w:line="4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Annual Cash Incentives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To help ensure we meet our compensation program objective of linking pay to performance, we provide the opportunity for our</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executive officers to earn an annual cash incentive, which is designed to motivate attainment and reward accomplishment of annual financial goals.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beginning of each fiscal year, during its regular meeting held in December, the Compensation &amp; Human Resources Committee</w:t>
      </w:r>
    </w:p>
    <w:p>
      <w:pPr>
        <w:spacing w:after="0" w:line="14"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approves a target award expressed as a percentage of base salary for each executive officer and specific performance measures, weightings, goals and performance adjustment events, if any. For each performance measure, a threshold, target and maximum level of</w:t>
      </w:r>
    </w:p>
    <w:p>
      <w:pPr>
        <w:spacing w:after="0" w:line="235" w:lineRule="auto"/>
        <w:rPr>
          <w:sz w:val="20"/>
          <w:szCs w:val="20"/>
          <w:color w:val="auto"/>
        </w:rPr>
      </w:pPr>
      <w:r>
        <w:rPr>
          <w:rFonts w:ascii="Arial" w:cs="Arial" w:eastAsia="Arial" w:hAnsi="Arial"/>
          <w:sz w:val="18"/>
          <w:szCs w:val="18"/>
          <w:color w:val="auto"/>
        </w:rPr>
        <w:t>performance is defined, which have corresponding payout percentages. Following the end of the fiscal year, at the Committee's regular</w:t>
      </w:r>
    </w:p>
    <w:p>
      <w:pPr>
        <w:ind w:right="200"/>
        <w:spacing w:after="0" w:line="237" w:lineRule="auto"/>
        <w:rPr>
          <w:sz w:val="20"/>
          <w:szCs w:val="20"/>
          <w:color w:val="auto"/>
        </w:rPr>
      </w:pPr>
      <w:r>
        <w:rPr>
          <w:rFonts w:ascii="Arial" w:cs="Arial" w:eastAsia="Arial" w:hAnsi="Arial"/>
          <w:sz w:val="18"/>
          <w:szCs w:val="18"/>
          <w:color w:val="auto"/>
        </w:rPr>
        <w:t>meeting held in December, Management presents a summary of, and the Committee certifies, actual performance as compared to the pre-established goals together with a corresponding payout percentage, which is expressed as a percent of target performance.</w:t>
      </w:r>
    </w:p>
    <w:p>
      <w:pPr>
        <w:ind w:left="340"/>
        <w:spacing w:after="0" w:line="226" w:lineRule="auto"/>
        <w:rPr>
          <w:sz w:val="20"/>
          <w:szCs w:val="20"/>
          <w:color w:val="auto"/>
        </w:rPr>
      </w:pPr>
      <w:r>
        <w:rPr>
          <w:rFonts w:ascii="Arial" w:cs="Arial" w:eastAsia="Arial" w:hAnsi="Arial"/>
          <w:sz w:val="17"/>
          <w:szCs w:val="17"/>
          <w:i w:val="1"/>
          <w:iCs w:val="1"/>
          <w:color w:val="auto"/>
        </w:rPr>
        <w:t>Target Awards</w:t>
      </w:r>
      <w:r>
        <w:rPr>
          <w:rFonts w:ascii="Arial" w:cs="Arial" w:eastAsia="Arial" w:hAnsi="Arial"/>
          <w:sz w:val="17"/>
          <w:szCs w:val="17"/>
          <w:color w:val="auto"/>
        </w:rPr>
        <w:t>. When determining the target award for each executive officer, the Committee reviews the market 50</w:t>
      </w:r>
      <w:r>
        <w:rPr>
          <w:rFonts w:ascii="Arial" w:cs="Arial" w:eastAsia="Arial" w:hAnsi="Arial"/>
          <w:sz w:val="27"/>
          <w:szCs w:val="27"/>
          <w:color w:val="auto"/>
          <w:vertAlign w:val="superscript"/>
        </w:rPr>
        <w:t>th</w:t>
      </w:r>
      <w:r>
        <w:rPr>
          <w:rFonts w:ascii="Arial" w:cs="Arial" w:eastAsia="Arial" w:hAnsi="Arial"/>
          <w:sz w:val="17"/>
          <w:szCs w:val="17"/>
          <w:i w:val="1"/>
          <w:iCs w:val="1"/>
          <w:color w:val="auto"/>
        </w:rPr>
        <w:t xml:space="preserve"> </w:t>
      </w:r>
      <w:r>
        <w:rPr>
          <w:rFonts w:ascii="Arial" w:cs="Arial" w:eastAsia="Arial" w:hAnsi="Arial"/>
          <w:sz w:val="17"/>
          <w:szCs w:val="17"/>
          <w:color w:val="auto"/>
        </w:rPr>
        <w:t>percentile for target</w:t>
      </w:r>
    </w:p>
    <w:p>
      <w:pPr>
        <w:spacing w:after="0" w:line="1" w:lineRule="exact"/>
        <w:rPr>
          <w:sz w:val="20"/>
          <w:szCs w:val="20"/>
          <w:color w:val="auto"/>
        </w:rPr>
      </w:pPr>
    </w:p>
    <w:p>
      <w:pPr>
        <w:ind w:right="260"/>
        <w:spacing w:after="0" w:line="203" w:lineRule="auto"/>
        <w:rPr>
          <w:sz w:val="20"/>
          <w:szCs w:val="20"/>
          <w:color w:val="auto"/>
        </w:rPr>
      </w:pPr>
      <w:r>
        <w:rPr>
          <w:rFonts w:ascii="Arial" w:cs="Arial" w:eastAsia="Arial" w:hAnsi="Arial"/>
          <w:sz w:val="18"/>
          <w:szCs w:val="18"/>
          <w:color w:val="auto"/>
        </w:rPr>
        <w:t>total cash compensation (sum of base salary and target annual cash incentive) for the position in which such executive officer serves. Our objective is that when we achieve target levels of performance for each measure, resulting total cash compensation paid to our executive</w:t>
      </w:r>
    </w:p>
    <w:p>
      <w:pPr>
        <w:spacing w:after="0" w:line="181" w:lineRule="auto"/>
        <w:rPr>
          <w:sz w:val="20"/>
          <w:szCs w:val="20"/>
          <w:color w:val="auto"/>
        </w:rPr>
      </w:pPr>
      <w:r>
        <w:rPr>
          <w:rFonts w:ascii="Arial" w:cs="Arial" w:eastAsia="Arial" w:hAnsi="Arial"/>
          <w:sz w:val="18"/>
          <w:szCs w:val="18"/>
          <w:color w:val="auto"/>
        </w:rPr>
        <w:t>officers is within a reasonable range of the market 50</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percentile. Actual total cash compensation will generally exceed the market 50</w:t>
      </w:r>
      <w:r>
        <w:rPr>
          <w:rFonts w:ascii="Arial" w:cs="Arial" w:eastAsia="Arial" w:hAnsi="Arial"/>
          <w:sz w:val="28"/>
          <w:szCs w:val="28"/>
          <w:color w:val="auto"/>
          <w:vertAlign w:val="superscript"/>
        </w:rPr>
        <w:t>th</w:t>
      </w:r>
    </w:p>
    <w:p>
      <w:pPr>
        <w:spacing w:after="0" w:line="1" w:lineRule="exact"/>
        <w:rPr>
          <w:sz w:val="20"/>
          <w:szCs w:val="20"/>
          <w:color w:val="auto"/>
        </w:rPr>
      </w:pPr>
    </w:p>
    <w:p>
      <w:pPr>
        <w:ind w:right="200"/>
        <w:spacing w:after="0" w:line="185" w:lineRule="auto"/>
        <w:rPr>
          <w:sz w:val="20"/>
          <w:szCs w:val="20"/>
          <w:color w:val="auto"/>
        </w:rPr>
      </w:pPr>
      <w:r>
        <w:rPr>
          <w:rFonts w:ascii="Arial" w:cs="Arial" w:eastAsia="Arial" w:hAnsi="Arial"/>
          <w:sz w:val="17"/>
          <w:szCs w:val="17"/>
          <w:color w:val="auto"/>
        </w:rPr>
        <w:t>percentile if actual performance for each measure exceeds the pre-established target annual financial goals and will generally be less than the market 50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percentile if actual performance for each measure is below the pre-established target annual financial goals. In addition to</w:t>
      </w:r>
    </w:p>
    <w:p>
      <w:pPr>
        <w:spacing w:after="0" w:line="1"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considering the market data, the Committee also considers experience, tenure, scope and complexity of the executive officer's position, individual contributions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performance, as well as internal pay equity. Actual awards can range from 0% (if threshold levels of performance are not met) to 200% of the</w:t>
      </w:r>
    </w:p>
    <w:p>
      <w:pPr>
        <w:spacing w:after="0" w:line="2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target award (if maximum levels of performance are met for all of the performance measures) and the resulting competitiveness of total cash compensation will also vary accordingly.</w:t>
      </w:r>
    </w:p>
    <w:p>
      <w:pPr>
        <w:spacing w:after="0" w:line="86" w:lineRule="exact"/>
        <w:rPr>
          <w:sz w:val="20"/>
          <w:szCs w:val="20"/>
          <w:color w:val="auto"/>
        </w:rPr>
      </w:pPr>
    </w:p>
    <w:p>
      <w:pPr>
        <w:ind w:right="60" w:firstLine="393"/>
        <w:spacing w:after="0" w:line="252" w:lineRule="auto"/>
        <w:rPr>
          <w:sz w:val="20"/>
          <w:szCs w:val="20"/>
          <w:color w:val="auto"/>
        </w:rPr>
      </w:pPr>
      <w:r>
        <w:rPr>
          <w:rFonts w:ascii="Arial" w:cs="Arial" w:eastAsia="Arial" w:hAnsi="Arial"/>
          <w:sz w:val="18"/>
          <w:szCs w:val="18"/>
          <w:i w:val="1"/>
          <w:iCs w:val="1"/>
          <w:color w:val="auto"/>
        </w:rPr>
        <w:t xml:space="preserve">Fiscal 2023 Awards. </w:t>
      </w:r>
      <w:r>
        <w:rPr>
          <w:rFonts w:ascii="Arial" w:cs="Arial" w:eastAsia="Arial" w:hAnsi="Arial"/>
          <w:sz w:val="18"/>
          <w:szCs w:val="18"/>
          <w:color w:val="auto"/>
        </w:rPr>
        <w:t>The fiscal 2023 target awards for our NEOs, any change in the target award percentage, the resulting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award, and actual target total cash compensation are below. The fiscal 2023 base salary earnings for Ms. Peterson and Mr. Rodier reflect earnings from the beginning of fiscal 2023 through their respective retirement dates and the fiscal base salary earnings for Ms. Totsky represent earnings from her hire date through the end of fiscal 2023.</w:t>
      </w:r>
    </w:p>
    <w:p>
      <w:pPr>
        <w:spacing w:after="0" w:line="108" w:lineRule="exact"/>
        <w:rPr>
          <w:sz w:val="20"/>
          <w:szCs w:val="20"/>
          <w:color w:val="auto"/>
        </w:rPr>
      </w:pPr>
    </w:p>
    <w:tbl>
      <w:tblPr>
        <w:tblLayout w:type="fixed"/>
        <w:tblInd w:w="160" w:type="dxa"/>
        <w:tblCellMar>
          <w:top w:w="0" w:type="dxa"/>
          <w:left w:w="0" w:type="dxa"/>
          <w:bottom w:w="0" w:type="dxa"/>
          <w:right w:w="0" w:type="dxa"/>
        </w:tblCellMar>
      </w:tblPr>
      <w:tr>
        <w:trPr>
          <w:trHeight w:val="247"/>
        </w:trPr>
        <w:tc>
          <w:tcPr>
            <w:tcW w:w="1320" w:type="dxa"/>
            <w:vAlign w:val="bottom"/>
            <w:shd w:val="clear" w:color="auto" w:fill="BF2115"/>
          </w:tcPr>
          <w:p>
            <w:pPr>
              <w:spacing w:after="0"/>
              <w:rPr>
                <w:sz w:val="21"/>
                <w:szCs w:val="21"/>
                <w:color w:val="auto"/>
              </w:rPr>
            </w:pPr>
          </w:p>
        </w:tc>
        <w:tc>
          <w:tcPr>
            <w:tcW w:w="2080" w:type="dxa"/>
            <w:vAlign w:val="bottom"/>
            <w:shd w:val="clear" w:color="auto" w:fill="BF2115"/>
          </w:tcPr>
          <w:p>
            <w:pPr>
              <w:spacing w:after="0"/>
              <w:rPr>
                <w:sz w:val="21"/>
                <w:szCs w:val="21"/>
                <w:color w:val="auto"/>
              </w:rPr>
            </w:pPr>
          </w:p>
        </w:tc>
        <w:tc>
          <w:tcPr>
            <w:tcW w:w="2040" w:type="dxa"/>
            <w:vAlign w:val="bottom"/>
            <w:shd w:val="clear" w:color="auto" w:fill="BF2115"/>
          </w:tcPr>
          <w:p>
            <w:pPr>
              <w:spacing w:after="0"/>
              <w:rPr>
                <w:sz w:val="21"/>
                <w:szCs w:val="21"/>
                <w:color w:val="auto"/>
              </w:rPr>
            </w:pPr>
          </w:p>
        </w:tc>
        <w:tc>
          <w:tcPr>
            <w:tcW w:w="1660" w:type="dxa"/>
            <w:vAlign w:val="bottom"/>
            <w:shd w:val="clear" w:color="auto" w:fill="BF2115"/>
          </w:tcPr>
          <w:p>
            <w:pPr>
              <w:jc w:val="center"/>
              <w:ind w:right="222"/>
              <w:spacing w:after="0"/>
              <w:rPr>
                <w:sz w:val="20"/>
                <w:szCs w:val="20"/>
                <w:color w:val="auto"/>
              </w:rPr>
            </w:pPr>
            <w:r>
              <w:rPr>
                <w:rFonts w:ascii="Arial" w:cs="Arial" w:eastAsia="Arial" w:hAnsi="Arial"/>
                <w:sz w:val="14"/>
                <w:szCs w:val="14"/>
                <w:b w:val="1"/>
                <w:bCs w:val="1"/>
                <w:color w:val="FFFFFF"/>
              </w:rPr>
              <w:t>Fiscal 2023</w:t>
            </w:r>
          </w:p>
        </w:tc>
        <w:tc>
          <w:tcPr>
            <w:tcW w:w="2060" w:type="dxa"/>
            <w:vAlign w:val="bottom"/>
            <w:shd w:val="clear" w:color="auto" w:fill="BF2115"/>
          </w:tcPr>
          <w:p>
            <w:pPr>
              <w:jc w:val="center"/>
              <w:ind w:right="222"/>
              <w:spacing w:after="0"/>
              <w:rPr>
                <w:sz w:val="20"/>
                <w:szCs w:val="20"/>
                <w:color w:val="auto"/>
              </w:rPr>
            </w:pPr>
            <w:r>
              <w:rPr>
                <w:rFonts w:ascii="Arial" w:cs="Arial" w:eastAsia="Arial" w:hAnsi="Arial"/>
                <w:sz w:val="14"/>
                <w:szCs w:val="14"/>
                <w:b w:val="1"/>
                <w:bCs w:val="1"/>
                <w:color w:val="FFFFFF"/>
              </w:rPr>
              <w:t>Fiscal 2023</w:t>
            </w:r>
          </w:p>
        </w:tc>
        <w:tc>
          <w:tcPr>
            <w:tcW w:w="1780" w:type="dxa"/>
            <w:vAlign w:val="bottom"/>
            <w:shd w:val="clear" w:color="auto" w:fill="BF2115"/>
          </w:tcPr>
          <w:p>
            <w:pPr>
              <w:jc w:val="center"/>
              <w:ind w:right="42"/>
              <w:spacing w:after="0"/>
              <w:rPr>
                <w:sz w:val="20"/>
                <w:szCs w:val="20"/>
                <w:color w:val="auto"/>
              </w:rPr>
            </w:pPr>
            <w:r>
              <w:rPr>
                <w:rFonts w:ascii="Arial" w:cs="Arial" w:eastAsia="Arial" w:hAnsi="Arial"/>
                <w:sz w:val="14"/>
                <w:szCs w:val="14"/>
                <w:b w:val="1"/>
                <w:bCs w:val="1"/>
                <w:color w:val="FFFFFF"/>
              </w:rPr>
              <w:t>Fiscal 2023</w:t>
            </w:r>
          </w:p>
        </w:tc>
      </w:tr>
      <w:tr>
        <w:trPr>
          <w:trHeight w:val="203"/>
        </w:trPr>
        <w:tc>
          <w:tcPr>
            <w:tcW w:w="1320" w:type="dxa"/>
            <w:vAlign w:val="bottom"/>
            <w:shd w:val="clear" w:color="auto" w:fill="BF2115"/>
          </w:tcPr>
          <w:p>
            <w:pPr>
              <w:spacing w:after="0"/>
              <w:rPr>
                <w:sz w:val="17"/>
                <w:szCs w:val="17"/>
                <w:color w:val="auto"/>
              </w:rPr>
            </w:pPr>
          </w:p>
        </w:tc>
        <w:tc>
          <w:tcPr>
            <w:tcW w:w="2080" w:type="dxa"/>
            <w:vAlign w:val="bottom"/>
            <w:shd w:val="clear" w:color="auto" w:fill="BF2115"/>
          </w:tcPr>
          <w:p>
            <w:pPr>
              <w:jc w:val="center"/>
              <w:ind w:left="22"/>
              <w:spacing w:after="0"/>
              <w:rPr>
                <w:sz w:val="20"/>
                <w:szCs w:val="20"/>
                <w:color w:val="auto"/>
              </w:rPr>
            </w:pPr>
            <w:r>
              <w:rPr>
                <w:rFonts w:ascii="Arial" w:cs="Arial" w:eastAsia="Arial" w:hAnsi="Arial"/>
                <w:sz w:val="14"/>
                <w:szCs w:val="14"/>
                <w:b w:val="1"/>
                <w:bCs w:val="1"/>
                <w:color w:val="FFFFFF"/>
              </w:rPr>
              <w:t>Fiscal 2023</w:t>
            </w:r>
          </w:p>
        </w:tc>
        <w:tc>
          <w:tcPr>
            <w:tcW w:w="2040" w:type="dxa"/>
            <w:vAlign w:val="bottom"/>
            <w:shd w:val="clear" w:color="auto" w:fill="BF2115"/>
          </w:tcPr>
          <w:p>
            <w:pPr>
              <w:jc w:val="center"/>
              <w:ind w:right="242"/>
              <w:spacing w:after="0"/>
              <w:rPr>
                <w:sz w:val="20"/>
                <w:szCs w:val="20"/>
                <w:color w:val="auto"/>
              </w:rPr>
            </w:pPr>
            <w:r>
              <w:rPr>
                <w:rFonts w:ascii="Arial" w:cs="Arial" w:eastAsia="Arial" w:hAnsi="Arial"/>
                <w:sz w:val="14"/>
                <w:szCs w:val="14"/>
                <w:b w:val="1"/>
                <w:bCs w:val="1"/>
                <w:color w:val="FFFFFF"/>
              </w:rPr>
              <w:t>Fiscal 2023</w:t>
            </w:r>
          </w:p>
        </w:tc>
        <w:tc>
          <w:tcPr>
            <w:tcW w:w="1660" w:type="dxa"/>
            <w:vAlign w:val="bottom"/>
            <w:shd w:val="clear" w:color="auto" w:fill="BF2115"/>
          </w:tcPr>
          <w:p>
            <w:pPr>
              <w:jc w:val="center"/>
              <w:ind w:right="202"/>
              <w:spacing w:after="0"/>
              <w:rPr>
                <w:sz w:val="20"/>
                <w:szCs w:val="20"/>
                <w:color w:val="auto"/>
              </w:rPr>
            </w:pPr>
            <w:r>
              <w:rPr>
                <w:rFonts w:ascii="Arial" w:cs="Arial" w:eastAsia="Arial" w:hAnsi="Arial"/>
                <w:sz w:val="14"/>
                <w:szCs w:val="14"/>
                <w:b w:val="1"/>
                <w:bCs w:val="1"/>
                <w:color w:val="FFFFFF"/>
              </w:rPr>
              <w:t>Target Award</w:t>
            </w:r>
          </w:p>
        </w:tc>
        <w:tc>
          <w:tcPr>
            <w:tcW w:w="2060" w:type="dxa"/>
            <w:vAlign w:val="bottom"/>
            <w:shd w:val="clear" w:color="auto" w:fill="BF2115"/>
          </w:tcPr>
          <w:p>
            <w:pPr>
              <w:jc w:val="center"/>
              <w:ind w:right="222"/>
              <w:spacing w:after="0"/>
              <w:rPr>
                <w:sz w:val="20"/>
                <w:szCs w:val="20"/>
                <w:color w:val="auto"/>
              </w:rPr>
            </w:pPr>
            <w:r>
              <w:rPr>
                <w:rFonts w:ascii="Arial" w:cs="Arial" w:eastAsia="Arial" w:hAnsi="Arial"/>
                <w:sz w:val="14"/>
                <w:szCs w:val="14"/>
                <w:b w:val="1"/>
                <w:bCs w:val="1"/>
                <w:color w:val="FFFFFF"/>
              </w:rPr>
              <w:t>Target Annual Cash</w:t>
            </w:r>
          </w:p>
        </w:tc>
        <w:tc>
          <w:tcPr>
            <w:tcW w:w="1780" w:type="dxa"/>
            <w:vAlign w:val="bottom"/>
            <w:shd w:val="clear" w:color="auto" w:fill="BF2115"/>
          </w:tcPr>
          <w:p>
            <w:pPr>
              <w:jc w:val="center"/>
              <w:ind w:right="22"/>
              <w:spacing w:after="0"/>
              <w:rPr>
                <w:sz w:val="20"/>
                <w:szCs w:val="20"/>
                <w:color w:val="auto"/>
              </w:rPr>
            </w:pPr>
            <w:r>
              <w:rPr>
                <w:rFonts w:ascii="Arial" w:cs="Arial" w:eastAsia="Arial" w:hAnsi="Arial"/>
                <w:sz w:val="14"/>
                <w:szCs w:val="14"/>
                <w:b w:val="1"/>
                <w:bCs w:val="1"/>
                <w:color w:val="FFFFFF"/>
              </w:rPr>
              <w:t>Target Total Cash</w:t>
            </w:r>
          </w:p>
        </w:tc>
      </w:tr>
      <w:tr>
        <w:trPr>
          <w:trHeight w:val="189"/>
        </w:trPr>
        <w:tc>
          <w:tcPr>
            <w:tcW w:w="1320" w:type="dxa"/>
            <w:vAlign w:val="bottom"/>
            <w:shd w:val="clear" w:color="auto" w:fill="BF2115"/>
          </w:tcPr>
          <w:p>
            <w:pPr>
              <w:spacing w:after="0"/>
              <w:rPr>
                <w:sz w:val="16"/>
                <w:szCs w:val="16"/>
                <w:color w:val="auto"/>
              </w:rPr>
            </w:pPr>
          </w:p>
        </w:tc>
        <w:tc>
          <w:tcPr>
            <w:tcW w:w="2080" w:type="dxa"/>
            <w:vAlign w:val="bottom"/>
            <w:shd w:val="clear" w:color="auto" w:fill="BF2115"/>
          </w:tcPr>
          <w:p>
            <w:pPr>
              <w:jc w:val="center"/>
              <w:ind w:left="22"/>
              <w:spacing w:after="0"/>
              <w:rPr>
                <w:sz w:val="20"/>
                <w:szCs w:val="20"/>
                <w:color w:val="auto"/>
              </w:rPr>
            </w:pPr>
            <w:r>
              <w:rPr>
                <w:rFonts w:ascii="Arial" w:cs="Arial" w:eastAsia="Arial" w:hAnsi="Arial"/>
                <w:sz w:val="14"/>
                <w:szCs w:val="14"/>
                <w:b w:val="1"/>
                <w:bCs w:val="1"/>
                <w:color w:val="FFFFFF"/>
              </w:rPr>
              <w:t>Base Salary Earnings</w:t>
            </w:r>
          </w:p>
        </w:tc>
        <w:tc>
          <w:tcPr>
            <w:tcW w:w="2040" w:type="dxa"/>
            <w:vAlign w:val="bottom"/>
            <w:shd w:val="clear" w:color="auto" w:fill="BF2115"/>
          </w:tcPr>
          <w:p>
            <w:pPr>
              <w:jc w:val="center"/>
              <w:ind w:right="242"/>
              <w:spacing w:after="0"/>
              <w:rPr>
                <w:sz w:val="20"/>
                <w:szCs w:val="20"/>
                <w:color w:val="auto"/>
              </w:rPr>
            </w:pPr>
            <w:r>
              <w:rPr>
                <w:rFonts w:ascii="Arial" w:cs="Arial" w:eastAsia="Arial" w:hAnsi="Arial"/>
                <w:sz w:val="14"/>
                <w:szCs w:val="14"/>
                <w:b w:val="1"/>
                <w:bCs w:val="1"/>
                <w:color w:val="FFFFFF"/>
              </w:rPr>
              <w:t>Award at Target</w:t>
            </w:r>
          </w:p>
        </w:tc>
        <w:tc>
          <w:tcPr>
            <w:tcW w:w="1660" w:type="dxa"/>
            <w:vAlign w:val="bottom"/>
            <w:shd w:val="clear" w:color="auto" w:fill="BF2115"/>
          </w:tcPr>
          <w:p>
            <w:pPr>
              <w:jc w:val="center"/>
              <w:ind w:right="202"/>
              <w:spacing w:after="0"/>
              <w:rPr>
                <w:sz w:val="20"/>
                <w:szCs w:val="20"/>
                <w:color w:val="auto"/>
              </w:rPr>
            </w:pPr>
            <w:r>
              <w:rPr>
                <w:rFonts w:ascii="Arial" w:cs="Arial" w:eastAsia="Arial" w:hAnsi="Arial"/>
                <w:sz w:val="14"/>
                <w:szCs w:val="14"/>
                <w:b w:val="1"/>
                <w:bCs w:val="1"/>
                <w:color w:val="FFFFFF"/>
              </w:rPr>
              <w:t>Percentage</w:t>
            </w:r>
          </w:p>
        </w:tc>
        <w:tc>
          <w:tcPr>
            <w:tcW w:w="2060" w:type="dxa"/>
            <w:vAlign w:val="bottom"/>
            <w:shd w:val="clear" w:color="auto" w:fill="BF2115"/>
          </w:tcPr>
          <w:p>
            <w:pPr>
              <w:jc w:val="center"/>
              <w:ind w:right="202"/>
              <w:spacing w:after="0"/>
              <w:rPr>
                <w:sz w:val="20"/>
                <w:szCs w:val="20"/>
                <w:color w:val="auto"/>
              </w:rPr>
            </w:pPr>
            <w:r>
              <w:rPr>
                <w:rFonts w:ascii="Arial" w:cs="Arial" w:eastAsia="Arial" w:hAnsi="Arial"/>
                <w:sz w:val="14"/>
                <w:szCs w:val="14"/>
                <w:b w:val="1"/>
                <w:bCs w:val="1"/>
                <w:color w:val="FFFFFF"/>
              </w:rPr>
              <w:t>Incentive Award</w:t>
            </w:r>
          </w:p>
        </w:tc>
        <w:tc>
          <w:tcPr>
            <w:tcW w:w="1780" w:type="dxa"/>
            <w:vAlign w:val="bottom"/>
            <w:shd w:val="clear" w:color="auto" w:fill="BF2115"/>
          </w:tcPr>
          <w:p>
            <w:pPr>
              <w:jc w:val="center"/>
              <w:ind w:right="22"/>
              <w:spacing w:after="0"/>
              <w:rPr>
                <w:sz w:val="20"/>
                <w:szCs w:val="20"/>
                <w:color w:val="auto"/>
              </w:rPr>
            </w:pPr>
            <w:r>
              <w:rPr>
                <w:rFonts w:ascii="Arial" w:cs="Arial" w:eastAsia="Arial" w:hAnsi="Arial"/>
                <w:sz w:val="14"/>
                <w:szCs w:val="14"/>
                <w:b w:val="1"/>
                <w:bCs w:val="1"/>
                <w:color w:val="FFFFFF"/>
              </w:rPr>
              <w:t>Compensation</w:t>
            </w:r>
          </w:p>
        </w:tc>
      </w:tr>
      <w:tr>
        <w:trPr>
          <w:trHeight w:val="225"/>
        </w:trPr>
        <w:tc>
          <w:tcPr>
            <w:tcW w:w="1320" w:type="dxa"/>
            <w:vAlign w:val="bottom"/>
            <w:shd w:val="clear" w:color="auto" w:fill="BF2115"/>
          </w:tcPr>
          <w:p>
            <w:pPr>
              <w:ind w:left="580"/>
              <w:spacing w:after="0"/>
              <w:rPr>
                <w:sz w:val="20"/>
                <w:szCs w:val="20"/>
                <w:color w:val="auto"/>
              </w:rPr>
            </w:pPr>
            <w:r>
              <w:rPr>
                <w:rFonts w:ascii="Arial" w:cs="Arial" w:eastAsia="Arial" w:hAnsi="Arial"/>
                <w:sz w:val="14"/>
                <w:szCs w:val="14"/>
                <w:b w:val="1"/>
                <w:bCs w:val="1"/>
                <w:color w:val="FFFFFF"/>
              </w:rPr>
              <w:t>Name</w:t>
            </w:r>
          </w:p>
        </w:tc>
        <w:tc>
          <w:tcPr>
            <w:tcW w:w="2080" w:type="dxa"/>
            <w:vAlign w:val="bottom"/>
            <w:shd w:val="clear" w:color="auto" w:fill="BF2115"/>
          </w:tcPr>
          <w:p>
            <w:pPr>
              <w:jc w:val="center"/>
              <w:ind w:left="22"/>
              <w:spacing w:after="0"/>
              <w:rPr>
                <w:sz w:val="20"/>
                <w:szCs w:val="20"/>
                <w:color w:val="auto"/>
              </w:rPr>
            </w:pPr>
            <w:r>
              <w:rPr>
                <w:rFonts w:ascii="Arial" w:cs="Arial" w:eastAsia="Arial" w:hAnsi="Arial"/>
                <w:sz w:val="14"/>
                <w:szCs w:val="14"/>
                <w:b w:val="1"/>
                <w:bCs w:val="1"/>
                <w:color w:val="FFFFFF"/>
              </w:rPr>
              <w:t>($)</w:t>
            </w:r>
          </w:p>
        </w:tc>
        <w:tc>
          <w:tcPr>
            <w:tcW w:w="2040" w:type="dxa"/>
            <w:vAlign w:val="bottom"/>
            <w:shd w:val="clear" w:color="auto" w:fill="BF2115"/>
          </w:tcPr>
          <w:p>
            <w:pPr>
              <w:jc w:val="center"/>
              <w:ind w:right="222"/>
              <w:spacing w:after="0"/>
              <w:rPr>
                <w:sz w:val="20"/>
                <w:szCs w:val="20"/>
                <w:color w:val="auto"/>
              </w:rPr>
            </w:pPr>
            <w:r>
              <w:rPr>
                <w:rFonts w:ascii="Arial" w:cs="Arial" w:eastAsia="Arial" w:hAnsi="Arial"/>
                <w:sz w:val="14"/>
                <w:szCs w:val="14"/>
                <w:b w:val="1"/>
                <w:bCs w:val="1"/>
                <w:color w:val="FFFFFF"/>
              </w:rPr>
              <w:t>(% of base salary)</w:t>
            </w:r>
          </w:p>
        </w:tc>
        <w:tc>
          <w:tcPr>
            <w:tcW w:w="1660" w:type="dxa"/>
            <w:vAlign w:val="bottom"/>
            <w:shd w:val="clear" w:color="auto" w:fill="BF2115"/>
          </w:tcPr>
          <w:p>
            <w:pPr>
              <w:jc w:val="center"/>
              <w:ind w:right="222"/>
              <w:spacing w:after="0"/>
              <w:rPr>
                <w:sz w:val="20"/>
                <w:szCs w:val="20"/>
                <w:color w:val="auto"/>
              </w:rPr>
            </w:pPr>
            <w:r>
              <w:rPr>
                <w:rFonts w:ascii="Arial" w:cs="Arial" w:eastAsia="Arial" w:hAnsi="Arial"/>
                <w:sz w:val="14"/>
                <w:szCs w:val="14"/>
                <w:b w:val="1"/>
                <w:bCs w:val="1"/>
                <w:color w:val="FFFFFF"/>
              </w:rPr>
              <w:t>Change</w:t>
            </w:r>
          </w:p>
        </w:tc>
        <w:tc>
          <w:tcPr>
            <w:tcW w:w="2060" w:type="dxa"/>
            <w:vAlign w:val="bottom"/>
            <w:shd w:val="clear" w:color="auto" w:fill="BF2115"/>
          </w:tcPr>
          <w:p>
            <w:pPr>
              <w:jc w:val="center"/>
              <w:ind w:right="222"/>
              <w:spacing w:after="0"/>
              <w:rPr>
                <w:sz w:val="20"/>
                <w:szCs w:val="20"/>
                <w:color w:val="auto"/>
              </w:rPr>
            </w:pPr>
            <w:r>
              <w:rPr>
                <w:rFonts w:ascii="Arial" w:cs="Arial" w:eastAsia="Arial" w:hAnsi="Arial"/>
                <w:sz w:val="14"/>
                <w:szCs w:val="14"/>
                <w:b w:val="1"/>
                <w:bCs w:val="1"/>
                <w:color w:val="FFFFFF"/>
                <w:w w:val="93"/>
              </w:rPr>
              <w:t>($)</w:t>
            </w:r>
          </w:p>
        </w:tc>
        <w:tc>
          <w:tcPr>
            <w:tcW w:w="1780" w:type="dxa"/>
            <w:vAlign w:val="bottom"/>
            <w:shd w:val="clear" w:color="auto" w:fill="BF2115"/>
          </w:tcPr>
          <w:p>
            <w:pPr>
              <w:jc w:val="center"/>
              <w:ind w:right="42"/>
              <w:spacing w:after="0"/>
              <w:rPr>
                <w:sz w:val="20"/>
                <w:szCs w:val="20"/>
                <w:color w:val="auto"/>
              </w:rPr>
            </w:pPr>
            <w:r>
              <w:rPr>
                <w:rFonts w:ascii="Arial" w:cs="Arial" w:eastAsia="Arial" w:hAnsi="Arial"/>
                <w:sz w:val="14"/>
                <w:szCs w:val="14"/>
                <w:b w:val="1"/>
                <w:bCs w:val="1"/>
                <w:color w:val="FFFFFF"/>
              </w:rPr>
              <w:t>($)</w:t>
            </w:r>
          </w:p>
        </w:tc>
      </w:tr>
      <w:tr>
        <w:trPr>
          <w:trHeight w:val="215"/>
        </w:trPr>
        <w:tc>
          <w:tcPr>
            <w:tcW w:w="1320" w:type="dxa"/>
            <w:vAlign w:val="bottom"/>
          </w:tcPr>
          <w:p>
            <w:pPr>
              <w:ind w:left="20"/>
              <w:spacing w:after="0"/>
              <w:rPr>
                <w:sz w:val="20"/>
                <w:szCs w:val="20"/>
                <w:color w:val="auto"/>
              </w:rPr>
            </w:pPr>
            <w:r>
              <w:rPr>
                <w:rFonts w:ascii="Arial" w:cs="Arial" w:eastAsia="Arial" w:hAnsi="Arial"/>
                <w:sz w:val="16"/>
                <w:szCs w:val="16"/>
                <w:color w:val="auto"/>
              </w:rPr>
              <w:t>Mr. Olson</w:t>
            </w:r>
          </w:p>
        </w:tc>
        <w:tc>
          <w:tcPr>
            <w:tcW w:w="2080" w:type="dxa"/>
            <w:vAlign w:val="bottom"/>
          </w:tcPr>
          <w:p>
            <w:pPr>
              <w:jc w:val="right"/>
              <w:ind w:right="162"/>
              <w:spacing w:after="0"/>
              <w:rPr>
                <w:sz w:val="20"/>
                <w:szCs w:val="20"/>
                <w:color w:val="auto"/>
              </w:rPr>
            </w:pPr>
            <w:r>
              <w:rPr>
                <w:rFonts w:ascii="Arial" w:cs="Arial" w:eastAsia="Arial" w:hAnsi="Arial"/>
                <w:sz w:val="16"/>
                <w:szCs w:val="16"/>
                <w:color w:val="auto"/>
              </w:rPr>
              <w:t>1,129,958</w:t>
            </w:r>
          </w:p>
        </w:tc>
        <w:tc>
          <w:tcPr>
            <w:tcW w:w="2040" w:type="dxa"/>
            <w:vAlign w:val="bottom"/>
          </w:tcPr>
          <w:p>
            <w:pPr>
              <w:jc w:val="right"/>
              <w:ind w:right="142"/>
              <w:spacing w:after="0"/>
              <w:rPr>
                <w:sz w:val="20"/>
                <w:szCs w:val="20"/>
                <w:color w:val="auto"/>
              </w:rPr>
            </w:pPr>
            <w:r>
              <w:rPr>
                <w:rFonts w:ascii="Arial" w:cs="Arial" w:eastAsia="Arial" w:hAnsi="Arial"/>
                <w:sz w:val="16"/>
                <w:szCs w:val="16"/>
                <w:color w:val="auto"/>
              </w:rPr>
              <w:t>130 %</w:t>
            </w:r>
          </w:p>
        </w:tc>
        <w:tc>
          <w:tcPr>
            <w:tcW w:w="1660" w:type="dxa"/>
            <w:vAlign w:val="bottom"/>
          </w:tcPr>
          <w:p>
            <w:pPr>
              <w:jc w:val="right"/>
              <w:ind w:right="142"/>
              <w:spacing w:after="0"/>
              <w:rPr>
                <w:sz w:val="20"/>
                <w:szCs w:val="20"/>
                <w:color w:val="auto"/>
              </w:rPr>
            </w:pPr>
            <w:r>
              <w:rPr>
                <w:rFonts w:ascii="Arial" w:cs="Arial" w:eastAsia="Arial" w:hAnsi="Arial"/>
                <w:sz w:val="16"/>
                <w:szCs w:val="16"/>
                <w:color w:val="auto"/>
              </w:rPr>
              <w:t>No Change</w:t>
            </w:r>
          </w:p>
        </w:tc>
        <w:tc>
          <w:tcPr>
            <w:tcW w:w="2060" w:type="dxa"/>
            <w:vAlign w:val="bottom"/>
          </w:tcPr>
          <w:p>
            <w:pPr>
              <w:jc w:val="right"/>
              <w:ind w:right="142"/>
              <w:spacing w:after="0"/>
              <w:rPr>
                <w:sz w:val="20"/>
                <w:szCs w:val="20"/>
                <w:color w:val="auto"/>
              </w:rPr>
            </w:pPr>
            <w:r>
              <w:rPr>
                <w:rFonts w:ascii="Arial" w:cs="Arial" w:eastAsia="Arial" w:hAnsi="Arial"/>
                <w:sz w:val="16"/>
                <w:szCs w:val="16"/>
                <w:color w:val="auto"/>
              </w:rPr>
              <w:t>1,468,945</w:t>
            </w:r>
          </w:p>
        </w:tc>
        <w:tc>
          <w:tcPr>
            <w:tcW w:w="1780" w:type="dxa"/>
            <w:vAlign w:val="bottom"/>
          </w:tcPr>
          <w:p>
            <w:pPr>
              <w:jc w:val="right"/>
              <w:spacing w:after="0"/>
              <w:rPr>
                <w:sz w:val="20"/>
                <w:szCs w:val="20"/>
                <w:color w:val="auto"/>
              </w:rPr>
            </w:pPr>
            <w:r>
              <w:rPr>
                <w:rFonts w:ascii="Arial" w:cs="Arial" w:eastAsia="Arial" w:hAnsi="Arial"/>
                <w:sz w:val="16"/>
                <w:szCs w:val="16"/>
                <w:color w:val="auto"/>
              </w:rPr>
              <w:t>2,598,903</w:t>
            </w:r>
          </w:p>
        </w:tc>
      </w:tr>
      <w:tr>
        <w:trPr>
          <w:trHeight w:val="28"/>
        </w:trPr>
        <w:tc>
          <w:tcPr>
            <w:tcW w:w="1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3"/>
        </w:trPr>
        <w:tc>
          <w:tcPr>
            <w:tcW w:w="1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Drake1</w:t>
            </w:r>
          </w:p>
        </w:tc>
        <w:tc>
          <w:tcPr>
            <w:tcW w:w="2080" w:type="dxa"/>
            <w:vAlign w:val="bottom"/>
            <w:tcBorders>
              <w:bottom w:val="single" w:sz="8" w:color="DBDBDB"/>
            </w:tcBorders>
            <w:shd w:val="clear" w:color="auto" w:fill="DBDBDB"/>
          </w:tcPr>
          <w:p>
            <w:pPr>
              <w:jc w:val="right"/>
              <w:ind w:right="162"/>
              <w:spacing w:after="0"/>
              <w:rPr>
                <w:sz w:val="20"/>
                <w:szCs w:val="20"/>
                <w:color w:val="auto"/>
              </w:rPr>
            </w:pPr>
            <w:r>
              <w:rPr>
                <w:rFonts w:ascii="Arial" w:cs="Arial" w:eastAsia="Arial" w:hAnsi="Arial"/>
                <w:sz w:val="16"/>
                <w:szCs w:val="16"/>
                <w:color w:val="auto"/>
              </w:rPr>
              <w:t>510,777</w:t>
            </w:r>
          </w:p>
        </w:tc>
        <w:tc>
          <w:tcPr>
            <w:tcW w:w="2040" w:type="dxa"/>
            <w:vAlign w:val="bottom"/>
            <w:tcBorders>
              <w:bottom w:val="single" w:sz="8" w:color="DBDBDB"/>
            </w:tcBorders>
            <w:shd w:val="clear" w:color="auto" w:fill="DBDBDB"/>
          </w:tcPr>
          <w:p>
            <w:pPr>
              <w:jc w:val="right"/>
              <w:ind w:right="142"/>
              <w:spacing w:after="0"/>
              <w:rPr>
                <w:sz w:val="20"/>
                <w:szCs w:val="20"/>
                <w:color w:val="auto"/>
              </w:rPr>
            </w:pPr>
            <w:r>
              <w:rPr>
                <w:rFonts w:ascii="Arial" w:cs="Arial" w:eastAsia="Arial" w:hAnsi="Arial"/>
                <w:sz w:val="16"/>
                <w:szCs w:val="16"/>
                <w:color w:val="auto"/>
              </w:rPr>
              <w:t>65 %</w:t>
            </w:r>
          </w:p>
        </w:tc>
        <w:tc>
          <w:tcPr>
            <w:tcW w:w="1660" w:type="dxa"/>
            <w:vAlign w:val="bottom"/>
            <w:tcBorders>
              <w:bottom w:val="single" w:sz="8" w:color="DBDBDB"/>
            </w:tcBorders>
            <w:shd w:val="clear" w:color="auto" w:fill="DBDBDB"/>
          </w:tcPr>
          <w:p>
            <w:pPr>
              <w:jc w:val="right"/>
              <w:ind w:right="142"/>
              <w:spacing w:after="0"/>
              <w:rPr>
                <w:sz w:val="20"/>
                <w:szCs w:val="20"/>
                <w:color w:val="auto"/>
              </w:rPr>
            </w:pPr>
            <w:r>
              <w:rPr>
                <w:rFonts w:ascii="Arial" w:cs="Arial" w:eastAsia="Arial" w:hAnsi="Arial"/>
                <w:sz w:val="16"/>
                <w:szCs w:val="16"/>
                <w:color w:val="auto"/>
              </w:rPr>
              <w:t>+10%</w:t>
            </w:r>
          </w:p>
        </w:tc>
        <w:tc>
          <w:tcPr>
            <w:tcW w:w="2060" w:type="dxa"/>
            <w:vAlign w:val="bottom"/>
            <w:tcBorders>
              <w:bottom w:val="single" w:sz="8" w:color="DBDBDB"/>
            </w:tcBorders>
            <w:shd w:val="clear" w:color="auto" w:fill="DBDBDB"/>
          </w:tcPr>
          <w:p>
            <w:pPr>
              <w:jc w:val="right"/>
              <w:ind w:right="142"/>
              <w:spacing w:after="0"/>
              <w:rPr>
                <w:sz w:val="20"/>
                <w:szCs w:val="20"/>
                <w:color w:val="auto"/>
              </w:rPr>
            </w:pPr>
            <w:r>
              <w:rPr>
                <w:rFonts w:ascii="Arial" w:cs="Arial" w:eastAsia="Arial" w:hAnsi="Arial"/>
                <w:sz w:val="16"/>
                <w:szCs w:val="16"/>
                <w:color w:val="auto"/>
              </w:rPr>
              <w:t>317,640</w:t>
            </w:r>
          </w:p>
        </w:tc>
        <w:tc>
          <w:tcPr>
            <w:tcW w:w="1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828,417</w:t>
            </w:r>
          </w:p>
        </w:tc>
      </w:tr>
      <w:tr>
        <w:trPr>
          <w:trHeight w:val="215"/>
        </w:trPr>
        <w:tc>
          <w:tcPr>
            <w:tcW w:w="1320" w:type="dxa"/>
            <w:vAlign w:val="bottom"/>
          </w:tcPr>
          <w:p>
            <w:pPr>
              <w:ind w:left="20"/>
              <w:spacing w:after="0"/>
              <w:rPr>
                <w:sz w:val="20"/>
                <w:szCs w:val="20"/>
                <w:color w:val="auto"/>
              </w:rPr>
            </w:pPr>
            <w:r>
              <w:rPr>
                <w:rFonts w:ascii="Arial" w:cs="Arial" w:eastAsia="Arial" w:hAnsi="Arial"/>
                <w:sz w:val="16"/>
                <w:szCs w:val="16"/>
                <w:color w:val="auto"/>
              </w:rPr>
              <w:t>Ms. Peterson</w:t>
            </w:r>
          </w:p>
        </w:tc>
        <w:tc>
          <w:tcPr>
            <w:tcW w:w="2080" w:type="dxa"/>
            <w:vAlign w:val="bottom"/>
          </w:tcPr>
          <w:p>
            <w:pPr>
              <w:jc w:val="right"/>
              <w:ind w:right="162"/>
              <w:spacing w:after="0"/>
              <w:rPr>
                <w:sz w:val="20"/>
                <w:szCs w:val="20"/>
                <w:color w:val="auto"/>
              </w:rPr>
            </w:pPr>
            <w:r>
              <w:rPr>
                <w:rFonts w:ascii="Arial" w:cs="Arial" w:eastAsia="Arial" w:hAnsi="Arial"/>
                <w:sz w:val="16"/>
                <w:szCs w:val="16"/>
                <w:color w:val="auto"/>
              </w:rPr>
              <w:t>482,716</w:t>
            </w:r>
          </w:p>
        </w:tc>
        <w:tc>
          <w:tcPr>
            <w:tcW w:w="2040" w:type="dxa"/>
            <w:vAlign w:val="bottom"/>
          </w:tcPr>
          <w:p>
            <w:pPr>
              <w:jc w:val="right"/>
              <w:ind w:right="142"/>
              <w:spacing w:after="0"/>
              <w:rPr>
                <w:sz w:val="20"/>
                <w:szCs w:val="20"/>
                <w:color w:val="auto"/>
              </w:rPr>
            </w:pPr>
            <w:r>
              <w:rPr>
                <w:rFonts w:ascii="Arial" w:cs="Arial" w:eastAsia="Arial" w:hAnsi="Arial"/>
                <w:sz w:val="16"/>
                <w:szCs w:val="16"/>
                <w:color w:val="auto"/>
              </w:rPr>
              <w:t>80 %</w:t>
            </w:r>
          </w:p>
        </w:tc>
        <w:tc>
          <w:tcPr>
            <w:tcW w:w="1660" w:type="dxa"/>
            <w:vAlign w:val="bottom"/>
          </w:tcPr>
          <w:p>
            <w:pPr>
              <w:jc w:val="right"/>
              <w:ind w:right="142"/>
              <w:spacing w:after="0"/>
              <w:rPr>
                <w:sz w:val="20"/>
                <w:szCs w:val="20"/>
                <w:color w:val="auto"/>
              </w:rPr>
            </w:pPr>
            <w:r>
              <w:rPr>
                <w:rFonts w:ascii="Arial" w:cs="Arial" w:eastAsia="Arial" w:hAnsi="Arial"/>
                <w:sz w:val="16"/>
                <w:szCs w:val="16"/>
                <w:color w:val="auto"/>
              </w:rPr>
              <w:t>No Change</w:t>
            </w:r>
          </w:p>
        </w:tc>
        <w:tc>
          <w:tcPr>
            <w:tcW w:w="2060" w:type="dxa"/>
            <w:vAlign w:val="bottom"/>
          </w:tcPr>
          <w:p>
            <w:pPr>
              <w:jc w:val="right"/>
              <w:ind w:right="142"/>
              <w:spacing w:after="0"/>
              <w:rPr>
                <w:sz w:val="20"/>
                <w:szCs w:val="20"/>
                <w:color w:val="auto"/>
              </w:rPr>
            </w:pPr>
            <w:r>
              <w:rPr>
                <w:rFonts w:ascii="Arial" w:cs="Arial" w:eastAsia="Arial" w:hAnsi="Arial"/>
                <w:sz w:val="16"/>
                <w:szCs w:val="16"/>
                <w:color w:val="auto"/>
              </w:rPr>
              <w:t>386,173</w:t>
            </w:r>
          </w:p>
        </w:tc>
        <w:tc>
          <w:tcPr>
            <w:tcW w:w="1780" w:type="dxa"/>
            <w:vAlign w:val="bottom"/>
          </w:tcPr>
          <w:p>
            <w:pPr>
              <w:jc w:val="right"/>
              <w:spacing w:after="0"/>
              <w:rPr>
                <w:sz w:val="20"/>
                <w:szCs w:val="20"/>
                <w:color w:val="auto"/>
              </w:rPr>
            </w:pPr>
            <w:r>
              <w:rPr>
                <w:rFonts w:ascii="Arial" w:cs="Arial" w:eastAsia="Arial" w:hAnsi="Arial"/>
                <w:sz w:val="16"/>
                <w:szCs w:val="16"/>
                <w:color w:val="auto"/>
              </w:rPr>
              <w:t>868,888</w:t>
            </w:r>
          </w:p>
        </w:tc>
      </w:tr>
      <w:tr>
        <w:trPr>
          <w:trHeight w:val="28"/>
        </w:trPr>
        <w:tc>
          <w:tcPr>
            <w:tcW w:w="1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3"/>
        </w:trPr>
        <w:tc>
          <w:tcPr>
            <w:tcW w:w="1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Totsky</w:t>
            </w:r>
          </w:p>
        </w:tc>
        <w:tc>
          <w:tcPr>
            <w:tcW w:w="2080" w:type="dxa"/>
            <w:vAlign w:val="bottom"/>
            <w:tcBorders>
              <w:bottom w:val="single" w:sz="8" w:color="DBDBDB"/>
            </w:tcBorders>
            <w:shd w:val="clear" w:color="auto" w:fill="DBDBDB"/>
          </w:tcPr>
          <w:p>
            <w:pPr>
              <w:jc w:val="right"/>
              <w:ind w:right="162"/>
              <w:spacing w:after="0"/>
              <w:rPr>
                <w:sz w:val="20"/>
                <w:szCs w:val="20"/>
                <w:color w:val="auto"/>
              </w:rPr>
            </w:pPr>
            <w:r>
              <w:rPr>
                <w:rFonts w:ascii="Arial" w:cs="Arial" w:eastAsia="Arial" w:hAnsi="Arial"/>
                <w:sz w:val="16"/>
                <w:szCs w:val="16"/>
                <w:color w:val="auto"/>
              </w:rPr>
              <w:t>200,967</w:t>
            </w:r>
          </w:p>
        </w:tc>
        <w:tc>
          <w:tcPr>
            <w:tcW w:w="2040" w:type="dxa"/>
            <w:vAlign w:val="bottom"/>
            <w:tcBorders>
              <w:bottom w:val="single" w:sz="8" w:color="DBDBDB"/>
            </w:tcBorders>
            <w:shd w:val="clear" w:color="auto" w:fill="DBDBDB"/>
          </w:tcPr>
          <w:p>
            <w:pPr>
              <w:jc w:val="right"/>
              <w:ind w:right="142"/>
              <w:spacing w:after="0"/>
              <w:rPr>
                <w:sz w:val="20"/>
                <w:szCs w:val="20"/>
                <w:color w:val="auto"/>
              </w:rPr>
            </w:pPr>
            <w:r>
              <w:rPr>
                <w:rFonts w:ascii="Arial" w:cs="Arial" w:eastAsia="Arial" w:hAnsi="Arial"/>
                <w:sz w:val="16"/>
                <w:szCs w:val="16"/>
                <w:color w:val="auto"/>
              </w:rPr>
              <w:t>65 %</w:t>
            </w:r>
          </w:p>
        </w:tc>
        <w:tc>
          <w:tcPr>
            <w:tcW w:w="1660" w:type="dxa"/>
            <w:vAlign w:val="bottom"/>
            <w:tcBorders>
              <w:bottom w:val="single" w:sz="8" w:color="DBDBDB"/>
            </w:tcBorders>
            <w:shd w:val="clear" w:color="auto" w:fill="DBDBDB"/>
          </w:tcPr>
          <w:p>
            <w:pPr>
              <w:jc w:val="right"/>
              <w:ind w:right="142"/>
              <w:spacing w:after="0"/>
              <w:rPr>
                <w:sz w:val="20"/>
                <w:szCs w:val="20"/>
                <w:color w:val="auto"/>
              </w:rPr>
            </w:pPr>
            <w:r>
              <w:rPr>
                <w:rFonts w:ascii="Arial" w:cs="Arial" w:eastAsia="Arial" w:hAnsi="Arial"/>
                <w:sz w:val="16"/>
                <w:szCs w:val="16"/>
                <w:color w:val="auto"/>
              </w:rPr>
              <w:t>N/A</w:t>
            </w:r>
          </w:p>
        </w:tc>
        <w:tc>
          <w:tcPr>
            <w:tcW w:w="2060" w:type="dxa"/>
            <w:vAlign w:val="bottom"/>
            <w:tcBorders>
              <w:bottom w:val="single" w:sz="8" w:color="DBDBDB"/>
            </w:tcBorders>
            <w:shd w:val="clear" w:color="auto" w:fill="DBDBDB"/>
          </w:tcPr>
          <w:p>
            <w:pPr>
              <w:jc w:val="right"/>
              <w:ind w:right="142"/>
              <w:spacing w:after="0"/>
              <w:rPr>
                <w:sz w:val="20"/>
                <w:szCs w:val="20"/>
                <w:color w:val="auto"/>
              </w:rPr>
            </w:pPr>
            <w:r>
              <w:rPr>
                <w:rFonts w:ascii="Arial" w:cs="Arial" w:eastAsia="Arial" w:hAnsi="Arial"/>
                <w:sz w:val="16"/>
                <w:szCs w:val="16"/>
                <w:color w:val="auto"/>
              </w:rPr>
              <w:t>130,628</w:t>
            </w:r>
          </w:p>
        </w:tc>
        <w:tc>
          <w:tcPr>
            <w:tcW w:w="1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331,595</w:t>
            </w:r>
          </w:p>
        </w:tc>
      </w:tr>
      <w:tr>
        <w:trPr>
          <w:trHeight w:val="215"/>
        </w:trPr>
        <w:tc>
          <w:tcPr>
            <w:tcW w:w="1320" w:type="dxa"/>
            <w:vAlign w:val="bottom"/>
          </w:tcPr>
          <w:p>
            <w:pPr>
              <w:ind w:left="20"/>
              <w:spacing w:after="0"/>
              <w:rPr>
                <w:sz w:val="20"/>
                <w:szCs w:val="20"/>
                <w:color w:val="auto"/>
              </w:rPr>
            </w:pPr>
            <w:r>
              <w:rPr>
                <w:rFonts w:ascii="Arial" w:cs="Arial" w:eastAsia="Arial" w:hAnsi="Arial"/>
                <w:sz w:val="16"/>
                <w:szCs w:val="16"/>
                <w:color w:val="auto"/>
              </w:rPr>
              <w:t>Ms. Dahl</w:t>
            </w:r>
          </w:p>
        </w:tc>
        <w:tc>
          <w:tcPr>
            <w:tcW w:w="2080" w:type="dxa"/>
            <w:vAlign w:val="bottom"/>
          </w:tcPr>
          <w:p>
            <w:pPr>
              <w:jc w:val="right"/>
              <w:ind w:right="162"/>
              <w:spacing w:after="0"/>
              <w:rPr>
                <w:sz w:val="20"/>
                <w:szCs w:val="20"/>
                <w:color w:val="auto"/>
              </w:rPr>
            </w:pPr>
            <w:r>
              <w:rPr>
                <w:rFonts w:ascii="Arial" w:cs="Arial" w:eastAsia="Arial" w:hAnsi="Arial"/>
                <w:sz w:val="16"/>
                <w:szCs w:val="16"/>
                <w:color w:val="auto"/>
              </w:rPr>
              <w:t>523,981</w:t>
            </w:r>
          </w:p>
        </w:tc>
        <w:tc>
          <w:tcPr>
            <w:tcW w:w="2040" w:type="dxa"/>
            <w:vAlign w:val="bottom"/>
          </w:tcPr>
          <w:p>
            <w:pPr>
              <w:jc w:val="right"/>
              <w:ind w:right="142"/>
              <w:spacing w:after="0"/>
              <w:rPr>
                <w:sz w:val="20"/>
                <w:szCs w:val="20"/>
                <w:color w:val="auto"/>
              </w:rPr>
            </w:pPr>
            <w:r>
              <w:rPr>
                <w:rFonts w:ascii="Arial" w:cs="Arial" w:eastAsia="Arial" w:hAnsi="Arial"/>
                <w:sz w:val="16"/>
                <w:szCs w:val="16"/>
                <w:color w:val="auto"/>
              </w:rPr>
              <w:t>65 %</w:t>
            </w:r>
          </w:p>
        </w:tc>
        <w:tc>
          <w:tcPr>
            <w:tcW w:w="1660" w:type="dxa"/>
            <w:vAlign w:val="bottom"/>
          </w:tcPr>
          <w:p>
            <w:pPr>
              <w:jc w:val="right"/>
              <w:ind w:right="142"/>
              <w:spacing w:after="0"/>
              <w:rPr>
                <w:sz w:val="20"/>
                <w:szCs w:val="20"/>
                <w:color w:val="auto"/>
              </w:rPr>
            </w:pPr>
            <w:r>
              <w:rPr>
                <w:rFonts w:ascii="Arial" w:cs="Arial" w:eastAsia="Arial" w:hAnsi="Arial"/>
                <w:sz w:val="16"/>
                <w:szCs w:val="16"/>
                <w:color w:val="auto"/>
              </w:rPr>
              <w:t>No Change</w:t>
            </w:r>
          </w:p>
        </w:tc>
        <w:tc>
          <w:tcPr>
            <w:tcW w:w="2060" w:type="dxa"/>
            <w:vAlign w:val="bottom"/>
          </w:tcPr>
          <w:p>
            <w:pPr>
              <w:jc w:val="right"/>
              <w:ind w:right="142"/>
              <w:spacing w:after="0"/>
              <w:rPr>
                <w:sz w:val="20"/>
                <w:szCs w:val="20"/>
                <w:color w:val="auto"/>
              </w:rPr>
            </w:pPr>
            <w:r>
              <w:rPr>
                <w:rFonts w:ascii="Arial" w:cs="Arial" w:eastAsia="Arial" w:hAnsi="Arial"/>
                <w:sz w:val="16"/>
                <w:szCs w:val="16"/>
                <w:color w:val="auto"/>
              </w:rPr>
              <w:t>340,587</w:t>
            </w:r>
          </w:p>
        </w:tc>
        <w:tc>
          <w:tcPr>
            <w:tcW w:w="1780" w:type="dxa"/>
            <w:vAlign w:val="bottom"/>
          </w:tcPr>
          <w:p>
            <w:pPr>
              <w:jc w:val="right"/>
              <w:spacing w:after="0"/>
              <w:rPr>
                <w:sz w:val="20"/>
                <w:szCs w:val="20"/>
                <w:color w:val="auto"/>
              </w:rPr>
            </w:pPr>
            <w:r>
              <w:rPr>
                <w:rFonts w:ascii="Arial" w:cs="Arial" w:eastAsia="Arial" w:hAnsi="Arial"/>
                <w:sz w:val="16"/>
                <w:szCs w:val="16"/>
                <w:color w:val="auto"/>
              </w:rPr>
              <w:t>864,568</w:t>
            </w:r>
          </w:p>
        </w:tc>
      </w:tr>
      <w:tr>
        <w:trPr>
          <w:trHeight w:val="28"/>
        </w:trPr>
        <w:tc>
          <w:tcPr>
            <w:tcW w:w="1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3"/>
        </w:trPr>
        <w:tc>
          <w:tcPr>
            <w:tcW w:w="1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Mr. Janey</w:t>
            </w:r>
          </w:p>
        </w:tc>
        <w:tc>
          <w:tcPr>
            <w:tcW w:w="2080" w:type="dxa"/>
            <w:vAlign w:val="bottom"/>
            <w:tcBorders>
              <w:bottom w:val="single" w:sz="8" w:color="DBDBDB"/>
            </w:tcBorders>
            <w:shd w:val="clear" w:color="auto" w:fill="DBDBDB"/>
          </w:tcPr>
          <w:p>
            <w:pPr>
              <w:jc w:val="right"/>
              <w:ind w:right="162"/>
              <w:spacing w:after="0"/>
              <w:rPr>
                <w:sz w:val="20"/>
                <w:szCs w:val="20"/>
                <w:color w:val="auto"/>
              </w:rPr>
            </w:pPr>
            <w:r>
              <w:rPr>
                <w:rFonts w:ascii="Arial" w:cs="Arial" w:eastAsia="Arial" w:hAnsi="Arial"/>
                <w:sz w:val="16"/>
                <w:szCs w:val="16"/>
                <w:color w:val="auto"/>
              </w:rPr>
              <w:t>431,519</w:t>
            </w:r>
          </w:p>
        </w:tc>
        <w:tc>
          <w:tcPr>
            <w:tcW w:w="2040" w:type="dxa"/>
            <w:vAlign w:val="bottom"/>
            <w:tcBorders>
              <w:bottom w:val="single" w:sz="8" w:color="DBDBDB"/>
            </w:tcBorders>
            <w:shd w:val="clear" w:color="auto" w:fill="DBDBDB"/>
          </w:tcPr>
          <w:p>
            <w:pPr>
              <w:jc w:val="right"/>
              <w:ind w:right="142"/>
              <w:spacing w:after="0"/>
              <w:rPr>
                <w:sz w:val="20"/>
                <w:szCs w:val="20"/>
                <w:color w:val="auto"/>
              </w:rPr>
            </w:pPr>
            <w:r>
              <w:rPr>
                <w:rFonts w:ascii="Arial" w:cs="Arial" w:eastAsia="Arial" w:hAnsi="Arial"/>
                <w:sz w:val="16"/>
                <w:szCs w:val="16"/>
                <w:color w:val="auto"/>
              </w:rPr>
              <w:t>65 %</w:t>
            </w:r>
          </w:p>
        </w:tc>
        <w:tc>
          <w:tcPr>
            <w:tcW w:w="1660" w:type="dxa"/>
            <w:vAlign w:val="bottom"/>
            <w:tcBorders>
              <w:bottom w:val="single" w:sz="8" w:color="DBDBDB"/>
            </w:tcBorders>
            <w:shd w:val="clear" w:color="auto" w:fill="DBDBDB"/>
          </w:tcPr>
          <w:p>
            <w:pPr>
              <w:jc w:val="right"/>
              <w:ind w:right="142"/>
              <w:spacing w:after="0"/>
              <w:rPr>
                <w:sz w:val="20"/>
                <w:szCs w:val="20"/>
                <w:color w:val="auto"/>
              </w:rPr>
            </w:pPr>
            <w:r>
              <w:rPr>
                <w:rFonts w:ascii="Arial" w:cs="Arial" w:eastAsia="Arial" w:hAnsi="Arial"/>
                <w:sz w:val="16"/>
                <w:szCs w:val="16"/>
                <w:color w:val="auto"/>
              </w:rPr>
              <w:t>+10%</w:t>
            </w:r>
          </w:p>
        </w:tc>
        <w:tc>
          <w:tcPr>
            <w:tcW w:w="2060" w:type="dxa"/>
            <w:vAlign w:val="bottom"/>
            <w:tcBorders>
              <w:bottom w:val="single" w:sz="8" w:color="DBDBDB"/>
            </w:tcBorders>
            <w:shd w:val="clear" w:color="auto" w:fill="DBDBDB"/>
          </w:tcPr>
          <w:p>
            <w:pPr>
              <w:jc w:val="right"/>
              <w:ind w:right="142"/>
              <w:spacing w:after="0"/>
              <w:rPr>
                <w:sz w:val="20"/>
                <w:szCs w:val="20"/>
                <w:color w:val="auto"/>
              </w:rPr>
            </w:pPr>
            <w:r>
              <w:rPr>
                <w:rFonts w:ascii="Arial" w:cs="Arial" w:eastAsia="Arial" w:hAnsi="Arial"/>
                <w:sz w:val="16"/>
                <w:szCs w:val="16"/>
                <w:color w:val="auto"/>
              </w:rPr>
              <w:t>280,487</w:t>
            </w:r>
          </w:p>
        </w:tc>
        <w:tc>
          <w:tcPr>
            <w:tcW w:w="1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712,007</w:t>
            </w:r>
          </w:p>
        </w:tc>
      </w:tr>
      <w:tr>
        <w:trPr>
          <w:trHeight w:val="215"/>
        </w:trPr>
        <w:tc>
          <w:tcPr>
            <w:tcW w:w="1320" w:type="dxa"/>
            <w:vAlign w:val="bottom"/>
          </w:tcPr>
          <w:p>
            <w:pPr>
              <w:ind w:left="20"/>
              <w:spacing w:after="0"/>
              <w:rPr>
                <w:sz w:val="20"/>
                <w:szCs w:val="20"/>
                <w:color w:val="auto"/>
              </w:rPr>
            </w:pPr>
            <w:r>
              <w:rPr>
                <w:rFonts w:ascii="Arial" w:cs="Arial" w:eastAsia="Arial" w:hAnsi="Arial"/>
                <w:sz w:val="16"/>
                <w:szCs w:val="16"/>
                <w:color w:val="auto"/>
              </w:rPr>
              <w:t>Mr. Rodier</w:t>
            </w:r>
          </w:p>
        </w:tc>
        <w:tc>
          <w:tcPr>
            <w:tcW w:w="2080" w:type="dxa"/>
            <w:vAlign w:val="bottom"/>
          </w:tcPr>
          <w:p>
            <w:pPr>
              <w:jc w:val="right"/>
              <w:ind w:right="162"/>
              <w:spacing w:after="0"/>
              <w:rPr>
                <w:sz w:val="20"/>
                <w:szCs w:val="20"/>
                <w:color w:val="auto"/>
              </w:rPr>
            </w:pPr>
            <w:r>
              <w:rPr>
                <w:rFonts w:ascii="Arial" w:cs="Arial" w:eastAsia="Arial" w:hAnsi="Arial"/>
                <w:sz w:val="16"/>
                <w:szCs w:val="16"/>
                <w:color w:val="auto"/>
              </w:rPr>
              <w:t>284,221</w:t>
            </w:r>
          </w:p>
        </w:tc>
        <w:tc>
          <w:tcPr>
            <w:tcW w:w="2040" w:type="dxa"/>
            <w:vAlign w:val="bottom"/>
          </w:tcPr>
          <w:p>
            <w:pPr>
              <w:jc w:val="right"/>
              <w:ind w:right="142"/>
              <w:spacing w:after="0"/>
              <w:rPr>
                <w:sz w:val="20"/>
                <w:szCs w:val="20"/>
                <w:color w:val="auto"/>
              </w:rPr>
            </w:pPr>
            <w:r>
              <w:rPr>
                <w:rFonts w:ascii="Arial" w:cs="Arial" w:eastAsia="Arial" w:hAnsi="Arial"/>
                <w:sz w:val="16"/>
                <w:szCs w:val="16"/>
                <w:color w:val="auto"/>
              </w:rPr>
              <w:t>75 %</w:t>
            </w:r>
          </w:p>
        </w:tc>
        <w:tc>
          <w:tcPr>
            <w:tcW w:w="1660" w:type="dxa"/>
            <w:vAlign w:val="bottom"/>
          </w:tcPr>
          <w:p>
            <w:pPr>
              <w:jc w:val="right"/>
              <w:ind w:right="142"/>
              <w:spacing w:after="0"/>
              <w:rPr>
                <w:sz w:val="20"/>
                <w:szCs w:val="20"/>
                <w:color w:val="auto"/>
              </w:rPr>
            </w:pPr>
            <w:r>
              <w:rPr>
                <w:rFonts w:ascii="Arial" w:cs="Arial" w:eastAsia="Arial" w:hAnsi="Arial"/>
                <w:sz w:val="16"/>
                <w:szCs w:val="16"/>
                <w:color w:val="auto"/>
              </w:rPr>
              <w:t>No Change</w:t>
            </w:r>
          </w:p>
        </w:tc>
        <w:tc>
          <w:tcPr>
            <w:tcW w:w="2060" w:type="dxa"/>
            <w:vAlign w:val="bottom"/>
          </w:tcPr>
          <w:p>
            <w:pPr>
              <w:jc w:val="right"/>
              <w:ind w:right="142"/>
              <w:spacing w:after="0"/>
              <w:rPr>
                <w:sz w:val="20"/>
                <w:szCs w:val="20"/>
                <w:color w:val="auto"/>
              </w:rPr>
            </w:pPr>
            <w:r>
              <w:rPr>
                <w:rFonts w:ascii="Arial" w:cs="Arial" w:eastAsia="Arial" w:hAnsi="Arial"/>
                <w:sz w:val="16"/>
                <w:szCs w:val="16"/>
                <w:color w:val="auto"/>
              </w:rPr>
              <w:t>213,166</w:t>
            </w:r>
          </w:p>
        </w:tc>
        <w:tc>
          <w:tcPr>
            <w:tcW w:w="1780" w:type="dxa"/>
            <w:vAlign w:val="bottom"/>
          </w:tcPr>
          <w:p>
            <w:pPr>
              <w:jc w:val="right"/>
              <w:spacing w:after="0"/>
              <w:rPr>
                <w:sz w:val="20"/>
                <w:szCs w:val="20"/>
                <w:color w:val="auto"/>
              </w:rPr>
            </w:pPr>
            <w:r>
              <w:rPr>
                <w:rFonts w:ascii="Arial" w:cs="Arial" w:eastAsia="Arial" w:hAnsi="Arial"/>
                <w:sz w:val="16"/>
                <w:szCs w:val="16"/>
                <w:color w:val="auto"/>
              </w:rPr>
              <w:t>497,387</w:t>
            </w:r>
          </w:p>
        </w:tc>
      </w:tr>
    </w:tbl>
    <w:p>
      <w:pPr>
        <w:spacing w:after="0" w:line="199" w:lineRule="exact"/>
        <w:rPr>
          <w:sz w:val="20"/>
          <w:szCs w:val="20"/>
          <w:color w:val="auto"/>
        </w:rPr>
      </w:pPr>
    </w:p>
    <w:p>
      <w:pPr>
        <w:jc w:val="both"/>
        <w:ind w:left="340" w:right="200" w:hanging="332"/>
        <w:spacing w:after="0" w:line="245" w:lineRule="auto"/>
        <w:tabs>
          <w:tab w:leader="none" w:pos="3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Ms. Drake's target annual cash incentive award and target total cash compensation are calculated based on base salary earnings and the target award as a percent of base salary in effective for her time period as Vice President Finance from November 1, 2022 through March 9, 2023 and Vice President, Chief Financial Officer from March 10, 2023 through the end of fiscal 2023.</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fiscal 2023 target annual cash incentive awards when combined with the annual base salaries are within a reasonable</w:t>
      </w:r>
    </w:p>
    <w:p>
      <w:pPr>
        <w:ind w:right="200"/>
        <w:spacing w:after="0" w:line="195" w:lineRule="auto"/>
        <w:rPr>
          <w:sz w:val="20"/>
          <w:szCs w:val="20"/>
          <w:color w:val="auto"/>
        </w:rPr>
      </w:pPr>
      <w:r>
        <w:rPr>
          <w:rFonts w:ascii="Arial" w:cs="Arial" w:eastAsia="Arial" w:hAnsi="Arial"/>
          <w:sz w:val="18"/>
          <w:szCs w:val="18"/>
          <w:color w:val="auto"/>
        </w:rPr>
        <w:t>range of the market 50</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percentile and that the differentiation of target awards among our NEOs was appropriate given the scope and responsibility of their respective positions. The target award for Ms. Drake was established at 55% at the beginning of fiscal 2023 and then</w:t>
      </w:r>
    </w:p>
    <w:p>
      <w:pPr>
        <w:spacing w:after="0" w:line="236" w:lineRule="auto"/>
        <w:rPr>
          <w:sz w:val="20"/>
          <w:szCs w:val="20"/>
          <w:color w:val="auto"/>
        </w:rPr>
      </w:pPr>
      <w:r>
        <w:rPr>
          <w:rFonts w:ascii="Arial" w:cs="Arial" w:eastAsia="Arial" w:hAnsi="Arial"/>
          <w:sz w:val="18"/>
          <w:szCs w:val="18"/>
          <w:color w:val="auto"/>
        </w:rPr>
        <w:t>increased to 65% effective on March 10, 2023 in connection with her promotion to Vice President, Finance and Chief Financial Officer. The</w:t>
      </w:r>
    </w:p>
    <w:p>
      <w:pPr>
        <w:ind w:right="280"/>
        <w:spacing w:after="0"/>
        <w:rPr>
          <w:sz w:val="20"/>
          <w:szCs w:val="20"/>
          <w:color w:val="auto"/>
        </w:rPr>
      </w:pPr>
      <w:r>
        <w:rPr>
          <w:rFonts w:ascii="Arial" w:cs="Arial" w:eastAsia="Arial" w:hAnsi="Arial"/>
          <w:sz w:val="17"/>
          <w:szCs w:val="17"/>
          <w:color w:val="auto"/>
        </w:rPr>
        <w:t>target award for Mr. Janey was increased from 55% to 65% at the beginning of fiscal 2023 in connection with his promotion to Group Vice President, Landscapes and Contractor. These changes were made to bring their target total cash compensation closer to the market 50th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percentile for their respective positions.</w:t>
      </w:r>
    </w:p>
    <w:p>
      <w:pPr>
        <w:spacing w:after="0" w:line="86" w:lineRule="exact"/>
        <w:rPr>
          <w:sz w:val="20"/>
          <w:szCs w:val="20"/>
          <w:color w:val="auto"/>
        </w:rPr>
      </w:pPr>
    </w:p>
    <w:p>
      <w:pPr>
        <w:ind w:right="260" w:firstLine="324"/>
        <w:spacing w:after="0" w:line="251" w:lineRule="auto"/>
        <w:rPr>
          <w:sz w:val="20"/>
          <w:szCs w:val="20"/>
          <w:color w:val="auto"/>
        </w:rPr>
      </w:pPr>
      <w:r>
        <w:rPr>
          <w:rFonts w:ascii="Arial" w:cs="Arial" w:eastAsia="Arial" w:hAnsi="Arial"/>
          <w:sz w:val="17"/>
          <w:szCs w:val="17"/>
          <w:i w:val="1"/>
          <w:iCs w:val="1"/>
          <w:color w:val="auto"/>
        </w:rPr>
        <w:t xml:space="preserve">Performance Measures, Weightings and Goals. </w:t>
      </w:r>
      <w:r>
        <w:rPr>
          <w:rFonts w:ascii="Arial" w:cs="Arial" w:eastAsia="Arial" w:hAnsi="Arial"/>
          <w:sz w:val="17"/>
          <w:szCs w:val="17"/>
          <w:color w:val="auto"/>
        </w:rPr>
        <w:t>Each year, the Committee determines performance measures, weightings, goals and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adjustment events, if any, for the annual cash incentive awards. We believe that in order to motivate our executive officers to</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achieve annual financial goals, it is important to select performance measures aligned with our annual financial goals, as well as drive shareholder value. Key elements for fiscal 2023 included profitability, revenue growth, and asset efficiency; and, accordingly, the corporate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performance measures for fiscal 2023 and their weightings were intended to support these key elements.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corporate performance measures and weightings for fiscal 2023 were as follows:</w:t>
      </w:r>
    </w:p>
    <w:p>
      <w:pPr>
        <w:spacing w:after="0" w:line="149"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440" w:type="dxa"/>
            <w:vAlign w:val="bottom"/>
            <w:shd w:val="clear" w:color="auto" w:fill="BF2115"/>
          </w:tcPr>
          <w:p>
            <w:pPr>
              <w:spacing w:after="0"/>
              <w:rPr>
                <w:sz w:val="18"/>
                <w:szCs w:val="18"/>
                <w:color w:val="auto"/>
              </w:rPr>
            </w:pPr>
          </w:p>
        </w:tc>
        <w:tc>
          <w:tcPr>
            <w:tcW w:w="5860" w:type="dxa"/>
            <w:vAlign w:val="bottom"/>
            <w:shd w:val="clear" w:color="auto" w:fill="BF2115"/>
          </w:tcPr>
          <w:p>
            <w:pPr>
              <w:jc w:val="right"/>
              <w:ind w:right="3421"/>
              <w:spacing w:after="0"/>
              <w:rPr>
                <w:sz w:val="20"/>
                <w:szCs w:val="20"/>
                <w:color w:val="auto"/>
              </w:rPr>
            </w:pPr>
            <w:r>
              <w:rPr>
                <w:rFonts w:ascii="Arial" w:cs="Arial" w:eastAsia="Arial" w:hAnsi="Arial"/>
                <w:sz w:val="14"/>
                <w:szCs w:val="14"/>
                <w:b w:val="1"/>
                <w:bCs w:val="1"/>
                <w:color w:val="FFFFFF"/>
              </w:rPr>
              <w:t>Corporate Performance Measures</w:t>
            </w:r>
          </w:p>
        </w:tc>
      </w:tr>
      <w:tr>
        <w:trPr>
          <w:trHeight w:val="215"/>
        </w:trPr>
        <w:tc>
          <w:tcPr>
            <w:tcW w:w="344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5860" w:type="dxa"/>
            <w:vAlign w:val="bottom"/>
          </w:tcPr>
          <w:p>
            <w:pPr>
              <w:jc w:val="right"/>
              <w:ind w:right="881"/>
              <w:spacing w:after="0"/>
              <w:rPr>
                <w:sz w:val="20"/>
                <w:szCs w:val="20"/>
                <w:color w:val="auto"/>
              </w:rPr>
            </w:pPr>
            <w:r>
              <w:rPr>
                <w:rFonts w:ascii="Arial" w:cs="Arial" w:eastAsia="Arial" w:hAnsi="Arial"/>
                <w:sz w:val="16"/>
                <w:szCs w:val="16"/>
                <w:color w:val="auto"/>
              </w:rPr>
              <w:t>50%</w:t>
            </w:r>
          </w:p>
        </w:tc>
      </w:tr>
      <w:tr>
        <w:trPr>
          <w:trHeight w:val="28"/>
        </w:trPr>
        <w:tc>
          <w:tcPr>
            <w:tcW w:w="3440" w:type="dxa"/>
            <w:vAlign w:val="bottom"/>
          </w:tcPr>
          <w:p>
            <w:pPr>
              <w:spacing w:after="0"/>
              <w:rPr>
                <w:sz w:val="2"/>
                <w:szCs w:val="2"/>
                <w:color w:val="auto"/>
              </w:rPr>
            </w:pPr>
          </w:p>
        </w:tc>
        <w:tc>
          <w:tcPr>
            <w:tcW w:w="5860" w:type="dxa"/>
            <w:vAlign w:val="bottom"/>
          </w:tcPr>
          <w:p>
            <w:pPr>
              <w:spacing w:after="0"/>
              <w:rPr>
                <w:sz w:val="2"/>
                <w:szCs w:val="2"/>
                <w:color w:val="auto"/>
              </w:rPr>
            </w:pPr>
          </w:p>
        </w:tc>
      </w:tr>
      <w:tr>
        <w:trPr>
          <w:trHeight w:val="223"/>
        </w:trPr>
        <w:tc>
          <w:tcPr>
            <w:tcW w:w="3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Corporate revenue growth</w:t>
            </w:r>
          </w:p>
        </w:tc>
        <w:tc>
          <w:tcPr>
            <w:tcW w:w="5860" w:type="dxa"/>
            <w:vAlign w:val="bottom"/>
            <w:tcBorders>
              <w:bottom w:val="single" w:sz="8" w:color="DBDBDB"/>
            </w:tcBorders>
            <w:shd w:val="clear" w:color="auto" w:fill="DBDBDB"/>
          </w:tcPr>
          <w:p>
            <w:pPr>
              <w:jc w:val="right"/>
              <w:ind w:right="881"/>
              <w:spacing w:after="0"/>
              <w:rPr>
                <w:sz w:val="20"/>
                <w:szCs w:val="20"/>
                <w:color w:val="auto"/>
              </w:rPr>
            </w:pPr>
            <w:r>
              <w:rPr>
                <w:rFonts w:ascii="Arial" w:cs="Arial" w:eastAsia="Arial" w:hAnsi="Arial"/>
                <w:sz w:val="16"/>
                <w:szCs w:val="16"/>
                <w:color w:val="auto"/>
              </w:rPr>
              <w:t>25%</w:t>
            </w:r>
          </w:p>
        </w:tc>
      </w:tr>
      <w:tr>
        <w:trPr>
          <w:trHeight w:val="215"/>
        </w:trPr>
        <w:tc>
          <w:tcPr>
            <w:tcW w:w="3440" w:type="dxa"/>
            <w:vAlign w:val="bottom"/>
          </w:tcPr>
          <w:p>
            <w:pPr>
              <w:ind w:left="20"/>
              <w:spacing w:after="0"/>
              <w:rPr>
                <w:sz w:val="20"/>
                <w:szCs w:val="20"/>
                <w:color w:val="auto"/>
              </w:rPr>
            </w:pPr>
            <w:r>
              <w:rPr>
                <w:rFonts w:ascii="Arial" w:cs="Arial" w:eastAsia="Arial" w:hAnsi="Arial"/>
                <w:sz w:val="16"/>
                <w:szCs w:val="16"/>
                <w:color w:val="auto"/>
              </w:rPr>
              <w:t>Corporate working capital as a percent of sales</w:t>
            </w:r>
          </w:p>
        </w:tc>
        <w:tc>
          <w:tcPr>
            <w:tcW w:w="5860" w:type="dxa"/>
            <w:vAlign w:val="bottom"/>
          </w:tcPr>
          <w:p>
            <w:pPr>
              <w:jc w:val="right"/>
              <w:ind w:right="881"/>
              <w:spacing w:after="0"/>
              <w:rPr>
                <w:sz w:val="20"/>
                <w:szCs w:val="20"/>
                <w:color w:val="auto"/>
              </w:rPr>
            </w:pPr>
            <w:r>
              <w:rPr>
                <w:rFonts w:ascii="Arial" w:cs="Arial" w:eastAsia="Arial" w:hAnsi="Arial"/>
                <w:sz w:val="16"/>
                <w:szCs w:val="16"/>
                <w:color w:val="auto"/>
              </w:rPr>
              <w:t>25%</w:t>
            </w:r>
          </w:p>
        </w:tc>
      </w:tr>
    </w:tbl>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Non-GAAP financial measure. See fiscal 2023 investor presentation for definition and reconciliation to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-115570</wp:posOffset>
            </wp:positionV>
            <wp:extent cx="5906135"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06135" cy="154305"/>
                    </a:xfrm>
                    <a:prstGeom prst="rect">
                      <a:avLst/>
                    </a:prstGeom>
                    <a:noFill/>
                  </pic:spPr>
                </pic:pic>
              </a:graphicData>
            </a:graphic>
          </wp:anchor>
        </w:drawing>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While the corporate performance measures were the same as last year, the weighting for corporate revenue growth was decreased by</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5% and the weighting for working capital as a percent of sales was increased by 5% to increase focus on asset efficiency a bit more than last year.</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its meeting in December 2022, the Committee's first meeting of fiscal 2023, threshold, target and maximum goals were established by</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Committee for each corporate performance measure. Target levels of performance were established based on our annual financial goals, which takes into account our prior fiscal year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49" w:name="page50"/>
    <w:bookmarkEnd w:id="49"/>
    <w:p>
      <w:pPr>
        <w:ind w:right="20"/>
        <w:spacing w:after="0" w:line="271" w:lineRule="auto"/>
        <w:rPr>
          <w:sz w:val="20"/>
          <w:szCs w:val="20"/>
          <w:color w:val="auto"/>
        </w:rPr>
      </w:pPr>
      <w:r>
        <w:rPr>
          <w:rFonts w:ascii="Arial" w:cs="Arial" w:eastAsia="Arial" w:hAnsi="Arial"/>
          <w:sz w:val="18"/>
          <w:szCs w:val="18"/>
          <w:color w:val="auto"/>
        </w:rPr>
        <w:t>financial results, our competitive situation and the general outlook for our business for fiscal 2023. As in past years, the adjusted diluted EPS threshold goal, which was set at 80% of plan, must have been met in order for there to be any payout for corporate participants.</w:t>
      </w:r>
    </w:p>
    <w:p>
      <w:pPr>
        <w:spacing w:after="0" w:line="32"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The Committee established specific adjustment events for determining corporate performance payouts. The impact of an acquisition on the payouts was determined by the size of the acquisition based on projected annual revenue for the first twelve months following the closing of an acquisition, as follows:</w:t>
      </w:r>
    </w:p>
    <w:p>
      <w:pPr>
        <w:spacing w:after="0" w:line="1" w:lineRule="exact"/>
        <w:rPr>
          <w:sz w:val="20"/>
          <w:szCs w:val="20"/>
          <w:color w:val="auto"/>
        </w:rPr>
      </w:pPr>
    </w:p>
    <w:p>
      <w:pPr>
        <w:ind w:left="660" w:right="180" w:hanging="328"/>
        <w:spacing w:after="0" w:line="234"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impact of any acquisition greater than $10 million was to be excluded from the payout calculation, unless such acquisition was included in the fiscal 2023 goals;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impact of any acquisition less than $10 million was to be included in the payout calculation.</w:t>
      </w:r>
    </w:p>
    <w:p>
      <w:pPr>
        <w:spacing w:after="0" w:line="72"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In addition, any externally driven changes in accounting principles and standards were to be excluded if the cumulative net impact on the payout of all such accounting adjustments affected the award payout by more than 2%.</w:t>
      </w:r>
    </w:p>
    <w:p>
      <w:pPr>
        <w:spacing w:after="0" w:line="46" w:lineRule="exact"/>
        <w:rPr>
          <w:sz w:val="20"/>
          <w:szCs w:val="20"/>
          <w:color w:val="auto"/>
        </w:rPr>
      </w:pPr>
    </w:p>
    <w:p>
      <w:pPr>
        <w:ind w:right="60" w:firstLine="324"/>
        <w:spacing w:after="0" w:line="237" w:lineRule="auto"/>
        <w:rPr>
          <w:sz w:val="20"/>
          <w:szCs w:val="20"/>
          <w:color w:val="auto"/>
        </w:rPr>
      </w:pPr>
      <w:r>
        <w:rPr>
          <w:rFonts w:ascii="Arial" w:cs="Arial" w:eastAsia="Arial" w:hAnsi="Arial"/>
          <w:sz w:val="18"/>
          <w:szCs w:val="18"/>
          <w:i w:val="1"/>
          <w:iCs w:val="1"/>
          <w:color w:val="auto"/>
        </w:rPr>
        <w:t xml:space="preserve">Performance Measures and Goals. </w:t>
      </w:r>
      <w:r>
        <w:rPr>
          <w:rFonts w:ascii="Arial" w:cs="Arial" w:eastAsia="Arial" w:hAnsi="Arial"/>
          <w:sz w:val="18"/>
          <w:szCs w:val="18"/>
          <w:color w:val="auto"/>
        </w:rPr>
        <w:t>Our executive officers with all corporate responsibilities, which includes all of our NEOs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Ms. Dahl, had 100% of their annual cash incentive tied to corporate performance to encourage an enterprise-wide performance perspective.</w:t>
      </w:r>
    </w:p>
    <w:p>
      <w:pPr>
        <w:spacing w:after="0" w:line="235" w:lineRule="auto"/>
        <w:rPr>
          <w:sz w:val="20"/>
          <w:szCs w:val="20"/>
          <w:color w:val="auto"/>
        </w:rPr>
      </w:pPr>
      <w:r>
        <w:rPr>
          <w:rFonts w:ascii="Arial" w:cs="Arial" w:eastAsia="Arial" w:hAnsi="Arial"/>
          <w:sz w:val="18"/>
          <w:szCs w:val="18"/>
          <w:color w:val="auto"/>
        </w:rPr>
        <w:t>Ms. Dahl's annual cash incentive was 100% tied to corporate performance during the period from November 2022 through February 2023</w:t>
      </w:r>
    </w:p>
    <w:p>
      <w:pPr>
        <w:spacing w:after="0" w:line="1"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and was tied 50% to corporate performance and 50% tied to performance of the international division in light of her new role as Vice President, International commencing in March 2023. The table below summarizes the fiscal 2023 corporate performance measures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goals applicable to our NEOs.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fiscal 2023 corporate performance measures, weightings, goals and actual performance levels are reflected in the table below.</w:t>
      </w:r>
    </w:p>
    <w:p>
      <w:pPr>
        <w:spacing w:after="0" w:line="14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90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Corporate:</w:t>
            </w:r>
          </w:p>
        </w:tc>
        <w:tc>
          <w:tcPr>
            <w:tcW w:w="1560" w:type="dxa"/>
            <w:vAlign w:val="bottom"/>
            <w:shd w:val="clear" w:color="auto" w:fill="BF2115"/>
          </w:tcPr>
          <w:p>
            <w:pPr>
              <w:jc w:val="center"/>
              <w:ind w:left="188"/>
              <w:spacing w:after="0"/>
              <w:rPr>
                <w:sz w:val="20"/>
                <w:szCs w:val="20"/>
                <w:color w:val="auto"/>
              </w:rPr>
            </w:pPr>
            <w:r>
              <w:rPr>
                <w:rFonts w:ascii="Arial" w:cs="Arial" w:eastAsia="Arial" w:hAnsi="Arial"/>
                <w:sz w:val="14"/>
                <w:szCs w:val="14"/>
                <w:b w:val="1"/>
                <w:bCs w:val="1"/>
                <w:color w:val="FFFFFF"/>
              </w:rPr>
              <w:t>Threshold</w:t>
            </w:r>
          </w:p>
        </w:tc>
        <w:tc>
          <w:tcPr>
            <w:tcW w:w="13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800" w:type="dxa"/>
            <w:vAlign w:val="bottom"/>
            <w:shd w:val="clear" w:color="auto" w:fill="BF2115"/>
          </w:tcPr>
          <w:p>
            <w:pPr>
              <w:jc w:val="center"/>
              <w:ind w:right="388"/>
              <w:spacing w:after="0"/>
              <w:rPr>
                <w:sz w:val="20"/>
                <w:szCs w:val="20"/>
                <w:color w:val="auto"/>
              </w:rPr>
            </w:pPr>
            <w:r>
              <w:rPr>
                <w:rFonts w:ascii="Arial" w:cs="Arial" w:eastAsia="Arial" w:hAnsi="Arial"/>
                <w:sz w:val="14"/>
                <w:szCs w:val="14"/>
                <w:b w:val="1"/>
                <w:bCs w:val="1"/>
                <w:color w:val="FFFFFF"/>
              </w:rPr>
              <w:t>Maximum</w:t>
            </w:r>
          </w:p>
        </w:tc>
        <w:tc>
          <w:tcPr>
            <w:tcW w:w="2240" w:type="dxa"/>
            <w:vAlign w:val="bottom"/>
            <w:shd w:val="clear" w:color="auto" w:fill="BF2115"/>
          </w:tcPr>
          <w:p>
            <w:pPr>
              <w:spacing w:after="0"/>
              <w:rPr>
                <w:sz w:val="17"/>
                <w:szCs w:val="17"/>
                <w:color w:val="auto"/>
              </w:rPr>
            </w:pPr>
          </w:p>
        </w:tc>
      </w:tr>
      <w:tr>
        <w:trPr>
          <w:trHeight w:val="212"/>
        </w:trPr>
        <w:tc>
          <w:tcPr>
            <w:tcW w:w="290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Fiscal 2023 Performance Measures</w:t>
            </w:r>
          </w:p>
        </w:tc>
        <w:tc>
          <w:tcPr>
            <w:tcW w:w="1560" w:type="dxa"/>
            <w:vAlign w:val="bottom"/>
            <w:shd w:val="clear" w:color="auto" w:fill="BF2115"/>
          </w:tcPr>
          <w:p>
            <w:pPr>
              <w:jc w:val="center"/>
              <w:ind w:left="188"/>
              <w:spacing w:after="0"/>
              <w:rPr>
                <w:sz w:val="20"/>
                <w:szCs w:val="20"/>
                <w:color w:val="auto"/>
              </w:rPr>
            </w:pPr>
            <w:r>
              <w:rPr>
                <w:rFonts w:ascii="Arial" w:cs="Arial" w:eastAsia="Arial" w:hAnsi="Arial"/>
                <w:sz w:val="14"/>
                <w:szCs w:val="14"/>
                <w:b w:val="1"/>
                <w:bCs w:val="1"/>
                <w:color w:val="FFFFFF"/>
              </w:rPr>
              <w:t>(40% payout)</w:t>
            </w:r>
          </w:p>
        </w:tc>
        <w:tc>
          <w:tcPr>
            <w:tcW w:w="13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(100% payout)</w:t>
            </w:r>
          </w:p>
        </w:tc>
        <w:tc>
          <w:tcPr>
            <w:tcW w:w="1800" w:type="dxa"/>
            <w:vAlign w:val="bottom"/>
            <w:shd w:val="clear" w:color="auto" w:fill="BF2115"/>
          </w:tcPr>
          <w:p>
            <w:pPr>
              <w:jc w:val="center"/>
              <w:ind w:right="388"/>
              <w:spacing w:after="0"/>
              <w:rPr>
                <w:sz w:val="20"/>
                <w:szCs w:val="20"/>
                <w:color w:val="auto"/>
              </w:rPr>
            </w:pPr>
            <w:r>
              <w:rPr>
                <w:rFonts w:ascii="Arial" w:cs="Arial" w:eastAsia="Arial" w:hAnsi="Arial"/>
                <w:sz w:val="14"/>
                <w:szCs w:val="14"/>
                <w:b w:val="1"/>
                <w:bCs w:val="1"/>
                <w:color w:val="FFFFFF"/>
              </w:rPr>
              <w:t>(200% payout)</w:t>
            </w:r>
          </w:p>
        </w:tc>
        <w:tc>
          <w:tcPr>
            <w:tcW w:w="2240" w:type="dxa"/>
            <w:vAlign w:val="bottom"/>
            <w:shd w:val="clear" w:color="auto" w:fill="BF2115"/>
          </w:tcPr>
          <w:p>
            <w:pPr>
              <w:ind w:left="660"/>
              <w:spacing w:after="0"/>
              <w:rPr>
                <w:sz w:val="20"/>
                <w:szCs w:val="20"/>
                <w:color w:val="auto"/>
              </w:rPr>
            </w:pPr>
            <w:r>
              <w:rPr>
                <w:rFonts w:ascii="Arial" w:cs="Arial" w:eastAsia="Arial" w:hAnsi="Arial"/>
                <w:sz w:val="14"/>
                <w:szCs w:val="14"/>
                <w:b w:val="1"/>
                <w:bCs w:val="1"/>
                <w:color w:val="FFFFFF"/>
              </w:rPr>
              <w:t>Actual</w:t>
            </w:r>
          </w:p>
        </w:tc>
      </w:tr>
    </w:tbl>
    <w:p>
      <w:pPr>
        <w:spacing w:after="0" w:line="31" w:lineRule="exact"/>
        <w:rPr>
          <w:sz w:val="20"/>
          <w:szCs w:val="20"/>
          <w:color w:val="auto"/>
        </w:rPr>
      </w:pPr>
    </w:p>
    <w:p>
      <w:pPr>
        <w:sectPr>
          <w:pgSz w:w="11900" w:h="16838" w:orient="portrait"/>
          <w:cols w:equalWidth="0" w:num="1">
            <w:col w:w="11200"/>
          </w:cols>
          <w:pgMar w:left="320" w:top="1106" w:right="379" w:bottom="1440" w:gutter="0" w:footer="0" w:header="0"/>
        </w:sectPr>
      </w:pPr>
    </w:p>
    <w:p>
      <w:pPr>
        <w:spacing w:after="0" w:line="8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50% adjusted diluted EPS</w:t>
      </w:r>
    </w:p>
    <w:p>
      <w:pPr>
        <w:spacing w:after="0" w:line="258" w:lineRule="exact"/>
        <w:rPr>
          <w:sz w:val="20"/>
          <w:szCs w:val="20"/>
          <w:color w:val="auto"/>
        </w:rPr>
      </w:pPr>
    </w:p>
    <w:p>
      <w:pPr>
        <w:ind w:left="720"/>
        <w:spacing w:after="0"/>
        <w:rPr>
          <w:sz w:val="20"/>
          <w:szCs w:val="20"/>
          <w:color w:val="auto"/>
        </w:rPr>
      </w:pPr>
      <w:r>
        <w:rPr>
          <w:rFonts w:ascii="Arial" w:cs="Arial" w:eastAsia="Arial" w:hAnsi="Arial"/>
          <w:sz w:val="14"/>
          <w:szCs w:val="14"/>
          <w:color w:val="auto"/>
        </w:rPr>
        <w:t>25% corporate revenue growth</w:t>
      </w:r>
    </w:p>
    <w:p>
      <w:pPr>
        <w:spacing w:after="0" w:line="177" w:lineRule="exact"/>
        <w:rPr>
          <w:sz w:val="20"/>
          <w:szCs w:val="20"/>
          <w:color w:val="auto"/>
        </w:rPr>
      </w:pPr>
    </w:p>
    <w:p>
      <w:pPr>
        <w:ind w:left="720"/>
        <w:spacing w:after="0" w:line="285" w:lineRule="auto"/>
        <w:rPr>
          <w:sz w:val="20"/>
          <w:szCs w:val="20"/>
          <w:color w:val="auto"/>
        </w:rPr>
      </w:pPr>
      <w:r>
        <w:rPr>
          <w:rFonts w:ascii="Arial" w:cs="Arial" w:eastAsia="Arial" w:hAnsi="Arial"/>
          <w:sz w:val="14"/>
          <w:szCs w:val="14"/>
          <w:color w:val="auto"/>
        </w:rPr>
        <w:t>25% corporate working capital as a percent of sales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Corporate performance payout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900" w:type="dxa"/>
            <w:vAlign w:val="bottom"/>
            <w:vMerge w:val="restart"/>
          </w:tcPr>
          <w:p>
            <w:pPr>
              <w:jc w:val="center"/>
              <w:ind w:right="348"/>
              <w:spacing w:after="0"/>
              <w:rPr>
                <w:sz w:val="20"/>
                <w:szCs w:val="20"/>
                <w:color w:val="auto"/>
              </w:rPr>
            </w:pPr>
            <w:r>
              <w:rPr>
                <w:rFonts w:ascii="Arial" w:cs="Arial" w:eastAsia="Arial" w:hAnsi="Arial"/>
                <w:sz w:val="14"/>
                <w:szCs w:val="14"/>
                <w:color w:val="auto"/>
              </w:rPr>
              <w:t>$3.92</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rPr>
              <w:t>$4.90</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rPr>
              <w:t>$5.88</w:t>
            </w:r>
          </w:p>
        </w:tc>
        <w:tc>
          <w:tcPr>
            <w:tcW w:w="2360" w:type="dxa"/>
            <w:vAlign w:val="bottom"/>
          </w:tcPr>
          <w:p>
            <w:pPr>
              <w:jc w:val="center"/>
              <w:ind w:left="328"/>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96"/>
        </w:trPr>
        <w:tc>
          <w:tcPr>
            <w:tcW w:w="9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2360" w:type="dxa"/>
            <w:vAlign w:val="bottom"/>
            <w:vMerge w:val="restart"/>
          </w:tcPr>
          <w:p>
            <w:pPr>
              <w:jc w:val="center"/>
              <w:ind w:left="328"/>
              <w:spacing w:after="0"/>
              <w:rPr>
                <w:sz w:val="20"/>
                <w:szCs w:val="20"/>
                <w:color w:val="auto"/>
              </w:rPr>
            </w:pPr>
            <w:r>
              <w:rPr>
                <w:rFonts w:ascii="Arial" w:cs="Arial" w:eastAsia="Arial" w:hAnsi="Arial"/>
                <w:sz w:val="14"/>
                <w:szCs w:val="14"/>
                <w:color w:val="auto"/>
              </w:rPr>
              <w:t>(between threshold and target)</w:t>
            </w:r>
          </w:p>
        </w:tc>
        <w:tc>
          <w:tcPr>
            <w:tcW w:w="0" w:type="dxa"/>
            <w:vAlign w:val="bottom"/>
          </w:tcPr>
          <w:p>
            <w:pPr>
              <w:spacing w:after="0"/>
              <w:rPr>
                <w:sz w:val="1"/>
                <w:szCs w:val="1"/>
                <w:color w:val="auto"/>
              </w:rPr>
            </w:pPr>
          </w:p>
        </w:tc>
      </w:tr>
      <w:tr>
        <w:trPr>
          <w:trHeight w:val="94"/>
        </w:trPr>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900" w:type="dxa"/>
            <w:vAlign w:val="bottom"/>
            <w:vMerge w:val="restart"/>
          </w:tcPr>
          <w:p>
            <w:pPr>
              <w:jc w:val="center"/>
              <w:ind w:right="348"/>
              <w:spacing w:after="0"/>
              <w:rPr>
                <w:sz w:val="20"/>
                <w:szCs w:val="20"/>
                <w:color w:val="auto"/>
              </w:rPr>
            </w:pPr>
            <w:r>
              <w:rPr>
                <w:rFonts w:ascii="Arial" w:cs="Arial" w:eastAsia="Arial" w:hAnsi="Arial"/>
                <w:sz w:val="14"/>
                <w:szCs w:val="14"/>
                <w:color w:val="auto"/>
              </w:rPr>
              <w:t>7.6%</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rPr>
              <w:t>10.6%</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rPr>
              <w:t>13.6%</w:t>
            </w:r>
          </w:p>
        </w:tc>
        <w:tc>
          <w:tcPr>
            <w:tcW w:w="2360" w:type="dxa"/>
            <w:vAlign w:val="bottom"/>
          </w:tcPr>
          <w:p>
            <w:pPr>
              <w:jc w:val="center"/>
              <w:ind w:left="3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96"/>
        </w:trPr>
        <w:tc>
          <w:tcPr>
            <w:tcW w:w="9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2360" w:type="dxa"/>
            <w:vAlign w:val="bottom"/>
            <w:vMerge w:val="restart"/>
          </w:tcPr>
          <w:p>
            <w:pPr>
              <w:jc w:val="center"/>
              <w:ind w:left="328"/>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900" w:type="dxa"/>
            <w:vAlign w:val="bottom"/>
            <w:vMerge w:val="restart"/>
          </w:tcPr>
          <w:p>
            <w:pPr>
              <w:jc w:val="center"/>
              <w:ind w:right="348"/>
              <w:spacing w:after="0"/>
              <w:rPr>
                <w:sz w:val="20"/>
                <w:szCs w:val="20"/>
                <w:color w:val="auto"/>
              </w:rPr>
            </w:pPr>
            <w:r>
              <w:rPr>
                <w:rFonts w:ascii="Arial" w:cs="Arial" w:eastAsia="Arial" w:hAnsi="Arial"/>
                <w:sz w:val="14"/>
                <w:szCs w:val="14"/>
                <w:color w:val="auto"/>
              </w:rPr>
              <w:t>19.02%</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rPr>
              <w:t>16.54%</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rPr>
              <w:t>14.06%</w:t>
            </w:r>
          </w:p>
        </w:tc>
        <w:tc>
          <w:tcPr>
            <w:tcW w:w="2360" w:type="dxa"/>
            <w:vAlign w:val="bottom"/>
          </w:tcPr>
          <w:p>
            <w:pPr>
              <w:jc w:val="center"/>
              <w:ind w:left="328"/>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96"/>
        </w:trPr>
        <w:tc>
          <w:tcPr>
            <w:tcW w:w="9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2360" w:type="dxa"/>
            <w:vAlign w:val="bottom"/>
            <w:vMerge w:val="restart"/>
          </w:tcPr>
          <w:p>
            <w:pPr>
              <w:jc w:val="center"/>
              <w:ind w:left="328"/>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-2266315</wp:posOffset>
            </wp:positionH>
            <wp:positionV relativeFrom="paragraph">
              <wp:posOffset>-516890</wp:posOffset>
            </wp:positionV>
            <wp:extent cx="6249035" cy="2660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49035" cy="266065"/>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13970</wp:posOffset>
            </wp:positionV>
            <wp:extent cx="6249035"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49035" cy="137160"/>
                    </a:xfrm>
                    <a:prstGeom prst="rect">
                      <a:avLst/>
                    </a:prstGeom>
                    <a:noFill/>
                  </pic:spPr>
                </pic:pic>
              </a:graphicData>
            </a:graphic>
          </wp:anchor>
        </w:drawing>
      </w:r>
    </w:p>
    <w:p>
      <w:pPr>
        <w:spacing w:after="0" w:line="19" w:lineRule="exact"/>
        <w:rPr>
          <w:sz w:val="20"/>
          <w:szCs w:val="20"/>
          <w:color w:val="auto"/>
        </w:rPr>
      </w:pPr>
    </w:p>
    <w:p>
      <w:pPr>
        <w:ind w:left="4400"/>
        <w:spacing w:after="0"/>
        <w:rPr>
          <w:sz w:val="20"/>
          <w:szCs w:val="20"/>
          <w:color w:val="auto"/>
        </w:rPr>
      </w:pPr>
      <w:r>
        <w:rPr>
          <w:rFonts w:ascii="Arial" w:cs="Arial" w:eastAsia="Arial" w:hAnsi="Arial"/>
          <w:sz w:val="14"/>
          <w:szCs w:val="14"/>
          <w:b w:val="1"/>
          <w:bCs w:val="1"/>
          <w:color w:val="auto"/>
        </w:rPr>
        <w:t>29.0% of target</w:t>
      </w:r>
    </w:p>
    <w:p>
      <w:pPr>
        <w:spacing w:after="0" w:line="113" w:lineRule="exact"/>
        <w:rPr>
          <w:sz w:val="20"/>
          <w:szCs w:val="20"/>
          <w:color w:val="auto"/>
        </w:rPr>
      </w:pPr>
    </w:p>
    <w:p>
      <w:pPr>
        <w:sectPr>
          <w:pgSz w:w="11900" w:h="16838" w:orient="portrait"/>
          <w:cols w:equalWidth="0" w:num="2">
            <w:col w:w="3640" w:space="640"/>
            <w:col w:w="6920"/>
          </w:cols>
          <w:pgMar w:left="320" w:top="1106" w:right="379" w:bottom="1440" w:gutter="0" w:footer="0" w:header="0"/>
          <w:type w:val="continuous"/>
        </w:sectPr>
      </w:pPr>
    </w:p>
    <w:p>
      <w:pPr>
        <w:ind w:right="200" w:firstLine="324"/>
        <w:spacing w:after="0" w:line="271" w:lineRule="auto"/>
        <w:rPr>
          <w:sz w:val="20"/>
          <w:szCs w:val="20"/>
          <w:color w:val="auto"/>
        </w:rPr>
      </w:pPr>
      <w:r>
        <w:rPr>
          <w:rFonts w:ascii="Arial" w:cs="Arial" w:eastAsia="Arial" w:hAnsi="Arial"/>
          <w:sz w:val="18"/>
          <w:szCs w:val="18"/>
          <w:color w:val="auto"/>
        </w:rPr>
        <w:t>The international division performance measures, weightings, goals and actual performance applicable to Ms. Dahl are reflected in the table below.</w:t>
      </w:r>
    </w:p>
    <w:p>
      <w:pPr>
        <w:spacing w:after="0" w:line="91"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30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International Division:</w:t>
            </w:r>
          </w:p>
        </w:tc>
        <w:tc>
          <w:tcPr>
            <w:tcW w:w="12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Threshold</w:t>
            </w:r>
          </w:p>
        </w:tc>
        <w:tc>
          <w:tcPr>
            <w:tcW w:w="12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Target</w:t>
            </w:r>
          </w:p>
        </w:tc>
        <w:tc>
          <w:tcPr>
            <w:tcW w:w="13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Maximum</w:t>
            </w:r>
          </w:p>
        </w:tc>
        <w:tc>
          <w:tcPr>
            <w:tcW w:w="248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0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Fiscal 2023 Performance Measures</w:t>
            </w:r>
          </w:p>
        </w:tc>
        <w:tc>
          <w:tcPr>
            <w:tcW w:w="12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(40% payout)</w:t>
            </w:r>
          </w:p>
        </w:tc>
        <w:tc>
          <w:tcPr>
            <w:tcW w:w="12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(100% payout)</w:t>
            </w:r>
          </w:p>
        </w:tc>
        <w:tc>
          <w:tcPr>
            <w:tcW w:w="13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(200% payout)</w:t>
            </w:r>
          </w:p>
        </w:tc>
        <w:tc>
          <w:tcPr>
            <w:tcW w:w="2480" w:type="dxa"/>
            <w:vAlign w:val="bottom"/>
            <w:shd w:val="clear" w:color="auto" w:fill="BF2115"/>
          </w:tcPr>
          <w:p>
            <w:pPr>
              <w:jc w:val="center"/>
              <w:ind w:right="8"/>
              <w:spacing w:after="0"/>
              <w:rPr>
                <w:sz w:val="20"/>
                <w:szCs w:val="20"/>
                <w:color w:val="auto"/>
              </w:rPr>
            </w:pPr>
            <w:r>
              <w:rPr>
                <w:rFonts w:ascii="Arial" w:cs="Arial" w:eastAsia="Arial" w:hAnsi="Arial"/>
                <w:sz w:val="14"/>
                <w:szCs w:val="14"/>
                <w:b w:val="1"/>
                <w:bCs w:val="1"/>
                <w:color w:val="FFFFFF"/>
              </w:rPr>
              <w:t>Actual</w:t>
            </w:r>
          </w:p>
        </w:tc>
        <w:tc>
          <w:tcPr>
            <w:tcW w:w="0" w:type="dxa"/>
            <w:vAlign w:val="bottom"/>
          </w:tcPr>
          <w:p>
            <w:pPr>
              <w:spacing w:after="0"/>
              <w:rPr>
                <w:sz w:val="1"/>
                <w:szCs w:val="1"/>
                <w:color w:val="auto"/>
              </w:rPr>
            </w:pPr>
          </w:p>
        </w:tc>
      </w:tr>
      <w:tr>
        <w:trPr>
          <w:trHeight w:val="193"/>
        </w:trPr>
        <w:tc>
          <w:tcPr>
            <w:tcW w:w="3020" w:type="dxa"/>
            <w:vAlign w:val="bottom"/>
            <w:vMerge w:val="restart"/>
          </w:tcPr>
          <w:p>
            <w:pPr>
              <w:ind w:left="20"/>
              <w:spacing w:after="0"/>
              <w:rPr>
                <w:sz w:val="20"/>
                <w:szCs w:val="20"/>
                <w:color w:val="auto"/>
              </w:rPr>
            </w:pPr>
            <w:r>
              <w:rPr>
                <w:rFonts w:ascii="Arial" w:cs="Arial" w:eastAsia="Arial" w:hAnsi="Arial"/>
                <w:sz w:val="14"/>
                <w:szCs w:val="14"/>
                <w:color w:val="auto"/>
              </w:rPr>
              <w:t>50% Controllable Profit Contribution</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w w:val="98"/>
              </w:rPr>
              <w:t>$86,411</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rPr>
              <w:t>$108,013</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rPr>
              <w:t>$129,616</w:t>
            </w:r>
          </w:p>
        </w:tc>
        <w:tc>
          <w:tcPr>
            <w:tcW w:w="2480" w:type="dxa"/>
            <w:vAlign w:val="bottom"/>
          </w:tcPr>
          <w:p>
            <w:pPr>
              <w:jc w:val="center"/>
              <w:ind w:right="8"/>
              <w:spacing w:after="0"/>
              <w:rPr>
                <w:sz w:val="20"/>
                <w:szCs w:val="20"/>
                <w:color w:val="auto"/>
              </w:rPr>
            </w:pPr>
            <w:r>
              <w:rPr>
                <w:rFonts w:ascii="Arial" w:cs="Arial" w:eastAsia="Arial" w:hAnsi="Arial"/>
                <w:sz w:val="14"/>
                <w:szCs w:val="14"/>
                <w:color w:val="auto"/>
              </w:rPr>
              <w:t>$108,213</w:t>
            </w:r>
          </w:p>
        </w:tc>
        <w:tc>
          <w:tcPr>
            <w:tcW w:w="0" w:type="dxa"/>
            <w:vAlign w:val="bottom"/>
          </w:tcPr>
          <w:p>
            <w:pPr>
              <w:spacing w:after="0"/>
              <w:rPr>
                <w:sz w:val="1"/>
                <w:szCs w:val="1"/>
                <w:color w:val="auto"/>
              </w:rPr>
            </w:pPr>
          </w:p>
        </w:tc>
      </w:tr>
      <w:tr>
        <w:trPr>
          <w:trHeight w:val="96"/>
        </w:trPr>
        <w:tc>
          <w:tcPr>
            <w:tcW w:w="3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2480" w:type="dxa"/>
            <w:vAlign w:val="bottom"/>
            <w:vMerge w:val="restart"/>
          </w:tcPr>
          <w:p>
            <w:pPr>
              <w:jc w:val="center"/>
              <w:spacing w:after="0"/>
              <w:rPr>
                <w:sz w:val="20"/>
                <w:szCs w:val="20"/>
                <w:color w:val="auto"/>
              </w:rPr>
            </w:pPr>
            <w:r>
              <w:rPr>
                <w:rFonts w:ascii="Arial" w:cs="Arial" w:eastAsia="Arial" w:hAnsi="Arial"/>
                <w:sz w:val="14"/>
                <w:szCs w:val="14"/>
                <w:color w:val="auto"/>
              </w:rPr>
              <w:t>(between target and maximum)</w:t>
            </w:r>
          </w:p>
        </w:tc>
        <w:tc>
          <w:tcPr>
            <w:tcW w:w="0" w:type="dxa"/>
            <w:vAlign w:val="bottom"/>
          </w:tcPr>
          <w:p>
            <w:pPr>
              <w:spacing w:after="0"/>
              <w:rPr>
                <w:sz w:val="1"/>
                <w:szCs w:val="1"/>
                <w:color w:val="auto"/>
              </w:rPr>
            </w:pPr>
          </w:p>
        </w:tc>
      </w:tr>
      <w:tr>
        <w:trPr>
          <w:trHeight w:val="98"/>
        </w:trPr>
        <w:tc>
          <w:tcPr>
            <w:tcW w:w="3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30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25% Revenue Growth</w:t>
            </w:r>
          </w:p>
        </w:tc>
        <w:tc>
          <w:tcPr>
            <w:tcW w:w="120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2.0%</w:t>
            </w:r>
          </w:p>
        </w:tc>
        <w:tc>
          <w:tcPr>
            <w:tcW w:w="12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7.0%</w:t>
            </w:r>
          </w:p>
        </w:tc>
        <w:tc>
          <w:tcPr>
            <w:tcW w:w="130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12.0%</w:t>
            </w:r>
          </w:p>
        </w:tc>
        <w:tc>
          <w:tcPr>
            <w:tcW w:w="24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96"/>
        </w:trPr>
        <w:tc>
          <w:tcPr>
            <w:tcW w:w="3020" w:type="dxa"/>
            <w:vAlign w:val="bottom"/>
            <w:vMerge w:val="continue"/>
            <w:shd w:val="clear" w:color="auto" w:fill="DBDBDB"/>
          </w:tcPr>
          <w:p>
            <w:pPr>
              <w:spacing w:after="0"/>
              <w:rPr>
                <w:sz w:val="8"/>
                <w:szCs w:val="8"/>
                <w:color w:val="auto"/>
              </w:rPr>
            </w:pPr>
          </w:p>
        </w:tc>
        <w:tc>
          <w:tcPr>
            <w:tcW w:w="1200" w:type="dxa"/>
            <w:vAlign w:val="bottom"/>
            <w:vMerge w:val="continue"/>
            <w:shd w:val="clear" w:color="auto" w:fill="DBDBDB"/>
          </w:tcPr>
          <w:p>
            <w:pPr>
              <w:spacing w:after="0"/>
              <w:rPr>
                <w:sz w:val="8"/>
                <w:szCs w:val="8"/>
                <w:color w:val="auto"/>
              </w:rPr>
            </w:pPr>
          </w:p>
        </w:tc>
        <w:tc>
          <w:tcPr>
            <w:tcW w:w="1280" w:type="dxa"/>
            <w:vAlign w:val="bottom"/>
            <w:vMerge w:val="continue"/>
            <w:shd w:val="clear" w:color="auto" w:fill="DBDBDB"/>
          </w:tcPr>
          <w:p>
            <w:pPr>
              <w:spacing w:after="0"/>
              <w:rPr>
                <w:sz w:val="8"/>
                <w:szCs w:val="8"/>
                <w:color w:val="auto"/>
              </w:rPr>
            </w:pPr>
          </w:p>
        </w:tc>
        <w:tc>
          <w:tcPr>
            <w:tcW w:w="1300" w:type="dxa"/>
            <w:vAlign w:val="bottom"/>
            <w:vMerge w:val="continue"/>
            <w:shd w:val="clear" w:color="auto" w:fill="DBDBDB"/>
          </w:tcPr>
          <w:p>
            <w:pPr>
              <w:spacing w:after="0"/>
              <w:rPr>
                <w:sz w:val="8"/>
                <w:szCs w:val="8"/>
                <w:color w:val="auto"/>
              </w:rPr>
            </w:pPr>
          </w:p>
        </w:tc>
        <w:tc>
          <w:tcPr>
            <w:tcW w:w="24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103"/>
        </w:trPr>
        <w:tc>
          <w:tcPr>
            <w:tcW w:w="3020" w:type="dxa"/>
            <w:vAlign w:val="bottom"/>
            <w:shd w:val="clear" w:color="auto" w:fill="DBDBDB"/>
          </w:tcPr>
          <w:p>
            <w:pPr>
              <w:spacing w:after="0"/>
              <w:rPr>
                <w:sz w:val="8"/>
                <w:szCs w:val="8"/>
                <w:color w:val="auto"/>
              </w:rPr>
            </w:pPr>
          </w:p>
        </w:tc>
        <w:tc>
          <w:tcPr>
            <w:tcW w:w="1200" w:type="dxa"/>
            <w:vAlign w:val="bottom"/>
            <w:shd w:val="clear" w:color="auto" w:fill="DBDBDB"/>
          </w:tcPr>
          <w:p>
            <w:pPr>
              <w:spacing w:after="0"/>
              <w:rPr>
                <w:sz w:val="8"/>
                <w:szCs w:val="8"/>
                <w:color w:val="auto"/>
              </w:rPr>
            </w:pPr>
          </w:p>
        </w:tc>
        <w:tc>
          <w:tcPr>
            <w:tcW w:w="1280" w:type="dxa"/>
            <w:vAlign w:val="bottom"/>
            <w:shd w:val="clear" w:color="auto" w:fill="DBDBDB"/>
          </w:tcPr>
          <w:p>
            <w:pPr>
              <w:spacing w:after="0"/>
              <w:rPr>
                <w:sz w:val="8"/>
                <w:szCs w:val="8"/>
                <w:color w:val="auto"/>
              </w:rPr>
            </w:pPr>
          </w:p>
        </w:tc>
        <w:tc>
          <w:tcPr>
            <w:tcW w:w="1300" w:type="dxa"/>
            <w:vAlign w:val="bottom"/>
            <w:shd w:val="clear" w:color="auto" w:fill="DBDBDB"/>
          </w:tcPr>
          <w:p>
            <w:pPr>
              <w:spacing w:after="0"/>
              <w:rPr>
                <w:sz w:val="8"/>
                <w:szCs w:val="8"/>
                <w:color w:val="auto"/>
              </w:rPr>
            </w:pPr>
          </w:p>
        </w:tc>
        <w:tc>
          <w:tcPr>
            <w:tcW w:w="248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3020" w:type="dxa"/>
            <w:vAlign w:val="bottom"/>
            <w:vMerge w:val="restart"/>
          </w:tcPr>
          <w:p>
            <w:pPr>
              <w:ind w:left="20"/>
              <w:spacing w:after="0"/>
              <w:rPr>
                <w:sz w:val="20"/>
                <w:szCs w:val="20"/>
                <w:color w:val="auto"/>
              </w:rPr>
            </w:pPr>
            <w:r>
              <w:rPr>
                <w:rFonts w:ascii="Arial" w:cs="Arial" w:eastAsia="Arial" w:hAnsi="Arial"/>
                <w:sz w:val="14"/>
                <w:szCs w:val="14"/>
                <w:color w:val="auto"/>
              </w:rPr>
              <w:t>16.5% Days Inventory Outstanding</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143.86</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rPr>
              <w:t>130.78</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rPr>
              <w:t>117.70</w:t>
            </w:r>
          </w:p>
        </w:tc>
        <w:tc>
          <w:tcPr>
            <w:tcW w:w="2480" w:type="dxa"/>
            <w:vAlign w:val="bottom"/>
          </w:tcPr>
          <w:p>
            <w:pPr>
              <w:jc w:val="center"/>
              <w:ind w:right="8"/>
              <w:spacing w:after="0"/>
              <w:rPr>
                <w:sz w:val="20"/>
                <w:szCs w:val="20"/>
                <w:color w:val="auto"/>
              </w:rPr>
            </w:pPr>
            <w:r>
              <w:rPr>
                <w:rFonts w:ascii="Arial" w:cs="Arial" w:eastAsia="Arial" w:hAnsi="Arial"/>
                <w:sz w:val="14"/>
                <w:szCs w:val="14"/>
                <w:color w:val="auto"/>
              </w:rPr>
              <w:t>158.44</w:t>
            </w:r>
          </w:p>
        </w:tc>
        <w:tc>
          <w:tcPr>
            <w:tcW w:w="0" w:type="dxa"/>
            <w:vAlign w:val="bottom"/>
          </w:tcPr>
          <w:p>
            <w:pPr>
              <w:spacing w:after="0"/>
              <w:rPr>
                <w:sz w:val="1"/>
                <w:szCs w:val="1"/>
                <w:color w:val="auto"/>
              </w:rPr>
            </w:pPr>
          </w:p>
        </w:tc>
      </w:tr>
      <w:tr>
        <w:trPr>
          <w:trHeight w:val="96"/>
        </w:trPr>
        <w:tc>
          <w:tcPr>
            <w:tcW w:w="3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2480" w:type="dxa"/>
            <w:vAlign w:val="bottom"/>
            <w:vMerge w:val="restart"/>
          </w:tcPr>
          <w:p>
            <w:pPr>
              <w:jc w:val="center"/>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99"/>
        </w:trPr>
        <w:tc>
          <w:tcPr>
            <w:tcW w:w="3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30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8.5% Days Sales Outstanding</w:t>
            </w:r>
          </w:p>
        </w:tc>
        <w:tc>
          <w:tcPr>
            <w:tcW w:w="120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106.72</w:t>
            </w:r>
          </w:p>
        </w:tc>
        <w:tc>
          <w:tcPr>
            <w:tcW w:w="12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97.02</w:t>
            </w:r>
          </w:p>
        </w:tc>
        <w:tc>
          <w:tcPr>
            <w:tcW w:w="130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87.32</w:t>
            </w:r>
          </w:p>
        </w:tc>
        <w:tc>
          <w:tcPr>
            <w:tcW w:w="2480" w:type="dxa"/>
            <w:vAlign w:val="bottom"/>
            <w:shd w:val="clear" w:color="auto" w:fill="DBDBDB"/>
          </w:tcPr>
          <w:p>
            <w:pPr>
              <w:jc w:val="center"/>
              <w:ind w:right="8"/>
              <w:spacing w:after="0"/>
              <w:rPr>
                <w:sz w:val="20"/>
                <w:szCs w:val="20"/>
                <w:color w:val="auto"/>
              </w:rPr>
            </w:pPr>
            <w:r>
              <w:rPr>
                <w:rFonts w:ascii="Arial" w:cs="Arial" w:eastAsia="Arial" w:hAnsi="Arial"/>
                <w:sz w:val="14"/>
                <w:szCs w:val="14"/>
                <w:color w:val="auto"/>
              </w:rPr>
              <w:t>93.79</w:t>
            </w:r>
          </w:p>
        </w:tc>
        <w:tc>
          <w:tcPr>
            <w:tcW w:w="0" w:type="dxa"/>
            <w:vAlign w:val="bottom"/>
          </w:tcPr>
          <w:p>
            <w:pPr>
              <w:spacing w:after="0"/>
              <w:rPr>
                <w:sz w:val="1"/>
                <w:szCs w:val="1"/>
                <w:color w:val="auto"/>
              </w:rPr>
            </w:pPr>
          </w:p>
        </w:tc>
      </w:tr>
      <w:tr>
        <w:trPr>
          <w:trHeight w:val="96"/>
        </w:trPr>
        <w:tc>
          <w:tcPr>
            <w:tcW w:w="3020" w:type="dxa"/>
            <w:vAlign w:val="bottom"/>
            <w:vMerge w:val="continue"/>
            <w:shd w:val="clear" w:color="auto" w:fill="DBDBDB"/>
          </w:tcPr>
          <w:p>
            <w:pPr>
              <w:spacing w:after="0"/>
              <w:rPr>
                <w:sz w:val="8"/>
                <w:szCs w:val="8"/>
                <w:color w:val="auto"/>
              </w:rPr>
            </w:pPr>
          </w:p>
        </w:tc>
        <w:tc>
          <w:tcPr>
            <w:tcW w:w="1200" w:type="dxa"/>
            <w:vAlign w:val="bottom"/>
            <w:vMerge w:val="continue"/>
            <w:shd w:val="clear" w:color="auto" w:fill="DBDBDB"/>
          </w:tcPr>
          <w:p>
            <w:pPr>
              <w:spacing w:after="0"/>
              <w:rPr>
                <w:sz w:val="8"/>
                <w:szCs w:val="8"/>
                <w:color w:val="auto"/>
              </w:rPr>
            </w:pPr>
          </w:p>
        </w:tc>
        <w:tc>
          <w:tcPr>
            <w:tcW w:w="1280" w:type="dxa"/>
            <w:vAlign w:val="bottom"/>
            <w:vMerge w:val="continue"/>
            <w:shd w:val="clear" w:color="auto" w:fill="DBDBDB"/>
          </w:tcPr>
          <w:p>
            <w:pPr>
              <w:spacing w:after="0"/>
              <w:rPr>
                <w:sz w:val="8"/>
                <w:szCs w:val="8"/>
                <w:color w:val="auto"/>
              </w:rPr>
            </w:pPr>
          </w:p>
        </w:tc>
        <w:tc>
          <w:tcPr>
            <w:tcW w:w="1300" w:type="dxa"/>
            <w:vAlign w:val="bottom"/>
            <w:vMerge w:val="continue"/>
            <w:shd w:val="clear" w:color="auto" w:fill="DBDBDB"/>
          </w:tcPr>
          <w:p>
            <w:pPr>
              <w:spacing w:after="0"/>
              <w:rPr>
                <w:sz w:val="8"/>
                <w:szCs w:val="8"/>
                <w:color w:val="auto"/>
              </w:rPr>
            </w:pPr>
          </w:p>
        </w:tc>
        <w:tc>
          <w:tcPr>
            <w:tcW w:w="24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(between target and maximum)</w:t>
            </w:r>
          </w:p>
        </w:tc>
        <w:tc>
          <w:tcPr>
            <w:tcW w:w="0" w:type="dxa"/>
            <w:vAlign w:val="bottom"/>
          </w:tcPr>
          <w:p>
            <w:pPr>
              <w:spacing w:after="0"/>
              <w:rPr>
                <w:sz w:val="1"/>
                <w:szCs w:val="1"/>
                <w:color w:val="auto"/>
              </w:rPr>
            </w:pPr>
          </w:p>
        </w:tc>
      </w:tr>
      <w:tr>
        <w:trPr>
          <w:trHeight w:val="103"/>
        </w:trPr>
        <w:tc>
          <w:tcPr>
            <w:tcW w:w="3020" w:type="dxa"/>
            <w:vAlign w:val="bottom"/>
            <w:shd w:val="clear" w:color="auto" w:fill="DBDBDB"/>
          </w:tcPr>
          <w:p>
            <w:pPr>
              <w:spacing w:after="0"/>
              <w:rPr>
                <w:sz w:val="8"/>
                <w:szCs w:val="8"/>
                <w:color w:val="auto"/>
              </w:rPr>
            </w:pPr>
          </w:p>
        </w:tc>
        <w:tc>
          <w:tcPr>
            <w:tcW w:w="1200" w:type="dxa"/>
            <w:vAlign w:val="bottom"/>
            <w:shd w:val="clear" w:color="auto" w:fill="DBDBDB"/>
          </w:tcPr>
          <w:p>
            <w:pPr>
              <w:spacing w:after="0"/>
              <w:rPr>
                <w:sz w:val="8"/>
                <w:szCs w:val="8"/>
                <w:color w:val="auto"/>
              </w:rPr>
            </w:pPr>
          </w:p>
        </w:tc>
        <w:tc>
          <w:tcPr>
            <w:tcW w:w="1280" w:type="dxa"/>
            <w:vAlign w:val="bottom"/>
            <w:shd w:val="clear" w:color="auto" w:fill="DBDBDB"/>
          </w:tcPr>
          <w:p>
            <w:pPr>
              <w:spacing w:after="0"/>
              <w:rPr>
                <w:sz w:val="8"/>
                <w:szCs w:val="8"/>
                <w:color w:val="auto"/>
              </w:rPr>
            </w:pPr>
          </w:p>
        </w:tc>
        <w:tc>
          <w:tcPr>
            <w:tcW w:w="1300" w:type="dxa"/>
            <w:vAlign w:val="bottom"/>
            <w:shd w:val="clear" w:color="auto" w:fill="DBDBDB"/>
          </w:tcPr>
          <w:p>
            <w:pPr>
              <w:spacing w:after="0"/>
              <w:rPr>
                <w:sz w:val="8"/>
                <w:szCs w:val="8"/>
                <w:color w:val="auto"/>
              </w:rPr>
            </w:pPr>
          </w:p>
        </w:tc>
        <w:tc>
          <w:tcPr>
            <w:tcW w:w="248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International division performance payout</w:t>
            </w: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rPr>
              <w:t>61.8% of target</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right="140" w:firstLine="324"/>
        <w:spacing w:after="0" w:line="245" w:lineRule="auto"/>
        <w:rPr>
          <w:sz w:val="20"/>
          <w:szCs w:val="20"/>
          <w:color w:val="auto"/>
        </w:rPr>
      </w:pPr>
      <w:r>
        <w:rPr>
          <w:rFonts w:ascii="Arial" w:cs="Arial" w:eastAsia="Arial" w:hAnsi="Arial"/>
          <w:sz w:val="18"/>
          <w:szCs w:val="18"/>
          <w:i w:val="1"/>
          <w:iCs w:val="1"/>
          <w:color w:val="auto"/>
        </w:rPr>
        <w:t>Discussion and Analysis</w:t>
      </w:r>
      <w:r>
        <w:rPr>
          <w:rFonts w:ascii="Arial" w:cs="Arial" w:eastAsia="Arial" w:hAnsi="Arial"/>
          <w:sz w:val="18"/>
          <w:szCs w:val="18"/>
          <w:color w:val="auto"/>
        </w:rPr>
        <w:t>. All of our NEOs, other than Ms. Dahl had 100% of their annual cash incentive awards tied to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for all of fiscal 2023; and therefore, their annual cash incentive award payouts were at 29.0% of target. Applying the corporate</w:t>
      </w:r>
    </w:p>
    <w:p>
      <w:pPr>
        <w:ind w:right="60"/>
        <w:spacing w:after="0" w:line="226" w:lineRule="auto"/>
        <w:rPr>
          <w:sz w:val="20"/>
          <w:szCs w:val="20"/>
          <w:color w:val="auto"/>
        </w:rPr>
      </w:pPr>
      <w:r>
        <w:rPr>
          <w:rFonts w:ascii="Arial" w:cs="Arial" w:eastAsia="Arial" w:hAnsi="Arial"/>
          <w:sz w:val="18"/>
          <w:szCs w:val="18"/>
          <w:color w:val="auto"/>
        </w:rPr>
        <w:t>performance payout to their individual target awards, this translated to payouts of fiscal year base salaries of approximately 40% for Mr. Olson and approximately 20% to 25% for the other NEOs. Ms. Dahl had 100% of her annual cash incentive award for a part of fiscal 2023 in</w:t>
      </w:r>
    </w:p>
    <w:p>
      <w:pPr>
        <w:spacing w:after="0" w:line="236" w:lineRule="auto"/>
        <w:rPr>
          <w:sz w:val="20"/>
          <w:szCs w:val="20"/>
          <w:color w:val="auto"/>
        </w:rPr>
      </w:pPr>
      <w:r>
        <w:rPr>
          <w:rFonts w:ascii="Arial" w:cs="Arial" w:eastAsia="Arial" w:hAnsi="Arial"/>
          <w:sz w:val="18"/>
          <w:szCs w:val="18"/>
          <w:color w:val="auto"/>
        </w:rPr>
        <w:t>which she served as Vice President, General Counsel and Corporate Secretary and her award was tied 50% to corporate performance and</w:t>
      </w:r>
    </w:p>
    <w:p>
      <w:pPr>
        <w:spacing w:after="0" w:line="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50% to international division performance from March 1, 2023 through the remainder of fiscal 2023, which is the time period in which she served as Vice President, International.</w:t>
      </w:r>
    </w:p>
    <w:p>
      <w:pPr>
        <w:spacing w:after="0" w:line="73" w:lineRule="exact"/>
        <w:rPr>
          <w:sz w:val="20"/>
          <w:szCs w:val="20"/>
          <w:color w:val="auto"/>
        </w:rPr>
      </w:pPr>
    </w:p>
    <w:p>
      <w:pPr>
        <w:ind w:right="260" w:firstLine="324"/>
        <w:spacing w:after="0" w:line="271" w:lineRule="auto"/>
        <w:rPr>
          <w:sz w:val="20"/>
          <w:szCs w:val="20"/>
          <w:color w:val="auto"/>
        </w:rPr>
      </w:pPr>
      <w:r>
        <w:rPr>
          <w:rFonts w:ascii="Arial" w:cs="Arial" w:eastAsia="Arial" w:hAnsi="Arial"/>
          <w:sz w:val="18"/>
          <w:szCs w:val="18"/>
          <w:i w:val="1"/>
          <w:iCs w:val="1"/>
          <w:color w:val="auto"/>
        </w:rPr>
        <w:t xml:space="preserve">Actual Cash Compensation Discussion and Analysis. </w:t>
      </w:r>
      <w:r>
        <w:rPr>
          <w:rFonts w:ascii="Arial" w:cs="Arial" w:eastAsia="Arial" w:hAnsi="Arial"/>
          <w:sz w:val="18"/>
          <w:szCs w:val="18"/>
          <w:color w:val="auto"/>
        </w:rPr>
        <w:t>Fiscal 2023 actual total cash compensation (which represents the sum of actual</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2023 base salary earnings and actual fiscal 2023 total annual cash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color w:val="auto"/>
        </w:rPr>
        <w:t>award payout) is reflected in the table below. The fiscal 2023 base salary earnings for Ms. Peterson and Mr. Rodier reflect earnings through</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their respective retirement dates and the fiscal 2023 base salary earnings for Ms. Totsky represent earnings from her employment start date of June 19, 2023 through the end of fiscal 2023. The corporate payout was less than target at 29.0% and the international division payout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 less than target at 61.8%, which aligns with our pay for performance philosophy.</w:t>
      </w:r>
    </w:p>
    <w:p>
      <w:pPr>
        <w:spacing w:after="0" w:line="145" w:lineRule="exact"/>
        <w:rPr>
          <w:sz w:val="20"/>
          <w:szCs w:val="20"/>
          <w:color w:val="auto"/>
        </w:rPr>
      </w:pPr>
    </w:p>
    <w:tbl>
      <w:tblPr>
        <w:tblLayout w:type="fixed"/>
        <w:tblInd w:w="140" w:type="dxa"/>
        <w:tblCellMar>
          <w:top w:w="0" w:type="dxa"/>
          <w:left w:w="0" w:type="dxa"/>
          <w:bottom w:w="0" w:type="dxa"/>
          <w:right w:w="0" w:type="dxa"/>
        </w:tblCellMar>
      </w:tblPr>
      <w:tr>
        <w:trPr>
          <w:trHeight w:val="241"/>
        </w:trPr>
        <w:tc>
          <w:tcPr>
            <w:tcW w:w="1880" w:type="dxa"/>
            <w:vAlign w:val="bottom"/>
            <w:shd w:val="clear" w:color="auto" w:fill="BF2115"/>
          </w:tcPr>
          <w:p>
            <w:pPr>
              <w:spacing w:after="0"/>
              <w:rPr>
                <w:sz w:val="20"/>
                <w:szCs w:val="20"/>
                <w:color w:val="auto"/>
              </w:rPr>
            </w:pPr>
          </w:p>
        </w:tc>
        <w:tc>
          <w:tcPr>
            <w:tcW w:w="3260" w:type="dxa"/>
            <w:vAlign w:val="bottom"/>
            <w:shd w:val="clear" w:color="auto" w:fill="BF2115"/>
          </w:tcPr>
          <w:p>
            <w:pPr>
              <w:spacing w:after="0"/>
              <w:rPr>
                <w:sz w:val="20"/>
                <w:szCs w:val="20"/>
                <w:color w:val="auto"/>
              </w:rPr>
            </w:pPr>
          </w:p>
        </w:tc>
        <w:tc>
          <w:tcPr>
            <w:tcW w:w="3400" w:type="dxa"/>
            <w:vAlign w:val="bottom"/>
            <w:vMerge w:val="restart"/>
            <w:shd w:val="clear" w:color="auto" w:fill="BF2115"/>
          </w:tcPr>
          <w:p>
            <w:pPr>
              <w:jc w:val="center"/>
              <w:ind w:right="762"/>
              <w:spacing w:after="0"/>
              <w:rPr>
                <w:sz w:val="20"/>
                <w:szCs w:val="20"/>
                <w:color w:val="auto"/>
              </w:rPr>
            </w:pPr>
            <w:r>
              <w:rPr>
                <w:rFonts w:ascii="Arial" w:cs="Arial" w:eastAsia="Arial" w:hAnsi="Arial"/>
                <w:sz w:val="14"/>
                <w:szCs w:val="14"/>
                <w:b w:val="1"/>
                <w:bCs w:val="1"/>
                <w:color w:val="FFFFFF"/>
              </w:rPr>
              <w:t>Fiscal 2023</w:t>
            </w:r>
          </w:p>
        </w:tc>
        <w:tc>
          <w:tcPr>
            <w:tcW w:w="2420" w:type="dxa"/>
            <w:vAlign w:val="bottom"/>
            <w:shd w:val="clear" w:color="auto" w:fill="BF2115"/>
          </w:tcPr>
          <w:p>
            <w:pPr>
              <w:jc w:val="center"/>
              <w:ind w:right="302"/>
              <w:spacing w:after="0"/>
              <w:rPr>
                <w:sz w:val="20"/>
                <w:szCs w:val="20"/>
                <w:color w:val="auto"/>
              </w:rPr>
            </w:pPr>
            <w:r>
              <w:rPr>
                <w:rFonts w:ascii="Arial" w:cs="Arial" w:eastAsia="Arial" w:hAnsi="Arial"/>
                <w:sz w:val="14"/>
                <w:szCs w:val="14"/>
                <w:b w:val="1"/>
                <w:bCs w:val="1"/>
                <w:color w:val="FFFFFF"/>
              </w:rPr>
              <w:t>Fiscal 2023</w:t>
            </w:r>
          </w:p>
        </w:tc>
        <w:tc>
          <w:tcPr>
            <w:tcW w:w="0" w:type="dxa"/>
            <w:vAlign w:val="bottom"/>
          </w:tcPr>
          <w:p>
            <w:pPr>
              <w:spacing w:after="0"/>
              <w:rPr>
                <w:sz w:val="1"/>
                <w:szCs w:val="1"/>
                <w:color w:val="auto"/>
              </w:rPr>
            </w:pPr>
          </w:p>
        </w:tc>
      </w:tr>
      <w:tr>
        <w:trPr>
          <w:trHeight w:val="87"/>
        </w:trPr>
        <w:tc>
          <w:tcPr>
            <w:tcW w:w="1880" w:type="dxa"/>
            <w:vAlign w:val="bottom"/>
            <w:shd w:val="clear" w:color="auto" w:fill="BF2115"/>
          </w:tcPr>
          <w:p>
            <w:pPr>
              <w:spacing w:after="0"/>
              <w:rPr>
                <w:sz w:val="7"/>
                <w:szCs w:val="7"/>
                <w:color w:val="auto"/>
              </w:rPr>
            </w:pPr>
          </w:p>
        </w:tc>
        <w:tc>
          <w:tcPr>
            <w:tcW w:w="326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Fiscal 2023</w:t>
            </w:r>
          </w:p>
        </w:tc>
        <w:tc>
          <w:tcPr>
            <w:tcW w:w="3400" w:type="dxa"/>
            <w:vAlign w:val="bottom"/>
            <w:vMerge w:val="continue"/>
            <w:shd w:val="clear" w:color="auto" w:fill="BF2115"/>
          </w:tcPr>
          <w:p>
            <w:pPr>
              <w:spacing w:after="0"/>
              <w:rPr>
                <w:sz w:val="7"/>
                <w:szCs w:val="7"/>
                <w:color w:val="auto"/>
              </w:rPr>
            </w:pPr>
          </w:p>
        </w:tc>
        <w:tc>
          <w:tcPr>
            <w:tcW w:w="2420" w:type="dxa"/>
            <w:vAlign w:val="bottom"/>
            <w:vMerge w:val="restart"/>
            <w:shd w:val="clear" w:color="auto" w:fill="BF2115"/>
          </w:tcPr>
          <w:p>
            <w:pPr>
              <w:jc w:val="center"/>
              <w:ind w:right="302"/>
              <w:spacing w:after="0"/>
              <w:rPr>
                <w:sz w:val="20"/>
                <w:szCs w:val="20"/>
                <w:color w:val="auto"/>
              </w:rPr>
            </w:pPr>
            <w:r>
              <w:rPr>
                <w:rFonts w:ascii="Arial" w:cs="Arial" w:eastAsia="Arial" w:hAnsi="Arial"/>
                <w:sz w:val="14"/>
                <w:szCs w:val="14"/>
                <w:b w:val="1"/>
                <w:bCs w:val="1"/>
                <w:color w:val="FFFFFF"/>
              </w:rPr>
              <w:t>Total Cash</w:t>
            </w:r>
          </w:p>
        </w:tc>
        <w:tc>
          <w:tcPr>
            <w:tcW w:w="0" w:type="dxa"/>
            <w:vAlign w:val="bottom"/>
          </w:tcPr>
          <w:p>
            <w:pPr>
              <w:spacing w:after="0"/>
              <w:rPr>
                <w:sz w:val="1"/>
                <w:szCs w:val="1"/>
                <w:color w:val="auto"/>
              </w:rPr>
            </w:pPr>
          </w:p>
        </w:tc>
      </w:tr>
      <w:tr>
        <w:trPr>
          <w:trHeight w:val="108"/>
        </w:trPr>
        <w:tc>
          <w:tcPr>
            <w:tcW w:w="1880" w:type="dxa"/>
            <w:vAlign w:val="bottom"/>
            <w:shd w:val="clear" w:color="auto" w:fill="BF2115"/>
          </w:tcPr>
          <w:p>
            <w:pPr>
              <w:spacing w:after="0"/>
              <w:rPr>
                <w:sz w:val="9"/>
                <w:szCs w:val="9"/>
                <w:color w:val="auto"/>
              </w:rPr>
            </w:pPr>
          </w:p>
        </w:tc>
        <w:tc>
          <w:tcPr>
            <w:tcW w:w="3260" w:type="dxa"/>
            <w:vAlign w:val="bottom"/>
            <w:vMerge w:val="continue"/>
            <w:shd w:val="clear" w:color="auto" w:fill="BF2115"/>
          </w:tcPr>
          <w:p>
            <w:pPr>
              <w:spacing w:after="0"/>
              <w:rPr>
                <w:sz w:val="9"/>
                <w:szCs w:val="9"/>
                <w:color w:val="auto"/>
              </w:rPr>
            </w:pPr>
          </w:p>
        </w:tc>
        <w:tc>
          <w:tcPr>
            <w:tcW w:w="3400" w:type="dxa"/>
            <w:vAlign w:val="bottom"/>
            <w:vMerge w:val="restart"/>
            <w:shd w:val="clear" w:color="auto" w:fill="BF2115"/>
          </w:tcPr>
          <w:p>
            <w:pPr>
              <w:jc w:val="center"/>
              <w:ind w:right="762"/>
              <w:spacing w:after="0"/>
              <w:rPr>
                <w:sz w:val="20"/>
                <w:szCs w:val="20"/>
                <w:color w:val="auto"/>
              </w:rPr>
            </w:pPr>
            <w:r>
              <w:rPr>
                <w:rFonts w:ascii="Arial" w:cs="Arial" w:eastAsia="Arial" w:hAnsi="Arial"/>
                <w:sz w:val="14"/>
                <w:szCs w:val="14"/>
                <w:b w:val="1"/>
                <w:bCs w:val="1"/>
                <w:color w:val="FFFFFF"/>
              </w:rPr>
              <w:t>Total Annual Cash</w:t>
            </w:r>
          </w:p>
        </w:tc>
        <w:tc>
          <w:tcPr>
            <w:tcW w:w="2420" w:type="dxa"/>
            <w:vAlign w:val="bottom"/>
            <w:vMerge w:val="continue"/>
            <w:shd w:val="clear" w:color="auto" w:fill="BF2115"/>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880" w:type="dxa"/>
            <w:vAlign w:val="bottom"/>
            <w:shd w:val="clear" w:color="auto" w:fill="BF2115"/>
          </w:tcPr>
          <w:p>
            <w:pPr>
              <w:spacing w:after="0"/>
              <w:rPr>
                <w:sz w:val="4"/>
                <w:szCs w:val="4"/>
                <w:color w:val="auto"/>
              </w:rPr>
            </w:pPr>
          </w:p>
        </w:tc>
        <w:tc>
          <w:tcPr>
            <w:tcW w:w="326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Base Salary Earnings</w:t>
            </w:r>
          </w:p>
        </w:tc>
        <w:tc>
          <w:tcPr>
            <w:tcW w:w="3400" w:type="dxa"/>
            <w:vAlign w:val="bottom"/>
            <w:vMerge w:val="continue"/>
            <w:shd w:val="clear" w:color="auto" w:fill="BF2115"/>
          </w:tcPr>
          <w:p>
            <w:pPr>
              <w:spacing w:after="0"/>
              <w:rPr>
                <w:sz w:val="4"/>
                <w:szCs w:val="4"/>
                <w:color w:val="auto"/>
              </w:rPr>
            </w:pPr>
          </w:p>
        </w:tc>
        <w:tc>
          <w:tcPr>
            <w:tcW w:w="2420" w:type="dxa"/>
            <w:vAlign w:val="bottom"/>
            <w:vMerge w:val="restart"/>
            <w:shd w:val="clear" w:color="auto" w:fill="BF2115"/>
          </w:tcPr>
          <w:p>
            <w:pPr>
              <w:jc w:val="center"/>
              <w:ind w:right="302"/>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148"/>
        </w:trPr>
        <w:tc>
          <w:tcPr>
            <w:tcW w:w="1880" w:type="dxa"/>
            <w:vAlign w:val="bottom"/>
            <w:shd w:val="clear" w:color="auto" w:fill="BF2115"/>
          </w:tcPr>
          <w:p>
            <w:pPr>
              <w:spacing w:after="0"/>
              <w:rPr>
                <w:sz w:val="12"/>
                <w:szCs w:val="12"/>
                <w:color w:val="auto"/>
              </w:rPr>
            </w:pPr>
          </w:p>
        </w:tc>
        <w:tc>
          <w:tcPr>
            <w:tcW w:w="3260" w:type="dxa"/>
            <w:vAlign w:val="bottom"/>
            <w:vMerge w:val="continue"/>
            <w:shd w:val="clear" w:color="auto" w:fill="BF2115"/>
          </w:tcPr>
          <w:p>
            <w:pPr>
              <w:spacing w:after="0"/>
              <w:rPr>
                <w:sz w:val="12"/>
                <w:szCs w:val="12"/>
                <w:color w:val="auto"/>
              </w:rPr>
            </w:pPr>
          </w:p>
        </w:tc>
        <w:tc>
          <w:tcPr>
            <w:tcW w:w="3400" w:type="dxa"/>
            <w:vAlign w:val="bottom"/>
            <w:shd w:val="clear" w:color="auto" w:fill="BF2115"/>
          </w:tcPr>
          <w:p>
            <w:pPr>
              <w:jc w:val="center"/>
              <w:ind w:right="742"/>
              <w:spacing w:after="0" w:line="149" w:lineRule="exact"/>
              <w:rPr>
                <w:sz w:val="20"/>
                <w:szCs w:val="20"/>
                <w:color w:val="auto"/>
              </w:rPr>
            </w:pPr>
            <w:r>
              <w:rPr>
                <w:rFonts w:ascii="Arial" w:cs="Arial" w:eastAsia="Arial" w:hAnsi="Arial"/>
                <w:sz w:val="14"/>
                <w:szCs w:val="14"/>
                <w:b w:val="1"/>
                <w:bCs w:val="1"/>
                <w:color w:val="FFFFFF"/>
              </w:rPr>
              <w:t>Incentive Award Payout</w:t>
            </w:r>
          </w:p>
        </w:tc>
        <w:tc>
          <w:tcPr>
            <w:tcW w:w="2420" w:type="dxa"/>
            <w:vAlign w:val="bottom"/>
            <w:vMerge w:val="continue"/>
            <w:shd w:val="clear" w:color="auto" w:fill="BF2115"/>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88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32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3400" w:type="dxa"/>
            <w:vAlign w:val="bottom"/>
            <w:shd w:val="clear" w:color="auto" w:fill="BF2115"/>
          </w:tcPr>
          <w:p>
            <w:pPr>
              <w:jc w:val="center"/>
              <w:ind w:right="742"/>
              <w:spacing w:after="0"/>
              <w:rPr>
                <w:sz w:val="20"/>
                <w:szCs w:val="20"/>
                <w:color w:val="auto"/>
              </w:rPr>
            </w:pPr>
            <w:r>
              <w:rPr>
                <w:rFonts w:ascii="Arial" w:cs="Arial" w:eastAsia="Arial" w:hAnsi="Arial"/>
                <w:sz w:val="14"/>
                <w:szCs w:val="14"/>
                <w:b w:val="1"/>
                <w:bCs w:val="1"/>
                <w:color w:val="FFFFFF"/>
              </w:rPr>
              <w:t>($)</w:t>
            </w:r>
          </w:p>
        </w:tc>
        <w:tc>
          <w:tcPr>
            <w:tcW w:w="2420" w:type="dxa"/>
            <w:vAlign w:val="bottom"/>
            <w:shd w:val="clear" w:color="auto" w:fill="BF2115"/>
          </w:tcPr>
          <w:p>
            <w:pPr>
              <w:jc w:val="center"/>
              <w:ind w:right="322"/>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5"/>
        </w:trPr>
        <w:tc>
          <w:tcPr>
            <w:tcW w:w="1880" w:type="dxa"/>
            <w:vAlign w:val="bottom"/>
          </w:tcPr>
          <w:p>
            <w:pPr>
              <w:ind w:left="20"/>
              <w:spacing w:after="0"/>
              <w:rPr>
                <w:sz w:val="20"/>
                <w:szCs w:val="20"/>
                <w:color w:val="auto"/>
              </w:rPr>
            </w:pPr>
            <w:r>
              <w:rPr>
                <w:rFonts w:ascii="Arial" w:cs="Arial" w:eastAsia="Arial" w:hAnsi="Arial"/>
                <w:sz w:val="16"/>
                <w:szCs w:val="16"/>
                <w:color w:val="auto"/>
              </w:rPr>
              <w:t>Mr. Olson</w:t>
            </w:r>
          </w:p>
        </w:tc>
        <w:tc>
          <w:tcPr>
            <w:tcW w:w="3260" w:type="dxa"/>
            <w:vAlign w:val="bottom"/>
          </w:tcPr>
          <w:p>
            <w:pPr>
              <w:jc w:val="right"/>
              <w:ind w:right="382"/>
              <w:spacing w:after="0"/>
              <w:rPr>
                <w:sz w:val="20"/>
                <w:szCs w:val="20"/>
                <w:color w:val="auto"/>
              </w:rPr>
            </w:pPr>
            <w:r>
              <w:rPr>
                <w:rFonts w:ascii="Arial" w:cs="Arial" w:eastAsia="Arial" w:hAnsi="Arial"/>
                <w:sz w:val="16"/>
                <w:szCs w:val="16"/>
                <w:color w:val="auto"/>
              </w:rPr>
              <w:t>1,129,958</w:t>
            </w:r>
          </w:p>
        </w:tc>
        <w:tc>
          <w:tcPr>
            <w:tcW w:w="3400" w:type="dxa"/>
            <w:vAlign w:val="bottom"/>
          </w:tcPr>
          <w:p>
            <w:pPr>
              <w:jc w:val="right"/>
              <w:ind w:right="442"/>
              <w:spacing w:after="0"/>
              <w:rPr>
                <w:sz w:val="20"/>
                <w:szCs w:val="20"/>
                <w:color w:val="auto"/>
              </w:rPr>
            </w:pPr>
            <w:r>
              <w:rPr>
                <w:rFonts w:ascii="Arial" w:cs="Arial" w:eastAsia="Arial" w:hAnsi="Arial"/>
                <w:sz w:val="16"/>
                <w:szCs w:val="16"/>
                <w:color w:val="auto"/>
              </w:rPr>
              <w:t>425,260</w:t>
            </w:r>
          </w:p>
        </w:tc>
        <w:tc>
          <w:tcPr>
            <w:tcW w:w="2420" w:type="dxa"/>
            <w:vAlign w:val="bottom"/>
          </w:tcPr>
          <w:p>
            <w:pPr>
              <w:jc w:val="right"/>
              <w:spacing w:after="0"/>
              <w:rPr>
                <w:sz w:val="20"/>
                <w:szCs w:val="20"/>
                <w:color w:val="auto"/>
              </w:rPr>
            </w:pPr>
            <w:r>
              <w:rPr>
                <w:rFonts w:ascii="Arial" w:cs="Arial" w:eastAsia="Arial" w:hAnsi="Arial"/>
                <w:sz w:val="16"/>
                <w:szCs w:val="16"/>
                <w:color w:val="auto"/>
              </w:rPr>
              <w:t>1,555,217</w:t>
            </w:r>
          </w:p>
        </w:tc>
        <w:tc>
          <w:tcPr>
            <w:tcW w:w="0" w:type="dxa"/>
            <w:vAlign w:val="bottom"/>
          </w:tcPr>
          <w:p>
            <w:pPr>
              <w:spacing w:after="0"/>
              <w:rPr>
                <w:sz w:val="1"/>
                <w:szCs w:val="1"/>
                <w:color w:val="auto"/>
              </w:rPr>
            </w:pPr>
          </w:p>
        </w:tc>
      </w:tr>
      <w:tr>
        <w:trPr>
          <w:trHeight w:val="28"/>
        </w:trPr>
        <w:tc>
          <w:tcPr>
            <w:tcW w:w="18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3260" w:type="dxa"/>
            <w:vAlign w:val="bottom"/>
            <w:tcBorders>
              <w:bottom w:val="single" w:sz="8" w:color="DBDBDB"/>
            </w:tcBorders>
            <w:shd w:val="clear" w:color="auto" w:fill="DBDBDB"/>
          </w:tcPr>
          <w:p>
            <w:pPr>
              <w:jc w:val="right"/>
              <w:ind w:right="382"/>
              <w:spacing w:after="0"/>
              <w:rPr>
                <w:sz w:val="20"/>
                <w:szCs w:val="20"/>
                <w:color w:val="auto"/>
              </w:rPr>
            </w:pPr>
            <w:r>
              <w:rPr>
                <w:rFonts w:ascii="Arial" w:cs="Arial" w:eastAsia="Arial" w:hAnsi="Arial"/>
                <w:sz w:val="16"/>
                <w:szCs w:val="16"/>
                <w:color w:val="auto"/>
              </w:rPr>
              <w:t>510,777</w:t>
            </w:r>
          </w:p>
        </w:tc>
        <w:tc>
          <w:tcPr>
            <w:tcW w:w="3400" w:type="dxa"/>
            <w:vAlign w:val="bottom"/>
            <w:tcBorders>
              <w:bottom w:val="single" w:sz="8" w:color="DBDBDB"/>
            </w:tcBorders>
            <w:shd w:val="clear" w:color="auto" w:fill="DBDBDB"/>
          </w:tcPr>
          <w:p>
            <w:pPr>
              <w:jc w:val="right"/>
              <w:ind w:right="442"/>
              <w:spacing w:after="0"/>
              <w:rPr>
                <w:sz w:val="20"/>
                <w:szCs w:val="20"/>
                <w:color w:val="auto"/>
              </w:rPr>
            </w:pPr>
            <w:r>
              <w:rPr>
                <w:rFonts w:ascii="Arial" w:cs="Arial" w:eastAsia="Arial" w:hAnsi="Arial"/>
                <w:sz w:val="16"/>
                <w:szCs w:val="16"/>
                <w:color w:val="auto"/>
              </w:rPr>
              <w:t>91,957</w:t>
            </w:r>
          </w:p>
        </w:tc>
        <w:tc>
          <w:tcPr>
            <w:tcW w:w="2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602,734</w:t>
            </w:r>
          </w:p>
        </w:tc>
        <w:tc>
          <w:tcPr>
            <w:tcW w:w="0" w:type="dxa"/>
            <w:vAlign w:val="bottom"/>
          </w:tcPr>
          <w:p>
            <w:pPr>
              <w:spacing w:after="0"/>
              <w:rPr>
                <w:sz w:val="1"/>
                <w:szCs w:val="1"/>
                <w:color w:val="auto"/>
              </w:rPr>
            </w:pPr>
          </w:p>
        </w:tc>
      </w:tr>
      <w:tr>
        <w:trPr>
          <w:trHeight w:val="215"/>
        </w:trPr>
        <w:tc>
          <w:tcPr>
            <w:tcW w:w="1880" w:type="dxa"/>
            <w:vAlign w:val="bottom"/>
          </w:tcPr>
          <w:p>
            <w:pPr>
              <w:ind w:left="20"/>
              <w:spacing w:after="0"/>
              <w:rPr>
                <w:sz w:val="20"/>
                <w:szCs w:val="20"/>
                <w:color w:val="auto"/>
              </w:rPr>
            </w:pPr>
            <w:r>
              <w:rPr>
                <w:rFonts w:ascii="Arial" w:cs="Arial" w:eastAsia="Arial" w:hAnsi="Arial"/>
                <w:sz w:val="16"/>
                <w:szCs w:val="16"/>
                <w:color w:val="auto"/>
              </w:rPr>
              <w:t>Ms. Peterson</w:t>
            </w:r>
          </w:p>
        </w:tc>
        <w:tc>
          <w:tcPr>
            <w:tcW w:w="3260" w:type="dxa"/>
            <w:vAlign w:val="bottom"/>
          </w:tcPr>
          <w:p>
            <w:pPr>
              <w:jc w:val="right"/>
              <w:ind w:right="382"/>
              <w:spacing w:after="0"/>
              <w:rPr>
                <w:sz w:val="20"/>
                <w:szCs w:val="20"/>
                <w:color w:val="auto"/>
              </w:rPr>
            </w:pPr>
            <w:r>
              <w:rPr>
                <w:rFonts w:ascii="Arial" w:cs="Arial" w:eastAsia="Arial" w:hAnsi="Arial"/>
                <w:sz w:val="16"/>
                <w:szCs w:val="16"/>
                <w:color w:val="auto"/>
              </w:rPr>
              <w:t>482,716</w:t>
            </w:r>
          </w:p>
        </w:tc>
        <w:tc>
          <w:tcPr>
            <w:tcW w:w="3400" w:type="dxa"/>
            <w:vAlign w:val="bottom"/>
          </w:tcPr>
          <w:p>
            <w:pPr>
              <w:jc w:val="right"/>
              <w:ind w:right="442"/>
              <w:spacing w:after="0"/>
              <w:rPr>
                <w:sz w:val="20"/>
                <w:szCs w:val="20"/>
                <w:color w:val="auto"/>
              </w:rPr>
            </w:pPr>
            <w:r>
              <w:rPr>
                <w:rFonts w:ascii="Arial" w:cs="Arial" w:eastAsia="Arial" w:hAnsi="Arial"/>
                <w:sz w:val="16"/>
                <w:szCs w:val="16"/>
                <w:color w:val="auto"/>
              </w:rPr>
              <w:t>111,797</w:t>
            </w:r>
          </w:p>
        </w:tc>
        <w:tc>
          <w:tcPr>
            <w:tcW w:w="2420" w:type="dxa"/>
            <w:vAlign w:val="bottom"/>
          </w:tcPr>
          <w:p>
            <w:pPr>
              <w:jc w:val="right"/>
              <w:spacing w:after="0"/>
              <w:rPr>
                <w:sz w:val="20"/>
                <w:szCs w:val="20"/>
                <w:color w:val="auto"/>
              </w:rPr>
            </w:pPr>
            <w:r>
              <w:rPr>
                <w:rFonts w:ascii="Arial" w:cs="Arial" w:eastAsia="Arial" w:hAnsi="Arial"/>
                <w:sz w:val="16"/>
                <w:szCs w:val="16"/>
                <w:color w:val="auto"/>
              </w:rPr>
              <w:t>594,513</w:t>
            </w:r>
          </w:p>
        </w:tc>
        <w:tc>
          <w:tcPr>
            <w:tcW w:w="0" w:type="dxa"/>
            <w:vAlign w:val="bottom"/>
          </w:tcPr>
          <w:p>
            <w:pPr>
              <w:spacing w:after="0"/>
              <w:rPr>
                <w:sz w:val="1"/>
                <w:szCs w:val="1"/>
                <w:color w:val="auto"/>
              </w:rPr>
            </w:pPr>
          </w:p>
        </w:tc>
      </w:tr>
      <w:tr>
        <w:trPr>
          <w:trHeight w:val="28"/>
        </w:trPr>
        <w:tc>
          <w:tcPr>
            <w:tcW w:w="18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Totsky</w:t>
            </w:r>
          </w:p>
        </w:tc>
        <w:tc>
          <w:tcPr>
            <w:tcW w:w="3260" w:type="dxa"/>
            <w:vAlign w:val="bottom"/>
            <w:tcBorders>
              <w:bottom w:val="single" w:sz="8" w:color="DBDBDB"/>
            </w:tcBorders>
            <w:shd w:val="clear" w:color="auto" w:fill="DBDBDB"/>
          </w:tcPr>
          <w:p>
            <w:pPr>
              <w:jc w:val="right"/>
              <w:ind w:right="382"/>
              <w:spacing w:after="0"/>
              <w:rPr>
                <w:sz w:val="20"/>
                <w:szCs w:val="20"/>
                <w:color w:val="auto"/>
              </w:rPr>
            </w:pPr>
            <w:r>
              <w:rPr>
                <w:rFonts w:ascii="Arial" w:cs="Arial" w:eastAsia="Arial" w:hAnsi="Arial"/>
                <w:sz w:val="16"/>
                <w:szCs w:val="16"/>
                <w:color w:val="auto"/>
              </w:rPr>
              <w:t>200,967</w:t>
            </w:r>
          </w:p>
        </w:tc>
        <w:tc>
          <w:tcPr>
            <w:tcW w:w="3400" w:type="dxa"/>
            <w:vAlign w:val="bottom"/>
            <w:tcBorders>
              <w:bottom w:val="single" w:sz="8" w:color="DBDBDB"/>
            </w:tcBorders>
            <w:shd w:val="clear" w:color="auto" w:fill="DBDBDB"/>
          </w:tcPr>
          <w:p>
            <w:pPr>
              <w:jc w:val="right"/>
              <w:ind w:right="442"/>
              <w:spacing w:after="0"/>
              <w:rPr>
                <w:sz w:val="20"/>
                <w:szCs w:val="20"/>
                <w:color w:val="auto"/>
              </w:rPr>
            </w:pPr>
            <w:r>
              <w:rPr>
                <w:rFonts w:ascii="Arial" w:cs="Arial" w:eastAsia="Arial" w:hAnsi="Arial"/>
                <w:sz w:val="16"/>
                <w:szCs w:val="16"/>
                <w:color w:val="auto"/>
              </w:rPr>
              <w:t>37,817</w:t>
            </w:r>
          </w:p>
        </w:tc>
        <w:tc>
          <w:tcPr>
            <w:tcW w:w="2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238,784</w:t>
            </w:r>
          </w:p>
        </w:tc>
        <w:tc>
          <w:tcPr>
            <w:tcW w:w="0" w:type="dxa"/>
            <w:vAlign w:val="bottom"/>
          </w:tcPr>
          <w:p>
            <w:pPr>
              <w:spacing w:after="0"/>
              <w:rPr>
                <w:sz w:val="1"/>
                <w:szCs w:val="1"/>
                <w:color w:val="auto"/>
              </w:rPr>
            </w:pPr>
          </w:p>
        </w:tc>
      </w:tr>
      <w:tr>
        <w:trPr>
          <w:trHeight w:val="215"/>
        </w:trPr>
        <w:tc>
          <w:tcPr>
            <w:tcW w:w="1880" w:type="dxa"/>
            <w:vAlign w:val="bottom"/>
          </w:tcPr>
          <w:p>
            <w:pPr>
              <w:ind w:left="20"/>
              <w:spacing w:after="0"/>
              <w:rPr>
                <w:sz w:val="20"/>
                <w:szCs w:val="20"/>
                <w:color w:val="auto"/>
              </w:rPr>
            </w:pPr>
            <w:r>
              <w:rPr>
                <w:rFonts w:ascii="Arial" w:cs="Arial" w:eastAsia="Arial" w:hAnsi="Arial"/>
                <w:sz w:val="16"/>
                <w:szCs w:val="16"/>
                <w:color w:val="auto"/>
              </w:rPr>
              <w:t>Ms. Dahl</w:t>
            </w:r>
          </w:p>
        </w:tc>
        <w:tc>
          <w:tcPr>
            <w:tcW w:w="3260" w:type="dxa"/>
            <w:vAlign w:val="bottom"/>
          </w:tcPr>
          <w:p>
            <w:pPr>
              <w:jc w:val="right"/>
              <w:ind w:right="382"/>
              <w:spacing w:after="0"/>
              <w:rPr>
                <w:sz w:val="20"/>
                <w:szCs w:val="20"/>
                <w:color w:val="auto"/>
              </w:rPr>
            </w:pPr>
            <w:r>
              <w:rPr>
                <w:rFonts w:ascii="Arial" w:cs="Arial" w:eastAsia="Arial" w:hAnsi="Arial"/>
                <w:sz w:val="16"/>
                <w:szCs w:val="16"/>
                <w:color w:val="auto"/>
              </w:rPr>
              <w:t>523,981</w:t>
            </w:r>
          </w:p>
        </w:tc>
        <w:tc>
          <w:tcPr>
            <w:tcW w:w="3400" w:type="dxa"/>
            <w:vAlign w:val="bottom"/>
          </w:tcPr>
          <w:p>
            <w:pPr>
              <w:jc w:val="right"/>
              <w:ind w:right="442"/>
              <w:spacing w:after="0"/>
              <w:rPr>
                <w:sz w:val="20"/>
                <w:szCs w:val="20"/>
                <w:color w:val="auto"/>
              </w:rPr>
            </w:pPr>
            <w:r>
              <w:rPr>
                <w:rFonts w:ascii="Arial" w:cs="Arial" w:eastAsia="Arial" w:hAnsi="Arial"/>
                <w:sz w:val="16"/>
                <w:szCs w:val="16"/>
                <w:color w:val="auto"/>
              </w:rPr>
              <w:t>135,656</w:t>
            </w:r>
          </w:p>
        </w:tc>
        <w:tc>
          <w:tcPr>
            <w:tcW w:w="2420" w:type="dxa"/>
            <w:vAlign w:val="bottom"/>
          </w:tcPr>
          <w:p>
            <w:pPr>
              <w:jc w:val="right"/>
              <w:spacing w:after="0"/>
              <w:rPr>
                <w:sz w:val="20"/>
                <w:szCs w:val="20"/>
                <w:color w:val="auto"/>
              </w:rPr>
            </w:pPr>
            <w:r>
              <w:rPr>
                <w:rFonts w:ascii="Arial" w:cs="Arial" w:eastAsia="Arial" w:hAnsi="Arial"/>
                <w:sz w:val="16"/>
                <w:szCs w:val="16"/>
                <w:color w:val="auto"/>
              </w:rPr>
              <w:t>659,637</w:t>
            </w:r>
          </w:p>
        </w:tc>
        <w:tc>
          <w:tcPr>
            <w:tcW w:w="0" w:type="dxa"/>
            <w:vAlign w:val="bottom"/>
          </w:tcPr>
          <w:p>
            <w:pPr>
              <w:spacing w:after="0"/>
              <w:rPr>
                <w:sz w:val="1"/>
                <w:szCs w:val="1"/>
                <w:color w:val="auto"/>
              </w:rPr>
            </w:pPr>
          </w:p>
        </w:tc>
      </w:tr>
      <w:tr>
        <w:trPr>
          <w:trHeight w:val="28"/>
        </w:trPr>
        <w:tc>
          <w:tcPr>
            <w:tcW w:w="18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Mr. Janey</w:t>
            </w:r>
          </w:p>
        </w:tc>
        <w:tc>
          <w:tcPr>
            <w:tcW w:w="3260" w:type="dxa"/>
            <w:vAlign w:val="bottom"/>
            <w:tcBorders>
              <w:bottom w:val="single" w:sz="8" w:color="DBDBDB"/>
            </w:tcBorders>
            <w:shd w:val="clear" w:color="auto" w:fill="DBDBDB"/>
          </w:tcPr>
          <w:p>
            <w:pPr>
              <w:jc w:val="right"/>
              <w:ind w:right="382"/>
              <w:spacing w:after="0"/>
              <w:rPr>
                <w:sz w:val="20"/>
                <w:szCs w:val="20"/>
                <w:color w:val="auto"/>
              </w:rPr>
            </w:pPr>
            <w:r>
              <w:rPr>
                <w:rFonts w:ascii="Arial" w:cs="Arial" w:eastAsia="Arial" w:hAnsi="Arial"/>
                <w:sz w:val="16"/>
                <w:szCs w:val="16"/>
                <w:color w:val="auto"/>
              </w:rPr>
              <w:t>431,519</w:t>
            </w:r>
          </w:p>
        </w:tc>
        <w:tc>
          <w:tcPr>
            <w:tcW w:w="3400" w:type="dxa"/>
            <w:vAlign w:val="bottom"/>
            <w:tcBorders>
              <w:bottom w:val="single" w:sz="8" w:color="DBDBDB"/>
            </w:tcBorders>
            <w:shd w:val="clear" w:color="auto" w:fill="DBDBDB"/>
          </w:tcPr>
          <w:p>
            <w:pPr>
              <w:jc w:val="right"/>
              <w:ind w:right="442"/>
              <w:spacing w:after="0"/>
              <w:rPr>
                <w:sz w:val="20"/>
                <w:szCs w:val="20"/>
                <w:color w:val="auto"/>
              </w:rPr>
            </w:pPr>
            <w:r>
              <w:rPr>
                <w:rFonts w:ascii="Arial" w:cs="Arial" w:eastAsia="Arial" w:hAnsi="Arial"/>
                <w:sz w:val="16"/>
                <w:szCs w:val="16"/>
                <w:color w:val="auto"/>
              </w:rPr>
              <w:t>81,201</w:t>
            </w:r>
          </w:p>
        </w:tc>
        <w:tc>
          <w:tcPr>
            <w:tcW w:w="2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512,720</w:t>
            </w:r>
          </w:p>
        </w:tc>
        <w:tc>
          <w:tcPr>
            <w:tcW w:w="0" w:type="dxa"/>
            <w:vAlign w:val="bottom"/>
          </w:tcPr>
          <w:p>
            <w:pPr>
              <w:spacing w:after="0"/>
              <w:rPr>
                <w:sz w:val="1"/>
                <w:szCs w:val="1"/>
                <w:color w:val="auto"/>
              </w:rPr>
            </w:pPr>
          </w:p>
        </w:tc>
      </w:tr>
      <w:tr>
        <w:trPr>
          <w:trHeight w:val="215"/>
        </w:trPr>
        <w:tc>
          <w:tcPr>
            <w:tcW w:w="1880" w:type="dxa"/>
            <w:vAlign w:val="bottom"/>
          </w:tcPr>
          <w:p>
            <w:pPr>
              <w:ind w:left="20"/>
              <w:spacing w:after="0"/>
              <w:rPr>
                <w:sz w:val="20"/>
                <w:szCs w:val="20"/>
                <w:color w:val="auto"/>
              </w:rPr>
            </w:pPr>
            <w:r>
              <w:rPr>
                <w:rFonts w:ascii="Arial" w:cs="Arial" w:eastAsia="Arial" w:hAnsi="Arial"/>
                <w:sz w:val="16"/>
                <w:szCs w:val="16"/>
                <w:color w:val="auto"/>
              </w:rPr>
              <w:t>Mr. Rodier</w:t>
            </w:r>
          </w:p>
        </w:tc>
        <w:tc>
          <w:tcPr>
            <w:tcW w:w="3260" w:type="dxa"/>
            <w:vAlign w:val="bottom"/>
          </w:tcPr>
          <w:p>
            <w:pPr>
              <w:jc w:val="right"/>
              <w:ind w:right="382"/>
              <w:spacing w:after="0"/>
              <w:rPr>
                <w:sz w:val="20"/>
                <w:szCs w:val="20"/>
                <w:color w:val="auto"/>
              </w:rPr>
            </w:pPr>
            <w:r>
              <w:rPr>
                <w:rFonts w:ascii="Arial" w:cs="Arial" w:eastAsia="Arial" w:hAnsi="Arial"/>
                <w:sz w:val="16"/>
                <w:szCs w:val="16"/>
                <w:color w:val="auto"/>
              </w:rPr>
              <w:t>284,221</w:t>
            </w:r>
          </w:p>
        </w:tc>
        <w:tc>
          <w:tcPr>
            <w:tcW w:w="3400" w:type="dxa"/>
            <w:vAlign w:val="bottom"/>
          </w:tcPr>
          <w:p>
            <w:pPr>
              <w:jc w:val="right"/>
              <w:ind w:right="442"/>
              <w:spacing w:after="0"/>
              <w:rPr>
                <w:sz w:val="20"/>
                <w:szCs w:val="20"/>
                <w:color w:val="auto"/>
              </w:rPr>
            </w:pPr>
            <w:r>
              <w:rPr>
                <w:rFonts w:ascii="Arial" w:cs="Arial" w:eastAsia="Arial" w:hAnsi="Arial"/>
                <w:sz w:val="16"/>
                <w:szCs w:val="16"/>
                <w:color w:val="auto"/>
              </w:rPr>
              <w:t>61,712</w:t>
            </w:r>
          </w:p>
        </w:tc>
        <w:tc>
          <w:tcPr>
            <w:tcW w:w="2420" w:type="dxa"/>
            <w:vAlign w:val="bottom"/>
          </w:tcPr>
          <w:p>
            <w:pPr>
              <w:jc w:val="right"/>
              <w:spacing w:after="0"/>
              <w:rPr>
                <w:sz w:val="20"/>
                <w:szCs w:val="20"/>
                <w:color w:val="auto"/>
              </w:rPr>
            </w:pPr>
            <w:r>
              <w:rPr>
                <w:rFonts w:ascii="Arial" w:cs="Arial" w:eastAsia="Arial" w:hAnsi="Arial"/>
                <w:sz w:val="16"/>
                <w:szCs w:val="16"/>
                <w:color w:val="auto"/>
              </w:rPr>
              <w:t>345,933</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Long-Term Incentives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believe our use of long-term incentives tied to our common stock, along with our stock ownership guidelines, align the</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interests of our executive officers with the interest of our shareholders. Therefore, we provide the opportunity for our executive officers to earn market competitive long-term incentives in the form of annual stock options and performance share awards. In determining the size of</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these long-term incentive awards for each executive officer, we consider market data, the scope and complexity of the executive's position, experience, tenure, internal pay comparisons, function, division, and individual performance and historical targeted grant levels.</w:t>
      </w:r>
    </w:p>
    <w:p>
      <w:pPr>
        <w:spacing w:after="0" w:line="50" w:lineRule="exact"/>
        <w:rPr>
          <w:sz w:val="20"/>
          <w:szCs w:val="20"/>
          <w:color w:val="auto"/>
        </w:rPr>
      </w:pPr>
    </w:p>
    <w:p>
      <w:pPr>
        <w:ind w:right="60" w:firstLine="324"/>
        <w:spacing w:after="0" w:line="259" w:lineRule="auto"/>
        <w:rPr>
          <w:sz w:val="20"/>
          <w:szCs w:val="20"/>
          <w:color w:val="auto"/>
        </w:rPr>
      </w:pPr>
      <w:r>
        <w:rPr>
          <w:rFonts w:ascii="Arial" w:cs="Arial" w:eastAsia="Arial" w:hAnsi="Arial"/>
          <w:sz w:val="17"/>
          <w:szCs w:val="17"/>
          <w:color w:val="auto"/>
        </w:rPr>
        <w:t>Generally, one-half of the long-term incentive value is delivered in the form of stock options and one-half is delivered in the form of performance share awards, both of which are approved by the Compensation &amp; Human Resources Committee at its regular meeting held in</w:t>
      </w:r>
    </w:p>
    <w:p>
      <w:pPr>
        <w:spacing w:after="0" w:line="1" w:lineRule="exact"/>
        <w:rPr>
          <w:sz w:val="20"/>
          <w:szCs w:val="20"/>
          <w:color w:val="auto"/>
        </w:rPr>
      </w:pPr>
    </w:p>
    <w:p>
      <w:pPr>
        <w:ind w:right="280"/>
        <w:spacing w:after="0" w:line="216" w:lineRule="auto"/>
        <w:rPr>
          <w:sz w:val="20"/>
          <w:szCs w:val="20"/>
          <w:color w:val="auto"/>
        </w:rPr>
      </w:pPr>
      <w:r>
        <w:rPr>
          <w:rFonts w:ascii="Arial" w:cs="Arial" w:eastAsia="Arial" w:hAnsi="Arial"/>
          <w:sz w:val="17"/>
          <w:szCs w:val="17"/>
          <w:color w:val="auto"/>
        </w:rPr>
        <w:t>December. We believe this equity mix strikes the appropriate balance between rewarding achievement of Company specific performance measures and delivering long-term incentive value based on stock price appreciation. Actual value realized from our long-term incentive</w:t>
      </w:r>
    </w:p>
    <w:p>
      <w:pPr>
        <w:spacing w:after="0" w:line="180" w:lineRule="auto"/>
        <w:rPr>
          <w:sz w:val="20"/>
          <w:szCs w:val="20"/>
          <w:color w:val="auto"/>
        </w:rPr>
      </w:pPr>
      <w:r>
        <w:rPr>
          <w:rFonts w:ascii="Arial" w:cs="Arial" w:eastAsia="Arial" w:hAnsi="Arial"/>
          <w:sz w:val="18"/>
          <w:szCs w:val="18"/>
          <w:color w:val="auto"/>
        </w:rPr>
        <w:t>awards may vary from the market 50</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percentile based on the price of our common stock and performance against the three-year</w:t>
      </w:r>
    </w:p>
    <w:p>
      <w:pPr>
        <w:spacing w:after="0" w:line="1" w:lineRule="exact"/>
        <w:rPr>
          <w:sz w:val="20"/>
          <w:szCs w:val="20"/>
          <w:color w:val="auto"/>
        </w:rPr>
      </w:pPr>
    </w:p>
    <w:p>
      <w:pPr>
        <w:jc w:val="both"/>
        <w:ind w:right="220"/>
        <w:spacing w:after="0" w:line="226" w:lineRule="auto"/>
        <w:rPr>
          <w:sz w:val="20"/>
          <w:szCs w:val="20"/>
          <w:color w:val="auto"/>
        </w:rPr>
      </w:pPr>
      <w:r>
        <w:rPr>
          <w:rFonts w:ascii="Arial" w:cs="Arial" w:eastAsia="Arial" w:hAnsi="Arial"/>
          <w:sz w:val="18"/>
          <w:szCs w:val="18"/>
          <w:color w:val="auto"/>
        </w:rPr>
        <w:t>cumulative financial goals for the performance share awards. In addition to stock options and performance share awards, we occasionally use restricted stock unit awards in connection with the hiring of new executive officers, mid-year promotions of existing executive officers,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leadership transition or retention purposes.</w:t>
      </w:r>
    </w:p>
    <w:p>
      <w:pPr>
        <w:spacing w:after="0" w:line="72"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As the Committee's meeting is generally held before the announcement of our financial results for the recently completed</w:t>
      </w:r>
      <w:r>
        <w:rPr>
          <w:rFonts w:ascii="Arial" w:cs="Arial" w:eastAsia="Arial" w:hAnsi="Arial"/>
          <w:sz w:val="17"/>
          <w:szCs w:val="17"/>
          <w:i w:val="1"/>
          <w:iCs w:val="1"/>
          <w:color w:val="auto"/>
        </w:rPr>
        <w:t xml:space="preserve"> </w:t>
      </w:r>
      <w:r>
        <w:rPr>
          <w:rFonts w:ascii="Arial" w:cs="Arial" w:eastAsia="Arial" w:hAnsi="Arial"/>
          <w:sz w:val="17"/>
          <w:szCs w:val="17"/>
          <w:color w:val="auto"/>
        </w:rPr>
        <w:t>fiscal year, annual stock options for fiscal 2023 were granted on the second business day following such announcement (with the first day</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being the announcement date), and have a per share exercise price equal to the closing price of our common stock on the grant date. For fiscal 2024, this timing was revised to be the fourth trading day following the filing of our annual report on Form 10-K (with the first day being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filing date).</w:t>
      </w:r>
    </w:p>
    <w:p>
      <w:pPr>
        <w:spacing w:after="0" w:line="86"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We believe our stock options are performance based - if we deliver strong shareholder returns, our stock price presumably will increase, thereby increasing the value of the stock options and executive officer resulting total compensation. If shareholder value is not delivered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does not increase, the options will have no value.</w:t>
      </w:r>
    </w:p>
    <w:p>
      <w:pPr>
        <w:spacing w:after="0" w:line="86" w:lineRule="exact"/>
        <w:rPr>
          <w:sz w:val="20"/>
          <w:szCs w:val="20"/>
          <w:color w:val="auto"/>
        </w:rPr>
      </w:pPr>
    </w:p>
    <w:p>
      <w:pPr>
        <w:ind w:right="120" w:firstLine="324"/>
        <w:spacing w:after="0" w:line="251" w:lineRule="auto"/>
        <w:rPr>
          <w:sz w:val="20"/>
          <w:szCs w:val="20"/>
          <w:color w:val="auto"/>
        </w:rPr>
      </w:pPr>
      <w:r>
        <w:rPr>
          <w:rFonts w:ascii="Arial" w:cs="Arial" w:eastAsia="Arial" w:hAnsi="Arial"/>
          <w:sz w:val="17"/>
          <w:szCs w:val="17"/>
          <w:color w:val="auto"/>
        </w:rPr>
        <w:t>To determine the number of annual stock options to award our executive officers, we start with a total target value of options and divide that value by the expected value of an option, using a Black-Scholes option pricing method. Our annual stock options vest in annual equal</w:t>
      </w:r>
    </w:p>
    <w:p>
      <w:pPr>
        <w:spacing w:after="0" w:line="235" w:lineRule="auto"/>
        <w:rPr>
          <w:sz w:val="20"/>
          <w:szCs w:val="20"/>
          <w:color w:val="auto"/>
        </w:rPr>
      </w:pPr>
      <w:r>
        <w:rPr>
          <w:rFonts w:ascii="Arial" w:cs="Arial" w:eastAsia="Arial" w:hAnsi="Arial"/>
          <w:sz w:val="18"/>
          <w:szCs w:val="18"/>
          <w:color w:val="auto"/>
        </w:rPr>
        <w:t>installments over three years, which three-year schedule is consistent with the three-year performance period for our performance share</w:t>
      </w:r>
    </w:p>
    <w:p>
      <w:pPr>
        <w:ind w:right="120"/>
        <w:spacing w:after="0" w:line="237" w:lineRule="auto"/>
        <w:rPr>
          <w:sz w:val="20"/>
          <w:szCs w:val="20"/>
          <w:color w:val="auto"/>
        </w:rPr>
      </w:pPr>
      <w:r>
        <w:rPr>
          <w:rFonts w:ascii="Arial" w:cs="Arial" w:eastAsia="Arial" w:hAnsi="Arial"/>
          <w:sz w:val="18"/>
          <w:szCs w:val="18"/>
          <w:color w:val="auto"/>
        </w:rPr>
        <w:t>awards. We believe the three-year period for our long-term incentive awards provides retention value and focuses our executive officers on attainment of long-term performance.</w:t>
      </w:r>
    </w:p>
    <w:p>
      <w:pPr>
        <w:spacing w:after="0" w:line="73" w:lineRule="exact"/>
        <w:rPr>
          <w:sz w:val="20"/>
          <w:szCs w:val="20"/>
          <w:color w:val="auto"/>
        </w:rPr>
      </w:pPr>
    </w:p>
    <w:p>
      <w:pPr>
        <w:jc w:val="both"/>
        <w:ind w:right="420" w:firstLine="324"/>
        <w:spacing w:after="0" w:line="271" w:lineRule="auto"/>
        <w:rPr>
          <w:sz w:val="20"/>
          <w:szCs w:val="20"/>
          <w:color w:val="auto"/>
        </w:rPr>
      </w:pPr>
      <w:r>
        <w:rPr>
          <w:rFonts w:ascii="Arial" w:cs="Arial" w:eastAsia="Arial" w:hAnsi="Arial"/>
          <w:sz w:val="18"/>
          <w:szCs w:val="18"/>
          <w:color w:val="auto"/>
        </w:rPr>
        <w:t>Occasionally the Committee will grant stock options for use in certain situations, including hiring of new executive officers, mid-year promotions of existing executive officers, leadership transition or retention purposes. Vesting for these options is generally time-based.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06" w:right="419" w:bottom="1440" w:gutter="0" w:footer="0" w:header="0"/>
        </w:sectPr>
      </w:pPr>
    </w:p>
    <w:bookmarkStart w:id="51" w:name="page52"/>
    <w:bookmarkEnd w:id="51"/>
    <w:p>
      <w:pPr>
        <w:ind w:left="340"/>
        <w:spacing w:after="0"/>
        <w:rPr>
          <w:sz w:val="20"/>
          <w:szCs w:val="20"/>
          <w:color w:val="auto"/>
        </w:rPr>
      </w:pPr>
      <w:r>
        <w:rPr>
          <w:rFonts w:ascii="Arial" w:cs="Arial" w:eastAsia="Arial" w:hAnsi="Arial"/>
          <w:sz w:val="17"/>
          <w:szCs w:val="17"/>
          <w:i w:val="1"/>
          <w:iCs w:val="1"/>
          <w:color w:val="auto"/>
        </w:rPr>
        <w:t xml:space="preserve">Performance Share Awards. </w:t>
      </w:r>
      <w:r>
        <w:rPr>
          <w:rFonts w:ascii="Arial" w:cs="Arial" w:eastAsia="Arial" w:hAnsi="Arial"/>
          <w:sz w:val="17"/>
          <w:szCs w:val="17"/>
          <w:color w:val="auto"/>
        </w:rPr>
        <w:t>Performance share awards are granted each year at the December Committee meeting and then paid out in</w:t>
      </w:r>
    </w:p>
    <w:p>
      <w:pPr>
        <w:spacing w:after="0" w:line="25"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shares of our common stock following completion of a three-year performance period if certain performance goals are achieved as determined by the Committee. The Committee establishes performance measures, weightings, goals and performance adjustment events, if</w:t>
      </w:r>
    </w:p>
    <w:p>
      <w:pPr>
        <w:spacing w:after="0" w:line="236" w:lineRule="auto"/>
        <w:rPr>
          <w:sz w:val="20"/>
          <w:szCs w:val="20"/>
          <w:color w:val="auto"/>
        </w:rPr>
      </w:pPr>
      <w:r>
        <w:rPr>
          <w:rFonts w:ascii="Arial" w:cs="Arial" w:eastAsia="Arial" w:hAnsi="Arial"/>
          <w:sz w:val="18"/>
          <w:szCs w:val="18"/>
          <w:color w:val="auto"/>
        </w:rPr>
        <w:t>any, for the entire three-year performance period, as well as thresholds and maximums. Factors the Committee considers when establishing</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the performance goals for the three-year period include our prior fiscal year actual financial business results, our longer-term strategic plan outlook, including our projections for performance for years two and three of the three-year award term, and of our competitive situation and</w:t>
      </w:r>
    </w:p>
    <w:p>
      <w:pPr>
        <w:spacing w:after="0" w:line="236" w:lineRule="auto"/>
        <w:rPr>
          <w:sz w:val="20"/>
          <w:szCs w:val="20"/>
          <w:color w:val="auto"/>
        </w:rPr>
      </w:pPr>
      <w:r>
        <w:rPr>
          <w:rFonts w:ascii="Arial" w:cs="Arial" w:eastAsia="Arial" w:hAnsi="Arial"/>
          <w:sz w:val="18"/>
          <w:szCs w:val="18"/>
          <w:color w:val="auto"/>
        </w:rPr>
        <w:t>outlook. At the end of the three-year performance period, Management presents a summary of, and the Committee certifies, performance</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against the performance goals, including the applicability of any adjustment events, and a corresponding payout, which is expressed as a percent of target. Actual payouts can range from 0% (if the threshold performance levels are not met) to 200% of the target award (if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maximum performance levels are met).</w:t>
      </w:r>
    </w:p>
    <w:p>
      <w:pPr>
        <w:spacing w:after="0" w:line="86" w:lineRule="exact"/>
        <w:rPr>
          <w:sz w:val="20"/>
          <w:szCs w:val="20"/>
          <w:color w:val="auto"/>
        </w:rPr>
      </w:pPr>
    </w:p>
    <w:p>
      <w:pPr>
        <w:ind w:right="120" w:firstLine="324"/>
        <w:spacing w:after="0" w:line="251" w:lineRule="auto"/>
        <w:rPr>
          <w:sz w:val="20"/>
          <w:szCs w:val="20"/>
          <w:color w:val="auto"/>
        </w:rPr>
      </w:pPr>
      <w:r>
        <w:rPr>
          <w:rFonts w:ascii="Arial" w:cs="Arial" w:eastAsia="Arial" w:hAnsi="Arial"/>
          <w:sz w:val="17"/>
          <w:szCs w:val="17"/>
          <w:color w:val="auto"/>
        </w:rPr>
        <w:t>To determine the number of target performance share awards to be granted to our executive officers, we start with a total target value of performance share awards to be delivered. That value is divided by an expected value per share to determine the number of performance</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share awards to grant at target. The expected value per share is equal to the average closing price of our common stock over the last three months of the prior fiscal year to help smooth out any price volatility in our common stock.</w:t>
      </w:r>
    </w:p>
    <w:p>
      <w:pPr>
        <w:spacing w:after="0" w:line="50" w:lineRule="exact"/>
        <w:rPr>
          <w:sz w:val="20"/>
          <w:szCs w:val="20"/>
          <w:color w:val="auto"/>
        </w:rPr>
      </w:pPr>
    </w:p>
    <w:p>
      <w:pPr>
        <w:jc w:val="both"/>
        <w:ind w:right="200" w:firstLine="324"/>
        <w:spacing w:after="0" w:line="253"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Occasionally, the Committee will grant restricted stock unit awards for use in certain situations,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hiring of new executive officers, mid-year promotions of existing executive officers, leadership transition or retention purposes. Vesting may be either performance-based or time-based.</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2023 Grants</w:t>
      </w:r>
      <w:r>
        <w:rPr>
          <w:rFonts w:ascii="Arial" w:cs="Arial" w:eastAsia="Arial" w:hAnsi="Arial"/>
          <w:sz w:val="18"/>
          <w:szCs w:val="18"/>
          <w:color w:val="auto"/>
        </w:rPr>
        <w:t>. The number of stock options and performance share awards granted to our NEOs for fiscal 2023 can be found in the</w:t>
      </w:r>
    </w:p>
    <w:p>
      <w:pPr>
        <w:spacing w:after="0" w:line="14" w:lineRule="exact"/>
        <w:rPr>
          <w:sz w:val="20"/>
          <w:szCs w:val="20"/>
          <w:color w:val="auto"/>
        </w:rPr>
      </w:pPr>
    </w:p>
    <w:p>
      <w:pPr>
        <w:jc w:val="both"/>
        <w:ind w:right="200"/>
        <w:spacing w:after="0" w:line="237" w:lineRule="auto"/>
        <w:rPr>
          <w:sz w:val="20"/>
          <w:szCs w:val="20"/>
          <w:color w:val="auto"/>
        </w:rPr>
      </w:pPr>
      <w:r>
        <w:rPr>
          <w:rFonts w:ascii="Arial" w:cs="Arial" w:eastAsia="Arial" w:hAnsi="Arial"/>
          <w:sz w:val="18"/>
          <w:szCs w:val="18"/>
          <w:color w:val="auto"/>
        </w:rPr>
        <w:t>"Grants of Plan-Based Awards for Fiscal 2023" table. This table also reflects the number of performance shares at threshold and maximum levels of performance. The grant date fair value of those awards can also be found in the "Summary Compensation Table."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our annual grants, we granted restricted stock unit awards to Ms. Totsky, as a part of her employment offer and upon</w:t>
      </w:r>
    </w:p>
    <w:p>
      <w:pPr>
        <w:spacing w:after="0" w:line="14"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commencement of her employment, as well as to Mr. Janey and Ms. Drake in connection with their respective promotions. All of these restricted stock unit awards vest in annual installments over three years. Detail regarding these grants also can be found in the "Grants of</w:t>
      </w:r>
    </w:p>
    <w:p>
      <w:pPr>
        <w:spacing w:after="0" w:line="2"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Plan-Based Awards for Fiscal 2023" table and the grant date fair value of those awards also are included in the "Summary Compensation Table."</w:t>
      </w:r>
    </w:p>
    <w:p>
      <w:pPr>
        <w:spacing w:after="0" w:line="50" w:lineRule="exact"/>
        <w:rPr>
          <w:sz w:val="20"/>
          <w:szCs w:val="20"/>
          <w:color w:val="auto"/>
        </w:rPr>
      </w:pPr>
    </w:p>
    <w:p>
      <w:pPr>
        <w:ind w:right="560" w:firstLine="324"/>
        <w:spacing w:after="0" w:line="271" w:lineRule="auto"/>
        <w:rPr>
          <w:sz w:val="20"/>
          <w:szCs w:val="20"/>
          <w:color w:val="auto"/>
        </w:rPr>
      </w:pPr>
      <w:r>
        <w:rPr>
          <w:rFonts w:ascii="Arial" w:cs="Arial" w:eastAsia="Arial" w:hAnsi="Arial"/>
          <w:sz w:val="18"/>
          <w:szCs w:val="18"/>
          <w:i w:val="1"/>
          <w:iCs w:val="1"/>
          <w:color w:val="auto"/>
        </w:rPr>
        <w:t xml:space="preserve">Performance Measures for the Performance Period Beginning in Fiscal 2023. </w:t>
      </w:r>
      <w:r>
        <w:rPr>
          <w:rFonts w:ascii="Arial" w:cs="Arial" w:eastAsia="Arial" w:hAnsi="Arial"/>
          <w:sz w:val="18"/>
          <w:szCs w:val="18"/>
          <w:color w:val="auto"/>
        </w:rPr>
        <w:t>For the fiscal 2023 to fiscal 2025 performance share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the following corporate performance measures and weightings were established for all of our executive officers:</w:t>
      </w:r>
    </w:p>
    <w:p>
      <w:pPr>
        <w:spacing w:after="0" w:line="105"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49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Performance Measures</w:t>
            </w:r>
          </w:p>
        </w:tc>
        <w:tc>
          <w:tcPr>
            <w:tcW w:w="3320" w:type="dxa"/>
            <w:vAlign w:val="bottom"/>
            <w:shd w:val="clear" w:color="auto" w:fill="BF2115"/>
          </w:tcPr>
          <w:p>
            <w:pPr>
              <w:jc w:val="center"/>
              <w:ind w:left="661"/>
              <w:spacing w:after="0"/>
              <w:rPr>
                <w:sz w:val="20"/>
                <w:szCs w:val="20"/>
                <w:color w:val="auto"/>
              </w:rPr>
            </w:pPr>
            <w:r>
              <w:rPr>
                <w:rFonts w:ascii="Arial" w:cs="Arial" w:eastAsia="Arial" w:hAnsi="Arial"/>
                <w:sz w:val="14"/>
                <w:szCs w:val="14"/>
                <w:b w:val="1"/>
                <w:bCs w:val="1"/>
                <w:color w:val="FFFFFF"/>
              </w:rPr>
              <w:t>Weighting</w:t>
            </w: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Cumulative net income, plus after-tax interest</w:t>
            </w:r>
          </w:p>
        </w:tc>
        <w:tc>
          <w:tcPr>
            <w:tcW w:w="3320" w:type="dxa"/>
            <w:vAlign w:val="bottom"/>
          </w:tcPr>
          <w:p>
            <w:pPr>
              <w:jc w:val="center"/>
              <w:ind w:left="681"/>
              <w:spacing w:after="0"/>
              <w:rPr>
                <w:sz w:val="20"/>
                <w:szCs w:val="20"/>
                <w:color w:val="auto"/>
              </w:rPr>
            </w:pPr>
            <w:r>
              <w:rPr>
                <w:rFonts w:ascii="Arial" w:cs="Arial" w:eastAsia="Arial" w:hAnsi="Arial"/>
                <w:sz w:val="16"/>
                <w:szCs w:val="16"/>
                <w:color w:val="auto"/>
                <w:w w:val="99"/>
              </w:rPr>
              <w:t>50%</w:t>
            </w:r>
          </w:p>
        </w:tc>
      </w:tr>
      <w:tr>
        <w:trPr>
          <w:trHeight w:val="28"/>
        </w:trPr>
        <w:tc>
          <w:tcPr>
            <w:tcW w:w="494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23"/>
        </w:trPr>
        <w:tc>
          <w:tcPr>
            <w:tcW w:w="4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Cumulative revenue</w:t>
            </w:r>
          </w:p>
        </w:tc>
        <w:tc>
          <w:tcPr>
            <w:tcW w:w="3320" w:type="dxa"/>
            <w:vAlign w:val="bottom"/>
            <w:tcBorders>
              <w:bottom w:val="single" w:sz="8" w:color="DBDBDB"/>
            </w:tcBorders>
            <w:shd w:val="clear" w:color="auto" w:fill="DBDBDB"/>
          </w:tcPr>
          <w:p>
            <w:pPr>
              <w:jc w:val="center"/>
              <w:ind w:left="681"/>
              <w:spacing w:after="0"/>
              <w:rPr>
                <w:sz w:val="20"/>
                <w:szCs w:val="20"/>
                <w:color w:val="auto"/>
              </w:rPr>
            </w:pPr>
            <w:r>
              <w:rPr>
                <w:rFonts w:ascii="Arial" w:cs="Arial" w:eastAsia="Arial" w:hAnsi="Arial"/>
                <w:sz w:val="16"/>
                <w:szCs w:val="16"/>
                <w:color w:val="auto"/>
                <w:w w:val="99"/>
              </w:rPr>
              <w:t>25%</w:t>
            </w: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Working capital as a percent of sales</w:t>
            </w:r>
          </w:p>
        </w:tc>
        <w:tc>
          <w:tcPr>
            <w:tcW w:w="3320" w:type="dxa"/>
            <w:vAlign w:val="bottom"/>
          </w:tcPr>
          <w:p>
            <w:pPr>
              <w:jc w:val="center"/>
              <w:ind w:left="681"/>
              <w:spacing w:after="0"/>
              <w:rPr>
                <w:sz w:val="20"/>
                <w:szCs w:val="20"/>
                <w:color w:val="auto"/>
              </w:rPr>
            </w:pPr>
            <w:r>
              <w:rPr>
                <w:rFonts w:ascii="Arial" w:cs="Arial" w:eastAsia="Arial" w:hAnsi="Arial"/>
                <w:sz w:val="16"/>
                <w:szCs w:val="16"/>
                <w:color w:val="auto"/>
                <w:w w:val="99"/>
              </w:rPr>
              <w:t>25%</w:t>
            </w:r>
          </w:p>
        </w:tc>
      </w:tr>
    </w:tbl>
    <w:p>
      <w:pPr>
        <w:spacing w:after="0" w:line="185"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While the corporate performance measures for the fiscal 2023 to fiscal 2025 performance share awards were the same as last year, the weighting for corporate revenue growth was decreased by 5% and the weighting for corporate working capital as a percent of sales was increased by 5% to increase focus on asset efficiency a bit more than last year.</w:t>
      </w:r>
    </w:p>
    <w:p>
      <w:pPr>
        <w:spacing w:after="0" w:line="47" w:lineRule="exact"/>
        <w:rPr>
          <w:sz w:val="20"/>
          <w:szCs w:val="20"/>
          <w:color w:val="auto"/>
        </w:rPr>
      </w:pPr>
    </w:p>
    <w:p>
      <w:pPr>
        <w:ind w:right="200" w:firstLine="324"/>
        <w:spacing w:after="0" w:line="245" w:lineRule="auto"/>
        <w:rPr>
          <w:sz w:val="20"/>
          <w:szCs w:val="20"/>
          <w:color w:val="auto"/>
        </w:rPr>
      </w:pPr>
      <w:r>
        <w:rPr>
          <w:rFonts w:ascii="Arial" w:cs="Arial" w:eastAsia="Arial" w:hAnsi="Arial"/>
          <w:sz w:val="18"/>
          <w:szCs w:val="18"/>
          <w:color w:val="auto"/>
        </w:rPr>
        <w:t>At its meeting in December 2022, threshold, target and maximum goals were established for the fiscal 2023 to fiscal 2025 performance share awards. The specific performance goals for the three-year award period are maintained by us as proprietary and confidential. The</w:t>
      </w:r>
    </w:p>
    <w:p>
      <w:pPr>
        <w:spacing w:after="0" w:line="226" w:lineRule="auto"/>
        <w:rPr>
          <w:sz w:val="20"/>
          <w:szCs w:val="20"/>
          <w:color w:val="auto"/>
        </w:rPr>
      </w:pPr>
      <w:r>
        <w:rPr>
          <w:rFonts w:ascii="Arial" w:cs="Arial" w:eastAsia="Arial" w:hAnsi="Arial"/>
          <w:sz w:val="18"/>
          <w:szCs w:val="18"/>
          <w:color w:val="auto"/>
        </w:rPr>
        <w:t>Committee believes that disclosure of these specific performance goals would represent competitive harm to us as such cumulative corporate goals and results are not publicly disclosed and are competitively sensitive. For each performance measure, the target goal reflects</w:t>
      </w:r>
    </w:p>
    <w:p>
      <w:pPr>
        <w:spacing w:after="0" w:line="236" w:lineRule="auto"/>
        <w:rPr>
          <w:sz w:val="20"/>
          <w:szCs w:val="20"/>
          <w:color w:val="auto"/>
        </w:rPr>
      </w:pPr>
      <w:r>
        <w:rPr>
          <w:rFonts w:ascii="Arial" w:cs="Arial" w:eastAsia="Arial" w:hAnsi="Arial"/>
          <w:sz w:val="18"/>
          <w:szCs w:val="18"/>
          <w:color w:val="auto"/>
        </w:rPr>
        <w:t>the cumulative three-year financial plan set at the corporate level. Based on historical performance, the Committee believes the attainment of</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target performance levels, while uncertain, could be reasonably anticipated. Threshold goals represent the minimum level of performance necessary for there to be a payout for that performance measure and the Committee believes the threshold goals are likely to be achieved.</w:t>
      </w:r>
    </w:p>
    <w:p>
      <w:pPr>
        <w:spacing w:after="0" w:line="236" w:lineRule="auto"/>
        <w:rPr>
          <w:sz w:val="20"/>
          <w:szCs w:val="20"/>
          <w:color w:val="auto"/>
        </w:rPr>
      </w:pPr>
      <w:r>
        <w:rPr>
          <w:rFonts w:ascii="Arial" w:cs="Arial" w:eastAsia="Arial" w:hAnsi="Arial"/>
          <w:sz w:val="18"/>
          <w:szCs w:val="18"/>
          <w:color w:val="auto"/>
        </w:rPr>
        <w:t>Maximum goals represent the performances at which payouts are 200% of the target award. Even if actual results exceed the maximum</w:t>
      </w:r>
    </w:p>
    <w:p>
      <w:pPr>
        <w:spacing w:after="0" w:line="1" w:lineRule="exact"/>
        <w:rPr>
          <w:sz w:val="20"/>
          <w:szCs w:val="20"/>
          <w:color w:val="auto"/>
        </w:rPr>
      </w:pPr>
    </w:p>
    <w:p>
      <w:pPr>
        <w:ind w:right="700"/>
        <w:spacing w:after="0"/>
        <w:rPr>
          <w:sz w:val="20"/>
          <w:szCs w:val="20"/>
          <w:color w:val="auto"/>
        </w:rPr>
      </w:pPr>
      <w:r>
        <w:rPr>
          <w:rFonts w:ascii="Arial" w:cs="Arial" w:eastAsia="Arial" w:hAnsi="Arial"/>
          <w:sz w:val="17"/>
          <w:szCs w:val="17"/>
          <w:color w:val="auto"/>
        </w:rPr>
        <w:t>goals, the payouts are capped at 200% of the target award. Maximum goals represent levels of performance at which the Committee determined a payout of 200% of target would be appropriate. The Committee believes that the maximum goals established are more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aggressive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52" w:name="page53"/>
    <w:bookmarkEnd w:id="52"/>
    <w:p>
      <w:pPr>
        <w:ind w:right="100" w:firstLine="324"/>
        <w:spacing w:after="0" w:line="271" w:lineRule="auto"/>
        <w:rPr>
          <w:sz w:val="20"/>
          <w:szCs w:val="20"/>
          <w:color w:val="auto"/>
        </w:rPr>
      </w:pPr>
      <w:r>
        <w:rPr>
          <w:rFonts w:ascii="Arial" w:cs="Arial" w:eastAsia="Arial" w:hAnsi="Arial"/>
          <w:sz w:val="18"/>
          <w:szCs w:val="18"/>
          <w:i w:val="1"/>
          <w:iCs w:val="1"/>
          <w:color w:val="auto"/>
        </w:rPr>
        <w:t>Adjustment Events</w:t>
      </w:r>
      <w:r>
        <w:rPr>
          <w:rFonts w:ascii="Arial" w:cs="Arial" w:eastAsia="Arial" w:hAnsi="Arial"/>
          <w:sz w:val="18"/>
          <w:szCs w:val="18"/>
          <w:color w:val="auto"/>
        </w:rPr>
        <w:t>. In addition to approving performance measures, goals and weightings, the Committee also established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adjustment events for determining payouts under the fiscal 2023 to fiscal 2025 performance share awards, including the following:</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560" w:type="dxa"/>
            <w:vAlign w:val="bottom"/>
            <w:shd w:val="clear" w:color="auto" w:fill="BF2115"/>
          </w:tcPr>
          <w:p>
            <w:pPr>
              <w:ind w:left="1200"/>
              <w:spacing w:after="0"/>
              <w:rPr>
                <w:sz w:val="20"/>
                <w:szCs w:val="20"/>
                <w:color w:val="auto"/>
              </w:rPr>
            </w:pPr>
            <w:r>
              <w:rPr>
                <w:rFonts w:ascii="Arial" w:cs="Arial" w:eastAsia="Arial" w:hAnsi="Arial"/>
                <w:sz w:val="14"/>
                <w:szCs w:val="14"/>
                <w:b w:val="1"/>
                <w:bCs w:val="1"/>
                <w:color w:val="FFFFFF"/>
              </w:rPr>
              <w:t>Adjustment Event</w:t>
            </w:r>
          </w:p>
        </w:tc>
        <w:tc>
          <w:tcPr>
            <w:tcW w:w="2940" w:type="dxa"/>
            <w:vAlign w:val="bottom"/>
            <w:shd w:val="clear" w:color="auto" w:fill="BF2115"/>
          </w:tcPr>
          <w:p>
            <w:pPr>
              <w:ind w:left="1780"/>
              <w:spacing w:after="0"/>
              <w:rPr>
                <w:sz w:val="20"/>
                <w:szCs w:val="20"/>
                <w:color w:val="auto"/>
              </w:rPr>
            </w:pPr>
            <w:r>
              <w:rPr>
                <w:rFonts w:ascii="Arial" w:cs="Arial" w:eastAsia="Arial" w:hAnsi="Arial"/>
                <w:sz w:val="14"/>
                <w:szCs w:val="14"/>
                <w:b w:val="1"/>
                <w:bCs w:val="1"/>
                <w:color w:val="FFFFFF"/>
              </w:rPr>
              <w:t>Size</w:t>
            </w:r>
          </w:p>
        </w:tc>
        <w:tc>
          <w:tcPr>
            <w:tcW w:w="4520" w:type="dxa"/>
            <w:vAlign w:val="bottom"/>
            <w:shd w:val="clear" w:color="auto" w:fill="BF2115"/>
          </w:tcPr>
          <w:p>
            <w:pPr>
              <w:ind w:left="2220"/>
              <w:spacing w:after="0"/>
              <w:rPr>
                <w:sz w:val="20"/>
                <w:szCs w:val="20"/>
                <w:color w:val="auto"/>
              </w:rPr>
            </w:pPr>
            <w:r>
              <w:rPr>
                <w:rFonts w:ascii="Arial" w:cs="Arial" w:eastAsia="Arial" w:hAnsi="Arial"/>
                <w:sz w:val="14"/>
                <w:szCs w:val="14"/>
                <w:b w:val="1"/>
                <w:bCs w:val="1"/>
                <w:color w:val="FFFFFF"/>
              </w:rPr>
              <w:t>Impact Effect</w:t>
            </w:r>
          </w:p>
        </w:tc>
      </w:tr>
      <w:tr>
        <w:trPr>
          <w:trHeight w:val="188"/>
        </w:trPr>
        <w:tc>
          <w:tcPr>
            <w:tcW w:w="3560" w:type="dxa"/>
            <w:vAlign w:val="bottom"/>
          </w:tcPr>
          <w:p>
            <w:pPr>
              <w:spacing w:after="0"/>
              <w:rPr>
                <w:sz w:val="20"/>
                <w:szCs w:val="20"/>
                <w:color w:val="auto"/>
              </w:rPr>
            </w:pPr>
            <w:r>
              <w:rPr>
                <w:rFonts w:ascii="Arial" w:cs="Arial" w:eastAsia="Arial" w:hAnsi="Arial"/>
                <w:sz w:val="16"/>
                <w:szCs w:val="16"/>
                <w:color w:val="auto"/>
              </w:rPr>
              <w:t>Acquisitions (as determined by projected first 12</w:t>
            </w:r>
          </w:p>
        </w:tc>
        <w:tc>
          <w:tcPr>
            <w:tcW w:w="2940" w:type="dxa"/>
            <w:vAlign w:val="bottom"/>
          </w:tcPr>
          <w:p>
            <w:pPr>
              <w:ind w:left="100"/>
              <w:spacing w:after="0"/>
              <w:rPr>
                <w:sz w:val="20"/>
                <w:szCs w:val="20"/>
                <w:color w:val="auto"/>
              </w:rPr>
            </w:pPr>
            <w:r>
              <w:rPr>
                <w:rFonts w:ascii="Arial" w:cs="Arial" w:eastAsia="Arial" w:hAnsi="Arial"/>
                <w:sz w:val="16"/>
                <w:szCs w:val="16"/>
                <w:color w:val="auto"/>
              </w:rPr>
              <w:t>Acquisition is ≥ $50 million</w:t>
            </w:r>
          </w:p>
        </w:tc>
        <w:tc>
          <w:tcPr>
            <w:tcW w:w="4520" w:type="dxa"/>
            <w:vAlign w:val="bottom"/>
          </w:tcPr>
          <w:p>
            <w:pPr>
              <w:ind w:left="860"/>
              <w:spacing w:after="0"/>
              <w:rPr>
                <w:sz w:val="20"/>
                <w:szCs w:val="20"/>
                <w:color w:val="auto"/>
              </w:rPr>
            </w:pPr>
            <w:r>
              <w:rPr>
                <w:rFonts w:ascii="Arial" w:cs="Arial" w:eastAsia="Arial" w:hAnsi="Arial"/>
                <w:sz w:val="16"/>
                <w:szCs w:val="16"/>
                <w:color w:val="auto"/>
              </w:rPr>
              <w:t>Excluded</w:t>
            </w:r>
          </w:p>
        </w:tc>
      </w:tr>
      <w:tr>
        <w:trPr>
          <w:trHeight w:val="215"/>
        </w:trPr>
        <w:tc>
          <w:tcPr>
            <w:tcW w:w="3560" w:type="dxa"/>
            <w:vAlign w:val="bottom"/>
          </w:tcPr>
          <w:p>
            <w:pPr>
              <w:spacing w:after="0"/>
              <w:rPr>
                <w:sz w:val="20"/>
                <w:szCs w:val="20"/>
                <w:color w:val="auto"/>
              </w:rPr>
            </w:pPr>
            <w:r>
              <w:rPr>
                <w:rFonts w:ascii="Arial" w:cs="Arial" w:eastAsia="Arial" w:hAnsi="Arial"/>
                <w:sz w:val="16"/>
                <w:szCs w:val="16"/>
                <w:color w:val="auto"/>
              </w:rPr>
              <w:t>months of revenue)</w:t>
            </w:r>
          </w:p>
        </w:tc>
        <w:tc>
          <w:tcPr>
            <w:tcW w:w="2940" w:type="dxa"/>
            <w:vAlign w:val="bottom"/>
          </w:tcPr>
          <w:p>
            <w:pPr>
              <w:spacing w:after="0"/>
              <w:rPr>
                <w:sz w:val="18"/>
                <w:szCs w:val="18"/>
                <w:color w:val="auto"/>
              </w:rPr>
            </w:pPr>
          </w:p>
        </w:tc>
        <w:tc>
          <w:tcPr>
            <w:tcW w:w="4520" w:type="dxa"/>
            <w:vAlign w:val="bottom"/>
          </w:tcPr>
          <w:p>
            <w:pPr>
              <w:spacing w:after="0"/>
              <w:rPr>
                <w:sz w:val="18"/>
                <w:szCs w:val="18"/>
                <w:color w:val="auto"/>
              </w:rPr>
            </w:pPr>
          </w:p>
        </w:tc>
      </w:tr>
    </w:tbl>
    <w:p>
      <w:pPr>
        <w:spacing w:after="0" w:line="15" w:lineRule="exact"/>
        <w:rPr>
          <w:sz w:val="20"/>
          <w:szCs w:val="20"/>
          <w:color w:val="auto"/>
        </w:rPr>
      </w:pPr>
    </w:p>
    <w:p>
      <w:pPr>
        <w:sectPr>
          <w:pgSz w:w="11900" w:h="16838" w:orient="portrait"/>
          <w:cols w:equalWidth="0" w:num="1">
            <w:col w:w="11240"/>
          </w:cols>
          <w:pgMar w:left="320" w:top="1106" w:right="339" w:bottom="1440" w:gutter="0" w:footer="0" w:header="0"/>
        </w:sectPr>
      </w:pPr>
    </w:p>
    <w:p>
      <w:pPr>
        <w:ind w:left="3780"/>
        <w:spacing w:after="0"/>
        <w:rPr>
          <w:sz w:val="20"/>
          <w:szCs w:val="20"/>
          <w:color w:val="auto"/>
        </w:rPr>
      </w:pPr>
      <w:r>
        <w:rPr>
          <w:rFonts w:ascii="Arial" w:cs="Arial" w:eastAsia="Arial" w:hAnsi="Arial"/>
          <w:sz w:val="16"/>
          <w:szCs w:val="16"/>
          <w:color w:val="auto"/>
        </w:rPr>
        <w:t>Acquisition is &lt; $10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700341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39"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Acquisition is between $10 million and $50 million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spacing w:after="0"/>
        <w:tabs>
          <w:tab w:leader="none" w:pos="3760" w:val="left"/>
        </w:tabs>
        <w:rPr>
          <w:sz w:val="20"/>
          <w:szCs w:val="20"/>
          <w:color w:val="auto"/>
        </w:rPr>
      </w:pPr>
      <w:r>
        <w:rPr>
          <w:rFonts w:ascii="Arial" w:cs="Arial" w:eastAsia="Arial" w:hAnsi="Arial"/>
          <w:sz w:val="16"/>
          <w:szCs w:val="16"/>
          <w:color w:val="auto"/>
        </w:rPr>
        <w:t>Change in Accounting Principles or Standards</w:t>
      </w:r>
      <w:r>
        <w:rPr>
          <w:sz w:val="20"/>
          <w:szCs w:val="20"/>
          <w:color w:val="auto"/>
        </w:rPr>
        <w:tab/>
      </w:r>
      <w:r>
        <w:rPr>
          <w:rFonts w:ascii="Arial" w:cs="Arial" w:eastAsia="Arial" w:hAnsi="Arial"/>
          <w:sz w:val="16"/>
          <w:szCs w:val="16"/>
          <w:color w:val="auto"/>
        </w:rPr>
        <w:t>Cumulative net impact on the payout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7003415" cy="2660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03415" cy="266065"/>
                    </a:xfrm>
                    <a:prstGeom prst="rect">
                      <a:avLst/>
                    </a:prstGeom>
                    <a:noFill/>
                  </pic:spPr>
                </pic:pic>
              </a:graphicData>
            </a:graphic>
          </wp:anchor>
        </w:drawing>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accounting adjustments is &gt;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Included</w:t>
      </w:r>
    </w:p>
    <w:p>
      <w:pPr>
        <w:spacing w:after="0" w:line="86" w:lineRule="exact"/>
        <w:rPr>
          <w:sz w:val="20"/>
          <w:szCs w:val="20"/>
          <w:color w:val="auto"/>
        </w:rPr>
      </w:pPr>
    </w:p>
    <w:p>
      <w:pPr>
        <w:ind w:right="620"/>
        <w:spacing w:after="0" w:line="255" w:lineRule="auto"/>
        <w:rPr>
          <w:sz w:val="20"/>
          <w:szCs w:val="20"/>
          <w:color w:val="auto"/>
        </w:rPr>
      </w:pPr>
      <w:r>
        <w:rPr>
          <w:rFonts w:ascii="Arial" w:cs="Arial" w:eastAsia="Arial" w:hAnsi="Arial"/>
          <w:sz w:val="16"/>
          <w:szCs w:val="16"/>
          <w:color w:val="auto"/>
        </w:rPr>
        <w:t>Included, if transaction closes in first year of performance period</w:t>
      </w:r>
    </w:p>
    <w:p>
      <w:pPr>
        <w:spacing w:after="0" w:line="1"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color w:val="auto"/>
        </w:rPr>
        <w:t>Excluded, if transaction closes in second or third year of performance period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Excluded</w:t>
      </w:r>
    </w:p>
    <w:p>
      <w:pPr>
        <w:spacing w:after="0" w:line="405" w:lineRule="exact"/>
        <w:rPr>
          <w:sz w:val="20"/>
          <w:szCs w:val="20"/>
          <w:color w:val="auto"/>
        </w:rPr>
      </w:pPr>
    </w:p>
    <w:p>
      <w:pPr>
        <w:sectPr>
          <w:pgSz w:w="11900" w:h="16838" w:orient="portrait"/>
          <w:cols w:equalWidth="0" w:num="2">
            <w:col w:w="7340" w:space="140"/>
            <w:col w:w="3760"/>
          </w:cols>
          <w:pgMar w:left="320" w:top="1106" w:right="339" w:bottom="1440" w:gutter="0" w:footer="0" w:header="0"/>
          <w:type w:val="continuous"/>
        </w:sectPr>
      </w:pPr>
    </w:p>
    <w:p>
      <w:pPr>
        <w:ind w:left="340"/>
        <w:spacing w:after="0"/>
        <w:rPr>
          <w:sz w:val="20"/>
          <w:szCs w:val="20"/>
          <w:color w:val="auto"/>
        </w:rPr>
      </w:pPr>
      <w:r>
        <w:rPr>
          <w:rFonts w:ascii="Arial" w:cs="Arial" w:eastAsia="Arial" w:hAnsi="Arial"/>
          <w:sz w:val="18"/>
          <w:szCs w:val="18"/>
          <w:i w:val="1"/>
          <w:iCs w:val="1"/>
          <w:color w:val="auto"/>
        </w:rPr>
        <w:t xml:space="preserve">Performance Measures for the Performance Period Ending in Fiscal 2023. </w:t>
      </w:r>
      <w:r>
        <w:rPr>
          <w:rFonts w:ascii="Arial" w:cs="Arial" w:eastAsia="Arial" w:hAnsi="Arial"/>
          <w:sz w:val="18"/>
          <w:szCs w:val="18"/>
          <w:color w:val="auto"/>
        </w:rPr>
        <w:t>The performance share awards that were granted in fiscal</w:t>
      </w:r>
    </w:p>
    <w:p>
      <w:pPr>
        <w:spacing w:after="0" w:line="14"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2021 for the fiscal 2021 to fiscal 2023 performance period were approved for payout upon the Committee's certification of performance against the goals and impact of any predefined adjustment events at its meeting on December 12, 2023. Pursuant to the predefined</w:t>
      </w:r>
    </w:p>
    <w:p>
      <w:pPr>
        <w:spacing w:after="0" w:line="2"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adjustment events, all financial impacts related to our acquisition of Intimidator Group in January 2022 were excluded from the payout calculation. The payout for our fiscal 2021 to fiscal 2023 performance share awards was 130.7% of target.</w:t>
      </w:r>
    </w:p>
    <w:p>
      <w:pPr>
        <w:spacing w:after="0" w:line="5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table below outlines the corporate performance measures and weightings, as well as threshold, target and maximum goals that were established by the Committee at the beginning of fiscal 2021, along with actual levels of performance when factoring in adjustment events, for the fiscal 2021 to fiscal 2023 performance share awards.</w:t>
      </w:r>
    </w:p>
    <w:p>
      <w:pPr>
        <w:spacing w:after="0" w:line="107" w:lineRule="exact"/>
        <w:rPr>
          <w:sz w:val="20"/>
          <w:szCs w:val="20"/>
          <w:color w:val="auto"/>
        </w:rPr>
      </w:pPr>
    </w:p>
    <w:tbl>
      <w:tblPr>
        <w:tblLayout w:type="fixed"/>
        <w:tblInd w:w="260" w:type="dxa"/>
        <w:tblCellMar>
          <w:top w:w="0" w:type="dxa"/>
          <w:left w:w="0" w:type="dxa"/>
          <w:bottom w:w="0" w:type="dxa"/>
          <w:right w:w="0" w:type="dxa"/>
        </w:tblCellMar>
      </w:tblPr>
      <w:tr>
        <w:trPr>
          <w:trHeight w:val="247"/>
        </w:trPr>
        <w:tc>
          <w:tcPr>
            <w:tcW w:w="290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Fiscal 2021 to Fiscal 2023</w:t>
            </w:r>
          </w:p>
        </w:tc>
        <w:tc>
          <w:tcPr>
            <w:tcW w:w="2340" w:type="dxa"/>
            <w:vAlign w:val="bottom"/>
            <w:shd w:val="clear" w:color="auto" w:fill="BF2115"/>
          </w:tcPr>
          <w:p>
            <w:pPr>
              <w:jc w:val="center"/>
              <w:ind w:left="748"/>
              <w:spacing w:after="0"/>
              <w:rPr>
                <w:sz w:val="20"/>
                <w:szCs w:val="20"/>
                <w:color w:val="auto"/>
              </w:rPr>
            </w:pPr>
            <w:r>
              <w:rPr>
                <w:rFonts w:ascii="Arial" w:cs="Arial" w:eastAsia="Arial" w:hAnsi="Arial"/>
                <w:sz w:val="14"/>
                <w:szCs w:val="14"/>
                <w:b w:val="1"/>
                <w:bCs w:val="1"/>
                <w:color w:val="FFFFFF"/>
              </w:rPr>
              <w:t>Threshold</w:t>
            </w:r>
          </w:p>
        </w:tc>
        <w:tc>
          <w:tcPr>
            <w:tcW w:w="15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920" w:type="dxa"/>
            <w:vAlign w:val="bottom"/>
            <w:shd w:val="clear" w:color="auto" w:fill="BF2115"/>
          </w:tcPr>
          <w:p>
            <w:pPr>
              <w:jc w:val="center"/>
              <w:ind w:right="268"/>
              <w:spacing w:after="0"/>
              <w:rPr>
                <w:sz w:val="20"/>
                <w:szCs w:val="20"/>
                <w:color w:val="auto"/>
              </w:rPr>
            </w:pPr>
            <w:r>
              <w:rPr>
                <w:rFonts w:ascii="Arial" w:cs="Arial" w:eastAsia="Arial" w:hAnsi="Arial"/>
                <w:sz w:val="14"/>
                <w:szCs w:val="14"/>
                <w:b w:val="1"/>
                <w:bCs w:val="1"/>
                <w:color w:val="FFFFFF"/>
              </w:rPr>
              <w:t>Maximum</w:t>
            </w:r>
          </w:p>
        </w:tc>
        <w:tc>
          <w:tcPr>
            <w:tcW w:w="2000" w:type="dxa"/>
            <w:vAlign w:val="bottom"/>
            <w:shd w:val="clear" w:color="auto" w:fill="BF2115"/>
          </w:tcPr>
          <w:p>
            <w:pPr>
              <w:spacing w:after="0"/>
              <w:rPr>
                <w:sz w:val="21"/>
                <w:szCs w:val="21"/>
                <w:color w:val="auto"/>
              </w:rPr>
            </w:pPr>
          </w:p>
        </w:tc>
      </w:tr>
      <w:tr>
        <w:trPr>
          <w:trHeight w:val="225"/>
        </w:trPr>
        <w:tc>
          <w:tcPr>
            <w:tcW w:w="290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Performance Measures</w:t>
            </w:r>
          </w:p>
        </w:tc>
        <w:tc>
          <w:tcPr>
            <w:tcW w:w="2340" w:type="dxa"/>
            <w:vAlign w:val="bottom"/>
            <w:shd w:val="clear" w:color="auto" w:fill="BF2115"/>
          </w:tcPr>
          <w:p>
            <w:pPr>
              <w:jc w:val="center"/>
              <w:ind w:left="748"/>
              <w:spacing w:after="0"/>
              <w:rPr>
                <w:sz w:val="20"/>
                <w:szCs w:val="20"/>
                <w:color w:val="auto"/>
              </w:rPr>
            </w:pPr>
            <w:r>
              <w:rPr>
                <w:rFonts w:ascii="Arial" w:cs="Arial" w:eastAsia="Arial" w:hAnsi="Arial"/>
                <w:sz w:val="14"/>
                <w:szCs w:val="14"/>
                <w:b w:val="1"/>
                <w:bCs w:val="1"/>
                <w:color w:val="FFFFFF"/>
              </w:rPr>
              <w:t>(40% payout)</w:t>
            </w:r>
          </w:p>
        </w:tc>
        <w:tc>
          <w:tcPr>
            <w:tcW w:w="15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(100% payout)</w:t>
            </w:r>
          </w:p>
        </w:tc>
        <w:tc>
          <w:tcPr>
            <w:tcW w:w="1920" w:type="dxa"/>
            <w:vAlign w:val="bottom"/>
            <w:shd w:val="clear" w:color="auto" w:fill="BF2115"/>
          </w:tcPr>
          <w:p>
            <w:pPr>
              <w:jc w:val="center"/>
              <w:ind w:right="268"/>
              <w:spacing w:after="0"/>
              <w:rPr>
                <w:sz w:val="20"/>
                <w:szCs w:val="20"/>
                <w:color w:val="auto"/>
              </w:rPr>
            </w:pPr>
            <w:r>
              <w:rPr>
                <w:rFonts w:ascii="Arial" w:cs="Arial" w:eastAsia="Arial" w:hAnsi="Arial"/>
                <w:sz w:val="14"/>
                <w:szCs w:val="14"/>
                <w:b w:val="1"/>
                <w:bCs w:val="1"/>
                <w:color w:val="FFFFFF"/>
              </w:rPr>
              <w:t>(200% payout)</w:t>
            </w:r>
          </w:p>
        </w:tc>
        <w:tc>
          <w:tcPr>
            <w:tcW w:w="2000" w:type="dxa"/>
            <w:vAlign w:val="bottom"/>
            <w:shd w:val="clear" w:color="auto" w:fill="BF2115"/>
          </w:tcPr>
          <w:p>
            <w:pPr>
              <w:ind w:left="620"/>
              <w:spacing w:after="0"/>
              <w:rPr>
                <w:sz w:val="20"/>
                <w:szCs w:val="20"/>
                <w:color w:val="auto"/>
              </w:rPr>
            </w:pPr>
            <w:r>
              <w:rPr>
                <w:rFonts w:ascii="Arial" w:cs="Arial" w:eastAsia="Arial" w:hAnsi="Arial"/>
                <w:sz w:val="14"/>
                <w:szCs w:val="14"/>
                <w:b w:val="1"/>
                <w:bCs w:val="1"/>
                <w:color w:val="FFFFFF"/>
              </w:rPr>
              <w:t>Actual</w:t>
            </w:r>
          </w:p>
        </w:tc>
      </w:tr>
    </w:tbl>
    <w:p>
      <w:pPr>
        <w:spacing w:after="0" w:line="58" w:lineRule="exact"/>
        <w:rPr>
          <w:sz w:val="20"/>
          <w:szCs w:val="20"/>
          <w:color w:val="auto"/>
        </w:rPr>
      </w:pPr>
    </w:p>
    <w:p>
      <w:pPr>
        <w:sectPr>
          <w:pgSz w:w="11900" w:h="16838" w:orient="portrait"/>
          <w:cols w:equalWidth="0" w:num="1">
            <w:col w:w="11240"/>
          </w:cols>
          <w:pgMar w:left="320" w:top="1106" w:right="339" w:bottom="1440" w:gutter="0" w:footer="0" w:header="0"/>
          <w:type w:val="continuous"/>
        </w:sectPr>
      </w:pPr>
    </w:p>
    <w:p>
      <w:pPr>
        <w:ind w:left="320" w:right="920" w:hanging="39"/>
        <w:spacing w:after="0" w:line="305" w:lineRule="auto"/>
        <w:rPr>
          <w:sz w:val="20"/>
          <w:szCs w:val="20"/>
          <w:color w:val="auto"/>
        </w:rPr>
      </w:pPr>
      <w:r>
        <w:rPr>
          <w:rFonts w:ascii="Arial" w:cs="Arial" w:eastAsia="Arial" w:hAnsi="Arial"/>
          <w:sz w:val="14"/>
          <w:szCs w:val="14"/>
          <w:color w:val="auto"/>
        </w:rPr>
        <w:t>50% cumulative corporate net income plus after-tax interest (in thousands)</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30% cumulative corporate revenue</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thousands)</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20% corporate working capital as a % of sales</w:t>
      </w:r>
    </w:p>
    <w:p>
      <w:pPr>
        <w:spacing w:after="0" w:line="163" w:lineRule="exact"/>
        <w:rPr>
          <w:sz w:val="20"/>
          <w:szCs w:val="20"/>
          <w:color w:val="auto"/>
        </w:rPr>
      </w:pPr>
    </w:p>
    <w:p>
      <w:pPr>
        <w:ind w:left="280" w:right="140"/>
        <w:spacing w:after="0" w:line="294" w:lineRule="auto"/>
        <w:rPr>
          <w:sz w:val="20"/>
          <w:szCs w:val="20"/>
          <w:color w:val="auto"/>
        </w:rPr>
      </w:pPr>
      <w:r>
        <w:rPr>
          <w:rFonts w:ascii="Arial" w:cs="Arial" w:eastAsia="Arial" w:hAnsi="Arial"/>
          <w:sz w:val="14"/>
          <w:szCs w:val="14"/>
          <w:b w:val="1"/>
          <w:bCs w:val="1"/>
          <w:color w:val="auto"/>
        </w:rPr>
        <w:t>Fiscal 2021 to fiscal 2023 performance share award payout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180" w:type="dxa"/>
            <w:vAlign w:val="bottom"/>
            <w:vMerge w:val="restart"/>
          </w:tcPr>
          <w:p>
            <w:pPr>
              <w:jc w:val="right"/>
              <w:ind w:right="308"/>
              <w:spacing w:after="0"/>
              <w:rPr>
                <w:sz w:val="20"/>
                <w:szCs w:val="20"/>
                <w:color w:val="auto"/>
              </w:rPr>
            </w:pPr>
            <w:r>
              <w:rPr>
                <w:rFonts w:ascii="Arial" w:cs="Arial" w:eastAsia="Arial" w:hAnsi="Arial"/>
                <w:sz w:val="14"/>
                <w:szCs w:val="14"/>
                <w:color w:val="auto"/>
              </w:rPr>
              <w:t>$1,028,327</w:t>
            </w:r>
          </w:p>
        </w:tc>
        <w:tc>
          <w:tcPr>
            <w:tcW w:w="1560" w:type="dxa"/>
            <w:vAlign w:val="bottom"/>
            <w:vMerge w:val="restart"/>
          </w:tcPr>
          <w:p>
            <w:pPr>
              <w:jc w:val="right"/>
              <w:ind w:right="308"/>
              <w:spacing w:after="0"/>
              <w:rPr>
                <w:sz w:val="20"/>
                <w:szCs w:val="20"/>
                <w:color w:val="auto"/>
              </w:rPr>
            </w:pPr>
            <w:r>
              <w:rPr>
                <w:rFonts w:ascii="Arial" w:cs="Arial" w:eastAsia="Arial" w:hAnsi="Arial"/>
                <w:sz w:val="14"/>
                <w:szCs w:val="14"/>
                <w:color w:val="auto"/>
              </w:rPr>
              <w:t>$1,285,409</w:t>
            </w: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color w:val="auto"/>
              </w:rPr>
              <w:t>$1,542,491</w:t>
            </w:r>
          </w:p>
        </w:tc>
        <w:tc>
          <w:tcPr>
            <w:tcW w:w="2120" w:type="dxa"/>
            <w:vAlign w:val="bottom"/>
          </w:tcPr>
          <w:p>
            <w:pPr>
              <w:jc w:val="center"/>
              <w:ind w:left="48"/>
              <w:spacing w:after="0"/>
              <w:rPr>
                <w:sz w:val="20"/>
                <w:szCs w:val="20"/>
                <w:color w:val="auto"/>
              </w:rPr>
            </w:pPr>
            <w:r>
              <w:rPr>
                <w:rFonts w:ascii="Arial" w:cs="Arial" w:eastAsia="Arial" w:hAnsi="Arial"/>
                <w:sz w:val="14"/>
                <w:szCs w:val="14"/>
                <w:color w:val="auto"/>
              </w:rPr>
              <w:t>$1,391,296</w:t>
            </w:r>
          </w:p>
        </w:tc>
        <w:tc>
          <w:tcPr>
            <w:tcW w:w="0" w:type="dxa"/>
            <w:vAlign w:val="bottom"/>
          </w:tcPr>
          <w:p>
            <w:pPr>
              <w:spacing w:after="0"/>
              <w:rPr>
                <w:sz w:val="1"/>
                <w:szCs w:val="1"/>
                <w:color w:val="auto"/>
              </w:rPr>
            </w:pPr>
          </w:p>
        </w:tc>
      </w:tr>
      <w:tr>
        <w:trPr>
          <w:trHeight w:val="82"/>
        </w:trPr>
        <w:tc>
          <w:tcPr>
            <w:tcW w:w="118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2120" w:type="dxa"/>
            <w:vAlign w:val="bottom"/>
            <w:vMerge w:val="restart"/>
          </w:tcPr>
          <w:p>
            <w:pPr>
              <w:jc w:val="center"/>
              <w:ind w:left="68"/>
              <w:spacing w:after="0"/>
              <w:rPr>
                <w:sz w:val="20"/>
                <w:szCs w:val="20"/>
                <w:color w:val="auto"/>
              </w:rPr>
            </w:pPr>
            <w:r>
              <w:rPr>
                <w:rFonts w:ascii="Arial" w:cs="Arial" w:eastAsia="Arial" w:hAnsi="Arial"/>
                <w:sz w:val="14"/>
                <w:szCs w:val="14"/>
                <w:color w:val="auto"/>
              </w:rPr>
              <w:t>(between target and maximum)</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1180" w:type="dxa"/>
            <w:vAlign w:val="bottom"/>
            <w:vMerge w:val="restart"/>
          </w:tcPr>
          <w:p>
            <w:pPr>
              <w:jc w:val="right"/>
              <w:ind w:right="308"/>
              <w:spacing w:after="0"/>
              <w:rPr>
                <w:sz w:val="20"/>
                <w:szCs w:val="20"/>
                <w:color w:val="auto"/>
              </w:rPr>
            </w:pPr>
            <w:r>
              <w:rPr>
                <w:rFonts w:ascii="Arial" w:cs="Arial" w:eastAsia="Arial" w:hAnsi="Arial"/>
                <w:sz w:val="14"/>
                <w:szCs w:val="14"/>
                <w:color w:val="auto"/>
              </w:rPr>
              <w:t>$10,881,606</w:t>
            </w:r>
          </w:p>
        </w:tc>
        <w:tc>
          <w:tcPr>
            <w:tcW w:w="1560" w:type="dxa"/>
            <w:vAlign w:val="bottom"/>
            <w:vMerge w:val="restart"/>
          </w:tcPr>
          <w:p>
            <w:pPr>
              <w:jc w:val="right"/>
              <w:ind w:right="308"/>
              <w:spacing w:after="0"/>
              <w:rPr>
                <w:sz w:val="20"/>
                <w:szCs w:val="20"/>
                <w:color w:val="auto"/>
              </w:rPr>
            </w:pPr>
            <w:r>
              <w:rPr>
                <w:rFonts w:ascii="Arial" w:cs="Arial" w:eastAsia="Arial" w:hAnsi="Arial"/>
                <w:sz w:val="14"/>
                <w:szCs w:val="14"/>
                <w:color w:val="auto"/>
              </w:rPr>
              <w:t>$11,664,792</w:t>
            </w: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color w:val="auto"/>
              </w:rPr>
              <w:t>$12,207,664</w:t>
            </w:r>
          </w:p>
        </w:tc>
        <w:tc>
          <w:tcPr>
            <w:tcW w:w="2120" w:type="dxa"/>
            <w:vAlign w:val="bottom"/>
          </w:tcPr>
          <w:p>
            <w:pPr>
              <w:jc w:val="center"/>
              <w:ind w:left="68"/>
              <w:spacing w:after="0"/>
              <w:rPr>
                <w:sz w:val="20"/>
                <w:szCs w:val="20"/>
                <w:color w:val="auto"/>
              </w:rPr>
            </w:pPr>
            <w:r>
              <w:rPr>
                <w:rFonts w:ascii="Arial" w:cs="Arial" w:eastAsia="Arial" w:hAnsi="Arial"/>
                <w:sz w:val="14"/>
                <w:szCs w:val="14"/>
                <w:color w:val="auto"/>
              </w:rPr>
              <w:t>$12,711,072</w:t>
            </w:r>
          </w:p>
        </w:tc>
        <w:tc>
          <w:tcPr>
            <w:tcW w:w="0" w:type="dxa"/>
            <w:vAlign w:val="bottom"/>
          </w:tcPr>
          <w:p>
            <w:pPr>
              <w:spacing w:after="0"/>
              <w:rPr>
                <w:sz w:val="1"/>
                <w:szCs w:val="1"/>
                <w:color w:val="auto"/>
              </w:rPr>
            </w:pPr>
          </w:p>
        </w:tc>
      </w:tr>
      <w:tr>
        <w:trPr>
          <w:trHeight w:val="82"/>
        </w:trPr>
        <w:tc>
          <w:tcPr>
            <w:tcW w:w="118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2120" w:type="dxa"/>
            <w:vAlign w:val="bottom"/>
            <w:vMerge w:val="restart"/>
          </w:tcPr>
          <w:p>
            <w:pPr>
              <w:jc w:val="center"/>
              <w:ind w:left="68"/>
              <w:spacing w:after="0"/>
              <w:rPr>
                <w:sz w:val="20"/>
                <w:szCs w:val="20"/>
                <w:color w:val="auto"/>
              </w:rPr>
            </w:pPr>
            <w:r>
              <w:rPr>
                <w:rFonts w:ascii="Arial" w:cs="Arial" w:eastAsia="Arial" w:hAnsi="Arial"/>
                <w:sz w:val="14"/>
                <w:szCs w:val="14"/>
                <w:color w:val="auto"/>
              </w:rPr>
              <w:t>(above maximum)</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1180" w:type="dxa"/>
            <w:vAlign w:val="bottom"/>
            <w:vMerge w:val="restart"/>
          </w:tcPr>
          <w:p>
            <w:pPr>
              <w:jc w:val="right"/>
              <w:ind w:right="308"/>
              <w:spacing w:after="0"/>
              <w:rPr>
                <w:sz w:val="20"/>
                <w:szCs w:val="20"/>
                <w:color w:val="auto"/>
              </w:rPr>
            </w:pPr>
            <w:r>
              <w:rPr>
                <w:rFonts w:ascii="Arial" w:cs="Arial" w:eastAsia="Arial" w:hAnsi="Arial"/>
                <w:sz w:val="14"/>
                <w:szCs w:val="14"/>
                <w:color w:val="auto"/>
              </w:rPr>
              <w:t>20.48 %</w:t>
            </w:r>
          </w:p>
        </w:tc>
        <w:tc>
          <w:tcPr>
            <w:tcW w:w="1560" w:type="dxa"/>
            <w:vAlign w:val="bottom"/>
            <w:vMerge w:val="restart"/>
          </w:tcPr>
          <w:p>
            <w:pPr>
              <w:jc w:val="right"/>
              <w:ind w:right="308"/>
              <w:spacing w:after="0"/>
              <w:rPr>
                <w:sz w:val="20"/>
                <w:szCs w:val="20"/>
                <w:color w:val="auto"/>
              </w:rPr>
            </w:pPr>
            <w:r>
              <w:rPr>
                <w:rFonts w:ascii="Arial" w:cs="Arial" w:eastAsia="Arial" w:hAnsi="Arial"/>
                <w:sz w:val="14"/>
                <w:szCs w:val="14"/>
                <w:color w:val="auto"/>
              </w:rPr>
              <w:t>18.62 %</w:t>
            </w: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color w:val="auto"/>
              </w:rPr>
              <w:t>16.76 %</w:t>
            </w:r>
          </w:p>
        </w:tc>
        <w:tc>
          <w:tcPr>
            <w:tcW w:w="2120" w:type="dxa"/>
            <w:vAlign w:val="bottom"/>
          </w:tcPr>
          <w:p>
            <w:pPr>
              <w:jc w:val="center"/>
              <w:ind w:left="68"/>
              <w:spacing w:after="0"/>
              <w:rPr>
                <w:sz w:val="20"/>
                <w:szCs w:val="20"/>
                <w:color w:val="auto"/>
              </w:rPr>
            </w:pPr>
            <w:r>
              <w:rPr>
                <w:rFonts w:ascii="Arial" w:cs="Arial" w:eastAsia="Arial" w:hAnsi="Arial"/>
                <w:sz w:val="14"/>
                <w:szCs w:val="14"/>
                <w:color w:val="auto"/>
              </w:rPr>
              <w:t>22.90%</w:t>
            </w:r>
          </w:p>
        </w:tc>
        <w:tc>
          <w:tcPr>
            <w:tcW w:w="0" w:type="dxa"/>
            <w:vAlign w:val="bottom"/>
          </w:tcPr>
          <w:p>
            <w:pPr>
              <w:spacing w:after="0"/>
              <w:rPr>
                <w:sz w:val="1"/>
                <w:szCs w:val="1"/>
                <w:color w:val="auto"/>
              </w:rPr>
            </w:pPr>
          </w:p>
        </w:tc>
      </w:tr>
      <w:tr>
        <w:trPr>
          <w:trHeight w:val="82"/>
        </w:trPr>
        <w:tc>
          <w:tcPr>
            <w:tcW w:w="118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2120" w:type="dxa"/>
            <w:vAlign w:val="bottom"/>
            <w:vMerge w:val="restart"/>
          </w:tcPr>
          <w:p>
            <w:pPr>
              <w:jc w:val="center"/>
              <w:ind w:left="68"/>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-542925</wp:posOffset>
            </wp:positionV>
            <wp:extent cx="6806565" cy="274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06565" cy="27432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5080</wp:posOffset>
            </wp:positionV>
            <wp:extent cx="6806565" cy="2400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06565" cy="240030"/>
                    </a:xfrm>
                    <a:prstGeom prst="rect">
                      <a:avLst/>
                    </a:prstGeom>
                    <a:noFill/>
                  </pic:spPr>
                </pic:pic>
              </a:graphicData>
            </a:graphic>
          </wp:anchor>
        </w:drawing>
      </w:r>
    </w:p>
    <w:p>
      <w:pPr>
        <w:spacing w:after="0" w:line="168" w:lineRule="exact"/>
        <w:rPr>
          <w:sz w:val="20"/>
          <w:szCs w:val="20"/>
          <w:color w:val="auto"/>
        </w:rPr>
      </w:pPr>
    </w:p>
    <w:p>
      <w:pPr>
        <w:ind w:left="4640"/>
        <w:spacing w:after="0"/>
        <w:rPr>
          <w:sz w:val="20"/>
          <w:szCs w:val="20"/>
          <w:color w:val="auto"/>
        </w:rPr>
      </w:pPr>
      <w:r>
        <w:rPr>
          <w:rFonts w:ascii="Arial" w:cs="Arial" w:eastAsia="Arial" w:hAnsi="Arial"/>
          <w:sz w:val="14"/>
          <w:szCs w:val="14"/>
          <w:b w:val="1"/>
          <w:bCs w:val="1"/>
          <w:color w:val="auto"/>
        </w:rPr>
        <w:t>130.7% of target</w:t>
      </w:r>
    </w:p>
    <w:p>
      <w:pPr>
        <w:spacing w:after="0" w:line="207" w:lineRule="exact"/>
        <w:rPr>
          <w:sz w:val="20"/>
          <w:szCs w:val="20"/>
          <w:color w:val="auto"/>
        </w:rPr>
      </w:pPr>
    </w:p>
    <w:p>
      <w:pPr>
        <w:sectPr>
          <w:pgSz w:w="11900" w:h="16838" w:orient="portrait"/>
          <w:cols w:equalWidth="0" w:num="2">
            <w:col w:w="3920" w:space="720"/>
            <w:col w:w="6600"/>
          </w:cols>
          <w:pgMar w:left="320" w:top="1106" w:right="339" w:bottom="1440" w:gutter="0" w:footer="0" w:header="0"/>
          <w:type w:val="continuous"/>
        </w:sectPr>
      </w:pPr>
    </w:p>
    <w:p>
      <w:pPr>
        <w:ind w:right="220" w:firstLine="324"/>
        <w:spacing w:after="0" w:line="271" w:lineRule="auto"/>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In applying the actual performance when factoring in the defined adjustment events against the weightings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measures, the fiscal 2021 to fiscal 2023 payout was 130.7% of target.</w:t>
      </w:r>
    </w:p>
    <w:p>
      <w:pPr>
        <w:spacing w:after="0" w:line="32" w:lineRule="exact"/>
        <w:rPr>
          <w:sz w:val="20"/>
          <w:szCs w:val="20"/>
          <w:color w:val="auto"/>
        </w:rPr>
      </w:pPr>
    </w:p>
    <w:p>
      <w:pPr>
        <w:ind w:right="20" w:firstLine="324"/>
        <w:spacing w:after="0" w:line="200" w:lineRule="auto"/>
        <w:rPr>
          <w:sz w:val="20"/>
          <w:szCs w:val="20"/>
          <w:color w:val="auto"/>
        </w:rPr>
      </w:pPr>
      <w:r>
        <w:rPr>
          <w:rFonts w:ascii="Arial" w:cs="Arial" w:eastAsia="Arial" w:hAnsi="Arial"/>
          <w:sz w:val="17"/>
          <w:szCs w:val="17"/>
          <w:i w:val="1"/>
          <w:iCs w:val="1"/>
          <w:color w:val="auto"/>
        </w:rPr>
        <w:t xml:space="preserve">Target Total Direct Compensation. </w:t>
      </w:r>
      <w:r>
        <w:rPr>
          <w:rFonts w:ascii="Arial" w:cs="Arial" w:eastAsia="Arial" w:hAnsi="Arial"/>
          <w:sz w:val="17"/>
          <w:szCs w:val="17"/>
          <w:color w:val="auto"/>
        </w:rPr>
        <w:t>When analyzing compensation, we look at base salary, target total cash compensation and target total</w:t>
      </w:r>
      <w:r>
        <w:rPr>
          <w:rFonts w:ascii="Arial" w:cs="Arial" w:eastAsia="Arial" w:hAnsi="Arial"/>
          <w:sz w:val="17"/>
          <w:szCs w:val="17"/>
          <w:i w:val="1"/>
          <w:iCs w:val="1"/>
          <w:color w:val="auto"/>
        </w:rPr>
        <w:t xml:space="preserve"> </w:t>
      </w:r>
      <w:r>
        <w:rPr>
          <w:rFonts w:ascii="Arial" w:cs="Arial" w:eastAsia="Arial" w:hAnsi="Arial"/>
          <w:sz w:val="17"/>
          <w:szCs w:val="17"/>
          <w:color w:val="auto"/>
        </w:rPr>
        <w:t>direct compensation in comparison to the market 50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percentile when establishing base salary levels, target annual cash incentive awards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long-term incentive awards. Actual value realized from long-term incentives is dependent on actual payout of performance share awards at the end of the three-year term, which is dependent on actual cumulative performance against established performance goals and the stock</w:t>
      </w:r>
    </w:p>
    <w:p>
      <w:pPr>
        <w:spacing w:after="0" w:line="2"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price at the time of exercise for stock option grants. Therefore, it is difficult to assess actual total direct compensation on an annual basis in comparison to the market since the market data may have changed significantly when actual long-term incentive results are fully realized.</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grant date fair value of long-term incentive awards as reflected in the Summary Compensation Table can vary significantly</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from the target long-term incentive value we use to calculate the number of performance share awards and stock options to grant. This is because the grant date fair value is determined based on the value of our common stock on the grant date of the awards; whereas, we use a</w:t>
      </w:r>
    </w:p>
    <w:p>
      <w:pPr>
        <w:spacing w:after="0" w:line="2"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three-month average closing price of our common stock to convert the target long-term incentive values into the number of performance share awards and stock options to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53" w:name="page54"/>
    <w:bookmarkEnd w:id="53"/>
    <w:p>
      <w:pPr>
        <w:ind w:left="340"/>
        <w:spacing w:after="0"/>
        <w:rPr>
          <w:sz w:val="20"/>
          <w:szCs w:val="20"/>
          <w:color w:val="auto"/>
        </w:rPr>
      </w:pPr>
      <w:r>
        <w:rPr>
          <w:rFonts w:ascii="Arial" w:cs="Arial" w:eastAsia="Arial" w:hAnsi="Arial"/>
          <w:sz w:val="18"/>
          <w:szCs w:val="18"/>
          <w:color w:val="auto"/>
        </w:rPr>
        <w:t>We believe it is important to continue to review target total direct compensation when establishing long-term incentive grants. The fiscal</w:t>
      </w:r>
    </w:p>
    <w:p>
      <w:pPr>
        <w:spacing w:after="0" w:line="14"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2023 target total direct compensation (sum of actual base salary, target annual cash incentive and target value of equity awards), for our Chairman and CEO is in the table below.</w:t>
      </w:r>
    </w:p>
    <w:p>
      <w:pPr>
        <w:spacing w:after="0" w:line="132" w:lineRule="exact"/>
        <w:rPr>
          <w:sz w:val="20"/>
          <w:szCs w:val="20"/>
          <w:color w:val="auto"/>
        </w:rPr>
      </w:pPr>
    </w:p>
    <w:tbl>
      <w:tblPr>
        <w:tblLayout w:type="fixed"/>
        <w:tblInd w:w="3060" w:type="dxa"/>
        <w:tblCellMar>
          <w:top w:w="0" w:type="dxa"/>
          <w:left w:w="0" w:type="dxa"/>
          <w:bottom w:w="0" w:type="dxa"/>
          <w:right w:w="0" w:type="dxa"/>
        </w:tblCellMar>
      </w:tblPr>
      <w:tr>
        <w:trPr>
          <w:trHeight w:val="234"/>
        </w:trPr>
        <w:tc>
          <w:tcPr>
            <w:tcW w:w="1800" w:type="dxa"/>
            <w:vAlign w:val="bottom"/>
            <w:shd w:val="clear" w:color="auto" w:fill="BF2115"/>
          </w:tcPr>
          <w:p>
            <w:pPr>
              <w:spacing w:after="0"/>
              <w:rPr>
                <w:sz w:val="20"/>
                <w:szCs w:val="20"/>
                <w:color w:val="auto"/>
              </w:rPr>
            </w:pPr>
          </w:p>
        </w:tc>
        <w:tc>
          <w:tcPr>
            <w:tcW w:w="3340" w:type="dxa"/>
            <w:vAlign w:val="bottom"/>
            <w:shd w:val="clear" w:color="auto" w:fill="BF2115"/>
          </w:tcPr>
          <w:p>
            <w:pPr>
              <w:jc w:val="center"/>
              <w:ind w:left="346"/>
              <w:spacing w:after="0"/>
              <w:rPr>
                <w:sz w:val="20"/>
                <w:szCs w:val="20"/>
                <w:color w:val="auto"/>
              </w:rPr>
            </w:pPr>
            <w:r>
              <w:rPr>
                <w:rFonts w:ascii="Arial" w:cs="Arial" w:eastAsia="Arial" w:hAnsi="Arial"/>
                <w:sz w:val="14"/>
                <w:szCs w:val="14"/>
                <w:b w:val="1"/>
                <w:bCs w:val="1"/>
                <w:color w:val="FFFFFF"/>
              </w:rPr>
              <w:t>Fiscal 2023 Target Total</w:t>
            </w:r>
          </w:p>
        </w:tc>
      </w:tr>
      <w:tr>
        <w:trPr>
          <w:trHeight w:val="176"/>
        </w:trPr>
        <w:tc>
          <w:tcPr>
            <w:tcW w:w="1800" w:type="dxa"/>
            <w:vAlign w:val="bottom"/>
            <w:shd w:val="clear" w:color="auto" w:fill="BF2115"/>
          </w:tcPr>
          <w:p>
            <w:pPr>
              <w:spacing w:after="0"/>
              <w:rPr>
                <w:sz w:val="15"/>
                <w:szCs w:val="15"/>
                <w:color w:val="auto"/>
              </w:rPr>
            </w:pPr>
          </w:p>
        </w:tc>
        <w:tc>
          <w:tcPr>
            <w:tcW w:w="3340" w:type="dxa"/>
            <w:vAlign w:val="bottom"/>
            <w:shd w:val="clear" w:color="auto" w:fill="BF2115"/>
          </w:tcPr>
          <w:p>
            <w:pPr>
              <w:jc w:val="center"/>
              <w:ind w:left="346"/>
              <w:spacing w:after="0"/>
              <w:rPr>
                <w:sz w:val="20"/>
                <w:szCs w:val="20"/>
                <w:color w:val="auto"/>
              </w:rPr>
            </w:pPr>
            <w:r>
              <w:rPr>
                <w:rFonts w:ascii="Arial" w:cs="Arial" w:eastAsia="Arial" w:hAnsi="Arial"/>
                <w:sz w:val="14"/>
                <w:szCs w:val="14"/>
                <w:b w:val="1"/>
                <w:bCs w:val="1"/>
                <w:color w:val="FFFFFF"/>
              </w:rPr>
              <w:t>Direct Compensation</w:t>
            </w:r>
          </w:p>
        </w:tc>
      </w:tr>
      <w:tr>
        <w:trPr>
          <w:trHeight w:val="198"/>
        </w:trPr>
        <w:tc>
          <w:tcPr>
            <w:tcW w:w="180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3340" w:type="dxa"/>
            <w:vAlign w:val="bottom"/>
            <w:shd w:val="clear" w:color="auto" w:fill="BF2115"/>
          </w:tcPr>
          <w:p>
            <w:pPr>
              <w:jc w:val="center"/>
              <w:ind w:left="366"/>
              <w:spacing w:after="0"/>
              <w:rPr>
                <w:sz w:val="20"/>
                <w:szCs w:val="20"/>
                <w:color w:val="auto"/>
              </w:rPr>
            </w:pPr>
            <w:r>
              <w:rPr>
                <w:rFonts w:ascii="Arial" w:cs="Arial" w:eastAsia="Arial" w:hAnsi="Arial"/>
                <w:sz w:val="14"/>
                <w:szCs w:val="14"/>
                <w:b w:val="1"/>
                <w:bCs w:val="1"/>
                <w:color w:val="FFFFFF"/>
              </w:rPr>
              <w:t>($)</w:t>
            </w:r>
          </w:p>
        </w:tc>
      </w:tr>
      <w:tr>
        <w:trPr>
          <w:trHeight w:val="215"/>
        </w:trPr>
        <w:tc>
          <w:tcPr>
            <w:tcW w:w="1800" w:type="dxa"/>
            <w:vAlign w:val="bottom"/>
          </w:tcPr>
          <w:p>
            <w:pPr>
              <w:ind w:left="20"/>
              <w:spacing w:after="0"/>
              <w:rPr>
                <w:sz w:val="20"/>
                <w:szCs w:val="20"/>
                <w:color w:val="auto"/>
              </w:rPr>
            </w:pPr>
            <w:r>
              <w:rPr>
                <w:rFonts w:ascii="Arial" w:cs="Arial" w:eastAsia="Arial" w:hAnsi="Arial"/>
                <w:sz w:val="16"/>
                <w:szCs w:val="16"/>
                <w:color w:val="auto"/>
              </w:rPr>
              <w:t>Mr. Olson</w:t>
            </w:r>
          </w:p>
        </w:tc>
        <w:tc>
          <w:tcPr>
            <w:tcW w:w="3340" w:type="dxa"/>
            <w:vAlign w:val="bottom"/>
          </w:tcPr>
          <w:p>
            <w:pPr>
              <w:jc w:val="right"/>
              <w:spacing w:after="0"/>
              <w:rPr>
                <w:sz w:val="20"/>
                <w:szCs w:val="20"/>
                <w:color w:val="auto"/>
              </w:rPr>
            </w:pPr>
            <w:r>
              <w:rPr>
                <w:rFonts w:ascii="Arial" w:cs="Arial" w:eastAsia="Arial" w:hAnsi="Arial"/>
                <w:sz w:val="16"/>
                <w:szCs w:val="16"/>
                <w:color w:val="auto"/>
              </w:rPr>
              <w:t>8,433,500</w:t>
            </w:r>
          </w:p>
        </w:tc>
      </w:tr>
    </w:tbl>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Benefits and All Other Compensation</w:t>
      </w:r>
    </w:p>
    <w:p>
      <w:pPr>
        <w:spacing w:after="0" w:line="9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7"/>
          <w:szCs w:val="17"/>
          <w:i w:val="1"/>
          <w:iCs w:val="1"/>
          <w:color w:val="auto"/>
        </w:rPr>
        <w:t xml:space="preserve">Retirement Benefits. </w:t>
      </w:r>
      <w:r>
        <w:rPr>
          <w:rFonts w:ascii="Arial" w:cs="Arial" w:eastAsia="Arial" w:hAnsi="Arial"/>
          <w:sz w:val="17"/>
          <w:szCs w:val="17"/>
          <w:color w:val="auto"/>
        </w:rPr>
        <w:t>We believe that it is important to allow our employees, including our executive officers, the opportunity to save for</w:t>
      </w:r>
      <w:r>
        <w:rPr>
          <w:rFonts w:ascii="Arial" w:cs="Arial" w:eastAsia="Arial" w:hAnsi="Arial"/>
          <w:sz w:val="17"/>
          <w:szCs w:val="17"/>
          <w:i w:val="1"/>
          <w:iCs w:val="1"/>
          <w:color w:val="auto"/>
        </w:rPr>
        <w:t xml:space="preserve"> </w:t>
      </w:r>
      <w:r>
        <w:rPr>
          <w:rFonts w:ascii="Arial" w:cs="Arial" w:eastAsia="Arial" w:hAnsi="Arial"/>
          <w:sz w:val="17"/>
          <w:szCs w:val="17"/>
          <w:color w:val="auto"/>
        </w:rPr>
        <w:t>retirement through our Retirement Plan, which is our defined contribution plan. The majority of our U.S.-based employees participate in the</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Retirement Plan and certain of our subsidiaries participate in different retirement plans. For 2023, the Retirement Plan included a 401(k) plan with a Company match and an investment fund contribution that can be made at the discretion of the Company. Company contributions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fiscal 2023 to our Retirement Plan on behalf of our NEOs can be found under "All Other Compensation for Fiscal 2023."</w:t>
      </w:r>
    </w:p>
    <w:p>
      <w:pPr>
        <w:spacing w:after="0" w:line="86" w:lineRule="exact"/>
        <w:rPr>
          <w:sz w:val="20"/>
          <w:szCs w:val="20"/>
          <w:color w:val="auto"/>
        </w:rPr>
      </w:pPr>
    </w:p>
    <w:p>
      <w:pPr>
        <w:ind w:right="40" w:firstLine="324"/>
        <w:spacing w:after="0" w:line="251" w:lineRule="auto"/>
        <w:rPr>
          <w:sz w:val="20"/>
          <w:szCs w:val="20"/>
          <w:color w:val="auto"/>
        </w:rPr>
      </w:pPr>
      <w:r>
        <w:rPr>
          <w:rFonts w:ascii="Arial" w:cs="Arial" w:eastAsia="Arial" w:hAnsi="Arial"/>
          <w:sz w:val="17"/>
          <w:szCs w:val="17"/>
          <w:color w:val="auto"/>
        </w:rPr>
        <w:t>To help ensure our executive officers' ability to provide financial security and save for retirement, we maintain three nonqualified deferred compensation plans, which include: The Toro Company Deferred Compensation Plan, or Deferred Plan, The Toro Company Deferred</w:t>
      </w:r>
    </w:p>
    <w:p>
      <w:pPr>
        <w:spacing w:after="0" w:line="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Compensation Plan for Officers, or the Deferred Plan for Officers and The Toro Company Supplemental Benefit Plan, or Supplemental Benefit Plan. These plans, which are unsecured and unfunded, are described under "Nonqualified Deferred Compensation for Fiscal 2023."</w:t>
      </w:r>
    </w:p>
    <w:p>
      <w:pPr>
        <w:spacing w:after="0" w:line="27" w:lineRule="exact"/>
        <w:rPr>
          <w:sz w:val="20"/>
          <w:szCs w:val="20"/>
          <w:color w:val="auto"/>
        </w:rPr>
      </w:pPr>
    </w:p>
    <w:p>
      <w:pPr>
        <w:ind w:right="80" w:firstLine="324"/>
        <w:spacing w:after="0" w:line="245" w:lineRule="auto"/>
        <w:rPr>
          <w:sz w:val="20"/>
          <w:szCs w:val="20"/>
          <w:color w:val="auto"/>
        </w:rPr>
      </w:pPr>
      <w:r>
        <w:rPr>
          <w:rFonts w:ascii="Arial" w:cs="Arial" w:eastAsia="Arial" w:hAnsi="Arial"/>
          <w:sz w:val="18"/>
          <w:szCs w:val="18"/>
          <w:i w:val="1"/>
          <w:iCs w:val="1"/>
          <w:color w:val="auto"/>
        </w:rPr>
        <w:t>Perquisites</w:t>
      </w:r>
      <w:r>
        <w:rPr>
          <w:rFonts w:ascii="Arial" w:cs="Arial" w:eastAsia="Arial" w:hAnsi="Arial"/>
          <w:sz w:val="18"/>
          <w:szCs w:val="18"/>
          <w:color w:val="auto"/>
        </w:rPr>
        <w:t>. The limited perquisites provided during fiscal 2023 to our executive officers are described in "All Other Compensation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2023." We believe these perquisites are an important part of our overall compensation package and help us attract, retain and reward</w:t>
      </w:r>
    </w:p>
    <w:p>
      <w:pPr>
        <w:ind w:right="520"/>
        <w:spacing w:after="0" w:line="237" w:lineRule="auto"/>
        <w:rPr>
          <w:sz w:val="20"/>
          <w:szCs w:val="20"/>
          <w:color w:val="auto"/>
        </w:rPr>
      </w:pPr>
      <w:r>
        <w:rPr>
          <w:rFonts w:ascii="Arial" w:cs="Arial" w:eastAsia="Arial" w:hAnsi="Arial"/>
          <w:sz w:val="18"/>
          <w:szCs w:val="18"/>
          <w:color w:val="auto"/>
        </w:rPr>
        <w:t>top executive talent. Specifically, we believe that these perquisites assist in promoting the financial security and health of our executive officers and encourage the use and promotion of our products.</w:t>
      </w:r>
    </w:p>
    <w:p>
      <w:pPr>
        <w:spacing w:after="0" w:line="73" w:lineRule="exact"/>
        <w:rPr>
          <w:sz w:val="20"/>
          <w:szCs w:val="20"/>
          <w:color w:val="auto"/>
        </w:rPr>
      </w:pPr>
    </w:p>
    <w:p>
      <w:pPr>
        <w:ind w:right="160" w:firstLine="393"/>
        <w:spacing w:after="0" w:line="251" w:lineRule="auto"/>
        <w:rPr>
          <w:sz w:val="20"/>
          <w:szCs w:val="20"/>
          <w:color w:val="auto"/>
        </w:rPr>
      </w:pPr>
      <w:r>
        <w:rPr>
          <w:rFonts w:ascii="Arial" w:cs="Arial" w:eastAsia="Arial" w:hAnsi="Arial"/>
          <w:sz w:val="17"/>
          <w:szCs w:val="17"/>
          <w:i w:val="1"/>
          <w:iCs w:val="1"/>
          <w:color w:val="auto"/>
        </w:rPr>
        <w:t>Relocation Benefits</w:t>
      </w:r>
      <w:r>
        <w:rPr>
          <w:rFonts w:ascii="Arial" w:cs="Arial" w:eastAsia="Arial" w:hAnsi="Arial"/>
          <w:sz w:val="17"/>
          <w:szCs w:val="17"/>
          <w:color w:val="auto"/>
        </w:rPr>
        <w:t>. We maintain a standard, market competitive relocation policy, which provides for reimbursement of and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for certain relocation expenses. During fiscal 2023, Ms. Totsky was reimbursed for certain relocation expenses, as included within the "All</w:t>
      </w:r>
    </w:p>
    <w:p>
      <w:pPr>
        <w:spacing w:after="0" w:line="235" w:lineRule="auto"/>
        <w:rPr>
          <w:sz w:val="20"/>
          <w:szCs w:val="20"/>
          <w:color w:val="auto"/>
        </w:rPr>
      </w:pPr>
      <w:r>
        <w:rPr>
          <w:rFonts w:ascii="Arial" w:cs="Arial" w:eastAsia="Arial" w:hAnsi="Arial"/>
          <w:sz w:val="18"/>
          <w:szCs w:val="18"/>
          <w:color w:val="auto"/>
        </w:rPr>
        <w:t>Other Compensation" column of the "Summary Compensation" Table and quantified in the related footnote to that column. Certain of these</w:t>
      </w:r>
    </w:p>
    <w:p>
      <w:pPr>
        <w:ind w:right="40"/>
        <w:spacing w:after="0" w:line="237" w:lineRule="auto"/>
        <w:rPr>
          <w:sz w:val="20"/>
          <w:szCs w:val="20"/>
          <w:color w:val="auto"/>
        </w:rPr>
      </w:pPr>
      <w:r>
        <w:rPr>
          <w:rFonts w:ascii="Arial" w:cs="Arial" w:eastAsia="Arial" w:hAnsi="Arial"/>
          <w:sz w:val="18"/>
          <w:szCs w:val="18"/>
          <w:color w:val="auto"/>
        </w:rPr>
        <w:t>relocation expenses are deemed to be taxable income to the recipient; therefore, pursuant to our relocation policy, a supplemental tax "gross up" was provided to Ms. Totsky to help offset the incremental tax impact.</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Sign-On Bonuses</w:t>
      </w:r>
      <w:r>
        <w:rPr>
          <w:rFonts w:ascii="Arial" w:cs="Arial" w:eastAsia="Arial" w:hAnsi="Arial"/>
          <w:sz w:val="18"/>
          <w:szCs w:val="18"/>
          <w:color w:val="auto"/>
        </w:rPr>
        <w:t>. We believe that the use of sign-on bonuses are appropriate when hiring certain new employees. In fiscal 2023, we</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paid a cash sign-on bonus to Ms. Totsky, which was intended to offset a portion of the compensation she forfeited by terminating her employment with her former employer. The sign-on bonus is subject to repayment if Ms. Totsky voluntarily terminates her employment prior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June 19, 2024, the one year anniversary of her start date.</w:t>
      </w:r>
    </w:p>
    <w:p>
      <w:pPr>
        <w:spacing w:after="0" w:line="86" w:lineRule="exact"/>
        <w:rPr>
          <w:sz w:val="20"/>
          <w:szCs w:val="20"/>
          <w:color w:val="auto"/>
        </w:rPr>
      </w:pPr>
    </w:p>
    <w:p>
      <w:pPr>
        <w:ind w:right="520" w:firstLine="393"/>
        <w:spacing w:after="0" w:line="237" w:lineRule="auto"/>
        <w:rPr>
          <w:sz w:val="20"/>
          <w:szCs w:val="20"/>
          <w:color w:val="auto"/>
        </w:rPr>
      </w:pPr>
      <w:r>
        <w:rPr>
          <w:rFonts w:ascii="Arial" w:cs="Arial" w:eastAsia="Arial" w:hAnsi="Arial"/>
          <w:sz w:val="18"/>
          <w:szCs w:val="18"/>
          <w:i w:val="1"/>
          <w:iCs w:val="1"/>
          <w:color w:val="auto"/>
        </w:rPr>
        <w:t>Charitable Giving</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support charitable organizations for our employees through our matching gift program. The program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provides that a gift or gifts by an executive officer and his/her spouse to one or more tax exempt 501(c)(3) charitable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organizations located in the United States will be matched by us in an aggregate amount of up to $3,000 per year.</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Employment, Severance and Change in Control Arrangements</w:t>
      </w:r>
    </w:p>
    <w:p>
      <w:pPr>
        <w:spacing w:after="0" w:line="85" w:lineRule="exact"/>
        <w:rPr>
          <w:sz w:val="20"/>
          <w:szCs w:val="20"/>
          <w:color w:val="auto"/>
        </w:rPr>
      </w:pPr>
    </w:p>
    <w:p>
      <w:pPr>
        <w:ind w:right="100" w:firstLine="324"/>
        <w:spacing w:after="0" w:line="251" w:lineRule="auto"/>
        <w:rPr>
          <w:sz w:val="20"/>
          <w:szCs w:val="20"/>
          <w:color w:val="auto"/>
        </w:rPr>
      </w:pPr>
      <w:r>
        <w:rPr>
          <w:rFonts w:ascii="Arial" w:cs="Arial" w:eastAsia="Arial" w:hAnsi="Arial"/>
          <w:sz w:val="17"/>
          <w:szCs w:val="17"/>
          <w:color w:val="auto"/>
        </w:rPr>
        <w:t>None of our executive officers have any employment or severance agreements or arrangements other than as provided for in our Change-in-Control (CIC) policy and other than certain change in control provisions in our equity plans. Accordingly, our executive officers do</w:t>
      </w:r>
    </w:p>
    <w:p>
      <w:pPr>
        <w:spacing w:after="0" w:line="235" w:lineRule="auto"/>
        <w:rPr>
          <w:sz w:val="20"/>
          <w:szCs w:val="20"/>
          <w:color w:val="auto"/>
        </w:rPr>
      </w:pPr>
      <w:r>
        <w:rPr>
          <w:rFonts w:ascii="Arial" w:cs="Arial" w:eastAsia="Arial" w:hAnsi="Arial"/>
          <w:sz w:val="18"/>
          <w:szCs w:val="18"/>
          <w:color w:val="auto"/>
        </w:rPr>
        <w:t>not have the right to cash severance or additional benefits in connection with a termination of employment except in connection with a</w:t>
      </w:r>
    </w:p>
    <w:p>
      <w:pPr>
        <w:spacing w:after="0" w:line="237" w:lineRule="auto"/>
        <w:rPr>
          <w:sz w:val="20"/>
          <w:szCs w:val="20"/>
          <w:color w:val="auto"/>
        </w:rPr>
      </w:pPr>
      <w:r>
        <w:rPr>
          <w:rFonts w:ascii="Arial" w:cs="Arial" w:eastAsia="Arial" w:hAnsi="Arial"/>
          <w:sz w:val="18"/>
          <w:szCs w:val="18"/>
          <w:color w:val="auto"/>
        </w:rPr>
        <w:t>change in control of our Company as described under "Potential Payments Upon Termination or Change in Control." Each executive officer is a party to our standard confidentiality, invention and non-compete agreement.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CIC policy and other change in control arrangements are important because they provide retention incentives and</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additional monetary motivation to complete a transaction that the Board believes is in the best interests of our Company and shareholders. We believe it is in the best interests of our Company and our shareholders to assure that we will have the continued dedication of our</w:t>
      </w:r>
    </w:p>
    <w:p>
      <w:pPr>
        <w:spacing w:after="0" w:line="236" w:lineRule="auto"/>
        <w:rPr>
          <w:sz w:val="20"/>
          <w:szCs w:val="20"/>
          <w:color w:val="auto"/>
        </w:rPr>
      </w:pPr>
      <w:r>
        <w:rPr>
          <w:rFonts w:ascii="Arial" w:cs="Arial" w:eastAsia="Arial" w:hAnsi="Arial"/>
          <w:sz w:val="18"/>
          <w:szCs w:val="18"/>
          <w:color w:val="auto"/>
        </w:rPr>
        <w:t>executives, notwithstanding the possibility, threat or occurrence of a change in control. We also believe it is imperative to diminish any</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distraction of our executives by virtue of the personal uncertainties and risks, including personal financial risks, created by a pending or threatened change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color w:val="auto"/>
        </w:rPr>
        <w:t>Our CIC policy incorporates a "double trigger" mechanism and provides for a severance payment for an executive officer if within three</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years after a change in control an executive officer's employment is terminated by us without just cause or the executive officer terminates his or her employment for good reason, or if such termination occurs at the request of a third party who had taken steps reasonably</w:t>
      </w:r>
    </w:p>
    <w:p>
      <w:pPr>
        <w:spacing w:after="0" w:line="1"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calculated to effect the change in control. Our CIC policy does not provide a "gross-up" for 280G excise taxes and, as a condition to the payment of any severance payment, the executive officer must execute a release of claims against us.</w:t>
      </w:r>
    </w:p>
    <w:p>
      <w:pPr>
        <w:spacing w:after="0" w:line="50" w:lineRule="exact"/>
        <w:rPr>
          <w:sz w:val="20"/>
          <w:szCs w:val="20"/>
          <w:color w:val="auto"/>
        </w:rPr>
      </w:pPr>
    </w:p>
    <w:p>
      <w:pPr>
        <w:ind w:right="460" w:firstLine="324"/>
        <w:spacing w:after="0" w:line="259" w:lineRule="auto"/>
        <w:rPr>
          <w:sz w:val="20"/>
          <w:szCs w:val="20"/>
          <w:color w:val="auto"/>
        </w:rPr>
      </w:pPr>
      <w:r>
        <w:rPr>
          <w:rFonts w:ascii="Arial" w:cs="Arial" w:eastAsia="Arial" w:hAnsi="Arial"/>
          <w:sz w:val="17"/>
          <w:szCs w:val="17"/>
          <w:color w:val="auto"/>
        </w:rPr>
        <w:t>In addition to our CIC policy, we also have change in control provisions in our 2022 Plan and prior equity plans and individual award agreements that apply to our executives, as well as other employees, that provide for immediate vesting acceleration upon a change in</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control. More information regarding these provisions is also provided under "Potential Payments Upon Termination or Change in Control— Change in Control." Because the immediate vesting of stock options, restricted stock units and certain other awards is triggered by the</w:t>
      </w:r>
    </w:p>
    <w:p>
      <w:pPr>
        <w:spacing w:after="0" w:line="235" w:lineRule="auto"/>
        <w:rPr>
          <w:sz w:val="20"/>
          <w:szCs w:val="20"/>
          <w:color w:val="auto"/>
        </w:rPr>
      </w:pPr>
      <w:r>
        <w:rPr>
          <w:rFonts w:ascii="Arial" w:cs="Arial" w:eastAsia="Arial" w:hAnsi="Arial"/>
          <w:sz w:val="18"/>
          <w:szCs w:val="18"/>
          <w:color w:val="auto"/>
        </w:rPr>
        <w:t>change in control itself, and is not dependent upon a termination of employment within a certain protection period, these acceleration</w:t>
      </w:r>
    </w:p>
    <w:p>
      <w:pPr>
        <w:ind w:right="100"/>
        <w:spacing w:after="0"/>
        <w:rPr>
          <w:sz w:val="20"/>
          <w:szCs w:val="20"/>
          <w:color w:val="auto"/>
        </w:rPr>
      </w:pPr>
      <w:r>
        <w:rPr>
          <w:rFonts w:ascii="Arial" w:cs="Arial" w:eastAsia="Arial" w:hAnsi="Arial"/>
          <w:sz w:val="17"/>
          <w:szCs w:val="17"/>
          <w:color w:val="auto"/>
        </w:rPr>
        <w:t>provisions are known as a "single trigger" change in control arrangements. We believe these "single trigger" change in control arrangements for equity awards granted provide important retention incentives during what can often be an uncertain time for employees and provide</w:t>
      </w:r>
    </w:p>
    <w:p>
      <w:pPr>
        <w:spacing w:after="0" w:line="235" w:lineRule="auto"/>
        <w:rPr>
          <w:sz w:val="20"/>
          <w:szCs w:val="20"/>
          <w:color w:val="auto"/>
        </w:rPr>
      </w:pPr>
      <w:r>
        <w:rPr>
          <w:rFonts w:ascii="Arial" w:cs="Arial" w:eastAsia="Arial" w:hAnsi="Arial"/>
          <w:sz w:val="18"/>
          <w:szCs w:val="18"/>
          <w:color w:val="auto"/>
        </w:rPr>
        <w:t>executives with additional monetary motivation to focus on and complete a transaction that our Board believes is in the best interests of our</w:t>
      </w:r>
    </w:p>
    <w:p>
      <w:pPr>
        <w:ind w:right="560"/>
        <w:spacing w:after="0" w:line="237" w:lineRule="auto"/>
        <w:rPr>
          <w:sz w:val="20"/>
          <w:szCs w:val="20"/>
          <w:color w:val="auto"/>
        </w:rPr>
      </w:pPr>
      <w:r>
        <w:rPr>
          <w:rFonts w:ascii="Arial" w:cs="Arial" w:eastAsia="Arial" w:hAnsi="Arial"/>
          <w:sz w:val="18"/>
          <w:szCs w:val="18"/>
          <w:color w:val="auto"/>
        </w:rPr>
        <w:t>shareholders rather than seeking new employment opportunities. If an executive were to leave prior to the completion of the change in control, non-vested options or other awards held by the executive would terminate.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Committee reviews our change of control arrangements periodically to ensure that they remain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Named Executive Officers Stock Ownership Guidelines</w:t>
      </w:r>
    </w:p>
    <w:p>
      <w:pPr>
        <w:spacing w:after="0" w:line="85"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We maintain stock ownership guidelines to align the interests of our NEOs with those of our shareholders. Effective January 16, 2024, our stock ownership guidelines were amended to require that executive officers hold a number of shares as shown in the table below until the</w:t>
      </w:r>
    </w:p>
    <w:p>
      <w:pPr>
        <w:ind w:right="20"/>
        <w:spacing w:after="0"/>
        <w:rPr>
          <w:sz w:val="20"/>
          <w:szCs w:val="20"/>
          <w:color w:val="auto"/>
        </w:rPr>
      </w:pPr>
      <w:r>
        <w:rPr>
          <w:rFonts w:ascii="Arial" w:cs="Arial" w:eastAsia="Arial" w:hAnsi="Arial"/>
          <w:sz w:val="17"/>
          <w:szCs w:val="17"/>
          <w:color w:val="auto"/>
        </w:rPr>
        <w:t>guideline multiple is met. Our previous guidelines did not have a holding requirement, but required executive officers to reach the specified number of shares within five years of the date of hire or promotion. In addition, the multiple for the Chairman and CEO was increased from 5x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6x.</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-115570</wp:posOffset>
            </wp:positionV>
            <wp:extent cx="3840480" cy="3086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40480" cy="3086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p>
      <w:pPr>
        <w:spacing w:after="0" w:line="59"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FFFFFF"/>
        </w:rPr>
        <w:t>Chairman and CEO</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Other Executive Officers</w:t>
      </w:r>
    </w:p>
    <w:p>
      <w:pPr>
        <w:spacing w:after="0" w:line="59" w:lineRule="exact"/>
        <w:rPr>
          <w:sz w:val="20"/>
          <w:szCs w:val="20"/>
          <w:color w:val="auto"/>
        </w:rPr>
      </w:pPr>
    </w:p>
    <w:p>
      <w:pPr>
        <w:sectPr>
          <w:pgSz w:w="11900" w:h="16838" w:orient="portrait"/>
          <w:cols w:equalWidth="0" w:num="2">
            <w:col w:w="5340" w:space="720"/>
            <w:col w:w="5180"/>
          </w:cols>
          <w:pgMar w:left="320" w:top="1106" w:right="339" w:bottom="1440" w:gutter="0" w:footer="0" w:header="0"/>
          <w:type w:val="continuous"/>
        </w:sectPr>
      </w:pPr>
    </w:p>
    <w:p>
      <w:pPr>
        <w:ind w:left="3200"/>
        <w:spacing w:after="0"/>
        <w:rPr>
          <w:sz w:val="20"/>
          <w:szCs w:val="20"/>
          <w:color w:val="auto"/>
        </w:rPr>
      </w:pPr>
      <w:r>
        <w:rPr>
          <w:rFonts w:ascii="Arial" w:cs="Arial" w:eastAsia="Arial" w:hAnsi="Arial"/>
          <w:sz w:val="16"/>
          <w:szCs w:val="16"/>
          <w:color w:val="auto"/>
        </w:rPr>
        <w:t>6x annual base salary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3x annual base salary</w:t>
      </w:r>
    </w:p>
    <w:p>
      <w:pPr>
        <w:spacing w:after="0" w:line="200" w:lineRule="exact"/>
        <w:rPr>
          <w:sz w:val="20"/>
          <w:szCs w:val="20"/>
          <w:color w:val="auto"/>
        </w:rPr>
      </w:pPr>
    </w:p>
    <w:p>
      <w:pPr>
        <w:sectPr>
          <w:pgSz w:w="11900" w:h="16838" w:orient="portrait"/>
          <w:cols w:equalWidth="0" w:num="2">
            <w:col w:w="5500" w:space="720"/>
            <w:col w:w="5020"/>
          </w:cols>
          <w:pgMar w:left="320" w:top="1106"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Anti-Hedging and Anti-Pledging</w:t>
      </w:r>
    </w:p>
    <w:p>
      <w:pPr>
        <w:spacing w:after="0" w:line="85"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Our insider trading policy prohibits officers and directors from engaging in hedging or pledging of our securities, as described in more detail in "Executive Compensation—Anti-Hedging and Anti-Pledging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Tax Considerations</w:t>
      </w:r>
    </w:p>
    <w:p>
      <w:pPr>
        <w:spacing w:after="0" w:line="85" w:lineRule="exact"/>
        <w:rPr>
          <w:sz w:val="20"/>
          <w:szCs w:val="20"/>
          <w:color w:val="auto"/>
        </w:rPr>
      </w:pPr>
    </w:p>
    <w:p>
      <w:pPr>
        <w:ind w:right="140" w:firstLine="324"/>
        <w:spacing w:after="0" w:line="245" w:lineRule="auto"/>
        <w:rPr>
          <w:sz w:val="20"/>
          <w:szCs w:val="20"/>
          <w:color w:val="auto"/>
        </w:rPr>
      </w:pPr>
      <w:r>
        <w:rPr>
          <w:rFonts w:ascii="Arial" w:cs="Arial" w:eastAsia="Arial" w:hAnsi="Arial"/>
          <w:sz w:val="18"/>
          <w:szCs w:val="18"/>
          <w:color w:val="auto"/>
        </w:rPr>
        <w:t>Code Section 162(m) imposes an annual deduction limit of $1 million on the amount of compensation paid to each "covered employee," which includes our NEOs and certain other former NEOs. Compensation paid to our NEOs over this limit is nondeductible. While the</w:t>
      </w:r>
    </w:p>
    <w:p>
      <w:pPr>
        <w:ind w:right="60"/>
        <w:spacing w:after="0"/>
        <w:rPr>
          <w:sz w:val="20"/>
          <w:szCs w:val="20"/>
          <w:color w:val="auto"/>
        </w:rPr>
      </w:pPr>
      <w:r>
        <w:rPr>
          <w:rFonts w:ascii="Arial" w:cs="Arial" w:eastAsia="Arial" w:hAnsi="Arial"/>
          <w:sz w:val="17"/>
          <w:szCs w:val="17"/>
          <w:color w:val="auto"/>
        </w:rPr>
        <w:t>Compensation &amp; Human Resources Committee considers tax deductibility as one of many factors in determining executive compensation, we will continue to structure our executive compensation program so that a significant portion of total executive compensation is linked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performance of our Company even though amounts in excess of the Code Section 162(m) limit are not deductible.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Risk Assessment</w:t>
      </w:r>
    </w:p>
    <w:p>
      <w:pPr>
        <w:spacing w:after="0" w:line="99"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We determined that our compensation policies, practices and programs and related compensation governance structure work together to minimize exposure to excessive risk while appropriately pursuing growth, profitability and asset efficiency strategies and goals that</w:t>
      </w:r>
    </w:p>
    <w:p>
      <w:pPr>
        <w:spacing w:after="0" w:line="189" w:lineRule="auto"/>
        <w:rPr>
          <w:sz w:val="20"/>
          <w:szCs w:val="20"/>
          <w:color w:val="auto"/>
        </w:rPr>
      </w:pPr>
      <w:r>
        <w:rPr>
          <w:rFonts w:ascii="Arial" w:cs="Arial" w:eastAsia="Arial" w:hAnsi="Arial"/>
          <w:sz w:val="18"/>
          <w:szCs w:val="18"/>
          <w:color w:val="auto"/>
        </w:rPr>
        <w:t>emphasize shareholder value creation. In reaching such determination, we noted that (i) base salaries for all office salaried employees are</w:t>
      </w:r>
    </w:p>
    <w:p>
      <w:pPr>
        <w:spacing w:after="0" w:line="1" w:lineRule="exact"/>
        <w:rPr>
          <w:sz w:val="20"/>
          <w:szCs w:val="20"/>
          <w:color w:val="auto"/>
        </w:rPr>
      </w:pPr>
    </w:p>
    <w:p>
      <w:pPr>
        <w:ind w:right="480"/>
        <w:spacing w:after="0" w:line="204" w:lineRule="auto"/>
        <w:rPr>
          <w:sz w:val="20"/>
          <w:szCs w:val="20"/>
          <w:color w:val="auto"/>
        </w:rPr>
      </w:pPr>
      <w:r>
        <w:rPr>
          <w:rFonts w:ascii="Arial" w:cs="Arial" w:eastAsia="Arial" w:hAnsi="Arial"/>
          <w:sz w:val="17"/>
          <w:szCs w:val="17"/>
          <w:color w:val="auto"/>
        </w:rPr>
        <w:t>targeted within a competitive range of the market 50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percentile, are not subject to performance risk and, for non-executive employees, constitute the largest part of their total compensation; (ii) incentive or variable compensation awarded to our executive officers, which</w:t>
      </w:r>
    </w:p>
    <w:p>
      <w:pPr>
        <w:spacing w:after="0" w:line="236" w:lineRule="auto"/>
        <w:rPr>
          <w:sz w:val="20"/>
          <w:szCs w:val="20"/>
          <w:color w:val="auto"/>
        </w:rPr>
      </w:pPr>
      <w:r>
        <w:rPr>
          <w:rFonts w:ascii="Arial" w:cs="Arial" w:eastAsia="Arial" w:hAnsi="Arial"/>
          <w:sz w:val="18"/>
          <w:szCs w:val="18"/>
          <w:color w:val="auto"/>
        </w:rPr>
        <w:t>constitutes the largest part of their total compensation, is appropriately balanced between annual and long-term performance and cash and</w:t>
      </w:r>
    </w:p>
    <w:p>
      <w:pPr>
        <w:ind w:right="840"/>
        <w:spacing w:after="0" w:line="237" w:lineRule="auto"/>
        <w:rPr>
          <w:sz w:val="20"/>
          <w:szCs w:val="20"/>
          <w:color w:val="auto"/>
        </w:rPr>
      </w:pPr>
      <w:r>
        <w:rPr>
          <w:rFonts w:ascii="Arial" w:cs="Arial" w:eastAsia="Arial" w:hAnsi="Arial"/>
          <w:sz w:val="18"/>
          <w:szCs w:val="18"/>
          <w:color w:val="auto"/>
        </w:rPr>
        <w:t>equity compensation, and utilizes performance measures and goals that are drivers of long-term success for our Company and our shareholders; and (iii) caps on performance-based awards are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b w:val="1"/>
          <w:bCs w:val="1"/>
          <w:color w:val="C00000"/>
        </w:rPr>
        <w:t>Clawback Policy and Provisions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October 2, 2023, we revised our clawback policy to conform with final NYSE clawback rules that require clawback of</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erroneously awarded compensation as mandated under the Dodd-Frank Wall Street Reform and Protection Act. In addition to the mandatory clawback provisions, the revised clawback policy still provides for the discretionary clawback of compensation if an executive engages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egregious conduct that is substantially detrimental to the Company.</w:t>
      </w:r>
    </w:p>
    <w:p>
      <w:pPr>
        <w:spacing w:after="0" w:line="86" w:lineRule="exact"/>
        <w:rPr>
          <w:sz w:val="20"/>
          <w:szCs w:val="20"/>
          <w:color w:val="auto"/>
        </w:rPr>
      </w:pPr>
    </w:p>
    <w:p>
      <w:pPr>
        <w:ind w:right="40" w:firstLine="324"/>
        <w:spacing w:after="0" w:line="251" w:lineRule="auto"/>
        <w:rPr>
          <w:sz w:val="20"/>
          <w:szCs w:val="20"/>
          <w:color w:val="auto"/>
        </w:rPr>
      </w:pPr>
      <w:r>
        <w:rPr>
          <w:rFonts w:ascii="Arial" w:cs="Arial" w:eastAsia="Arial" w:hAnsi="Arial"/>
          <w:sz w:val="17"/>
          <w:szCs w:val="17"/>
          <w:color w:val="auto"/>
        </w:rPr>
        <w:t>Our 2022 Plan, prior equity plan and the related award agreements contain a clawback provision which provides that if, within one year after the termination of employment the participant is employed or retained by or renders services to a competitor, violates any confidentiality</w:t>
      </w:r>
    </w:p>
    <w:p>
      <w:pPr>
        <w:spacing w:after="0" w:line="235" w:lineRule="auto"/>
        <w:rPr>
          <w:sz w:val="20"/>
          <w:szCs w:val="20"/>
          <w:color w:val="auto"/>
        </w:rPr>
      </w:pPr>
      <w:r>
        <w:rPr>
          <w:rFonts w:ascii="Arial" w:cs="Arial" w:eastAsia="Arial" w:hAnsi="Arial"/>
          <w:sz w:val="18"/>
          <w:szCs w:val="18"/>
          <w:color w:val="auto"/>
        </w:rPr>
        <w:t>agreement or agreement governing the ownership or assignment of intellectual property rights or engages in any other conduct or act</w:t>
      </w:r>
    </w:p>
    <w:p>
      <w:pPr>
        <w:ind w:right="60"/>
        <w:spacing w:after="0" w:line="226" w:lineRule="auto"/>
        <w:rPr>
          <w:sz w:val="20"/>
          <w:szCs w:val="20"/>
          <w:color w:val="auto"/>
        </w:rPr>
      </w:pPr>
      <w:r>
        <w:rPr>
          <w:rFonts w:ascii="Arial" w:cs="Arial" w:eastAsia="Arial" w:hAnsi="Arial"/>
          <w:sz w:val="18"/>
          <w:szCs w:val="18"/>
          <w:color w:val="auto"/>
        </w:rPr>
        <w:t>determined to be injurious, detrimental or prejudicial to any interest of our Company, all rights of such participant under the plan and any agreements evidencing an award then held by the participant will terminate and be forfeited and the Committee may require the executive to</w:t>
      </w:r>
    </w:p>
    <w:p>
      <w:pPr>
        <w:spacing w:after="0" w:line="236" w:lineRule="auto"/>
        <w:rPr>
          <w:sz w:val="20"/>
          <w:szCs w:val="20"/>
          <w:color w:val="auto"/>
        </w:rPr>
      </w:pPr>
      <w:r>
        <w:rPr>
          <w:rFonts w:ascii="Arial" w:cs="Arial" w:eastAsia="Arial" w:hAnsi="Arial"/>
          <w:sz w:val="18"/>
          <w:szCs w:val="18"/>
          <w:color w:val="auto"/>
        </w:rPr>
        <w:t>surrender and return to our Company any shares received, and/or to disgorge any profits or any other economic value made or realized by</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the participant during the period beginning one year prior to the participant's termination of employment or other service with our Company or any affiliate or subsidiary, in connection with any awards or any shares issued upon the exercise or vesting of any awards granted under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such plan.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Competitive Considerations and Use of Market Data</w:t>
      </w:r>
    </w:p>
    <w:p>
      <w:pPr>
        <w:spacing w:after="0" w:line="85" w:lineRule="exact"/>
        <w:rPr>
          <w:sz w:val="20"/>
          <w:szCs w:val="20"/>
          <w:color w:val="auto"/>
        </w:rPr>
      </w:pPr>
    </w:p>
    <w:p>
      <w:pPr>
        <w:ind w:right="260" w:firstLine="324"/>
        <w:spacing w:after="0" w:line="251" w:lineRule="auto"/>
        <w:rPr>
          <w:sz w:val="20"/>
          <w:szCs w:val="20"/>
          <w:color w:val="auto"/>
        </w:rPr>
      </w:pPr>
      <w:r>
        <w:rPr>
          <w:rFonts w:ascii="Arial" w:cs="Arial" w:eastAsia="Arial" w:hAnsi="Arial"/>
          <w:sz w:val="17"/>
          <w:szCs w:val="17"/>
          <w:color w:val="auto"/>
        </w:rPr>
        <w:t>Since one of the objectives of our executive compensation program is to provide market competitive compensation opportunities, the Committee uses market data provided by Willis Towers Watson to help evaluate and make compensation decisions. Market data, which is</w:t>
      </w:r>
    </w:p>
    <w:p>
      <w:pPr>
        <w:spacing w:after="0" w:line="235" w:lineRule="auto"/>
        <w:rPr>
          <w:sz w:val="20"/>
          <w:szCs w:val="20"/>
          <w:color w:val="auto"/>
        </w:rPr>
      </w:pPr>
      <w:r>
        <w:rPr>
          <w:rFonts w:ascii="Arial" w:cs="Arial" w:eastAsia="Arial" w:hAnsi="Arial"/>
          <w:sz w:val="18"/>
          <w:szCs w:val="18"/>
          <w:color w:val="auto"/>
        </w:rPr>
        <w:t>size-adjusted, is provided by Willis Towers Watson through its executive compensation database, which includes roughly 500 participating</w:t>
      </w:r>
    </w:p>
    <w:p>
      <w:pPr>
        <w:ind w:right="100"/>
        <w:spacing w:after="0" w:line="226" w:lineRule="auto"/>
        <w:rPr>
          <w:sz w:val="20"/>
          <w:szCs w:val="20"/>
          <w:color w:val="auto"/>
        </w:rPr>
      </w:pPr>
      <w:r>
        <w:rPr>
          <w:rFonts w:ascii="Arial" w:cs="Arial" w:eastAsia="Arial" w:hAnsi="Arial"/>
          <w:sz w:val="18"/>
          <w:szCs w:val="18"/>
          <w:color w:val="auto"/>
        </w:rPr>
        <w:t>companies. We believe that the market for our executive officer talent is not limited to the manufacturing industry; therefore, we do not focus specifically on manufacturing companies within the database, nor do we identify a separate group of peer companies within the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manufacturing industry for executive compensation purposes. The market data provided by Willis Towers Watson was in aggregate form and,</w:t>
      </w:r>
    </w:p>
    <w:p>
      <w:pPr>
        <w:spacing w:after="0" w:line="7"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therefore, individual data for participating companies in the survey was not considered when determining executive officer compensation in total or for any individual officer or element.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typically target pay opportunities within a competitive range of the market 50th percentile for each element of compensation and in</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total; however, variance around the market 50th percentile is dependent on a number of factors, including an executive's level of professional experience, the executive's duties and responsibilities, individual performance, future potential, tenure in the position, corporate and/or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division performance, as applicable, internal pay comparisons, and outside market factors, including general economic and labor conditions.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We Make Compensation Decisions</w:t>
      </w:r>
    </w:p>
    <w:p>
      <w:pPr>
        <w:spacing w:after="0" w:line="85" w:lineRule="exact"/>
        <w:rPr>
          <w:sz w:val="20"/>
          <w:szCs w:val="20"/>
          <w:color w:val="auto"/>
        </w:rPr>
      </w:pPr>
    </w:p>
    <w:p>
      <w:pPr>
        <w:ind w:firstLine="324"/>
        <w:spacing w:after="0" w:line="251" w:lineRule="auto"/>
        <w:rPr>
          <w:sz w:val="20"/>
          <w:szCs w:val="20"/>
          <w:color w:val="auto"/>
        </w:rPr>
      </w:pPr>
      <w:r>
        <w:rPr>
          <w:rFonts w:ascii="Arial" w:cs="Arial" w:eastAsia="Arial" w:hAnsi="Arial"/>
          <w:sz w:val="17"/>
          <w:szCs w:val="17"/>
          <w:color w:val="auto"/>
        </w:rPr>
        <w:t>There are several elements to our executive compensation decision-making, which we believe allow us to most effectively implement our established compensation philosophy. The Committee, its independent external compensation consultant, and Management all have a role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decision-making for executive compensation. The following table summarizes their roles and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9" w:right="3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43"/>
        </w:trPr>
        <w:tc>
          <w:tcPr>
            <w:tcW w:w="2900" w:type="dxa"/>
            <w:vAlign w:val="bottom"/>
            <w:tcBorders>
              <w:bottom w:val="single" w:sz="8" w:color="BFBFBF"/>
            </w:tcBorders>
            <w:shd w:val="clear" w:color="auto" w:fill="BF2115"/>
          </w:tcPr>
          <w:p>
            <w:pPr>
              <w:ind w:left="20"/>
              <w:spacing w:after="0"/>
              <w:rPr>
                <w:sz w:val="20"/>
                <w:szCs w:val="20"/>
                <w:color w:val="auto"/>
              </w:rPr>
            </w:pPr>
            <w:r>
              <w:rPr>
                <w:rFonts w:ascii="Arial" w:cs="Arial" w:eastAsia="Arial" w:hAnsi="Arial"/>
                <w:sz w:val="16"/>
                <w:szCs w:val="16"/>
                <w:b w:val="1"/>
                <w:bCs w:val="1"/>
                <w:color w:val="FFFFFF"/>
              </w:rPr>
              <w:t>Responsible Party</w:t>
            </w:r>
          </w:p>
        </w:tc>
        <w:tc>
          <w:tcPr>
            <w:tcW w:w="8340" w:type="dxa"/>
            <w:vAlign w:val="bottom"/>
            <w:gridSpan w:val="2"/>
            <w:shd w:val="clear" w:color="auto" w:fill="BF2115"/>
          </w:tcPr>
          <w:p>
            <w:pPr>
              <w:ind w:left="20"/>
              <w:spacing w:after="0"/>
              <w:rPr>
                <w:sz w:val="20"/>
                <w:szCs w:val="20"/>
                <w:color w:val="auto"/>
              </w:rPr>
            </w:pPr>
            <w:r>
              <w:rPr>
                <w:rFonts w:ascii="Arial" w:cs="Arial" w:eastAsia="Arial" w:hAnsi="Arial"/>
                <w:sz w:val="16"/>
                <w:szCs w:val="16"/>
                <w:b w:val="1"/>
                <w:bCs w:val="1"/>
                <w:color w:val="FFFFFF"/>
              </w:rPr>
              <w:t>Roles and Responsibilities</w:t>
            </w:r>
          </w:p>
        </w:tc>
        <w:tc>
          <w:tcPr>
            <w:tcW w:w="0" w:type="dxa"/>
            <w:vAlign w:val="bottom"/>
          </w:tcPr>
          <w:p>
            <w:pPr>
              <w:spacing w:after="0"/>
              <w:rPr>
                <w:sz w:val="1"/>
                <w:szCs w:val="1"/>
                <w:color w:val="auto"/>
              </w:rPr>
            </w:pPr>
          </w:p>
        </w:tc>
      </w:tr>
      <w:tr>
        <w:trPr>
          <w:trHeight w:val="177"/>
        </w:trPr>
        <w:tc>
          <w:tcPr>
            <w:tcW w:w="2900" w:type="dxa"/>
            <w:vAlign w:val="bottom"/>
          </w:tcPr>
          <w:p>
            <w:pPr>
              <w:ind w:left="20"/>
              <w:spacing w:after="0" w:line="177" w:lineRule="exact"/>
              <w:rPr>
                <w:sz w:val="20"/>
                <w:szCs w:val="20"/>
                <w:color w:val="auto"/>
              </w:rPr>
            </w:pPr>
            <w:r>
              <w:rPr>
                <w:rFonts w:ascii="Arial" w:cs="Arial" w:eastAsia="Arial" w:hAnsi="Arial"/>
                <w:sz w:val="18"/>
                <w:szCs w:val="18"/>
                <w:color w:val="auto"/>
              </w:rPr>
              <w:t>Compensation &amp; Human</w:t>
            </w:r>
          </w:p>
        </w:tc>
        <w:tc>
          <w:tcPr>
            <w:tcW w:w="12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177" w:lineRule="exact"/>
              <w:rPr>
                <w:sz w:val="20"/>
                <w:szCs w:val="20"/>
                <w:color w:val="auto"/>
              </w:rPr>
            </w:pPr>
            <w:r>
              <w:rPr>
                <w:rFonts w:ascii="Arial" w:cs="Arial" w:eastAsia="Arial" w:hAnsi="Arial"/>
                <w:sz w:val="18"/>
                <w:szCs w:val="18"/>
                <w:color w:val="auto"/>
              </w:rPr>
              <w:t>Oversees all aspects of our executive compensation program.</w:t>
            </w:r>
          </w:p>
        </w:tc>
        <w:tc>
          <w:tcPr>
            <w:tcW w:w="0" w:type="dxa"/>
            <w:vAlign w:val="bottom"/>
          </w:tcPr>
          <w:p>
            <w:pPr>
              <w:spacing w:after="0"/>
              <w:rPr>
                <w:sz w:val="1"/>
                <w:szCs w:val="1"/>
                <w:color w:val="auto"/>
              </w:rPr>
            </w:pPr>
          </w:p>
        </w:tc>
      </w:tr>
      <w:tr>
        <w:trPr>
          <w:trHeight w:val="194"/>
        </w:trPr>
        <w:tc>
          <w:tcPr>
            <w:tcW w:w="2900" w:type="dxa"/>
            <w:vAlign w:val="bottom"/>
          </w:tcPr>
          <w:p>
            <w:pPr>
              <w:ind w:left="20"/>
              <w:spacing w:after="0" w:line="195" w:lineRule="exact"/>
              <w:rPr>
                <w:sz w:val="20"/>
                <w:szCs w:val="20"/>
                <w:color w:val="auto"/>
              </w:rPr>
            </w:pPr>
            <w:r>
              <w:rPr>
                <w:rFonts w:ascii="Arial" w:cs="Arial" w:eastAsia="Arial" w:hAnsi="Arial"/>
                <w:sz w:val="18"/>
                <w:szCs w:val="18"/>
                <w:color w:val="auto"/>
              </w:rPr>
              <w:t>Resources Committee</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195" w:lineRule="exact"/>
              <w:rPr>
                <w:sz w:val="20"/>
                <w:szCs w:val="20"/>
                <w:color w:val="auto"/>
              </w:rPr>
            </w:pPr>
            <w:r>
              <w:rPr>
                <w:rFonts w:ascii="Arial" w:cs="Arial" w:eastAsia="Arial" w:hAnsi="Arial"/>
                <w:sz w:val="18"/>
                <w:szCs w:val="18"/>
                <w:color w:val="auto"/>
              </w:rPr>
              <w:t>Annually reviews and approves our corporate goals and objectives relevant to Chairman and CEO</w:t>
            </w:r>
          </w:p>
        </w:tc>
        <w:tc>
          <w:tcPr>
            <w:tcW w:w="0" w:type="dxa"/>
            <w:vAlign w:val="bottom"/>
          </w:tcPr>
          <w:p>
            <w:pPr>
              <w:spacing w:after="0"/>
              <w:rPr>
                <w:sz w:val="1"/>
                <w:szCs w:val="1"/>
                <w:color w:val="auto"/>
              </w:rPr>
            </w:pPr>
          </w:p>
        </w:tc>
      </w:tr>
      <w:tr>
        <w:trPr>
          <w:trHeight w:val="197"/>
        </w:trPr>
        <w:tc>
          <w:tcPr>
            <w:tcW w:w="2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(Comprised solely of independent</w:t>
            </w:r>
          </w:p>
        </w:tc>
        <w:tc>
          <w:tcPr>
            <w:tcW w:w="120" w:type="dxa"/>
            <w:vAlign w:val="bottom"/>
          </w:tcPr>
          <w:p>
            <w:pPr>
              <w:spacing w:after="0"/>
              <w:rPr>
                <w:sz w:val="17"/>
                <w:szCs w:val="17"/>
                <w:color w:val="auto"/>
              </w:rPr>
            </w:pPr>
          </w:p>
        </w:tc>
        <w:tc>
          <w:tcPr>
            <w:tcW w:w="8220" w:type="dxa"/>
            <w:vAlign w:val="bottom"/>
          </w:tcPr>
          <w:p>
            <w:pPr>
              <w:ind w:left="60"/>
              <w:spacing w:after="0" w:line="197" w:lineRule="exact"/>
              <w:rPr>
                <w:sz w:val="20"/>
                <w:szCs w:val="20"/>
                <w:color w:val="auto"/>
              </w:rPr>
            </w:pPr>
            <w:r>
              <w:rPr>
                <w:rFonts w:ascii="Arial" w:cs="Arial" w:eastAsia="Arial" w:hAnsi="Arial"/>
                <w:sz w:val="18"/>
                <w:szCs w:val="18"/>
                <w:color w:val="auto"/>
              </w:rPr>
              <w:t>compensation.</w:t>
            </w:r>
          </w:p>
        </w:tc>
        <w:tc>
          <w:tcPr>
            <w:tcW w:w="0" w:type="dxa"/>
            <w:vAlign w:val="bottom"/>
          </w:tcPr>
          <w:p>
            <w:pPr>
              <w:spacing w:after="0"/>
              <w:rPr>
                <w:sz w:val="1"/>
                <w:szCs w:val="1"/>
                <w:color w:val="auto"/>
              </w:rPr>
            </w:pPr>
          </w:p>
        </w:tc>
      </w:tr>
      <w:tr>
        <w:trPr>
          <w:trHeight w:val="124"/>
        </w:trPr>
        <w:tc>
          <w:tcPr>
            <w:tcW w:w="2900" w:type="dxa"/>
            <w:vAlign w:val="bottom"/>
            <w:vMerge w:val="continue"/>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Evaluates Chairman and CEO's performance in light of such goals and objectives, and determines</w:t>
            </w:r>
          </w:p>
        </w:tc>
        <w:tc>
          <w:tcPr>
            <w:tcW w:w="0" w:type="dxa"/>
            <w:vAlign w:val="bottom"/>
          </w:tcPr>
          <w:p>
            <w:pPr>
              <w:spacing w:after="0"/>
              <w:rPr>
                <w:sz w:val="1"/>
                <w:szCs w:val="1"/>
                <w:color w:val="auto"/>
              </w:rPr>
            </w:pPr>
          </w:p>
        </w:tc>
      </w:tr>
      <w:tr>
        <w:trPr>
          <w:trHeight w:val="79"/>
        </w:trPr>
        <w:tc>
          <w:tcPr>
            <w:tcW w:w="2900" w:type="dxa"/>
            <w:vAlign w:val="bottom"/>
            <w:vMerge w:val="restart"/>
          </w:tcPr>
          <w:p>
            <w:pPr>
              <w:ind w:left="20"/>
              <w:spacing w:after="0" w:line="202" w:lineRule="exact"/>
              <w:rPr>
                <w:sz w:val="20"/>
                <w:szCs w:val="20"/>
                <w:color w:val="auto"/>
              </w:rPr>
            </w:pPr>
            <w:r>
              <w:rPr>
                <w:rFonts w:ascii="Arial" w:cs="Arial" w:eastAsia="Arial" w:hAnsi="Arial"/>
                <w:sz w:val="18"/>
                <w:szCs w:val="18"/>
                <w:i w:val="1"/>
                <w:iCs w:val="1"/>
                <w:color w:val="auto"/>
              </w:rPr>
              <w:t>directors and reports to the Board</w:t>
            </w:r>
          </w:p>
        </w:tc>
        <w:tc>
          <w:tcPr>
            <w:tcW w:w="120" w:type="dxa"/>
            <w:vAlign w:val="bottom"/>
            <w:vMerge w:val="continue"/>
          </w:tcPr>
          <w:p>
            <w:pPr>
              <w:spacing w:after="0"/>
              <w:rPr>
                <w:sz w:val="6"/>
                <w:szCs w:val="6"/>
                <w:color w:val="auto"/>
              </w:rPr>
            </w:pPr>
          </w:p>
        </w:tc>
        <w:tc>
          <w:tcPr>
            <w:tcW w:w="8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220" w:type="dxa"/>
            <w:vAlign w:val="bottom"/>
            <w:vMerge w:val="restart"/>
          </w:tcPr>
          <w:p>
            <w:pPr>
              <w:ind w:left="60"/>
              <w:spacing w:after="0" w:line="189" w:lineRule="exact"/>
              <w:rPr>
                <w:sz w:val="20"/>
                <w:szCs w:val="20"/>
                <w:color w:val="auto"/>
              </w:rPr>
            </w:pPr>
            <w:r>
              <w:rPr>
                <w:rFonts w:ascii="Arial" w:cs="Arial" w:eastAsia="Arial" w:hAnsi="Arial"/>
                <w:sz w:val="18"/>
                <w:szCs w:val="18"/>
                <w:color w:val="auto"/>
              </w:rPr>
              <w:t>and approves his compensation based on this evaluation, subject to ratification by the Board of</w:t>
            </w:r>
          </w:p>
        </w:tc>
        <w:tc>
          <w:tcPr>
            <w:tcW w:w="0" w:type="dxa"/>
            <w:vAlign w:val="bottom"/>
          </w:tcPr>
          <w:p>
            <w:pPr>
              <w:spacing w:after="0"/>
              <w:rPr>
                <w:sz w:val="1"/>
                <w:szCs w:val="1"/>
                <w:color w:val="auto"/>
              </w:rPr>
            </w:pPr>
          </w:p>
        </w:tc>
      </w:tr>
      <w:tr>
        <w:trPr>
          <w:trHeight w:val="65"/>
        </w:trPr>
        <w:tc>
          <w:tcPr>
            <w:tcW w:w="2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of Directors)</w:t>
            </w:r>
          </w:p>
        </w:tc>
        <w:tc>
          <w:tcPr>
            <w:tcW w:w="120" w:type="dxa"/>
            <w:vAlign w:val="bottom"/>
          </w:tcPr>
          <w:p>
            <w:pPr>
              <w:spacing w:after="0"/>
              <w:rPr>
                <w:sz w:val="5"/>
                <w:szCs w:val="5"/>
                <w:color w:val="auto"/>
              </w:rPr>
            </w:pPr>
          </w:p>
        </w:tc>
        <w:tc>
          <w:tcPr>
            <w:tcW w:w="8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20" w:type="dxa"/>
            <w:vAlign w:val="bottom"/>
            <w:vMerge w:val="restart"/>
          </w:tcPr>
          <w:p>
            <w:pPr>
              <w:ind w:left="60"/>
              <w:spacing w:after="0" w:line="202" w:lineRule="exact"/>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r>
        <w:trPr>
          <w:trHeight w:val="31"/>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202" w:lineRule="exact"/>
              <w:rPr>
                <w:sz w:val="20"/>
                <w:szCs w:val="20"/>
                <w:color w:val="auto"/>
              </w:rPr>
            </w:pPr>
            <w:r>
              <w:rPr>
                <w:rFonts w:ascii="Arial" w:cs="Arial" w:eastAsia="Arial" w:hAnsi="Arial"/>
                <w:sz w:val="18"/>
                <w:szCs w:val="18"/>
                <w:color w:val="auto"/>
              </w:rPr>
              <w:t>Reviews and approves all executive officer compensation, including base salary, annual cash</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20" w:type="dxa"/>
            <w:vAlign w:val="bottom"/>
          </w:tcPr>
          <w:p>
            <w:pPr>
              <w:ind w:left="60"/>
              <w:spacing w:after="0" w:line="189" w:lineRule="exact"/>
              <w:rPr>
                <w:sz w:val="20"/>
                <w:szCs w:val="20"/>
                <w:color w:val="auto"/>
              </w:rPr>
            </w:pPr>
            <w:r>
              <w:rPr>
                <w:rFonts w:ascii="Arial" w:cs="Arial" w:eastAsia="Arial" w:hAnsi="Arial"/>
                <w:sz w:val="18"/>
                <w:szCs w:val="18"/>
                <w:color w:val="auto"/>
              </w:rPr>
              <w:t>incentive awards, long-term incentive awards and their payouts.</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202" w:lineRule="exact"/>
              <w:rPr>
                <w:sz w:val="20"/>
                <w:szCs w:val="20"/>
                <w:color w:val="auto"/>
              </w:rPr>
            </w:pPr>
            <w:r>
              <w:rPr>
                <w:rFonts w:ascii="Arial" w:cs="Arial" w:eastAsia="Arial" w:hAnsi="Arial"/>
                <w:sz w:val="18"/>
                <w:szCs w:val="18"/>
                <w:color w:val="auto"/>
              </w:rPr>
              <w:t>Oversees our equity and incentive compensation plans and reviews and approves equity awards and</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20" w:type="dxa"/>
            <w:vAlign w:val="bottom"/>
          </w:tcPr>
          <w:p>
            <w:pPr>
              <w:ind w:left="60"/>
              <w:spacing w:after="0" w:line="202" w:lineRule="exact"/>
              <w:rPr>
                <w:sz w:val="20"/>
                <w:szCs w:val="20"/>
                <w:color w:val="auto"/>
              </w:rPr>
            </w:pPr>
            <w:r>
              <w:rPr>
                <w:rFonts w:ascii="Arial" w:cs="Arial" w:eastAsia="Arial" w:hAnsi="Arial"/>
                <w:sz w:val="18"/>
                <w:szCs w:val="18"/>
                <w:color w:val="auto"/>
              </w:rPr>
              <w:t>executive incentive payouts.</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189" w:lineRule="exact"/>
              <w:rPr>
                <w:sz w:val="20"/>
                <w:szCs w:val="20"/>
                <w:color w:val="auto"/>
              </w:rPr>
            </w:pPr>
            <w:r>
              <w:rPr>
                <w:rFonts w:ascii="Arial" w:cs="Arial" w:eastAsia="Arial" w:hAnsi="Arial"/>
                <w:sz w:val="18"/>
                <w:szCs w:val="18"/>
                <w:color w:val="auto"/>
              </w:rPr>
              <w:t>Ensures our incentive compensation arrangements are reviewed to confirm they do not encourage</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20" w:type="dxa"/>
            <w:vAlign w:val="bottom"/>
          </w:tcPr>
          <w:p>
            <w:pPr>
              <w:ind w:left="60"/>
              <w:spacing w:after="0" w:line="202" w:lineRule="exact"/>
              <w:rPr>
                <w:sz w:val="20"/>
                <w:szCs w:val="20"/>
                <w:color w:val="auto"/>
              </w:rPr>
            </w:pPr>
            <w:r>
              <w:rPr>
                <w:rFonts w:ascii="Arial" w:cs="Arial" w:eastAsia="Arial" w:hAnsi="Arial"/>
                <w:sz w:val="18"/>
                <w:szCs w:val="18"/>
                <w:color w:val="auto"/>
              </w:rPr>
              <w:t>unnecessary risk-taking.</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202" w:lineRule="exact"/>
              <w:rPr>
                <w:sz w:val="20"/>
                <w:szCs w:val="20"/>
                <w:color w:val="auto"/>
              </w:rPr>
            </w:pPr>
            <w:r>
              <w:rPr>
                <w:rFonts w:ascii="Arial" w:cs="Arial" w:eastAsia="Arial" w:hAnsi="Arial"/>
                <w:sz w:val="18"/>
                <w:szCs w:val="18"/>
                <w:color w:val="auto"/>
              </w:rPr>
              <w:t>Evaluates market competitiveness reviews of each executive officer's compensation (in total and by</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20" w:type="dxa"/>
            <w:vAlign w:val="bottom"/>
          </w:tcPr>
          <w:p>
            <w:pPr>
              <w:ind w:left="60"/>
              <w:spacing w:after="0" w:line="189" w:lineRule="exact"/>
              <w:rPr>
                <w:sz w:val="20"/>
                <w:szCs w:val="20"/>
                <w:color w:val="auto"/>
              </w:rPr>
            </w:pPr>
            <w:r>
              <w:rPr>
                <w:rFonts w:ascii="Arial" w:cs="Arial" w:eastAsia="Arial" w:hAnsi="Arial"/>
                <w:sz w:val="18"/>
                <w:szCs w:val="18"/>
                <w:color w:val="auto"/>
              </w:rPr>
              <w:t>each individual element).</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202" w:lineRule="exact"/>
              <w:rPr>
                <w:sz w:val="20"/>
                <w:szCs w:val="20"/>
                <w:color w:val="auto"/>
              </w:rPr>
            </w:pPr>
            <w:r>
              <w:rPr>
                <w:rFonts w:ascii="Arial" w:cs="Arial" w:eastAsia="Arial" w:hAnsi="Arial"/>
                <w:sz w:val="18"/>
                <w:szCs w:val="18"/>
                <w:color w:val="auto"/>
              </w:rPr>
              <w:t>Evaluates proposed changes to our executive compensation program.</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202" w:lineRule="exact"/>
              <w:rPr>
                <w:sz w:val="20"/>
                <w:szCs w:val="20"/>
                <w:color w:val="auto"/>
              </w:rPr>
            </w:pPr>
            <w:r>
              <w:rPr>
                <w:rFonts w:ascii="Arial" w:cs="Arial" w:eastAsia="Arial" w:hAnsi="Arial"/>
                <w:sz w:val="18"/>
                <w:szCs w:val="18"/>
                <w:color w:val="auto"/>
              </w:rPr>
              <w:t>Has sole authority to hire consultants, approve their fees and determine the nature and scope of their</w:t>
            </w:r>
          </w:p>
        </w:tc>
        <w:tc>
          <w:tcPr>
            <w:tcW w:w="0" w:type="dxa"/>
            <w:vAlign w:val="bottom"/>
          </w:tcPr>
          <w:p>
            <w:pPr>
              <w:spacing w:after="0"/>
              <w:rPr>
                <w:sz w:val="1"/>
                <w:szCs w:val="1"/>
                <w:color w:val="auto"/>
              </w:rPr>
            </w:pPr>
          </w:p>
        </w:tc>
      </w:tr>
      <w:tr>
        <w:trPr>
          <w:trHeight w:val="244"/>
        </w:trPr>
        <w:tc>
          <w:tcPr>
            <w:tcW w:w="2900" w:type="dxa"/>
            <w:vAlign w:val="bottom"/>
            <w:tcBorders>
              <w:bottom w:val="single" w:sz="8" w:color="BFBFBF"/>
            </w:tcBorders>
          </w:tcPr>
          <w:p>
            <w:pPr>
              <w:spacing w:after="0"/>
              <w:rPr>
                <w:sz w:val="21"/>
                <w:szCs w:val="21"/>
                <w:color w:val="auto"/>
              </w:rPr>
            </w:pPr>
          </w:p>
        </w:tc>
        <w:tc>
          <w:tcPr>
            <w:tcW w:w="120" w:type="dxa"/>
            <w:vAlign w:val="bottom"/>
            <w:tcBorders>
              <w:bottom w:val="single" w:sz="8" w:color="BFBFBF"/>
            </w:tcBorders>
          </w:tcPr>
          <w:p>
            <w:pPr>
              <w:spacing w:after="0"/>
              <w:rPr>
                <w:sz w:val="21"/>
                <w:szCs w:val="21"/>
                <w:color w:val="auto"/>
              </w:rPr>
            </w:pPr>
          </w:p>
        </w:tc>
        <w:tc>
          <w:tcPr>
            <w:tcW w:w="8220" w:type="dxa"/>
            <w:vAlign w:val="bottom"/>
            <w:tcBorders>
              <w:bottom w:val="single" w:sz="8" w:color="BFBFBF"/>
            </w:tcBorders>
          </w:tcPr>
          <w:p>
            <w:pPr>
              <w:ind w:left="60"/>
              <w:spacing w:after="0"/>
              <w:rPr>
                <w:sz w:val="20"/>
                <w:szCs w:val="20"/>
                <w:color w:val="auto"/>
              </w:rPr>
            </w:pPr>
            <w:r>
              <w:rPr>
                <w:rFonts w:ascii="Arial" w:cs="Arial" w:eastAsia="Arial" w:hAnsi="Arial"/>
                <w:sz w:val="18"/>
                <w:szCs w:val="18"/>
                <w:color w:val="auto"/>
              </w:rPr>
              <w:t>work.</w:t>
            </w:r>
          </w:p>
        </w:tc>
        <w:tc>
          <w:tcPr>
            <w:tcW w:w="0" w:type="dxa"/>
            <w:vAlign w:val="bottom"/>
          </w:tcPr>
          <w:p>
            <w:pPr>
              <w:spacing w:after="0"/>
              <w:rPr>
                <w:sz w:val="1"/>
                <w:szCs w:val="1"/>
                <w:color w:val="auto"/>
              </w:rPr>
            </w:pPr>
          </w:p>
        </w:tc>
      </w:tr>
      <w:tr>
        <w:trPr>
          <w:trHeight w:val="195"/>
        </w:trPr>
        <w:tc>
          <w:tcPr>
            <w:tcW w:w="2900" w:type="dxa"/>
            <w:vAlign w:val="bottom"/>
          </w:tcPr>
          <w:p>
            <w:pPr>
              <w:ind w:left="20"/>
              <w:spacing w:after="0" w:line="195" w:lineRule="exact"/>
              <w:rPr>
                <w:sz w:val="20"/>
                <w:szCs w:val="20"/>
                <w:color w:val="auto"/>
              </w:rPr>
            </w:pPr>
            <w:r>
              <w:rPr>
                <w:rFonts w:ascii="Arial" w:cs="Arial" w:eastAsia="Arial" w:hAnsi="Arial"/>
                <w:sz w:val="18"/>
                <w:szCs w:val="18"/>
                <w:color w:val="auto"/>
              </w:rPr>
              <w:t>Independent External</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195" w:lineRule="exact"/>
              <w:rPr>
                <w:sz w:val="20"/>
                <w:szCs w:val="20"/>
                <w:color w:val="auto"/>
              </w:rPr>
            </w:pPr>
            <w:r>
              <w:rPr>
                <w:rFonts w:ascii="Arial" w:cs="Arial" w:eastAsia="Arial" w:hAnsi="Arial"/>
                <w:sz w:val="18"/>
                <w:szCs w:val="18"/>
                <w:color w:val="auto"/>
              </w:rPr>
              <w:t>Provides advice and guidance on the appropriateness and competitiveness of our executive</w:t>
            </w:r>
          </w:p>
        </w:tc>
        <w:tc>
          <w:tcPr>
            <w:tcW w:w="0" w:type="dxa"/>
            <w:vAlign w:val="bottom"/>
          </w:tcPr>
          <w:p>
            <w:pPr>
              <w:spacing w:after="0"/>
              <w:rPr>
                <w:sz w:val="1"/>
                <w:szCs w:val="1"/>
                <w:color w:val="auto"/>
              </w:rPr>
            </w:pPr>
          </w:p>
        </w:tc>
      </w:tr>
      <w:tr>
        <w:trPr>
          <w:trHeight w:val="189"/>
        </w:trPr>
        <w:tc>
          <w:tcPr>
            <w:tcW w:w="2900" w:type="dxa"/>
            <w:vAlign w:val="bottom"/>
          </w:tcPr>
          <w:p>
            <w:pPr>
              <w:ind w:left="20"/>
              <w:spacing w:after="0" w:line="189" w:lineRule="exact"/>
              <w:rPr>
                <w:sz w:val="20"/>
                <w:szCs w:val="20"/>
                <w:color w:val="auto"/>
              </w:rPr>
            </w:pPr>
            <w:r>
              <w:rPr>
                <w:rFonts w:ascii="Arial" w:cs="Arial" w:eastAsia="Arial" w:hAnsi="Arial"/>
                <w:sz w:val="18"/>
                <w:szCs w:val="18"/>
                <w:color w:val="auto"/>
              </w:rPr>
              <w:t>Compensation Consultant</w:t>
            </w:r>
          </w:p>
        </w:tc>
        <w:tc>
          <w:tcPr>
            <w:tcW w:w="120" w:type="dxa"/>
            <w:vAlign w:val="bottom"/>
          </w:tcPr>
          <w:p>
            <w:pPr>
              <w:spacing w:after="0"/>
              <w:rPr>
                <w:sz w:val="16"/>
                <w:szCs w:val="16"/>
                <w:color w:val="auto"/>
              </w:rPr>
            </w:pPr>
          </w:p>
        </w:tc>
        <w:tc>
          <w:tcPr>
            <w:tcW w:w="8220" w:type="dxa"/>
            <w:vAlign w:val="bottom"/>
          </w:tcPr>
          <w:p>
            <w:pPr>
              <w:ind w:left="60"/>
              <w:spacing w:after="0" w:line="189" w:lineRule="exact"/>
              <w:rPr>
                <w:sz w:val="20"/>
                <w:szCs w:val="20"/>
                <w:color w:val="auto"/>
              </w:rPr>
            </w:pPr>
            <w:r>
              <w:rPr>
                <w:rFonts w:ascii="Arial" w:cs="Arial" w:eastAsia="Arial" w:hAnsi="Arial"/>
                <w:sz w:val="18"/>
                <w:szCs w:val="18"/>
                <w:color w:val="auto"/>
              </w:rPr>
              <w:t>compensation program relative to our performance and market practice.</w:t>
            </w:r>
          </w:p>
        </w:tc>
        <w:tc>
          <w:tcPr>
            <w:tcW w:w="0" w:type="dxa"/>
            <w:vAlign w:val="bottom"/>
          </w:tcPr>
          <w:p>
            <w:pPr>
              <w:spacing w:after="0"/>
              <w:rPr>
                <w:sz w:val="1"/>
                <w:szCs w:val="1"/>
                <w:color w:val="auto"/>
              </w:rPr>
            </w:pPr>
          </w:p>
        </w:tc>
      </w:tr>
      <w:tr>
        <w:trPr>
          <w:trHeight w:val="203"/>
        </w:trPr>
        <w:tc>
          <w:tcPr>
            <w:tcW w:w="2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(Willis Towers Watson)</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202" w:lineRule="exact"/>
              <w:rPr>
                <w:sz w:val="20"/>
                <w:szCs w:val="20"/>
                <w:color w:val="auto"/>
              </w:rPr>
            </w:pPr>
            <w:r>
              <w:rPr>
                <w:rFonts w:ascii="Arial" w:cs="Arial" w:eastAsia="Arial" w:hAnsi="Arial"/>
                <w:sz w:val="18"/>
                <w:szCs w:val="18"/>
                <w:color w:val="auto"/>
              </w:rPr>
              <w:t>Reviews total compensation strategy and pay levels for executives.</w:t>
            </w:r>
          </w:p>
        </w:tc>
        <w:tc>
          <w:tcPr>
            <w:tcW w:w="0" w:type="dxa"/>
            <w:vAlign w:val="bottom"/>
          </w:tcPr>
          <w:p>
            <w:pPr>
              <w:spacing w:after="0"/>
              <w:rPr>
                <w:sz w:val="1"/>
                <w:szCs w:val="1"/>
                <w:color w:val="auto"/>
              </w:rPr>
            </w:pPr>
          </w:p>
        </w:tc>
      </w:tr>
      <w:tr>
        <w:trPr>
          <w:trHeight w:val="144"/>
        </w:trPr>
        <w:tc>
          <w:tcPr>
            <w:tcW w:w="2900" w:type="dxa"/>
            <w:vAlign w:val="bottom"/>
            <w:vMerge w:val="continue"/>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Examines our executive compensation program to ensure that each element supports our business</w:t>
            </w:r>
          </w:p>
        </w:tc>
        <w:tc>
          <w:tcPr>
            <w:tcW w:w="0" w:type="dxa"/>
            <w:vAlign w:val="bottom"/>
          </w:tcPr>
          <w:p>
            <w:pPr>
              <w:spacing w:after="0"/>
              <w:rPr>
                <w:sz w:val="1"/>
                <w:szCs w:val="1"/>
                <w:color w:val="auto"/>
              </w:rPr>
            </w:pPr>
          </w:p>
        </w:tc>
      </w:tr>
      <w:tr>
        <w:trPr>
          <w:trHeight w:val="58"/>
        </w:trPr>
        <w:tc>
          <w:tcPr>
            <w:tcW w:w="29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900" w:type="dxa"/>
            <w:vAlign w:val="bottom"/>
          </w:tcPr>
          <w:p>
            <w:pPr>
              <w:ind w:left="20"/>
              <w:spacing w:after="0" w:line="195" w:lineRule="exact"/>
              <w:rPr>
                <w:sz w:val="20"/>
                <w:szCs w:val="20"/>
                <w:color w:val="auto"/>
              </w:rPr>
            </w:pPr>
            <w:r>
              <w:rPr>
                <w:rFonts w:ascii="Arial" w:cs="Arial" w:eastAsia="Arial" w:hAnsi="Arial"/>
                <w:sz w:val="18"/>
                <w:szCs w:val="18"/>
                <w:i w:val="1"/>
                <w:iCs w:val="1"/>
                <w:color w:val="auto"/>
              </w:rPr>
              <w:t>(Independent under NYSE listing</w:t>
            </w:r>
          </w:p>
        </w:tc>
        <w:tc>
          <w:tcPr>
            <w:tcW w:w="120" w:type="dxa"/>
            <w:vAlign w:val="bottom"/>
          </w:tcPr>
          <w:p>
            <w:pPr>
              <w:spacing w:after="0"/>
              <w:rPr>
                <w:sz w:val="16"/>
                <w:szCs w:val="16"/>
                <w:color w:val="auto"/>
              </w:rPr>
            </w:pPr>
          </w:p>
        </w:tc>
        <w:tc>
          <w:tcPr>
            <w:tcW w:w="8220" w:type="dxa"/>
            <w:vAlign w:val="bottom"/>
          </w:tcPr>
          <w:p>
            <w:pPr>
              <w:ind w:left="60"/>
              <w:spacing w:after="0" w:line="195" w:lineRule="exact"/>
              <w:rPr>
                <w:sz w:val="20"/>
                <w:szCs w:val="20"/>
                <w:color w:val="auto"/>
              </w:rPr>
            </w:pPr>
            <w:r>
              <w:rPr>
                <w:rFonts w:ascii="Arial" w:cs="Arial" w:eastAsia="Arial" w:hAnsi="Arial"/>
                <w:sz w:val="18"/>
                <w:szCs w:val="18"/>
                <w:color w:val="auto"/>
              </w:rPr>
              <w:t>strategy.</w:t>
            </w:r>
          </w:p>
        </w:tc>
        <w:tc>
          <w:tcPr>
            <w:tcW w:w="0" w:type="dxa"/>
            <w:vAlign w:val="bottom"/>
          </w:tcPr>
          <w:p>
            <w:pPr>
              <w:spacing w:after="0"/>
              <w:rPr>
                <w:sz w:val="1"/>
                <w:szCs w:val="1"/>
                <w:color w:val="auto"/>
              </w:rPr>
            </w:pPr>
          </w:p>
        </w:tc>
      </w:tr>
      <w:tr>
        <w:trPr>
          <w:trHeight w:val="203"/>
        </w:trPr>
        <w:tc>
          <w:tcPr>
            <w:tcW w:w="290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standards and reports to the</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202" w:lineRule="exact"/>
              <w:rPr>
                <w:sz w:val="20"/>
                <w:szCs w:val="20"/>
                <w:color w:val="auto"/>
              </w:rPr>
            </w:pPr>
            <w:r>
              <w:rPr>
                <w:rFonts w:ascii="Arial" w:cs="Arial" w:eastAsia="Arial" w:hAnsi="Arial"/>
                <w:sz w:val="18"/>
                <w:szCs w:val="18"/>
                <w:color w:val="auto"/>
              </w:rPr>
              <w:t>Assists in gathering competitive market data.</w:t>
            </w:r>
          </w:p>
        </w:tc>
        <w:tc>
          <w:tcPr>
            <w:tcW w:w="0" w:type="dxa"/>
            <w:vAlign w:val="bottom"/>
          </w:tcPr>
          <w:p>
            <w:pPr>
              <w:spacing w:after="0"/>
              <w:rPr>
                <w:sz w:val="1"/>
                <w:szCs w:val="1"/>
                <w:color w:val="auto"/>
              </w:rPr>
            </w:pPr>
          </w:p>
        </w:tc>
      </w:tr>
      <w:tr>
        <w:trPr>
          <w:trHeight w:val="197"/>
        </w:trPr>
        <w:tc>
          <w:tcPr>
            <w:tcW w:w="2900" w:type="dxa"/>
            <w:vAlign w:val="bottom"/>
          </w:tcPr>
          <w:p>
            <w:pPr>
              <w:ind w:left="20"/>
              <w:spacing w:after="0" w:line="197" w:lineRule="exact"/>
              <w:rPr>
                <w:sz w:val="20"/>
                <w:szCs w:val="20"/>
                <w:color w:val="auto"/>
              </w:rPr>
            </w:pPr>
            <w:r>
              <w:rPr>
                <w:rFonts w:ascii="Arial" w:cs="Arial" w:eastAsia="Arial" w:hAnsi="Arial"/>
                <w:sz w:val="18"/>
                <w:szCs w:val="18"/>
                <w:i w:val="1"/>
                <w:iCs w:val="1"/>
                <w:color w:val="auto"/>
              </w:rPr>
              <w:t>Compensation &amp; Human</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197" w:lineRule="exact"/>
              <w:rPr>
                <w:sz w:val="20"/>
                <w:szCs w:val="20"/>
                <w:color w:val="auto"/>
              </w:rPr>
            </w:pPr>
            <w:r>
              <w:rPr>
                <w:rFonts w:ascii="Arial" w:cs="Arial" w:eastAsia="Arial" w:hAnsi="Arial"/>
                <w:sz w:val="18"/>
                <w:szCs w:val="18"/>
                <w:color w:val="auto"/>
              </w:rPr>
              <w:t>Provides advice with respect to our incentive plans, performance measures and equity compensation</w:t>
            </w:r>
          </w:p>
        </w:tc>
        <w:tc>
          <w:tcPr>
            <w:tcW w:w="0" w:type="dxa"/>
            <w:vAlign w:val="bottom"/>
          </w:tcPr>
          <w:p>
            <w:pPr>
              <w:spacing w:after="0"/>
              <w:rPr>
                <w:sz w:val="1"/>
                <w:szCs w:val="1"/>
                <w:color w:val="auto"/>
              </w:rPr>
            </w:pPr>
          </w:p>
        </w:tc>
      </w:tr>
      <w:tr>
        <w:trPr>
          <w:trHeight w:val="194"/>
        </w:trPr>
        <w:tc>
          <w:tcPr>
            <w:tcW w:w="2900" w:type="dxa"/>
            <w:vAlign w:val="bottom"/>
          </w:tcPr>
          <w:p>
            <w:pPr>
              <w:ind w:left="20"/>
              <w:spacing w:after="0" w:line="195" w:lineRule="exact"/>
              <w:rPr>
                <w:sz w:val="20"/>
                <w:szCs w:val="20"/>
                <w:color w:val="auto"/>
              </w:rPr>
            </w:pPr>
            <w:r>
              <w:rPr>
                <w:rFonts w:ascii="Arial" w:cs="Arial" w:eastAsia="Arial" w:hAnsi="Arial"/>
                <w:sz w:val="18"/>
                <w:szCs w:val="18"/>
                <w:i w:val="1"/>
                <w:iCs w:val="1"/>
                <w:color w:val="auto"/>
              </w:rPr>
              <w:t>Resources Committee)</w:t>
            </w:r>
          </w:p>
        </w:tc>
        <w:tc>
          <w:tcPr>
            <w:tcW w:w="120" w:type="dxa"/>
            <w:vAlign w:val="bottom"/>
          </w:tcPr>
          <w:p>
            <w:pPr>
              <w:spacing w:after="0"/>
              <w:rPr>
                <w:sz w:val="16"/>
                <w:szCs w:val="16"/>
                <w:color w:val="auto"/>
              </w:rPr>
            </w:pPr>
          </w:p>
        </w:tc>
        <w:tc>
          <w:tcPr>
            <w:tcW w:w="8220" w:type="dxa"/>
            <w:vAlign w:val="bottom"/>
          </w:tcPr>
          <w:p>
            <w:pPr>
              <w:ind w:left="60"/>
              <w:spacing w:after="0" w:line="195" w:lineRule="exact"/>
              <w:rPr>
                <w:sz w:val="20"/>
                <w:szCs w:val="20"/>
                <w:color w:val="auto"/>
              </w:rPr>
            </w:pPr>
            <w:r>
              <w:rPr>
                <w:rFonts w:ascii="Arial" w:cs="Arial" w:eastAsia="Arial" w:hAnsi="Arial"/>
                <w:sz w:val="18"/>
                <w:szCs w:val="18"/>
                <w:color w:val="auto"/>
              </w:rPr>
              <w:t>mix.</w:t>
            </w:r>
          </w:p>
        </w:tc>
        <w:tc>
          <w:tcPr>
            <w:tcW w:w="0" w:type="dxa"/>
            <w:vAlign w:val="bottom"/>
          </w:tcPr>
          <w:p>
            <w:pPr>
              <w:spacing w:after="0"/>
              <w:rPr>
                <w:sz w:val="1"/>
                <w:szCs w:val="1"/>
                <w:color w:val="auto"/>
              </w:rPr>
            </w:pPr>
          </w:p>
        </w:tc>
      </w:tr>
      <w:tr>
        <w:trPr>
          <w:trHeight w:val="197"/>
        </w:trPr>
        <w:tc>
          <w:tcPr>
            <w:tcW w:w="29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197" w:lineRule="exact"/>
              <w:rPr>
                <w:sz w:val="20"/>
                <w:szCs w:val="20"/>
                <w:color w:val="auto"/>
              </w:rPr>
            </w:pPr>
            <w:r>
              <w:rPr>
                <w:rFonts w:ascii="Arial" w:cs="Arial" w:eastAsia="Arial" w:hAnsi="Arial"/>
                <w:sz w:val="18"/>
                <w:szCs w:val="18"/>
                <w:color w:val="auto"/>
              </w:rPr>
              <w:t>Periodically assesses risk as it related to our incentive plans.</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202" w:lineRule="exact"/>
              <w:rPr>
                <w:sz w:val="20"/>
                <w:szCs w:val="20"/>
                <w:color w:val="auto"/>
              </w:rPr>
            </w:pPr>
            <w:r>
              <w:rPr>
                <w:rFonts w:ascii="Arial" w:cs="Arial" w:eastAsia="Arial" w:hAnsi="Arial"/>
                <w:sz w:val="18"/>
                <w:szCs w:val="18"/>
                <w:color w:val="auto"/>
              </w:rPr>
              <w:t>Reviews structure and competitiveness of our non-employee director compensation program.</w:t>
            </w:r>
          </w:p>
        </w:tc>
        <w:tc>
          <w:tcPr>
            <w:tcW w:w="0" w:type="dxa"/>
            <w:vAlign w:val="bottom"/>
          </w:tcPr>
          <w:p>
            <w:pPr>
              <w:spacing w:after="0"/>
              <w:rPr>
                <w:sz w:val="1"/>
                <w:szCs w:val="1"/>
                <w:color w:val="auto"/>
              </w:rPr>
            </w:pPr>
          </w:p>
        </w:tc>
      </w:tr>
      <w:tr>
        <w:trPr>
          <w:trHeight w:val="239"/>
        </w:trPr>
        <w:tc>
          <w:tcPr>
            <w:tcW w:w="29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rPr>
                <w:sz w:val="20"/>
                <w:szCs w:val="20"/>
                <w:color w:val="auto"/>
              </w:rPr>
            </w:pPr>
            <w:r>
              <w:rPr>
                <w:rFonts w:ascii="Arial" w:cs="Arial" w:eastAsia="Arial" w:hAnsi="Arial"/>
                <w:sz w:val="18"/>
                <w:szCs w:val="18"/>
                <w:color w:val="auto"/>
              </w:rPr>
              <w:t>Regularly attends Compensation &amp; Human Resources Committee meetings.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sectPr>
      </w:pP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Management</w:t>
      </w:r>
    </w:p>
    <w:p>
      <w:pPr>
        <w:spacing w:after="0" w:line="106" w:lineRule="exact"/>
        <w:rPr>
          <w:sz w:val="20"/>
          <w:szCs w:val="20"/>
          <w:color w:val="auto"/>
        </w:rPr>
      </w:pPr>
    </w:p>
    <w:p>
      <w:pPr>
        <w:ind w:left="20"/>
        <w:spacing w:after="0" w:line="250" w:lineRule="auto"/>
        <w:rPr>
          <w:sz w:val="20"/>
          <w:szCs w:val="20"/>
          <w:color w:val="auto"/>
        </w:rPr>
      </w:pPr>
      <w:r>
        <w:rPr>
          <w:rFonts w:ascii="Arial" w:cs="Arial" w:eastAsia="Arial" w:hAnsi="Arial"/>
          <w:sz w:val="17"/>
          <w:szCs w:val="17"/>
          <w:i w:val="1"/>
          <w:iCs w:val="1"/>
          <w:color w:val="auto"/>
        </w:rPr>
        <w:t>(Chairman and CEO, former Vice President, Human Resources and</w:t>
      </w:r>
    </w:p>
    <w:p>
      <w:pPr>
        <w:ind w:left="20"/>
        <w:spacing w:after="0" w:line="235" w:lineRule="auto"/>
        <w:rPr>
          <w:sz w:val="20"/>
          <w:szCs w:val="20"/>
          <w:color w:val="auto"/>
        </w:rPr>
      </w:pPr>
      <w:r>
        <w:rPr>
          <w:rFonts w:ascii="Arial" w:cs="Arial" w:eastAsia="Arial" w:hAnsi="Arial"/>
          <w:sz w:val="18"/>
          <w:szCs w:val="18"/>
          <w:i w:val="1"/>
          <w:iCs w:val="1"/>
          <w:color w:val="auto"/>
        </w:rPr>
        <w:t>General Counsel, current Vice</w:t>
      </w:r>
    </w:p>
    <w:p>
      <w:pPr>
        <w:ind w:left="20"/>
        <w:spacing w:after="0"/>
        <w:rPr>
          <w:sz w:val="20"/>
          <w:szCs w:val="20"/>
          <w:color w:val="auto"/>
        </w:rPr>
      </w:pPr>
      <w:r>
        <w:rPr>
          <w:rFonts w:ascii="Arial" w:cs="Arial" w:eastAsia="Arial" w:hAnsi="Arial"/>
          <w:sz w:val="17"/>
          <w:szCs w:val="17"/>
          <w:i w:val="1"/>
          <w:iCs w:val="1"/>
          <w:color w:val="auto"/>
        </w:rPr>
        <w:t>President, Human Resources and Managing Director, Total Rewards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and Employee Services)</w:t>
      </w:r>
    </w:p>
    <w:p>
      <w:pPr>
        <w:spacing w:after="0" w:line="20" w:lineRule="exact"/>
        <w:rPr>
          <w:sz w:val="20"/>
          <w:szCs w:val="20"/>
          <w:color w:val="auto"/>
        </w:rPr>
      </w:pPr>
      <w:r>
        <w:rPr>
          <w:sz w:val="20"/>
          <w:szCs w:val="20"/>
          <w:color w:val="auto"/>
        </w:rPr>
        <w:br w:type="column"/>
      </w:r>
    </w:p>
    <w:p>
      <w:pPr>
        <w:ind w:left="165" w:right="280" w:hanging="165"/>
        <w:spacing w:after="0" w:line="237" w:lineRule="auto"/>
        <w:tabs>
          <w:tab w:leader="none" w:pos="154"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8"/>
          <w:szCs w:val="18"/>
          <w:color w:val="auto"/>
        </w:rPr>
        <w:t>Provides compensation information to Compensation &amp; Human Resources Committee and external compensation consultant to assist them in making and recommending compensation.</w:t>
      </w:r>
    </w:p>
    <w:p>
      <w:pPr>
        <w:ind w:left="165" w:right="820" w:hanging="165"/>
        <w:spacing w:after="0" w:line="248" w:lineRule="auto"/>
        <w:tabs>
          <w:tab w:leader="none" w:pos="154" w:val="left"/>
        </w:tabs>
        <w:numPr>
          <w:ilvl w:val="0"/>
          <w:numId w:val="61"/>
        </w:numPr>
        <w:rPr>
          <w:rFonts w:ascii="Times New Roman" w:cs="Times New Roman" w:eastAsia="Times New Roman" w:hAnsi="Times New Roman"/>
          <w:sz w:val="15"/>
          <w:szCs w:val="15"/>
          <w:color w:val="auto"/>
        </w:rPr>
      </w:pPr>
      <w:r>
        <w:rPr>
          <w:rFonts w:ascii="Arial" w:cs="Arial" w:eastAsia="Arial" w:hAnsi="Arial"/>
          <w:sz w:val="17"/>
          <w:szCs w:val="17"/>
          <w:color w:val="auto"/>
        </w:rPr>
        <w:t>Confers with the Compensation &amp; Human Resources Committee and external compensation consultant concerning design and development of compensation and benefit plans.</w:t>
      </w:r>
    </w:p>
    <w:p>
      <w:pPr>
        <w:spacing w:after="0" w:line="1" w:lineRule="exact"/>
        <w:rPr>
          <w:rFonts w:ascii="Times New Roman" w:cs="Times New Roman" w:eastAsia="Times New Roman" w:hAnsi="Times New Roman"/>
          <w:sz w:val="15"/>
          <w:szCs w:val="15"/>
          <w:color w:val="auto"/>
        </w:rPr>
      </w:pPr>
    </w:p>
    <w:p>
      <w:pPr>
        <w:ind w:left="165" w:right="300" w:hanging="165"/>
        <w:spacing w:after="0" w:line="226" w:lineRule="auto"/>
        <w:tabs>
          <w:tab w:leader="none" w:pos="154"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8"/>
          <w:szCs w:val="18"/>
          <w:color w:val="auto"/>
        </w:rPr>
        <w:t>Provides analysis and recommendations on executive officer compensation to the Compensation &amp; Human Resources Committee.</w:t>
      </w:r>
    </w:p>
    <w:p>
      <w:pPr>
        <w:spacing w:after="0" w:line="1" w:lineRule="exact"/>
        <w:rPr>
          <w:rFonts w:ascii="Times New Roman" w:cs="Times New Roman" w:eastAsia="Times New Roman" w:hAnsi="Times New Roman"/>
          <w:sz w:val="16"/>
          <w:szCs w:val="16"/>
          <w:color w:val="auto"/>
        </w:rPr>
      </w:pPr>
    </w:p>
    <w:p>
      <w:pPr>
        <w:ind w:left="145" w:hanging="145"/>
        <w:spacing w:after="0" w:line="234" w:lineRule="auto"/>
        <w:tabs>
          <w:tab w:leader="none" w:pos="145"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8"/>
          <w:szCs w:val="18"/>
          <w:color w:val="auto"/>
        </w:rPr>
        <w:t>Reviews performance of executive officers.</w:t>
      </w:r>
    </w:p>
    <w:p>
      <w:pPr>
        <w:ind w:left="145" w:hanging="145"/>
        <w:spacing w:after="0"/>
        <w:tabs>
          <w:tab w:leader="none" w:pos="145"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8"/>
          <w:szCs w:val="18"/>
          <w:color w:val="auto"/>
        </w:rPr>
        <w:t>Provides no input or recommendations with respect to their own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-1845310</wp:posOffset>
            </wp:positionH>
            <wp:positionV relativeFrom="paragraph">
              <wp:posOffset>31750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195"/>
            <w:col w:w="8325"/>
          </w:cols>
          <w:pgMar w:left="320" w:top="11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color w:val="C00000"/>
        </w:rPr>
        <w:t>Compensation &amp; Human Resources Committee Report</w:t>
      </w:r>
    </w:p>
    <w:p>
      <w:pPr>
        <w:spacing w:after="0" w:line="11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Compensation &amp; Human Resources Committee has reviewed and discussed the foregoing "Compensation Discussion and Analysis" with Management and, based on such review and discussions, recommended to the Board that the "Compensation Discussion and Analysis" be included in this proxy statement and incorporated by reference into our Annual Report on Form 10-K for the fiscal year ended October 31, 2023.</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00000"/>
        </w:rPr>
        <w:t>Compensation &amp; Human Resources Committee: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James C. O'Rourke (Chair)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Eric P. Hansotia</w:t>
      </w:r>
    </w:p>
    <w:p>
      <w:pPr>
        <w:jc w:val="center"/>
        <w:ind w:right="-19"/>
        <w:spacing w:after="0" w:line="234" w:lineRule="auto"/>
        <w:rPr>
          <w:sz w:val="20"/>
          <w:szCs w:val="20"/>
          <w:color w:val="auto"/>
        </w:rPr>
      </w:pPr>
      <w:r>
        <w:rPr>
          <w:rFonts w:ascii="Arial" w:cs="Arial" w:eastAsia="Arial" w:hAnsi="Arial"/>
          <w:sz w:val="18"/>
          <w:szCs w:val="18"/>
          <w:color w:val="auto"/>
        </w:rPr>
        <w:t>D. Christian Koch</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Joyce A. Mullen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5" w:right="359" w:bottom="1440" w:gutter="0" w:footer="0" w:header="0"/>
        </w:sectPr>
      </w:pPr>
    </w:p>
    <w:bookmarkStart w:id="58" w:name="page59"/>
    <w:bookmarkEnd w:id="58"/>
    <w:p>
      <w:pPr>
        <w:jc w:val="center"/>
        <w:ind w:right="180"/>
        <w:spacing w:after="0"/>
        <w:rPr>
          <w:sz w:val="20"/>
          <w:szCs w:val="20"/>
          <w:color w:val="auto"/>
        </w:rPr>
      </w:pPr>
      <w:r>
        <w:rPr>
          <w:rFonts w:ascii="Arial" w:cs="Arial" w:eastAsia="Arial" w:hAnsi="Arial"/>
          <w:sz w:val="22"/>
          <w:szCs w:val="22"/>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003415"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03415" cy="18859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Summary Compensation Table</w:t>
      </w:r>
    </w:p>
    <w:p>
      <w:pPr>
        <w:spacing w:after="0" w:line="99" w:lineRule="exact"/>
        <w:rPr>
          <w:sz w:val="20"/>
          <w:szCs w:val="20"/>
          <w:color w:val="auto"/>
        </w:rPr>
      </w:pPr>
    </w:p>
    <w:p>
      <w:pPr>
        <w:ind w:right="280" w:firstLine="324"/>
        <w:spacing w:after="0" w:line="251" w:lineRule="auto"/>
        <w:rPr>
          <w:sz w:val="20"/>
          <w:szCs w:val="20"/>
          <w:color w:val="auto"/>
        </w:rPr>
      </w:pPr>
      <w:r>
        <w:rPr>
          <w:rFonts w:ascii="Arial" w:cs="Arial" w:eastAsia="Arial" w:hAnsi="Arial"/>
          <w:sz w:val="17"/>
          <w:szCs w:val="17"/>
          <w:color w:val="auto"/>
        </w:rPr>
        <w:t>The following table summarizes compensation for each of the last three fiscal years awarded to, earned by or paid to individuals who served as our principal executive officer and principal financial officer during fiscal 2023, each of the other three most highly compensated</w:t>
      </w:r>
    </w:p>
    <w:p>
      <w:pPr>
        <w:spacing w:after="0" w:line="1" w:lineRule="exact"/>
        <w:rPr>
          <w:sz w:val="20"/>
          <w:szCs w:val="20"/>
          <w:color w:val="auto"/>
        </w:rPr>
      </w:pPr>
    </w:p>
    <w:p>
      <w:pPr>
        <w:jc w:val="both"/>
        <w:ind w:right="420"/>
        <w:spacing w:after="0" w:line="242" w:lineRule="auto"/>
        <w:rPr>
          <w:sz w:val="20"/>
          <w:szCs w:val="20"/>
          <w:color w:val="auto"/>
        </w:rPr>
      </w:pPr>
      <w:r>
        <w:rPr>
          <w:rFonts w:ascii="Arial" w:cs="Arial" w:eastAsia="Arial" w:hAnsi="Arial"/>
          <w:sz w:val="18"/>
          <w:szCs w:val="18"/>
          <w:color w:val="auto"/>
        </w:rPr>
        <w:t>executive officers during fiscal 2023 and one former executive officer who would have been one of the three mostly highly compensated executive officers had he still been serving as an executive officer at the end of fiscal 2023. We collectively refer to these as our “named executive officers,” or NEOs.</w:t>
      </w:r>
    </w:p>
    <w:p>
      <w:pPr>
        <w:spacing w:after="0" w:line="206" w:lineRule="exact"/>
        <w:rPr>
          <w:sz w:val="20"/>
          <w:szCs w:val="20"/>
          <w:color w:val="auto"/>
        </w:rPr>
      </w:pPr>
    </w:p>
    <w:p>
      <w:pPr>
        <w:ind w:right="180" w:firstLine="324"/>
        <w:spacing w:after="0" w:line="244" w:lineRule="auto"/>
        <w:rPr>
          <w:sz w:val="20"/>
          <w:szCs w:val="20"/>
          <w:color w:val="auto"/>
        </w:rPr>
      </w:pPr>
      <w:r>
        <w:rPr>
          <w:rFonts w:ascii="Arial" w:cs="Arial" w:eastAsia="Arial" w:hAnsi="Arial"/>
          <w:sz w:val="18"/>
          <w:szCs w:val="18"/>
          <w:color w:val="auto"/>
        </w:rPr>
        <w:t>Amounts in this Summary Compensation Table are not reduced to reflect any elections to defer receipt of base salary, annual cash incentive award payouts or performance share award payouts. Elections to defer these forms of compensation are described in more detail under “Nonqualified Deferred Compensation for Fiscal 2023.” Earnings on nonqualified deferred compensation are not on a basis that is considered to be above-market or preferential. The “Compensation Discussion and Analysis” provides additional information about compensation paid to our NEOs.</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2600" w:type="dxa"/>
            <w:vAlign w:val="bottom"/>
            <w:shd w:val="clear" w:color="auto" w:fill="BF2115"/>
          </w:tcPr>
          <w:p>
            <w:pPr>
              <w:spacing w:after="0"/>
              <w:rPr>
                <w:sz w:val="15"/>
                <w:szCs w:val="15"/>
                <w:color w:val="auto"/>
              </w:rPr>
            </w:pPr>
          </w:p>
        </w:tc>
        <w:tc>
          <w:tcPr>
            <w:tcW w:w="620" w:type="dxa"/>
            <w:vAlign w:val="bottom"/>
            <w:shd w:val="clear" w:color="auto" w:fill="BF2115"/>
          </w:tcPr>
          <w:p>
            <w:pPr>
              <w:spacing w:after="0"/>
              <w:rPr>
                <w:sz w:val="15"/>
                <w:szCs w:val="15"/>
                <w:color w:val="auto"/>
              </w:rPr>
            </w:pPr>
          </w:p>
        </w:tc>
        <w:tc>
          <w:tcPr>
            <w:tcW w:w="1100" w:type="dxa"/>
            <w:vAlign w:val="bottom"/>
            <w:shd w:val="clear" w:color="auto" w:fill="BF2115"/>
          </w:tcPr>
          <w:p>
            <w:pPr>
              <w:spacing w:after="0"/>
              <w:rPr>
                <w:sz w:val="15"/>
                <w:szCs w:val="15"/>
                <w:color w:val="auto"/>
              </w:rPr>
            </w:pPr>
          </w:p>
        </w:tc>
        <w:tc>
          <w:tcPr>
            <w:tcW w:w="840" w:type="dxa"/>
            <w:vAlign w:val="bottom"/>
            <w:shd w:val="clear" w:color="auto" w:fill="BF2115"/>
          </w:tcPr>
          <w:p>
            <w:pPr>
              <w:spacing w:after="0"/>
              <w:rPr>
                <w:sz w:val="15"/>
                <w:szCs w:val="15"/>
                <w:color w:val="auto"/>
              </w:rPr>
            </w:pPr>
          </w:p>
        </w:tc>
        <w:tc>
          <w:tcPr>
            <w:tcW w:w="1060" w:type="dxa"/>
            <w:vAlign w:val="bottom"/>
            <w:shd w:val="clear" w:color="auto" w:fill="BF2115"/>
          </w:tcPr>
          <w:p>
            <w:pPr>
              <w:jc w:val="center"/>
              <w:ind w:right="16"/>
              <w:spacing w:after="0"/>
              <w:rPr>
                <w:sz w:val="20"/>
                <w:szCs w:val="20"/>
                <w:color w:val="auto"/>
              </w:rPr>
            </w:pPr>
            <w:r>
              <w:rPr>
                <w:rFonts w:ascii="Arial" w:cs="Arial" w:eastAsia="Arial" w:hAnsi="Arial"/>
                <w:sz w:val="13"/>
                <w:szCs w:val="13"/>
                <w:b w:val="1"/>
                <w:bCs w:val="1"/>
                <w:color w:val="FFFFFF"/>
              </w:rPr>
              <w:t>Stock</w:t>
            </w:r>
          </w:p>
        </w:tc>
        <w:tc>
          <w:tcPr>
            <w:tcW w:w="920" w:type="dxa"/>
            <w:vAlign w:val="bottom"/>
            <w:shd w:val="clear" w:color="auto" w:fill="BF2115"/>
          </w:tcPr>
          <w:p>
            <w:pPr>
              <w:jc w:val="center"/>
              <w:ind w:right="16"/>
              <w:spacing w:after="0"/>
              <w:rPr>
                <w:sz w:val="20"/>
                <w:szCs w:val="20"/>
                <w:color w:val="auto"/>
              </w:rPr>
            </w:pPr>
            <w:r>
              <w:rPr>
                <w:rFonts w:ascii="Arial" w:cs="Arial" w:eastAsia="Arial" w:hAnsi="Arial"/>
                <w:sz w:val="13"/>
                <w:szCs w:val="13"/>
                <w:b w:val="1"/>
                <w:bCs w:val="1"/>
                <w:color w:val="FFFFFF"/>
              </w:rPr>
              <w:t>Option</w:t>
            </w:r>
          </w:p>
        </w:tc>
        <w:tc>
          <w:tcPr>
            <w:tcW w:w="1620" w:type="dxa"/>
            <w:vAlign w:val="bottom"/>
            <w:shd w:val="clear" w:color="auto" w:fill="BF2115"/>
          </w:tcPr>
          <w:p>
            <w:pPr>
              <w:jc w:val="center"/>
              <w:ind w:right="36"/>
              <w:spacing w:after="0"/>
              <w:rPr>
                <w:sz w:val="20"/>
                <w:szCs w:val="20"/>
                <w:color w:val="auto"/>
              </w:rPr>
            </w:pPr>
            <w:r>
              <w:rPr>
                <w:rFonts w:ascii="Arial" w:cs="Arial" w:eastAsia="Arial" w:hAnsi="Arial"/>
                <w:sz w:val="13"/>
                <w:szCs w:val="13"/>
                <w:b w:val="1"/>
                <w:bCs w:val="1"/>
                <w:color w:val="FFFFFF"/>
              </w:rPr>
              <w:t>Non-Equity Incentive</w:t>
            </w:r>
          </w:p>
        </w:tc>
        <w:tc>
          <w:tcPr>
            <w:tcW w:w="1560" w:type="dxa"/>
            <w:vAlign w:val="bottom"/>
            <w:shd w:val="clear" w:color="auto" w:fill="BF2115"/>
          </w:tcPr>
          <w:p>
            <w:pPr>
              <w:jc w:val="center"/>
              <w:ind w:right="156"/>
              <w:spacing w:after="0"/>
              <w:rPr>
                <w:sz w:val="20"/>
                <w:szCs w:val="20"/>
                <w:color w:val="auto"/>
              </w:rPr>
            </w:pPr>
            <w:r>
              <w:rPr>
                <w:rFonts w:ascii="Arial" w:cs="Arial" w:eastAsia="Arial" w:hAnsi="Arial"/>
                <w:sz w:val="13"/>
                <w:szCs w:val="13"/>
                <w:b w:val="1"/>
                <w:bCs w:val="1"/>
                <w:color w:val="FFFFFF"/>
              </w:rPr>
              <w:t>All Other</w:t>
            </w:r>
          </w:p>
        </w:tc>
        <w:tc>
          <w:tcPr>
            <w:tcW w:w="80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0" w:type="dxa"/>
            <w:vAlign w:val="bottom"/>
            <w:shd w:val="clear" w:color="auto" w:fill="BF2115"/>
          </w:tcPr>
          <w:p>
            <w:pPr>
              <w:ind w:left="20"/>
              <w:spacing w:after="0"/>
              <w:rPr>
                <w:sz w:val="20"/>
                <w:szCs w:val="20"/>
                <w:color w:val="auto"/>
              </w:rPr>
            </w:pPr>
            <w:r>
              <w:rPr>
                <w:rFonts w:ascii="Arial" w:cs="Arial" w:eastAsia="Arial" w:hAnsi="Arial"/>
                <w:sz w:val="13"/>
                <w:szCs w:val="13"/>
                <w:b w:val="1"/>
                <w:bCs w:val="1"/>
                <w:color w:val="FFFFFF"/>
              </w:rPr>
              <w:t>Name and</w:t>
            </w:r>
          </w:p>
        </w:tc>
        <w:tc>
          <w:tcPr>
            <w:tcW w:w="62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rPr>
              <w:t>Fiscal</w:t>
            </w:r>
          </w:p>
        </w:tc>
        <w:tc>
          <w:tcPr>
            <w:tcW w:w="1100" w:type="dxa"/>
            <w:vAlign w:val="bottom"/>
            <w:shd w:val="clear" w:color="auto" w:fill="BF2115"/>
          </w:tcPr>
          <w:p>
            <w:pPr>
              <w:jc w:val="right"/>
              <w:ind w:right="276"/>
              <w:spacing w:after="0" w:line="176" w:lineRule="exact"/>
              <w:rPr>
                <w:sz w:val="20"/>
                <w:szCs w:val="20"/>
                <w:color w:val="auto"/>
              </w:rPr>
            </w:pPr>
            <w:r>
              <w:rPr>
                <w:rFonts w:ascii="Arial" w:cs="Arial" w:eastAsia="Arial" w:hAnsi="Arial"/>
                <w:sz w:val="13"/>
                <w:szCs w:val="13"/>
                <w:b w:val="1"/>
                <w:bCs w:val="1"/>
                <w:color w:val="FFFFFF"/>
              </w:rPr>
              <w:t>Salary</w:t>
            </w:r>
            <w:r>
              <w:rPr>
                <w:rFonts w:ascii="Arial" w:cs="Arial" w:eastAsia="Arial" w:hAnsi="Arial"/>
                <w:sz w:val="17"/>
                <w:szCs w:val="17"/>
                <w:b w:val="1"/>
                <w:bCs w:val="1"/>
                <w:color w:val="FFFFFF"/>
                <w:vertAlign w:val="superscript"/>
              </w:rPr>
              <w:t>1</w:t>
            </w:r>
          </w:p>
        </w:tc>
        <w:tc>
          <w:tcPr>
            <w:tcW w:w="840" w:type="dxa"/>
            <w:vAlign w:val="bottom"/>
            <w:shd w:val="clear" w:color="auto" w:fill="BF2115"/>
          </w:tcPr>
          <w:p>
            <w:pPr>
              <w:ind w:left="160"/>
              <w:spacing w:after="0" w:line="176" w:lineRule="exact"/>
              <w:rPr>
                <w:sz w:val="20"/>
                <w:szCs w:val="20"/>
                <w:color w:val="auto"/>
              </w:rPr>
            </w:pPr>
            <w:r>
              <w:rPr>
                <w:rFonts w:ascii="Arial" w:cs="Arial" w:eastAsia="Arial" w:hAnsi="Arial"/>
                <w:sz w:val="13"/>
                <w:szCs w:val="13"/>
                <w:b w:val="1"/>
                <w:bCs w:val="1"/>
                <w:color w:val="FFFFFF"/>
              </w:rPr>
              <w:t>Bonus</w:t>
            </w:r>
            <w:r>
              <w:rPr>
                <w:rFonts w:ascii="Arial" w:cs="Arial" w:eastAsia="Arial" w:hAnsi="Arial"/>
                <w:sz w:val="17"/>
                <w:szCs w:val="17"/>
                <w:b w:val="1"/>
                <w:bCs w:val="1"/>
                <w:color w:val="FFFFFF"/>
                <w:vertAlign w:val="superscript"/>
              </w:rPr>
              <w:t>2</w:t>
            </w:r>
          </w:p>
        </w:tc>
        <w:tc>
          <w:tcPr>
            <w:tcW w:w="1060" w:type="dxa"/>
            <w:vAlign w:val="bottom"/>
            <w:shd w:val="clear" w:color="auto" w:fill="BF2115"/>
          </w:tcPr>
          <w:p>
            <w:pPr>
              <w:jc w:val="center"/>
              <w:ind w:right="16"/>
              <w:spacing w:after="0" w:line="176"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17"/>
                <w:szCs w:val="17"/>
                <w:b w:val="1"/>
                <w:bCs w:val="1"/>
                <w:color w:val="FFFFFF"/>
                <w:vertAlign w:val="superscript"/>
              </w:rPr>
              <w:t>3</w:t>
            </w:r>
          </w:p>
        </w:tc>
        <w:tc>
          <w:tcPr>
            <w:tcW w:w="920" w:type="dxa"/>
            <w:vAlign w:val="bottom"/>
            <w:shd w:val="clear" w:color="auto" w:fill="BF2115"/>
          </w:tcPr>
          <w:p>
            <w:pPr>
              <w:jc w:val="center"/>
              <w:ind w:right="16"/>
              <w:spacing w:after="0" w:line="176" w:lineRule="exact"/>
              <w:rPr>
                <w:sz w:val="20"/>
                <w:szCs w:val="20"/>
                <w:color w:val="auto"/>
              </w:rPr>
            </w:pPr>
            <w:r>
              <w:rPr>
                <w:rFonts w:ascii="Arial" w:cs="Arial" w:eastAsia="Arial" w:hAnsi="Arial"/>
                <w:sz w:val="13"/>
                <w:szCs w:val="13"/>
                <w:b w:val="1"/>
                <w:bCs w:val="1"/>
                <w:color w:val="FFFFFF"/>
                <w:w w:val="97"/>
              </w:rPr>
              <w:t>Awards</w:t>
            </w:r>
            <w:r>
              <w:rPr>
                <w:rFonts w:ascii="Arial" w:cs="Arial" w:eastAsia="Arial" w:hAnsi="Arial"/>
                <w:sz w:val="17"/>
                <w:szCs w:val="17"/>
                <w:b w:val="1"/>
                <w:bCs w:val="1"/>
                <w:color w:val="FFFFFF"/>
                <w:w w:val="97"/>
                <w:vertAlign w:val="superscript"/>
              </w:rPr>
              <w:t>4</w:t>
            </w:r>
          </w:p>
        </w:tc>
        <w:tc>
          <w:tcPr>
            <w:tcW w:w="1620" w:type="dxa"/>
            <w:vAlign w:val="bottom"/>
            <w:shd w:val="clear" w:color="auto" w:fill="BF2115"/>
          </w:tcPr>
          <w:p>
            <w:pPr>
              <w:jc w:val="center"/>
              <w:ind w:right="36"/>
              <w:spacing w:after="0" w:line="176" w:lineRule="exact"/>
              <w:rPr>
                <w:sz w:val="20"/>
                <w:szCs w:val="20"/>
                <w:color w:val="auto"/>
              </w:rPr>
            </w:pPr>
            <w:r>
              <w:rPr>
                <w:rFonts w:ascii="Arial" w:cs="Arial" w:eastAsia="Arial" w:hAnsi="Arial"/>
                <w:sz w:val="13"/>
                <w:szCs w:val="13"/>
                <w:b w:val="1"/>
                <w:bCs w:val="1"/>
                <w:color w:val="FFFFFF"/>
              </w:rPr>
              <w:t>Plan Compensation</w:t>
            </w:r>
            <w:r>
              <w:rPr>
                <w:rFonts w:ascii="Arial" w:cs="Arial" w:eastAsia="Arial" w:hAnsi="Arial"/>
                <w:sz w:val="17"/>
                <w:szCs w:val="17"/>
                <w:b w:val="1"/>
                <w:bCs w:val="1"/>
                <w:color w:val="FFFFFF"/>
                <w:vertAlign w:val="superscript"/>
              </w:rPr>
              <w:t>5</w:t>
            </w:r>
          </w:p>
        </w:tc>
        <w:tc>
          <w:tcPr>
            <w:tcW w:w="1560" w:type="dxa"/>
            <w:vAlign w:val="bottom"/>
            <w:shd w:val="clear" w:color="auto" w:fill="BF2115"/>
          </w:tcPr>
          <w:p>
            <w:pPr>
              <w:jc w:val="center"/>
              <w:ind w:right="156"/>
              <w:spacing w:after="0" w:line="176" w:lineRule="exact"/>
              <w:rPr>
                <w:sz w:val="20"/>
                <w:szCs w:val="20"/>
                <w:color w:val="auto"/>
              </w:rPr>
            </w:pPr>
            <w:r>
              <w:rPr>
                <w:rFonts w:ascii="Arial" w:cs="Arial" w:eastAsia="Arial" w:hAnsi="Arial"/>
                <w:sz w:val="13"/>
                <w:szCs w:val="13"/>
                <w:b w:val="1"/>
                <w:bCs w:val="1"/>
                <w:color w:val="FFFFFF"/>
              </w:rPr>
              <w:t>Compensation</w:t>
            </w:r>
            <w:r>
              <w:rPr>
                <w:rFonts w:ascii="Arial" w:cs="Arial" w:eastAsia="Arial" w:hAnsi="Arial"/>
                <w:sz w:val="17"/>
                <w:szCs w:val="17"/>
                <w:b w:val="1"/>
                <w:bCs w:val="1"/>
                <w:color w:val="FFFFFF"/>
                <w:vertAlign w:val="superscript"/>
              </w:rPr>
              <w:t>6</w:t>
            </w:r>
          </w:p>
        </w:tc>
        <w:tc>
          <w:tcPr>
            <w:tcW w:w="800" w:type="dxa"/>
            <w:vAlign w:val="bottom"/>
            <w:shd w:val="clear" w:color="auto" w:fill="BF2115"/>
          </w:tcPr>
          <w:p>
            <w:pPr>
              <w:jc w:val="right"/>
              <w:ind w:right="216"/>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204"/>
        </w:trPr>
        <w:tc>
          <w:tcPr>
            <w:tcW w:w="2600" w:type="dxa"/>
            <w:vAlign w:val="bottom"/>
            <w:shd w:val="clear" w:color="auto" w:fill="BF2115"/>
          </w:tcPr>
          <w:p>
            <w:pPr>
              <w:ind w:left="20"/>
              <w:spacing w:after="0"/>
              <w:rPr>
                <w:sz w:val="20"/>
                <w:szCs w:val="20"/>
                <w:color w:val="auto"/>
              </w:rPr>
            </w:pPr>
            <w:r>
              <w:rPr>
                <w:rFonts w:ascii="Arial" w:cs="Arial" w:eastAsia="Arial" w:hAnsi="Arial"/>
                <w:sz w:val="13"/>
                <w:szCs w:val="13"/>
                <w:b w:val="1"/>
                <w:bCs w:val="1"/>
                <w:color w:val="FFFFFF"/>
              </w:rPr>
              <w:t>Principal Position</w:t>
            </w:r>
          </w:p>
        </w:tc>
        <w:tc>
          <w:tcPr>
            <w:tcW w:w="62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w w:val="99"/>
              </w:rPr>
              <w:t>Year</w:t>
            </w:r>
          </w:p>
        </w:tc>
        <w:tc>
          <w:tcPr>
            <w:tcW w:w="1100" w:type="dxa"/>
            <w:vAlign w:val="bottom"/>
            <w:shd w:val="clear" w:color="auto" w:fill="BF2115"/>
          </w:tcPr>
          <w:p>
            <w:pPr>
              <w:jc w:val="right"/>
              <w:ind w:right="416"/>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BF2115"/>
          </w:tcPr>
          <w:p>
            <w:pPr>
              <w:jc w:val="center"/>
              <w:ind w:right="16"/>
              <w:spacing w:after="0"/>
              <w:rPr>
                <w:sz w:val="20"/>
                <w:szCs w:val="20"/>
                <w:color w:val="auto"/>
              </w:rPr>
            </w:pPr>
            <w:r>
              <w:rPr>
                <w:rFonts w:ascii="Arial" w:cs="Arial" w:eastAsia="Arial" w:hAnsi="Arial"/>
                <w:sz w:val="13"/>
                <w:szCs w:val="13"/>
                <w:b w:val="1"/>
                <w:bCs w:val="1"/>
                <w:color w:val="FFFFFF"/>
              </w:rPr>
              <w:t>($)</w:t>
            </w:r>
          </w:p>
        </w:tc>
        <w:tc>
          <w:tcPr>
            <w:tcW w:w="1060" w:type="dxa"/>
            <w:vAlign w:val="bottom"/>
            <w:shd w:val="clear" w:color="auto" w:fill="BF2115"/>
          </w:tcPr>
          <w:p>
            <w:pPr>
              <w:jc w:val="center"/>
              <w:ind w:right="16"/>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BF2115"/>
          </w:tcPr>
          <w:p>
            <w:pPr>
              <w:jc w:val="center"/>
              <w:ind w:right="16"/>
              <w:spacing w:after="0"/>
              <w:rPr>
                <w:sz w:val="20"/>
                <w:szCs w:val="20"/>
                <w:color w:val="auto"/>
              </w:rPr>
            </w:pPr>
            <w:r>
              <w:rPr>
                <w:rFonts w:ascii="Arial" w:cs="Arial" w:eastAsia="Arial" w:hAnsi="Arial"/>
                <w:sz w:val="13"/>
                <w:szCs w:val="13"/>
                <w:b w:val="1"/>
                <w:bCs w:val="1"/>
                <w:color w:val="FFFFFF"/>
              </w:rPr>
              <w:t>($)</w:t>
            </w:r>
          </w:p>
        </w:tc>
        <w:tc>
          <w:tcPr>
            <w:tcW w:w="1620" w:type="dxa"/>
            <w:vAlign w:val="bottom"/>
            <w:shd w:val="clear" w:color="auto" w:fill="BF2115"/>
          </w:tcPr>
          <w:p>
            <w:pPr>
              <w:jc w:val="center"/>
              <w:ind w:right="36"/>
              <w:spacing w:after="0"/>
              <w:rPr>
                <w:sz w:val="20"/>
                <w:szCs w:val="20"/>
                <w:color w:val="auto"/>
              </w:rPr>
            </w:pPr>
            <w:r>
              <w:rPr>
                <w:rFonts w:ascii="Arial" w:cs="Arial" w:eastAsia="Arial" w:hAnsi="Arial"/>
                <w:sz w:val="13"/>
                <w:szCs w:val="13"/>
                <w:b w:val="1"/>
                <w:bCs w:val="1"/>
                <w:color w:val="FFFFFF"/>
              </w:rPr>
              <w:t>($)</w:t>
            </w:r>
          </w:p>
        </w:tc>
        <w:tc>
          <w:tcPr>
            <w:tcW w:w="1560" w:type="dxa"/>
            <w:vAlign w:val="bottom"/>
            <w:shd w:val="clear" w:color="auto" w:fill="BF2115"/>
          </w:tcPr>
          <w:p>
            <w:pPr>
              <w:jc w:val="center"/>
              <w:ind w:right="156"/>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BF2115"/>
          </w:tcPr>
          <w:p>
            <w:pPr>
              <w:jc w:val="right"/>
              <w:ind w:right="276"/>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3"/>
                <w:szCs w:val="13"/>
                <w:color w:val="auto"/>
              </w:rPr>
              <w:t>Richard M. Olson,</w:t>
            </w:r>
          </w:p>
        </w:tc>
        <w:tc>
          <w:tcPr>
            <w:tcW w:w="620" w:type="dxa"/>
            <w:vAlign w:val="bottom"/>
          </w:tcPr>
          <w:p>
            <w:pPr>
              <w:jc w:val="center"/>
              <w:spacing w:after="0"/>
              <w:rPr>
                <w:sz w:val="20"/>
                <w:szCs w:val="20"/>
                <w:color w:val="auto"/>
              </w:rPr>
            </w:pPr>
            <w:r>
              <w:rPr>
                <w:rFonts w:ascii="Arial" w:cs="Arial" w:eastAsia="Arial" w:hAnsi="Arial"/>
                <w:sz w:val="13"/>
                <w:szCs w:val="13"/>
                <w:color w:val="auto"/>
                <w:w w:val="96"/>
              </w:rPr>
              <w:t>2023</w:t>
            </w:r>
          </w:p>
        </w:tc>
        <w:tc>
          <w:tcPr>
            <w:tcW w:w="1100" w:type="dxa"/>
            <w:vAlign w:val="bottom"/>
          </w:tcPr>
          <w:p>
            <w:pPr>
              <w:jc w:val="right"/>
              <w:ind w:right="76"/>
              <w:spacing w:after="0"/>
              <w:rPr>
                <w:sz w:val="20"/>
                <w:szCs w:val="20"/>
                <w:color w:val="auto"/>
              </w:rPr>
            </w:pPr>
            <w:r>
              <w:rPr>
                <w:rFonts w:ascii="Arial" w:cs="Arial" w:eastAsia="Arial" w:hAnsi="Arial"/>
                <w:sz w:val="13"/>
                <w:szCs w:val="13"/>
                <w:color w:val="auto"/>
              </w:rPr>
              <w:t>1,129,958</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3,599,694</w:t>
            </w: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3,692,052</w:t>
            </w:r>
          </w:p>
        </w:tc>
        <w:tc>
          <w:tcPr>
            <w:tcW w:w="1620" w:type="dxa"/>
            <w:vAlign w:val="bottom"/>
          </w:tcPr>
          <w:p>
            <w:pPr>
              <w:jc w:val="right"/>
              <w:ind w:right="96"/>
              <w:spacing w:after="0"/>
              <w:rPr>
                <w:sz w:val="20"/>
                <w:szCs w:val="20"/>
                <w:color w:val="auto"/>
              </w:rPr>
            </w:pPr>
            <w:r>
              <w:rPr>
                <w:rFonts w:ascii="Arial" w:cs="Arial" w:eastAsia="Arial" w:hAnsi="Arial"/>
                <w:sz w:val="13"/>
                <w:szCs w:val="13"/>
                <w:color w:val="auto"/>
              </w:rPr>
              <w:t>425,260</w:t>
            </w:r>
          </w:p>
        </w:tc>
        <w:tc>
          <w:tcPr>
            <w:tcW w:w="1560" w:type="dxa"/>
            <w:vAlign w:val="bottom"/>
          </w:tcPr>
          <w:p>
            <w:pPr>
              <w:jc w:val="right"/>
              <w:ind w:right="136"/>
              <w:spacing w:after="0"/>
              <w:rPr>
                <w:sz w:val="20"/>
                <w:szCs w:val="20"/>
                <w:color w:val="auto"/>
              </w:rPr>
            </w:pPr>
            <w:r>
              <w:rPr>
                <w:rFonts w:ascii="Arial" w:cs="Arial" w:eastAsia="Arial" w:hAnsi="Arial"/>
                <w:sz w:val="13"/>
                <w:szCs w:val="13"/>
                <w:color w:val="auto"/>
              </w:rPr>
              <w:t>178,847</w:t>
            </w:r>
          </w:p>
        </w:tc>
        <w:tc>
          <w:tcPr>
            <w:tcW w:w="800" w:type="dxa"/>
            <w:vAlign w:val="bottom"/>
          </w:tcPr>
          <w:p>
            <w:pPr>
              <w:jc w:val="right"/>
              <w:spacing w:after="0"/>
              <w:rPr>
                <w:sz w:val="20"/>
                <w:szCs w:val="20"/>
                <w:color w:val="auto"/>
              </w:rPr>
            </w:pPr>
            <w:r>
              <w:rPr>
                <w:rFonts w:ascii="Arial" w:cs="Arial" w:eastAsia="Arial" w:hAnsi="Arial"/>
                <w:sz w:val="13"/>
                <w:szCs w:val="13"/>
                <w:color w:val="auto"/>
              </w:rPr>
              <w:t>9,025,811</w:t>
            </w:r>
          </w:p>
        </w:tc>
        <w:tc>
          <w:tcPr>
            <w:tcW w:w="0" w:type="dxa"/>
            <w:vAlign w:val="bottom"/>
          </w:tcPr>
          <w:p>
            <w:pPr>
              <w:spacing w:after="0"/>
              <w:rPr>
                <w:sz w:val="1"/>
                <w:szCs w:val="1"/>
                <w:color w:val="auto"/>
              </w:rPr>
            </w:pPr>
          </w:p>
        </w:tc>
      </w:tr>
      <w:tr>
        <w:trPr>
          <w:trHeight w:val="176"/>
        </w:trPr>
        <w:tc>
          <w:tcPr>
            <w:tcW w:w="2600" w:type="dxa"/>
            <w:vAlign w:val="bottom"/>
          </w:tcPr>
          <w:p>
            <w:pPr>
              <w:ind w:left="100"/>
              <w:spacing w:after="0"/>
              <w:rPr>
                <w:sz w:val="20"/>
                <w:szCs w:val="20"/>
                <w:color w:val="auto"/>
              </w:rPr>
            </w:pPr>
            <w:r>
              <w:rPr>
                <w:rFonts w:ascii="Arial" w:cs="Arial" w:eastAsia="Arial" w:hAnsi="Arial"/>
                <w:sz w:val="13"/>
                <w:szCs w:val="13"/>
                <w:color w:val="auto"/>
              </w:rPr>
              <w:t>Chairman of the Board, President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96"/>
              </w:rPr>
              <w:t>2022</w:t>
            </w:r>
          </w:p>
        </w:tc>
        <w:tc>
          <w:tcPr>
            <w:tcW w:w="1100" w:type="dxa"/>
            <w:vAlign w:val="bottom"/>
            <w:vMerge w:val="restart"/>
          </w:tcPr>
          <w:p>
            <w:pPr>
              <w:jc w:val="right"/>
              <w:ind w:right="76"/>
              <w:spacing w:after="0"/>
              <w:rPr>
                <w:sz w:val="20"/>
                <w:szCs w:val="20"/>
                <w:color w:val="auto"/>
              </w:rPr>
            </w:pPr>
            <w:r>
              <w:rPr>
                <w:rFonts w:ascii="Arial" w:cs="Arial" w:eastAsia="Arial" w:hAnsi="Arial"/>
                <w:sz w:val="13"/>
                <w:szCs w:val="13"/>
                <w:color w:val="auto"/>
              </w:rPr>
              <w:t>1,086,778</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1060" w:type="dxa"/>
            <w:vAlign w:val="bottom"/>
            <w:vMerge w:val="restart"/>
          </w:tcPr>
          <w:p>
            <w:pPr>
              <w:jc w:val="right"/>
              <w:ind w:right="76"/>
              <w:spacing w:after="0"/>
              <w:rPr>
                <w:sz w:val="20"/>
                <w:szCs w:val="20"/>
                <w:color w:val="auto"/>
              </w:rPr>
            </w:pPr>
            <w:r>
              <w:rPr>
                <w:rFonts w:ascii="Arial" w:cs="Arial" w:eastAsia="Arial" w:hAnsi="Arial"/>
                <w:sz w:val="13"/>
                <w:szCs w:val="13"/>
                <w:color w:val="auto"/>
              </w:rPr>
              <w:t>2,489,773</w:t>
            </w:r>
          </w:p>
        </w:tc>
        <w:tc>
          <w:tcPr>
            <w:tcW w:w="920" w:type="dxa"/>
            <w:vAlign w:val="bottom"/>
            <w:vMerge w:val="restart"/>
          </w:tcPr>
          <w:p>
            <w:pPr>
              <w:jc w:val="right"/>
              <w:ind w:right="16"/>
              <w:spacing w:after="0"/>
              <w:rPr>
                <w:sz w:val="20"/>
                <w:szCs w:val="20"/>
                <w:color w:val="auto"/>
              </w:rPr>
            </w:pPr>
            <w:r>
              <w:rPr>
                <w:rFonts w:ascii="Arial" w:cs="Arial" w:eastAsia="Arial" w:hAnsi="Arial"/>
                <w:sz w:val="13"/>
                <w:szCs w:val="13"/>
                <w:color w:val="auto"/>
              </w:rPr>
              <w:t>2,507,118</w:t>
            </w:r>
          </w:p>
        </w:tc>
        <w:tc>
          <w:tcPr>
            <w:tcW w:w="1620" w:type="dxa"/>
            <w:vAlign w:val="bottom"/>
            <w:vMerge w:val="restart"/>
          </w:tcPr>
          <w:p>
            <w:pPr>
              <w:jc w:val="right"/>
              <w:ind w:right="96"/>
              <w:spacing w:after="0"/>
              <w:rPr>
                <w:sz w:val="20"/>
                <w:szCs w:val="20"/>
                <w:color w:val="auto"/>
              </w:rPr>
            </w:pPr>
            <w:r>
              <w:rPr>
                <w:rFonts w:ascii="Arial" w:cs="Arial" w:eastAsia="Arial" w:hAnsi="Arial"/>
                <w:sz w:val="13"/>
                <w:szCs w:val="13"/>
                <w:color w:val="auto"/>
              </w:rPr>
              <w:t>974,698</w:t>
            </w:r>
          </w:p>
        </w:tc>
        <w:tc>
          <w:tcPr>
            <w:tcW w:w="1560" w:type="dxa"/>
            <w:vAlign w:val="bottom"/>
            <w:vMerge w:val="restart"/>
          </w:tcPr>
          <w:p>
            <w:pPr>
              <w:jc w:val="right"/>
              <w:ind w:right="136"/>
              <w:spacing w:after="0"/>
              <w:rPr>
                <w:sz w:val="20"/>
                <w:szCs w:val="20"/>
                <w:color w:val="auto"/>
              </w:rPr>
            </w:pPr>
            <w:r>
              <w:rPr>
                <w:rFonts w:ascii="Arial" w:cs="Arial" w:eastAsia="Arial" w:hAnsi="Arial"/>
                <w:sz w:val="13"/>
                <w:szCs w:val="13"/>
                <w:color w:val="auto"/>
              </w:rPr>
              <w:t>253,586</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7,311,953</w:t>
            </w:r>
          </w:p>
        </w:tc>
        <w:tc>
          <w:tcPr>
            <w:tcW w:w="0" w:type="dxa"/>
            <w:vAlign w:val="bottom"/>
          </w:tcPr>
          <w:p>
            <w:pPr>
              <w:spacing w:after="0"/>
              <w:rPr>
                <w:sz w:val="1"/>
                <w:szCs w:val="1"/>
                <w:color w:val="auto"/>
              </w:rPr>
            </w:pPr>
          </w:p>
        </w:tc>
      </w:tr>
      <w:tr>
        <w:trPr>
          <w:trHeight w:val="53"/>
        </w:trPr>
        <w:tc>
          <w:tcPr>
            <w:tcW w:w="2600" w:type="dxa"/>
            <w:vAlign w:val="bottom"/>
            <w:vMerge w:val="restart"/>
          </w:tcPr>
          <w:p>
            <w:pPr>
              <w:ind w:left="100"/>
              <w:spacing w:after="0"/>
              <w:rPr>
                <w:sz w:val="20"/>
                <w:szCs w:val="20"/>
                <w:color w:val="auto"/>
              </w:rPr>
            </w:pPr>
            <w:r>
              <w:rPr>
                <w:rFonts w:ascii="Arial" w:cs="Arial" w:eastAsia="Arial" w:hAnsi="Arial"/>
                <w:sz w:val="13"/>
                <w:szCs w:val="13"/>
                <w:color w:val="auto"/>
              </w:rPr>
              <w:t>and Chief Executive Officer</w:t>
            </w:r>
          </w:p>
        </w:tc>
        <w:tc>
          <w:tcPr>
            <w:tcW w:w="6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96"/>
              </w:rPr>
              <w:t>2021</w:t>
            </w:r>
          </w:p>
        </w:tc>
        <w:tc>
          <w:tcPr>
            <w:tcW w:w="1100" w:type="dxa"/>
            <w:vAlign w:val="bottom"/>
            <w:vMerge w:val="restart"/>
          </w:tcPr>
          <w:p>
            <w:pPr>
              <w:jc w:val="right"/>
              <w:ind w:right="76"/>
              <w:spacing w:after="0"/>
              <w:rPr>
                <w:sz w:val="20"/>
                <w:szCs w:val="20"/>
                <w:color w:val="auto"/>
              </w:rPr>
            </w:pPr>
            <w:r>
              <w:rPr>
                <w:rFonts w:ascii="Arial" w:cs="Arial" w:eastAsia="Arial" w:hAnsi="Arial"/>
                <w:sz w:val="13"/>
                <w:szCs w:val="13"/>
                <w:color w:val="auto"/>
              </w:rPr>
              <w:t>1,045,930</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1060" w:type="dxa"/>
            <w:vAlign w:val="bottom"/>
            <w:vMerge w:val="restart"/>
          </w:tcPr>
          <w:p>
            <w:pPr>
              <w:jc w:val="right"/>
              <w:ind w:right="76"/>
              <w:spacing w:after="0"/>
              <w:rPr>
                <w:sz w:val="20"/>
                <w:szCs w:val="20"/>
                <w:color w:val="auto"/>
              </w:rPr>
            </w:pPr>
            <w:r>
              <w:rPr>
                <w:rFonts w:ascii="Arial" w:cs="Arial" w:eastAsia="Arial" w:hAnsi="Arial"/>
                <w:sz w:val="13"/>
                <w:szCs w:val="13"/>
                <w:color w:val="auto"/>
              </w:rPr>
              <w:t>2,536,520</w:t>
            </w:r>
          </w:p>
        </w:tc>
        <w:tc>
          <w:tcPr>
            <w:tcW w:w="920" w:type="dxa"/>
            <w:vAlign w:val="bottom"/>
            <w:vMerge w:val="restart"/>
          </w:tcPr>
          <w:p>
            <w:pPr>
              <w:jc w:val="right"/>
              <w:ind w:right="16"/>
              <w:spacing w:after="0"/>
              <w:rPr>
                <w:sz w:val="20"/>
                <w:szCs w:val="20"/>
                <w:color w:val="auto"/>
              </w:rPr>
            </w:pPr>
            <w:r>
              <w:rPr>
                <w:rFonts w:ascii="Arial" w:cs="Arial" w:eastAsia="Arial" w:hAnsi="Arial"/>
                <w:sz w:val="13"/>
                <w:szCs w:val="13"/>
                <w:color w:val="auto"/>
              </w:rPr>
              <w:t>2,651,082</w:t>
            </w:r>
          </w:p>
        </w:tc>
        <w:tc>
          <w:tcPr>
            <w:tcW w:w="1620" w:type="dxa"/>
            <w:vAlign w:val="bottom"/>
            <w:vMerge w:val="restart"/>
          </w:tcPr>
          <w:p>
            <w:pPr>
              <w:jc w:val="right"/>
              <w:ind w:right="96"/>
              <w:spacing w:after="0"/>
              <w:rPr>
                <w:sz w:val="20"/>
                <w:szCs w:val="20"/>
                <w:color w:val="auto"/>
              </w:rPr>
            </w:pPr>
            <w:r>
              <w:rPr>
                <w:rFonts w:ascii="Arial" w:cs="Arial" w:eastAsia="Arial" w:hAnsi="Arial"/>
                <w:sz w:val="13"/>
                <w:szCs w:val="13"/>
                <w:color w:val="auto"/>
              </w:rPr>
              <w:t>2,095,541</w:t>
            </w:r>
          </w:p>
        </w:tc>
        <w:tc>
          <w:tcPr>
            <w:tcW w:w="1560" w:type="dxa"/>
            <w:vAlign w:val="bottom"/>
            <w:vMerge w:val="restart"/>
          </w:tcPr>
          <w:p>
            <w:pPr>
              <w:jc w:val="right"/>
              <w:ind w:right="136"/>
              <w:spacing w:after="0"/>
              <w:rPr>
                <w:sz w:val="20"/>
                <w:szCs w:val="20"/>
                <w:color w:val="auto"/>
              </w:rPr>
            </w:pPr>
            <w:r>
              <w:rPr>
                <w:rFonts w:ascii="Arial" w:cs="Arial" w:eastAsia="Arial" w:hAnsi="Arial"/>
                <w:sz w:val="13"/>
                <w:szCs w:val="13"/>
                <w:color w:val="auto"/>
              </w:rPr>
              <w:t>300,778</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8,629,851</w:t>
            </w:r>
          </w:p>
        </w:tc>
        <w:tc>
          <w:tcPr>
            <w:tcW w:w="0" w:type="dxa"/>
            <w:vAlign w:val="bottom"/>
          </w:tcPr>
          <w:p>
            <w:pPr>
              <w:spacing w:after="0"/>
              <w:rPr>
                <w:sz w:val="1"/>
                <w:szCs w:val="1"/>
                <w:color w:val="auto"/>
              </w:rPr>
            </w:pPr>
          </w:p>
        </w:tc>
      </w:tr>
      <w:tr>
        <w:trPr>
          <w:trHeight w:val="93"/>
        </w:trPr>
        <w:tc>
          <w:tcPr>
            <w:tcW w:w="26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Angela C. Drake,</w:t>
            </w:r>
          </w:p>
        </w:tc>
        <w:tc>
          <w:tcPr>
            <w:tcW w:w="62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6"/>
              </w:rPr>
              <w:t>2023</w:t>
            </w:r>
          </w:p>
        </w:tc>
        <w:tc>
          <w:tcPr>
            <w:tcW w:w="1100" w:type="dxa"/>
            <w:vAlign w:val="bottom"/>
            <w:shd w:val="clear" w:color="auto" w:fill="DBDBDB"/>
          </w:tcPr>
          <w:p>
            <w:pPr>
              <w:jc w:val="right"/>
              <w:ind w:right="76"/>
              <w:spacing w:after="0"/>
              <w:rPr>
                <w:sz w:val="20"/>
                <w:szCs w:val="20"/>
                <w:color w:val="auto"/>
              </w:rPr>
            </w:pPr>
            <w:r>
              <w:rPr>
                <w:rFonts w:ascii="Arial" w:cs="Arial" w:eastAsia="Arial" w:hAnsi="Arial"/>
                <w:sz w:val="13"/>
                <w:szCs w:val="13"/>
                <w:color w:val="auto"/>
              </w:rPr>
              <w:t>510,777</w:t>
            </w:r>
          </w:p>
        </w:tc>
        <w:tc>
          <w:tcPr>
            <w:tcW w:w="84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82"/>
              </w:rPr>
              <w:t>0</w:t>
            </w:r>
          </w:p>
        </w:tc>
        <w:tc>
          <w:tcPr>
            <w:tcW w:w="1060" w:type="dxa"/>
            <w:vAlign w:val="bottom"/>
            <w:shd w:val="clear" w:color="auto" w:fill="DBDBDB"/>
          </w:tcPr>
          <w:p>
            <w:pPr>
              <w:jc w:val="right"/>
              <w:ind w:right="76"/>
              <w:spacing w:after="0"/>
              <w:rPr>
                <w:sz w:val="20"/>
                <w:szCs w:val="20"/>
                <w:color w:val="auto"/>
              </w:rPr>
            </w:pPr>
            <w:r>
              <w:rPr>
                <w:rFonts w:ascii="Arial" w:cs="Arial" w:eastAsia="Arial" w:hAnsi="Arial"/>
                <w:sz w:val="13"/>
                <w:szCs w:val="13"/>
                <w:color w:val="auto"/>
              </w:rPr>
              <w:t>1,063,014</w:t>
            </w:r>
          </w:p>
        </w:tc>
        <w:tc>
          <w:tcPr>
            <w:tcW w:w="920" w:type="dxa"/>
            <w:vAlign w:val="bottom"/>
            <w:shd w:val="clear" w:color="auto" w:fill="DBDBDB"/>
          </w:tcPr>
          <w:p>
            <w:pPr>
              <w:jc w:val="right"/>
              <w:ind w:right="16"/>
              <w:spacing w:after="0"/>
              <w:rPr>
                <w:sz w:val="20"/>
                <w:szCs w:val="20"/>
                <w:color w:val="auto"/>
              </w:rPr>
            </w:pPr>
            <w:r>
              <w:rPr>
                <w:rFonts w:ascii="Arial" w:cs="Arial" w:eastAsia="Arial" w:hAnsi="Arial"/>
                <w:sz w:val="13"/>
                <w:szCs w:val="13"/>
                <w:color w:val="auto"/>
              </w:rPr>
              <w:t>223,146</w:t>
            </w:r>
          </w:p>
        </w:tc>
        <w:tc>
          <w:tcPr>
            <w:tcW w:w="1620" w:type="dxa"/>
            <w:vAlign w:val="bottom"/>
            <w:shd w:val="clear" w:color="auto" w:fill="DBDBDB"/>
          </w:tcPr>
          <w:p>
            <w:pPr>
              <w:jc w:val="right"/>
              <w:ind w:right="96"/>
              <w:spacing w:after="0"/>
              <w:rPr>
                <w:sz w:val="20"/>
                <w:szCs w:val="20"/>
                <w:color w:val="auto"/>
              </w:rPr>
            </w:pPr>
            <w:r>
              <w:rPr>
                <w:rFonts w:ascii="Arial" w:cs="Arial" w:eastAsia="Arial" w:hAnsi="Arial"/>
                <w:sz w:val="13"/>
                <w:szCs w:val="13"/>
                <w:color w:val="auto"/>
              </w:rPr>
              <w:t>91,957</w:t>
            </w:r>
          </w:p>
        </w:tc>
        <w:tc>
          <w:tcPr>
            <w:tcW w:w="1560" w:type="dxa"/>
            <w:vAlign w:val="bottom"/>
            <w:shd w:val="clear" w:color="auto" w:fill="DBDBDB"/>
          </w:tcPr>
          <w:p>
            <w:pPr>
              <w:jc w:val="right"/>
              <w:ind w:right="136"/>
              <w:spacing w:after="0"/>
              <w:rPr>
                <w:sz w:val="20"/>
                <w:szCs w:val="20"/>
                <w:color w:val="auto"/>
              </w:rPr>
            </w:pPr>
            <w:r>
              <w:rPr>
                <w:rFonts w:ascii="Arial" w:cs="Arial" w:eastAsia="Arial" w:hAnsi="Arial"/>
                <w:sz w:val="13"/>
                <w:szCs w:val="13"/>
                <w:color w:val="auto"/>
              </w:rPr>
              <w:t>75,810</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1,964,704</w:t>
            </w:r>
          </w:p>
        </w:tc>
        <w:tc>
          <w:tcPr>
            <w:tcW w:w="0" w:type="dxa"/>
            <w:vAlign w:val="bottom"/>
          </w:tcPr>
          <w:p>
            <w:pPr>
              <w:spacing w:after="0"/>
              <w:rPr>
                <w:sz w:val="1"/>
                <w:szCs w:val="1"/>
                <w:color w:val="auto"/>
              </w:rPr>
            </w:pPr>
          </w:p>
        </w:tc>
      </w:tr>
      <w:tr>
        <w:trPr>
          <w:trHeight w:val="136"/>
        </w:trPr>
        <w:tc>
          <w:tcPr>
            <w:tcW w:w="2600" w:type="dxa"/>
            <w:vAlign w:val="bottom"/>
            <w:shd w:val="clear" w:color="auto" w:fill="DBDBDB"/>
          </w:tcPr>
          <w:p>
            <w:pPr>
              <w:ind w:left="100"/>
              <w:spacing w:after="0" w:line="136" w:lineRule="exact"/>
              <w:rPr>
                <w:sz w:val="20"/>
                <w:szCs w:val="20"/>
                <w:color w:val="auto"/>
              </w:rPr>
            </w:pPr>
            <w:r>
              <w:rPr>
                <w:rFonts w:ascii="Arial" w:cs="Arial" w:eastAsia="Arial" w:hAnsi="Arial"/>
                <w:sz w:val="13"/>
                <w:szCs w:val="13"/>
                <w:color w:val="auto"/>
              </w:rPr>
              <w:t>Vice President</w:t>
            </w:r>
          </w:p>
        </w:tc>
        <w:tc>
          <w:tcPr>
            <w:tcW w:w="62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840" w:type="dxa"/>
            <w:vAlign w:val="bottom"/>
            <w:shd w:val="clear" w:color="auto" w:fill="DBDBDB"/>
          </w:tcPr>
          <w:p>
            <w:pPr>
              <w:spacing w:after="0"/>
              <w:rPr>
                <w:sz w:val="11"/>
                <w:szCs w:val="11"/>
                <w:color w:val="auto"/>
              </w:rPr>
            </w:pPr>
          </w:p>
        </w:tc>
        <w:tc>
          <w:tcPr>
            <w:tcW w:w="1060" w:type="dxa"/>
            <w:vAlign w:val="bottom"/>
            <w:shd w:val="clear" w:color="auto" w:fill="DBDBDB"/>
          </w:tcPr>
          <w:p>
            <w:pPr>
              <w:spacing w:after="0"/>
              <w:rPr>
                <w:sz w:val="11"/>
                <w:szCs w:val="11"/>
                <w:color w:val="auto"/>
              </w:rPr>
            </w:pPr>
          </w:p>
        </w:tc>
        <w:tc>
          <w:tcPr>
            <w:tcW w:w="920" w:type="dxa"/>
            <w:vAlign w:val="bottom"/>
            <w:shd w:val="clear" w:color="auto" w:fill="DBDBDB"/>
          </w:tcPr>
          <w:p>
            <w:pPr>
              <w:spacing w:after="0"/>
              <w:rPr>
                <w:sz w:val="11"/>
                <w:szCs w:val="11"/>
                <w:color w:val="auto"/>
              </w:rPr>
            </w:pPr>
          </w:p>
        </w:tc>
        <w:tc>
          <w:tcPr>
            <w:tcW w:w="1620" w:type="dxa"/>
            <w:vAlign w:val="bottom"/>
            <w:shd w:val="clear" w:color="auto" w:fill="DBDBDB"/>
          </w:tcPr>
          <w:p>
            <w:pPr>
              <w:spacing w:after="0"/>
              <w:rPr>
                <w:sz w:val="11"/>
                <w:szCs w:val="11"/>
                <w:color w:val="auto"/>
              </w:rPr>
            </w:pPr>
          </w:p>
        </w:tc>
        <w:tc>
          <w:tcPr>
            <w:tcW w:w="1560" w:type="dxa"/>
            <w:vAlign w:val="bottom"/>
            <w:shd w:val="clear" w:color="auto" w:fill="DBDBDB"/>
          </w:tcPr>
          <w:p>
            <w:pPr>
              <w:spacing w:after="0"/>
              <w:rPr>
                <w:sz w:val="11"/>
                <w:szCs w:val="11"/>
                <w:color w:val="auto"/>
              </w:rPr>
            </w:pPr>
          </w:p>
        </w:tc>
        <w:tc>
          <w:tcPr>
            <w:tcW w:w="8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00" w:type="dxa"/>
            <w:vAlign w:val="bottom"/>
            <w:shd w:val="clear" w:color="auto" w:fill="DBDBDB"/>
          </w:tcPr>
          <w:p>
            <w:pPr>
              <w:ind w:left="100"/>
              <w:spacing w:after="0"/>
              <w:rPr>
                <w:sz w:val="20"/>
                <w:szCs w:val="20"/>
                <w:color w:val="auto"/>
              </w:rPr>
            </w:pPr>
            <w:r>
              <w:rPr>
                <w:rFonts w:ascii="Arial" w:cs="Arial" w:eastAsia="Arial" w:hAnsi="Arial"/>
                <w:sz w:val="13"/>
                <w:szCs w:val="13"/>
                <w:color w:val="auto"/>
              </w:rPr>
              <w:t>and Chief Financial Officer</w:t>
            </w:r>
          </w:p>
        </w:tc>
        <w:tc>
          <w:tcPr>
            <w:tcW w:w="62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620" w:type="dxa"/>
            <w:vAlign w:val="bottom"/>
            <w:shd w:val="clear" w:color="auto" w:fill="DBDBDB"/>
          </w:tcPr>
          <w:p>
            <w:pPr>
              <w:spacing w:after="0"/>
              <w:rPr>
                <w:sz w:val="16"/>
                <w:szCs w:val="16"/>
                <w:color w:val="auto"/>
              </w:rPr>
            </w:pPr>
          </w:p>
        </w:tc>
        <w:tc>
          <w:tcPr>
            <w:tcW w:w="156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3"/>
                <w:szCs w:val="13"/>
                <w:color w:val="auto"/>
              </w:rPr>
              <w:t>Renee J. Peterson,</w:t>
            </w:r>
          </w:p>
        </w:tc>
        <w:tc>
          <w:tcPr>
            <w:tcW w:w="620" w:type="dxa"/>
            <w:vAlign w:val="bottom"/>
          </w:tcPr>
          <w:p>
            <w:pPr>
              <w:jc w:val="center"/>
              <w:spacing w:after="0"/>
              <w:rPr>
                <w:sz w:val="20"/>
                <w:szCs w:val="20"/>
                <w:color w:val="auto"/>
              </w:rPr>
            </w:pPr>
            <w:r>
              <w:rPr>
                <w:rFonts w:ascii="Arial" w:cs="Arial" w:eastAsia="Arial" w:hAnsi="Arial"/>
                <w:sz w:val="13"/>
                <w:szCs w:val="13"/>
                <w:color w:val="auto"/>
                <w:w w:val="96"/>
              </w:rPr>
              <w:t>2023</w:t>
            </w:r>
          </w:p>
        </w:tc>
        <w:tc>
          <w:tcPr>
            <w:tcW w:w="1100" w:type="dxa"/>
            <w:vAlign w:val="bottom"/>
          </w:tcPr>
          <w:p>
            <w:pPr>
              <w:jc w:val="right"/>
              <w:ind w:right="76"/>
              <w:spacing w:after="0"/>
              <w:rPr>
                <w:sz w:val="20"/>
                <w:szCs w:val="20"/>
                <w:color w:val="auto"/>
              </w:rPr>
            </w:pPr>
            <w:r>
              <w:rPr>
                <w:rFonts w:ascii="Arial" w:cs="Arial" w:eastAsia="Arial" w:hAnsi="Arial"/>
                <w:sz w:val="13"/>
                <w:szCs w:val="13"/>
                <w:color w:val="auto"/>
              </w:rPr>
              <w:t>482,716</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930,762</w:t>
            </w: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953,442</w:t>
            </w:r>
          </w:p>
        </w:tc>
        <w:tc>
          <w:tcPr>
            <w:tcW w:w="1620" w:type="dxa"/>
            <w:vAlign w:val="bottom"/>
          </w:tcPr>
          <w:p>
            <w:pPr>
              <w:jc w:val="right"/>
              <w:ind w:right="96"/>
              <w:spacing w:after="0"/>
              <w:rPr>
                <w:sz w:val="20"/>
                <w:szCs w:val="20"/>
                <w:color w:val="auto"/>
              </w:rPr>
            </w:pPr>
            <w:r>
              <w:rPr>
                <w:rFonts w:ascii="Arial" w:cs="Arial" w:eastAsia="Arial" w:hAnsi="Arial"/>
                <w:sz w:val="13"/>
                <w:szCs w:val="13"/>
                <w:color w:val="auto"/>
              </w:rPr>
              <w:t>111,797</w:t>
            </w:r>
          </w:p>
        </w:tc>
        <w:tc>
          <w:tcPr>
            <w:tcW w:w="1560" w:type="dxa"/>
            <w:vAlign w:val="bottom"/>
          </w:tcPr>
          <w:p>
            <w:pPr>
              <w:jc w:val="right"/>
              <w:ind w:right="136"/>
              <w:spacing w:after="0"/>
              <w:rPr>
                <w:sz w:val="20"/>
                <w:szCs w:val="20"/>
                <w:color w:val="auto"/>
              </w:rPr>
            </w:pPr>
            <w:r>
              <w:rPr>
                <w:rFonts w:ascii="Arial" w:cs="Arial" w:eastAsia="Arial" w:hAnsi="Arial"/>
                <w:sz w:val="13"/>
                <w:szCs w:val="13"/>
                <w:color w:val="auto"/>
              </w:rPr>
              <w:t>105,793</w:t>
            </w:r>
          </w:p>
        </w:tc>
        <w:tc>
          <w:tcPr>
            <w:tcW w:w="800" w:type="dxa"/>
            <w:vAlign w:val="bottom"/>
          </w:tcPr>
          <w:p>
            <w:pPr>
              <w:jc w:val="right"/>
              <w:spacing w:after="0"/>
              <w:rPr>
                <w:sz w:val="20"/>
                <w:szCs w:val="20"/>
                <w:color w:val="auto"/>
              </w:rPr>
            </w:pPr>
            <w:r>
              <w:rPr>
                <w:rFonts w:ascii="Arial" w:cs="Arial" w:eastAsia="Arial" w:hAnsi="Arial"/>
                <w:sz w:val="13"/>
                <w:szCs w:val="13"/>
                <w:color w:val="auto"/>
              </w:rPr>
              <w:t>2,584,510</w:t>
            </w:r>
          </w:p>
        </w:tc>
        <w:tc>
          <w:tcPr>
            <w:tcW w:w="0" w:type="dxa"/>
            <w:vAlign w:val="bottom"/>
          </w:tcPr>
          <w:p>
            <w:pPr>
              <w:spacing w:after="0"/>
              <w:rPr>
                <w:sz w:val="1"/>
                <w:szCs w:val="1"/>
                <w:color w:val="auto"/>
              </w:rPr>
            </w:pPr>
          </w:p>
        </w:tc>
      </w:tr>
      <w:tr>
        <w:trPr>
          <w:trHeight w:val="175"/>
        </w:trPr>
        <w:tc>
          <w:tcPr>
            <w:tcW w:w="2600" w:type="dxa"/>
            <w:vAlign w:val="bottom"/>
          </w:tcPr>
          <w:p>
            <w:pPr>
              <w:ind w:left="100"/>
              <w:spacing w:after="0"/>
              <w:rPr>
                <w:sz w:val="20"/>
                <w:szCs w:val="20"/>
                <w:color w:val="auto"/>
              </w:rPr>
            </w:pPr>
            <w:r>
              <w:rPr>
                <w:rFonts w:ascii="Arial" w:cs="Arial" w:eastAsia="Arial" w:hAnsi="Arial"/>
                <w:sz w:val="13"/>
                <w:szCs w:val="13"/>
                <w:color w:val="auto"/>
              </w:rPr>
              <w:t>Former Vice President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96"/>
              </w:rPr>
              <w:t>2022</w:t>
            </w:r>
          </w:p>
        </w:tc>
        <w:tc>
          <w:tcPr>
            <w:tcW w:w="1100" w:type="dxa"/>
            <w:vAlign w:val="bottom"/>
            <w:vMerge w:val="restart"/>
          </w:tcPr>
          <w:p>
            <w:pPr>
              <w:jc w:val="right"/>
              <w:ind w:right="76"/>
              <w:spacing w:after="0"/>
              <w:rPr>
                <w:sz w:val="20"/>
                <w:szCs w:val="20"/>
                <w:color w:val="auto"/>
              </w:rPr>
            </w:pPr>
            <w:r>
              <w:rPr>
                <w:rFonts w:ascii="Arial" w:cs="Arial" w:eastAsia="Arial" w:hAnsi="Arial"/>
                <w:sz w:val="13"/>
                <w:szCs w:val="13"/>
                <w:color w:val="auto"/>
              </w:rPr>
              <w:t>595,089</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1060" w:type="dxa"/>
            <w:vAlign w:val="bottom"/>
            <w:vMerge w:val="restart"/>
          </w:tcPr>
          <w:p>
            <w:pPr>
              <w:jc w:val="right"/>
              <w:ind w:right="76"/>
              <w:spacing w:after="0"/>
              <w:rPr>
                <w:sz w:val="20"/>
                <w:szCs w:val="20"/>
                <w:color w:val="auto"/>
              </w:rPr>
            </w:pPr>
            <w:r>
              <w:rPr>
                <w:rFonts w:ascii="Arial" w:cs="Arial" w:eastAsia="Arial" w:hAnsi="Arial"/>
                <w:sz w:val="13"/>
                <w:szCs w:val="13"/>
                <w:color w:val="auto"/>
              </w:rPr>
              <w:t>659,347</w:t>
            </w:r>
          </w:p>
        </w:tc>
        <w:tc>
          <w:tcPr>
            <w:tcW w:w="920" w:type="dxa"/>
            <w:vAlign w:val="bottom"/>
            <w:vMerge w:val="restart"/>
          </w:tcPr>
          <w:p>
            <w:pPr>
              <w:jc w:val="right"/>
              <w:ind w:right="16"/>
              <w:spacing w:after="0"/>
              <w:rPr>
                <w:sz w:val="20"/>
                <w:szCs w:val="20"/>
                <w:color w:val="auto"/>
              </w:rPr>
            </w:pPr>
            <w:r>
              <w:rPr>
                <w:rFonts w:ascii="Arial" w:cs="Arial" w:eastAsia="Arial" w:hAnsi="Arial"/>
                <w:sz w:val="13"/>
                <w:szCs w:val="13"/>
                <w:color w:val="auto"/>
              </w:rPr>
              <w:t>661,824</w:t>
            </w:r>
          </w:p>
        </w:tc>
        <w:tc>
          <w:tcPr>
            <w:tcW w:w="1620" w:type="dxa"/>
            <w:vAlign w:val="bottom"/>
            <w:vMerge w:val="restart"/>
          </w:tcPr>
          <w:p>
            <w:pPr>
              <w:jc w:val="right"/>
              <w:ind w:right="96"/>
              <w:spacing w:after="0"/>
              <w:rPr>
                <w:sz w:val="20"/>
                <w:szCs w:val="20"/>
                <w:color w:val="auto"/>
              </w:rPr>
            </w:pPr>
            <w:r>
              <w:rPr>
                <w:rFonts w:ascii="Arial" w:cs="Arial" w:eastAsia="Arial" w:hAnsi="Arial"/>
                <w:sz w:val="13"/>
                <w:szCs w:val="13"/>
                <w:color w:val="auto"/>
              </w:rPr>
              <w:t>328,441</w:t>
            </w:r>
          </w:p>
        </w:tc>
        <w:tc>
          <w:tcPr>
            <w:tcW w:w="1560" w:type="dxa"/>
            <w:vAlign w:val="bottom"/>
            <w:vMerge w:val="restart"/>
          </w:tcPr>
          <w:p>
            <w:pPr>
              <w:jc w:val="right"/>
              <w:ind w:right="136"/>
              <w:spacing w:after="0"/>
              <w:rPr>
                <w:sz w:val="20"/>
                <w:szCs w:val="20"/>
                <w:color w:val="auto"/>
              </w:rPr>
            </w:pPr>
            <w:r>
              <w:rPr>
                <w:rFonts w:ascii="Arial" w:cs="Arial" w:eastAsia="Arial" w:hAnsi="Arial"/>
                <w:sz w:val="13"/>
                <w:szCs w:val="13"/>
                <w:color w:val="auto"/>
              </w:rPr>
              <w:t>148,911</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2,393,612</w:t>
            </w:r>
          </w:p>
        </w:tc>
        <w:tc>
          <w:tcPr>
            <w:tcW w:w="0" w:type="dxa"/>
            <w:vAlign w:val="bottom"/>
          </w:tcPr>
          <w:p>
            <w:pPr>
              <w:spacing w:after="0"/>
              <w:rPr>
                <w:sz w:val="1"/>
                <w:szCs w:val="1"/>
                <w:color w:val="auto"/>
              </w:rPr>
            </w:pPr>
          </w:p>
        </w:tc>
      </w:tr>
      <w:tr>
        <w:trPr>
          <w:trHeight w:val="53"/>
        </w:trPr>
        <w:tc>
          <w:tcPr>
            <w:tcW w:w="2600" w:type="dxa"/>
            <w:vAlign w:val="bottom"/>
            <w:vMerge w:val="restart"/>
          </w:tcPr>
          <w:p>
            <w:pPr>
              <w:ind w:left="100"/>
              <w:spacing w:after="0"/>
              <w:rPr>
                <w:sz w:val="20"/>
                <w:szCs w:val="20"/>
                <w:color w:val="auto"/>
              </w:rPr>
            </w:pPr>
            <w:r>
              <w:rPr>
                <w:rFonts w:ascii="Arial" w:cs="Arial" w:eastAsia="Arial" w:hAnsi="Arial"/>
                <w:sz w:val="13"/>
                <w:szCs w:val="13"/>
                <w:color w:val="auto"/>
              </w:rPr>
              <w:t>and Chief Financial Officer</w:t>
            </w:r>
          </w:p>
        </w:tc>
        <w:tc>
          <w:tcPr>
            <w:tcW w:w="6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600" w:type="dxa"/>
            <w:vAlign w:val="bottom"/>
            <w:vMerge w:val="continue"/>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96"/>
              </w:rPr>
              <w:t>2021</w:t>
            </w:r>
          </w:p>
        </w:tc>
        <w:tc>
          <w:tcPr>
            <w:tcW w:w="1100" w:type="dxa"/>
            <w:vAlign w:val="bottom"/>
            <w:vMerge w:val="restart"/>
          </w:tcPr>
          <w:p>
            <w:pPr>
              <w:jc w:val="right"/>
              <w:ind w:right="76"/>
              <w:spacing w:after="0"/>
              <w:rPr>
                <w:sz w:val="20"/>
                <w:szCs w:val="20"/>
                <w:color w:val="auto"/>
              </w:rPr>
            </w:pPr>
            <w:r>
              <w:rPr>
                <w:rFonts w:ascii="Arial" w:cs="Arial" w:eastAsia="Arial" w:hAnsi="Arial"/>
                <w:sz w:val="13"/>
                <w:szCs w:val="13"/>
                <w:color w:val="auto"/>
              </w:rPr>
              <w:t>566,066</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1060" w:type="dxa"/>
            <w:vAlign w:val="bottom"/>
            <w:vMerge w:val="restart"/>
          </w:tcPr>
          <w:p>
            <w:pPr>
              <w:jc w:val="right"/>
              <w:ind w:right="76"/>
              <w:spacing w:after="0"/>
              <w:rPr>
                <w:sz w:val="20"/>
                <w:szCs w:val="20"/>
                <w:color w:val="auto"/>
              </w:rPr>
            </w:pPr>
            <w:r>
              <w:rPr>
                <w:rFonts w:ascii="Arial" w:cs="Arial" w:eastAsia="Arial" w:hAnsi="Arial"/>
                <w:sz w:val="13"/>
                <w:szCs w:val="13"/>
                <w:color w:val="auto"/>
              </w:rPr>
              <w:t>634,130</w:t>
            </w:r>
          </w:p>
        </w:tc>
        <w:tc>
          <w:tcPr>
            <w:tcW w:w="920" w:type="dxa"/>
            <w:vAlign w:val="bottom"/>
            <w:vMerge w:val="restart"/>
          </w:tcPr>
          <w:p>
            <w:pPr>
              <w:jc w:val="right"/>
              <w:ind w:right="16"/>
              <w:spacing w:after="0"/>
              <w:rPr>
                <w:sz w:val="20"/>
                <w:szCs w:val="20"/>
                <w:color w:val="auto"/>
              </w:rPr>
            </w:pPr>
            <w:r>
              <w:rPr>
                <w:rFonts w:ascii="Arial" w:cs="Arial" w:eastAsia="Arial" w:hAnsi="Arial"/>
                <w:sz w:val="13"/>
                <w:szCs w:val="13"/>
                <w:color w:val="auto"/>
              </w:rPr>
              <w:t>663,264</w:t>
            </w:r>
          </w:p>
        </w:tc>
        <w:tc>
          <w:tcPr>
            <w:tcW w:w="1620" w:type="dxa"/>
            <w:vAlign w:val="bottom"/>
            <w:vMerge w:val="restart"/>
          </w:tcPr>
          <w:p>
            <w:pPr>
              <w:jc w:val="right"/>
              <w:ind w:right="96"/>
              <w:spacing w:after="0"/>
              <w:rPr>
                <w:sz w:val="20"/>
                <w:szCs w:val="20"/>
                <w:color w:val="auto"/>
              </w:rPr>
            </w:pPr>
            <w:r>
              <w:rPr>
                <w:rFonts w:ascii="Arial" w:cs="Arial" w:eastAsia="Arial" w:hAnsi="Arial"/>
                <w:sz w:val="13"/>
                <w:szCs w:val="13"/>
                <w:color w:val="auto"/>
              </w:rPr>
              <w:t>756,083</w:t>
            </w:r>
          </w:p>
        </w:tc>
        <w:tc>
          <w:tcPr>
            <w:tcW w:w="1560" w:type="dxa"/>
            <w:vAlign w:val="bottom"/>
            <w:vMerge w:val="restart"/>
          </w:tcPr>
          <w:p>
            <w:pPr>
              <w:jc w:val="right"/>
              <w:ind w:right="136"/>
              <w:spacing w:after="0"/>
              <w:rPr>
                <w:sz w:val="20"/>
                <w:szCs w:val="20"/>
                <w:color w:val="auto"/>
              </w:rPr>
            </w:pPr>
            <w:r>
              <w:rPr>
                <w:rFonts w:ascii="Arial" w:cs="Arial" w:eastAsia="Arial" w:hAnsi="Arial"/>
                <w:sz w:val="13"/>
                <w:szCs w:val="13"/>
                <w:color w:val="auto"/>
              </w:rPr>
              <w:t>187,432</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2,806,975</w:t>
            </w:r>
          </w:p>
        </w:tc>
        <w:tc>
          <w:tcPr>
            <w:tcW w:w="0" w:type="dxa"/>
            <w:vAlign w:val="bottom"/>
          </w:tcPr>
          <w:p>
            <w:pPr>
              <w:spacing w:after="0"/>
              <w:rPr>
                <w:sz w:val="1"/>
                <w:szCs w:val="1"/>
                <w:color w:val="auto"/>
              </w:rPr>
            </w:pPr>
          </w:p>
        </w:tc>
      </w:tr>
      <w:tr>
        <w:trPr>
          <w:trHeight w:val="93"/>
        </w:trPr>
        <w:tc>
          <w:tcPr>
            <w:tcW w:w="26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Joanna M. Totsky,</w:t>
            </w:r>
          </w:p>
        </w:tc>
        <w:tc>
          <w:tcPr>
            <w:tcW w:w="620" w:type="dxa"/>
            <w:vAlign w:val="bottom"/>
            <w:vMerge w:val="restart"/>
            <w:shd w:val="clear" w:color="auto" w:fill="DBDBDB"/>
          </w:tcPr>
          <w:p>
            <w:pPr>
              <w:jc w:val="center"/>
              <w:spacing w:after="0"/>
              <w:rPr>
                <w:sz w:val="20"/>
                <w:szCs w:val="20"/>
                <w:color w:val="auto"/>
              </w:rPr>
            </w:pPr>
            <w:r>
              <w:rPr>
                <w:rFonts w:ascii="Arial" w:cs="Arial" w:eastAsia="Arial" w:hAnsi="Arial"/>
                <w:sz w:val="13"/>
                <w:szCs w:val="13"/>
                <w:color w:val="auto"/>
                <w:w w:val="96"/>
              </w:rPr>
              <w:t>2023</w:t>
            </w:r>
          </w:p>
        </w:tc>
        <w:tc>
          <w:tcPr>
            <w:tcW w:w="1100" w:type="dxa"/>
            <w:vAlign w:val="bottom"/>
            <w:vMerge w:val="restart"/>
            <w:shd w:val="clear" w:color="auto" w:fill="DBDBDB"/>
          </w:tcPr>
          <w:p>
            <w:pPr>
              <w:jc w:val="right"/>
              <w:ind w:right="76"/>
              <w:spacing w:after="0"/>
              <w:rPr>
                <w:sz w:val="20"/>
                <w:szCs w:val="20"/>
                <w:color w:val="auto"/>
              </w:rPr>
            </w:pPr>
            <w:r>
              <w:rPr>
                <w:rFonts w:ascii="Arial" w:cs="Arial" w:eastAsia="Arial" w:hAnsi="Arial"/>
                <w:sz w:val="13"/>
                <w:szCs w:val="13"/>
                <w:color w:val="auto"/>
              </w:rPr>
              <w:t>200,967</w:t>
            </w:r>
          </w:p>
        </w:tc>
        <w:tc>
          <w:tcPr>
            <w:tcW w:w="840" w:type="dxa"/>
            <w:vAlign w:val="bottom"/>
            <w:vMerge w:val="restart"/>
            <w:shd w:val="clear" w:color="auto" w:fill="DBDBDB"/>
          </w:tcPr>
          <w:p>
            <w:pPr>
              <w:jc w:val="center"/>
              <w:spacing w:after="0"/>
              <w:rPr>
                <w:sz w:val="20"/>
                <w:szCs w:val="20"/>
                <w:color w:val="auto"/>
              </w:rPr>
            </w:pPr>
            <w:r>
              <w:rPr>
                <w:rFonts w:ascii="Arial" w:cs="Arial" w:eastAsia="Arial" w:hAnsi="Arial"/>
                <w:sz w:val="13"/>
                <w:szCs w:val="13"/>
                <w:color w:val="auto"/>
                <w:w w:val="97"/>
              </w:rPr>
              <w:t>150,000</w:t>
            </w:r>
          </w:p>
        </w:tc>
        <w:tc>
          <w:tcPr>
            <w:tcW w:w="1060" w:type="dxa"/>
            <w:vAlign w:val="bottom"/>
            <w:vMerge w:val="restart"/>
            <w:shd w:val="clear" w:color="auto" w:fill="DBDBDB"/>
          </w:tcPr>
          <w:p>
            <w:pPr>
              <w:jc w:val="right"/>
              <w:ind w:right="76"/>
              <w:spacing w:after="0"/>
              <w:rPr>
                <w:sz w:val="20"/>
                <w:szCs w:val="20"/>
                <w:color w:val="auto"/>
              </w:rPr>
            </w:pPr>
            <w:r>
              <w:rPr>
                <w:rFonts w:ascii="Arial" w:cs="Arial" w:eastAsia="Arial" w:hAnsi="Arial"/>
                <w:sz w:val="13"/>
                <w:szCs w:val="13"/>
                <w:color w:val="auto"/>
              </w:rPr>
              <w:t>1,349,913</w:t>
            </w:r>
          </w:p>
        </w:tc>
        <w:tc>
          <w:tcPr>
            <w:tcW w:w="920" w:type="dxa"/>
            <w:vAlign w:val="bottom"/>
            <w:vMerge w:val="restart"/>
            <w:shd w:val="clear" w:color="auto" w:fill="DBDBDB"/>
          </w:tcPr>
          <w:p>
            <w:pPr>
              <w:jc w:val="right"/>
              <w:ind w:right="16"/>
              <w:spacing w:after="0"/>
              <w:rPr>
                <w:sz w:val="20"/>
                <w:szCs w:val="20"/>
                <w:color w:val="auto"/>
              </w:rPr>
            </w:pPr>
            <w:r>
              <w:rPr>
                <w:rFonts w:ascii="Arial" w:cs="Arial" w:eastAsia="Arial" w:hAnsi="Arial"/>
                <w:sz w:val="13"/>
                <w:szCs w:val="13"/>
                <w:color w:val="auto"/>
              </w:rPr>
              <w:t>0</w:t>
            </w:r>
          </w:p>
        </w:tc>
        <w:tc>
          <w:tcPr>
            <w:tcW w:w="1620" w:type="dxa"/>
            <w:vAlign w:val="bottom"/>
            <w:vMerge w:val="restart"/>
            <w:shd w:val="clear" w:color="auto" w:fill="DBDBDB"/>
          </w:tcPr>
          <w:p>
            <w:pPr>
              <w:jc w:val="right"/>
              <w:ind w:right="96"/>
              <w:spacing w:after="0"/>
              <w:rPr>
                <w:sz w:val="20"/>
                <w:szCs w:val="20"/>
                <w:color w:val="auto"/>
              </w:rPr>
            </w:pPr>
            <w:r>
              <w:rPr>
                <w:rFonts w:ascii="Arial" w:cs="Arial" w:eastAsia="Arial" w:hAnsi="Arial"/>
                <w:sz w:val="13"/>
                <w:szCs w:val="13"/>
                <w:color w:val="auto"/>
              </w:rPr>
              <w:t>37,817</w:t>
            </w:r>
          </w:p>
        </w:tc>
        <w:tc>
          <w:tcPr>
            <w:tcW w:w="1560" w:type="dxa"/>
            <w:vAlign w:val="bottom"/>
            <w:vMerge w:val="restart"/>
            <w:shd w:val="clear" w:color="auto" w:fill="DBDBDB"/>
          </w:tcPr>
          <w:p>
            <w:pPr>
              <w:jc w:val="right"/>
              <w:ind w:right="136"/>
              <w:spacing w:after="0"/>
              <w:rPr>
                <w:sz w:val="20"/>
                <w:szCs w:val="20"/>
                <w:color w:val="auto"/>
              </w:rPr>
            </w:pPr>
            <w:r>
              <w:rPr>
                <w:rFonts w:ascii="Arial" w:cs="Arial" w:eastAsia="Arial" w:hAnsi="Arial"/>
                <w:sz w:val="13"/>
                <w:szCs w:val="13"/>
                <w:color w:val="auto"/>
              </w:rPr>
              <w:t>119,245</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1,857,942</w:t>
            </w:r>
          </w:p>
        </w:tc>
        <w:tc>
          <w:tcPr>
            <w:tcW w:w="0" w:type="dxa"/>
            <w:vAlign w:val="bottom"/>
          </w:tcPr>
          <w:p>
            <w:pPr>
              <w:spacing w:after="0"/>
              <w:rPr>
                <w:sz w:val="1"/>
                <w:szCs w:val="1"/>
                <w:color w:val="auto"/>
              </w:rPr>
            </w:pPr>
          </w:p>
        </w:tc>
      </w:tr>
      <w:tr>
        <w:trPr>
          <w:trHeight w:val="107"/>
        </w:trPr>
        <w:tc>
          <w:tcPr>
            <w:tcW w:w="2600" w:type="dxa"/>
            <w:vAlign w:val="bottom"/>
            <w:vMerge w:val="restart"/>
            <w:shd w:val="clear" w:color="auto" w:fill="DBDBDB"/>
          </w:tcPr>
          <w:p>
            <w:pPr>
              <w:ind w:left="100"/>
              <w:spacing w:after="0"/>
              <w:rPr>
                <w:sz w:val="20"/>
                <w:szCs w:val="20"/>
                <w:color w:val="auto"/>
              </w:rPr>
            </w:pPr>
            <w:r>
              <w:rPr>
                <w:rFonts w:ascii="Arial" w:cs="Arial" w:eastAsia="Arial" w:hAnsi="Arial"/>
                <w:sz w:val="13"/>
                <w:szCs w:val="13"/>
                <w:color w:val="auto"/>
              </w:rPr>
              <w:t>Vice President, General Counsel and</w:t>
            </w:r>
          </w:p>
        </w:tc>
        <w:tc>
          <w:tcPr>
            <w:tcW w:w="620" w:type="dxa"/>
            <w:vAlign w:val="bottom"/>
            <w:vMerge w:val="continue"/>
            <w:shd w:val="clear" w:color="auto" w:fill="DBDBDB"/>
          </w:tcPr>
          <w:p>
            <w:pPr>
              <w:spacing w:after="0"/>
              <w:rPr>
                <w:sz w:val="9"/>
                <w:szCs w:val="9"/>
                <w:color w:val="auto"/>
              </w:rPr>
            </w:pPr>
          </w:p>
        </w:tc>
        <w:tc>
          <w:tcPr>
            <w:tcW w:w="1100" w:type="dxa"/>
            <w:vAlign w:val="bottom"/>
            <w:vMerge w:val="continue"/>
            <w:shd w:val="clear" w:color="auto" w:fill="DBDBDB"/>
          </w:tcPr>
          <w:p>
            <w:pPr>
              <w:spacing w:after="0"/>
              <w:rPr>
                <w:sz w:val="9"/>
                <w:szCs w:val="9"/>
                <w:color w:val="auto"/>
              </w:rPr>
            </w:pPr>
          </w:p>
        </w:tc>
        <w:tc>
          <w:tcPr>
            <w:tcW w:w="840" w:type="dxa"/>
            <w:vAlign w:val="bottom"/>
            <w:vMerge w:val="continue"/>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920" w:type="dxa"/>
            <w:vAlign w:val="bottom"/>
            <w:vMerge w:val="continue"/>
            <w:shd w:val="clear" w:color="auto" w:fill="DBDBDB"/>
          </w:tcPr>
          <w:p>
            <w:pPr>
              <w:spacing w:after="0"/>
              <w:rPr>
                <w:sz w:val="9"/>
                <w:szCs w:val="9"/>
                <w:color w:val="auto"/>
              </w:rPr>
            </w:pPr>
          </w:p>
        </w:tc>
        <w:tc>
          <w:tcPr>
            <w:tcW w:w="1620" w:type="dxa"/>
            <w:vAlign w:val="bottom"/>
            <w:vMerge w:val="continue"/>
            <w:shd w:val="clear" w:color="auto" w:fill="DBDBDB"/>
          </w:tcPr>
          <w:p>
            <w:pPr>
              <w:spacing w:after="0"/>
              <w:rPr>
                <w:sz w:val="9"/>
                <w:szCs w:val="9"/>
                <w:color w:val="auto"/>
              </w:rPr>
            </w:pPr>
          </w:p>
        </w:tc>
        <w:tc>
          <w:tcPr>
            <w:tcW w:w="1560" w:type="dxa"/>
            <w:vAlign w:val="bottom"/>
            <w:vMerge w:val="continue"/>
            <w:shd w:val="clear" w:color="auto" w:fill="DBDBDB"/>
          </w:tcPr>
          <w:p>
            <w:pPr>
              <w:spacing w:after="0"/>
              <w:rPr>
                <w:sz w:val="9"/>
                <w:szCs w:val="9"/>
                <w:color w:val="auto"/>
              </w:rPr>
            </w:pPr>
          </w:p>
        </w:tc>
        <w:tc>
          <w:tcPr>
            <w:tcW w:w="80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600" w:type="dxa"/>
            <w:vAlign w:val="bottom"/>
            <w:vMerge w:val="continue"/>
            <w:shd w:val="clear" w:color="auto" w:fill="DBDBDB"/>
          </w:tcPr>
          <w:p>
            <w:pPr>
              <w:spacing w:after="0"/>
              <w:rPr>
                <w:sz w:val="4"/>
                <w:szCs w:val="4"/>
                <w:color w:val="auto"/>
              </w:rPr>
            </w:pPr>
          </w:p>
        </w:tc>
        <w:tc>
          <w:tcPr>
            <w:tcW w:w="620" w:type="dxa"/>
            <w:vAlign w:val="bottom"/>
            <w:shd w:val="clear" w:color="auto" w:fill="DBDBDB"/>
          </w:tcPr>
          <w:p>
            <w:pPr>
              <w:spacing w:after="0"/>
              <w:rPr>
                <w:sz w:val="4"/>
                <w:szCs w:val="4"/>
                <w:color w:val="auto"/>
              </w:rPr>
            </w:pPr>
          </w:p>
        </w:tc>
        <w:tc>
          <w:tcPr>
            <w:tcW w:w="1100" w:type="dxa"/>
            <w:vAlign w:val="bottom"/>
            <w:shd w:val="clear" w:color="auto" w:fill="DBDBDB"/>
          </w:tcPr>
          <w:p>
            <w:pPr>
              <w:spacing w:after="0"/>
              <w:rPr>
                <w:sz w:val="4"/>
                <w:szCs w:val="4"/>
                <w:color w:val="auto"/>
              </w:rPr>
            </w:pPr>
          </w:p>
        </w:tc>
        <w:tc>
          <w:tcPr>
            <w:tcW w:w="840" w:type="dxa"/>
            <w:vAlign w:val="bottom"/>
            <w:shd w:val="clear" w:color="auto" w:fill="DBDBDB"/>
          </w:tcPr>
          <w:p>
            <w:pPr>
              <w:spacing w:after="0"/>
              <w:rPr>
                <w:sz w:val="4"/>
                <w:szCs w:val="4"/>
                <w:color w:val="auto"/>
              </w:rPr>
            </w:pPr>
          </w:p>
        </w:tc>
        <w:tc>
          <w:tcPr>
            <w:tcW w:w="1060" w:type="dxa"/>
            <w:vAlign w:val="bottom"/>
            <w:shd w:val="clear" w:color="auto" w:fill="DBDBDB"/>
          </w:tcPr>
          <w:p>
            <w:pPr>
              <w:spacing w:after="0"/>
              <w:rPr>
                <w:sz w:val="4"/>
                <w:szCs w:val="4"/>
                <w:color w:val="auto"/>
              </w:rPr>
            </w:pPr>
          </w:p>
        </w:tc>
        <w:tc>
          <w:tcPr>
            <w:tcW w:w="920" w:type="dxa"/>
            <w:vAlign w:val="bottom"/>
            <w:shd w:val="clear" w:color="auto" w:fill="DBDBDB"/>
          </w:tcPr>
          <w:p>
            <w:pPr>
              <w:spacing w:after="0"/>
              <w:rPr>
                <w:sz w:val="4"/>
                <w:szCs w:val="4"/>
                <w:color w:val="auto"/>
              </w:rPr>
            </w:pPr>
          </w:p>
        </w:tc>
        <w:tc>
          <w:tcPr>
            <w:tcW w:w="1620" w:type="dxa"/>
            <w:vAlign w:val="bottom"/>
            <w:shd w:val="clear" w:color="auto" w:fill="DBDBDB"/>
          </w:tcPr>
          <w:p>
            <w:pPr>
              <w:spacing w:after="0"/>
              <w:rPr>
                <w:sz w:val="4"/>
                <w:szCs w:val="4"/>
                <w:color w:val="auto"/>
              </w:rPr>
            </w:pPr>
          </w:p>
        </w:tc>
        <w:tc>
          <w:tcPr>
            <w:tcW w:w="1560" w:type="dxa"/>
            <w:vAlign w:val="bottom"/>
            <w:shd w:val="clear" w:color="auto" w:fill="DBDBDB"/>
          </w:tcPr>
          <w:p>
            <w:pPr>
              <w:spacing w:after="0"/>
              <w:rPr>
                <w:sz w:val="4"/>
                <w:szCs w:val="4"/>
                <w:color w:val="auto"/>
              </w:rPr>
            </w:pPr>
          </w:p>
        </w:tc>
        <w:tc>
          <w:tcPr>
            <w:tcW w:w="80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6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Corporate Secretary</w:t>
            </w:r>
            <w:r>
              <w:rPr>
                <w:rFonts w:ascii="Arial" w:cs="Arial" w:eastAsia="Arial" w:hAnsi="Arial"/>
                <w:sz w:val="17"/>
                <w:szCs w:val="17"/>
                <w:color w:val="auto"/>
                <w:vertAlign w:val="superscript"/>
              </w:rPr>
              <w:t>7</w:t>
            </w:r>
          </w:p>
        </w:tc>
        <w:tc>
          <w:tcPr>
            <w:tcW w:w="620" w:type="dxa"/>
            <w:vAlign w:val="bottom"/>
            <w:tcBorders>
              <w:bottom w:val="single" w:sz="8" w:color="DBDBDB"/>
            </w:tcBorders>
            <w:shd w:val="clear" w:color="auto" w:fill="DBDBDB"/>
          </w:tcPr>
          <w:p>
            <w:pPr>
              <w:spacing w:after="0"/>
              <w:rPr>
                <w:sz w:val="23"/>
                <w:szCs w:val="23"/>
                <w:color w:val="auto"/>
              </w:rPr>
            </w:pPr>
          </w:p>
        </w:tc>
        <w:tc>
          <w:tcPr>
            <w:tcW w:w="1100" w:type="dxa"/>
            <w:vAlign w:val="bottom"/>
            <w:tcBorders>
              <w:bottom w:val="single" w:sz="8" w:color="DBDBDB"/>
            </w:tcBorders>
            <w:shd w:val="clear" w:color="auto" w:fill="DBDBDB"/>
          </w:tcPr>
          <w:p>
            <w:pPr>
              <w:spacing w:after="0"/>
              <w:rPr>
                <w:sz w:val="23"/>
                <w:szCs w:val="23"/>
                <w:color w:val="auto"/>
              </w:rPr>
            </w:pPr>
          </w:p>
        </w:tc>
        <w:tc>
          <w:tcPr>
            <w:tcW w:w="840" w:type="dxa"/>
            <w:vAlign w:val="bottom"/>
            <w:tcBorders>
              <w:bottom w:val="single" w:sz="8" w:color="DBDBDB"/>
            </w:tcBorders>
            <w:shd w:val="clear" w:color="auto" w:fill="DBDBDB"/>
          </w:tcPr>
          <w:p>
            <w:pPr>
              <w:spacing w:after="0"/>
              <w:rPr>
                <w:sz w:val="23"/>
                <w:szCs w:val="23"/>
                <w:color w:val="auto"/>
              </w:rPr>
            </w:pPr>
          </w:p>
        </w:tc>
        <w:tc>
          <w:tcPr>
            <w:tcW w:w="1060" w:type="dxa"/>
            <w:vAlign w:val="bottom"/>
            <w:tcBorders>
              <w:bottom w:val="single" w:sz="8" w:color="DBDBDB"/>
            </w:tcBorders>
            <w:shd w:val="clear" w:color="auto" w:fill="DBDBDB"/>
          </w:tcPr>
          <w:p>
            <w:pPr>
              <w:spacing w:after="0"/>
              <w:rPr>
                <w:sz w:val="23"/>
                <w:szCs w:val="23"/>
                <w:color w:val="auto"/>
              </w:rPr>
            </w:pPr>
          </w:p>
        </w:tc>
        <w:tc>
          <w:tcPr>
            <w:tcW w:w="920" w:type="dxa"/>
            <w:vAlign w:val="bottom"/>
            <w:tcBorders>
              <w:bottom w:val="single" w:sz="8" w:color="DBDBDB"/>
            </w:tcBorders>
            <w:shd w:val="clear" w:color="auto" w:fill="DBDBDB"/>
          </w:tcPr>
          <w:p>
            <w:pPr>
              <w:spacing w:after="0"/>
              <w:rPr>
                <w:sz w:val="23"/>
                <w:szCs w:val="23"/>
                <w:color w:val="auto"/>
              </w:rPr>
            </w:pPr>
          </w:p>
        </w:tc>
        <w:tc>
          <w:tcPr>
            <w:tcW w:w="1620" w:type="dxa"/>
            <w:vAlign w:val="bottom"/>
            <w:tcBorders>
              <w:bottom w:val="single" w:sz="8" w:color="DBDBDB"/>
            </w:tcBorders>
            <w:shd w:val="clear" w:color="auto" w:fill="DBDBDB"/>
          </w:tcPr>
          <w:p>
            <w:pPr>
              <w:spacing w:after="0"/>
              <w:rPr>
                <w:sz w:val="23"/>
                <w:szCs w:val="23"/>
                <w:color w:val="auto"/>
              </w:rPr>
            </w:pPr>
          </w:p>
        </w:tc>
        <w:tc>
          <w:tcPr>
            <w:tcW w:w="1560" w:type="dxa"/>
            <w:vAlign w:val="bottom"/>
            <w:tcBorders>
              <w:bottom w:val="single" w:sz="8" w:color="DBDBDB"/>
            </w:tcBorders>
            <w:shd w:val="clear" w:color="auto" w:fill="DBDBDB"/>
          </w:tcPr>
          <w:p>
            <w:pPr>
              <w:spacing w:after="0"/>
              <w:rPr>
                <w:sz w:val="23"/>
                <w:szCs w:val="23"/>
                <w:color w:val="auto"/>
              </w:rPr>
            </w:pPr>
          </w:p>
        </w:tc>
        <w:tc>
          <w:tcPr>
            <w:tcW w:w="800" w:type="dxa"/>
            <w:vAlign w:val="bottom"/>
            <w:tcBorders>
              <w:bottom w:val="single" w:sz="8" w:color="DBDBDB"/>
            </w:tcBorders>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600" w:type="dxa"/>
            <w:vAlign w:val="bottom"/>
          </w:tcPr>
          <w:p>
            <w:pPr>
              <w:ind w:left="20"/>
              <w:spacing w:after="0"/>
              <w:rPr>
                <w:sz w:val="20"/>
                <w:szCs w:val="20"/>
                <w:color w:val="auto"/>
              </w:rPr>
            </w:pPr>
            <w:r>
              <w:rPr>
                <w:rFonts w:ascii="Arial" w:cs="Arial" w:eastAsia="Arial" w:hAnsi="Arial"/>
                <w:sz w:val="13"/>
                <w:szCs w:val="13"/>
                <w:color w:val="auto"/>
              </w:rPr>
              <w:t>Amy E. Dahl,</w:t>
            </w:r>
          </w:p>
        </w:tc>
        <w:tc>
          <w:tcPr>
            <w:tcW w:w="620" w:type="dxa"/>
            <w:vAlign w:val="bottom"/>
          </w:tcPr>
          <w:p>
            <w:pPr>
              <w:jc w:val="center"/>
              <w:spacing w:after="0"/>
              <w:rPr>
                <w:sz w:val="20"/>
                <w:szCs w:val="20"/>
                <w:color w:val="auto"/>
              </w:rPr>
            </w:pPr>
            <w:r>
              <w:rPr>
                <w:rFonts w:ascii="Arial" w:cs="Arial" w:eastAsia="Arial" w:hAnsi="Arial"/>
                <w:sz w:val="13"/>
                <w:szCs w:val="13"/>
                <w:color w:val="auto"/>
                <w:w w:val="96"/>
              </w:rPr>
              <w:t>2023</w:t>
            </w:r>
          </w:p>
        </w:tc>
        <w:tc>
          <w:tcPr>
            <w:tcW w:w="1100" w:type="dxa"/>
            <w:vAlign w:val="bottom"/>
          </w:tcPr>
          <w:p>
            <w:pPr>
              <w:jc w:val="right"/>
              <w:ind w:right="76"/>
              <w:spacing w:after="0"/>
              <w:rPr>
                <w:sz w:val="20"/>
                <w:szCs w:val="20"/>
                <w:color w:val="auto"/>
              </w:rPr>
            </w:pPr>
            <w:r>
              <w:rPr>
                <w:rFonts w:ascii="Arial" w:cs="Arial" w:eastAsia="Arial" w:hAnsi="Arial"/>
                <w:sz w:val="13"/>
                <w:szCs w:val="13"/>
                <w:color w:val="auto"/>
              </w:rPr>
              <w:t>523,981</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504,630</w:t>
            </w: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520,674</w:t>
            </w:r>
          </w:p>
        </w:tc>
        <w:tc>
          <w:tcPr>
            <w:tcW w:w="1620" w:type="dxa"/>
            <w:vAlign w:val="bottom"/>
          </w:tcPr>
          <w:p>
            <w:pPr>
              <w:jc w:val="right"/>
              <w:ind w:right="96"/>
              <w:spacing w:after="0"/>
              <w:rPr>
                <w:sz w:val="20"/>
                <w:szCs w:val="20"/>
                <w:color w:val="auto"/>
              </w:rPr>
            </w:pPr>
            <w:r>
              <w:rPr>
                <w:rFonts w:ascii="Arial" w:cs="Arial" w:eastAsia="Arial" w:hAnsi="Arial"/>
                <w:sz w:val="13"/>
                <w:szCs w:val="13"/>
                <w:color w:val="auto"/>
              </w:rPr>
              <w:t>135,656</w:t>
            </w:r>
          </w:p>
        </w:tc>
        <w:tc>
          <w:tcPr>
            <w:tcW w:w="1560" w:type="dxa"/>
            <w:vAlign w:val="bottom"/>
          </w:tcPr>
          <w:p>
            <w:pPr>
              <w:jc w:val="right"/>
              <w:ind w:right="136"/>
              <w:spacing w:after="0"/>
              <w:rPr>
                <w:sz w:val="20"/>
                <w:szCs w:val="20"/>
                <w:color w:val="auto"/>
              </w:rPr>
            </w:pPr>
            <w:r>
              <w:rPr>
                <w:rFonts w:ascii="Arial" w:cs="Arial" w:eastAsia="Arial" w:hAnsi="Arial"/>
                <w:sz w:val="13"/>
                <w:szCs w:val="13"/>
                <w:color w:val="auto"/>
              </w:rPr>
              <w:t>100,348</w:t>
            </w:r>
          </w:p>
        </w:tc>
        <w:tc>
          <w:tcPr>
            <w:tcW w:w="800" w:type="dxa"/>
            <w:vAlign w:val="bottom"/>
          </w:tcPr>
          <w:p>
            <w:pPr>
              <w:jc w:val="right"/>
              <w:spacing w:after="0"/>
              <w:rPr>
                <w:sz w:val="20"/>
                <w:szCs w:val="20"/>
                <w:color w:val="auto"/>
              </w:rPr>
            </w:pPr>
            <w:r>
              <w:rPr>
                <w:rFonts w:ascii="Arial" w:cs="Arial" w:eastAsia="Arial" w:hAnsi="Arial"/>
                <w:sz w:val="13"/>
                <w:szCs w:val="13"/>
                <w:color w:val="auto"/>
              </w:rPr>
              <w:t>1,785,289</w:t>
            </w:r>
          </w:p>
        </w:tc>
        <w:tc>
          <w:tcPr>
            <w:tcW w:w="0" w:type="dxa"/>
            <w:vAlign w:val="bottom"/>
          </w:tcPr>
          <w:p>
            <w:pPr>
              <w:spacing w:after="0"/>
              <w:rPr>
                <w:sz w:val="1"/>
                <w:szCs w:val="1"/>
                <w:color w:val="auto"/>
              </w:rPr>
            </w:pPr>
          </w:p>
        </w:tc>
      </w:tr>
      <w:tr>
        <w:trPr>
          <w:trHeight w:val="176"/>
        </w:trPr>
        <w:tc>
          <w:tcPr>
            <w:tcW w:w="2600" w:type="dxa"/>
            <w:vAlign w:val="bottom"/>
          </w:tcPr>
          <w:p>
            <w:pPr>
              <w:ind w:left="100"/>
              <w:spacing w:after="0"/>
              <w:rPr>
                <w:sz w:val="20"/>
                <w:szCs w:val="20"/>
                <w:color w:val="auto"/>
              </w:rPr>
            </w:pPr>
            <w:r>
              <w:rPr>
                <w:rFonts w:ascii="Arial" w:cs="Arial" w:eastAsia="Arial" w:hAnsi="Arial"/>
                <w:sz w:val="13"/>
                <w:szCs w:val="13"/>
                <w:color w:val="auto"/>
              </w:rPr>
              <w:t>Vice President, International</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96"/>
              </w:rPr>
              <w:t>2022</w:t>
            </w:r>
          </w:p>
        </w:tc>
        <w:tc>
          <w:tcPr>
            <w:tcW w:w="1100" w:type="dxa"/>
            <w:vAlign w:val="bottom"/>
            <w:vMerge w:val="restart"/>
          </w:tcPr>
          <w:p>
            <w:pPr>
              <w:jc w:val="right"/>
              <w:ind w:right="76"/>
              <w:spacing w:after="0"/>
              <w:rPr>
                <w:sz w:val="20"/>
                <w:szCs w:val="20"/>
                <w:color w:val="auto"/>
              </w:rPr>
            </w:pPr>
            <w:r>
              <w:rPr>
                <w:rFonts w:ascii="Arial" w:cs="Arial" w:eastAsia="Arial" w:hAnsi="Arial"/>
                <w:sz w:val="13"/>
                <w:szCs w:val="13"/>
                <w:color w:val="auto"/>
              </w:rPr>
              <w:t>503,397</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1060" w:type="dxa"/>
            <w:vAlign w:val="bottom"/>
            <w:vMerge w:val="restart"/>
          </w:tcPr>
          <w:p>
            <w:pPr>
              <w:jc w:val="right"/>
              <w:ind w:right="76"/>
              <w:spacing w:after="0"/>
              <w:rPr>
                <w:sz w:val="20"/>
                <w:szCs w:val="20"/>
                <w:color w:val="auto"/>
              </w:rPr>
            </w:pPr>
            <w:r>
              <w:rPr>
                <w:rFonts w:ascii="Arial" w:cs="Arial" w:eastAsia="Arial" w:hAnsi="Arial"/>
                <w:sz w:val="13"/>
                <w:szCs w:val="13"/>
                <w:color w:val="auto"/>
              </w:rPr>
              <w:t>383,799</w:t>
            </w:r>
          </w:p>
        </w:tc>
        <w:tc>
          <w:tcPr>
            <w:tcW w:w="920" w:type="dxa"/>
            <w:vAlign w:val="bottom"/>
            <w:vMerge w:val="restart"/>
          </w:tcPr>
          <w:p>
            <w:pPr>
              <w:jc w:val="right"/>
              <w:ind w:right="16"/>
              <w:spacing w:after="0"/>
              <w:rPr>
                <w:sz w:val="20"/>
                <w:szCs w:val="20"/>
                <w:color w:val="auto"/>
              </w:rPr>
            </w:pPr>
            <w:r>
              <w:rPr>
                <w:rFonts w:ascii="Arial" w:cs="Arial" w:eastAsia="Arial" w:hAnsi="Arial"/>
                <w:sz w:val="13"/>
                <w:szCs w:val="13"/>
                <w:color w:val="auto"/>
              </w:rPr>
              <w:t>388,362</w:t>
            </w:r>
          </w:p>
        </w:tc>
        <w:tc>
          <w:tcPr>
            <w:tcW w:w="1620" w:type="dxa"/>
            <w:vAlign w:val="bottom"/>
            <w:vMerge w:val="restart"/>
          </w:tcPr>
          <w:p>
            <w:pPr>
              <w:jc w:val="right"/>
              <w:ind w:right="96"/>
              <w:spacing w:after="0"/>
              <w:rPr>
                <w:sz w:val="20"/>
                <w:szCs w:val="20"/>
                <w:color w:val="auto"/>
              </w:rPr>
            </w:pPr>
            <w:r>
              <w:rPr>
                <w:rFonts w:ascii="Arial" w:cs="Arial" w:eastAsia="Arial" w:hAnsi="Arial"/>
                <w:sz w:val="13"/>
                <w:szCs w:val="13"/>
                <w:color w:val="auto"/>
              </w:rPr>
              <w:t>225,741</w:t>
            </w:r>
          </w:p>
        </w:tc>
        <w:tc>
          <w:tcPr>
            <w:tcW w:w="1560" w:type="dxa"/>
            <w:vAlign w:val="bottom"/>
            <w:vMerge w:val="restart"/>
          </w:tcPr>
          <w:p>
            <w:pPr>
              <w:jc w:val="right"/>
              <w:ind w:right="136"/>
              <w:spacing w:after="0"/>
              <w:rPr>
                <w:sz w:val="20"/>
                <w:szCs w:val="20"/>
                <w:color w:val="auto"/>
              </w:rPr>
            </w:pPr>
            <w:r>
              <w:rPr>
                <w:rFonts w:ascii="Arial" w:cs="Arial" w:eastAsia="Arial" w:hAnsi="Arial"/>
                <w:sz w:val="13"/>
                <w:szCs w:val="13"/>
                <w:color w:val="auto"/>
              </w:rPr>
              <w:t>115,530</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1,616,829</w:t>
            </w:r>
          </w:p>
        </w:tc>
        <w:tc>
          <w:tcPr>
            <w:tcW w:w="0" w:type="dxa"/>
            <w:vAlign w:val="bottom"/>
          </w:tcPr>
          <w:p>
            <w:pPr>
              <w:spacing w:after="0"/>
              <w:rPr>
                <w:sz w:val="1"/>
                <w:szCs w:val="1"/>
                <w:color w:val="auto"/>
              </w:rPr>
            </w:pPr>
          </w:p>
        </w:tc>
      </w:tr>
      <w:tr>
        <w:trPr>
          <w:trHeight w:val="65"/>
        </w:trPr>
        <w:tc>
          <w:tcPr>
            <w:tcW w:w="2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6"/>
              </w:rPr>
              <w:t>2021</w:t>
            </w:r>
          </w:p>
        </w:tc>
        <w:tc>
          <w:tcPr>
            <w:tcW w:w="1100" w:type="dxa"/>
            <w:vAlign w:val="bottom"/>
          </w:tcPr>
          <w:p>
            <w:pPr>
              <w:jc w:val="right"/>
              <w:ind w:right="76"/>
              <w:spacing w:after="0"/>
              <w:rPr>
                <w:sz w:val="20"/>
                <w:szCs w:val="20"/>
                <w:color w:val="auto"/>
              </w:rPr>
            </w:pPr>
            <w:r>
              <w:rPr>
                <w:rFonts w:ascii="Arial" w:cs="Arial" w:eastAsia="Arial" w:hAnsi="Arial"/>
                <w:sz w:val="13"/>
                <w:szCs w:val="13"/>
                <w:color w:val="auto"/>
              </w:rPr>
              <w:t>480,635</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398,596</w:t>
            </w: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420,462</w:t>
            </w:r>
          </w:p>
        </w:tc>
        <w:tc>
          <w:tcPr>
            <w:tcW w:w="1620" w:type="dxa"/>
            <w:vAlign w:val="bottom"/>
          </w:tcPr>
          <w:p>
            <w:pPr>
              <w:jc w:val="right"/>
              <w:ind w:right="96"/>
              <w:spacing w:after="0"/>
              <w:rPr>
                <w:sz w:val="20"/>
                <w:szCs w:val="20"/>
                <w:color w:val="auto"/>
              </w:rPr>
            </w:pPr>
            <w:r>
              <w:rPr>
                <w:rFonts w:ascii="Arial" w:cs="Arial" w:eastAsia="Arial" w:hAnsi="Arial"/>
                <w:sz w:val="13"/>
                <w:szCs w:val="13"/>
                <w:color w:val="auto"/>
              </w:rPr>
              <w:t>521,604</w:t>
            </w:r>
          </w:p>
        </w:tc>
        <w:tc>
          <w:tcPr>
            <w:tcW w:w="1560" w:type="dxa"/>
            <w:vAlign w:val="bottom"/>
          </w:tcPr>
          <w:p>
            <w:pPr>
              <w:jc w:val="right"/>
              <w:ind w:right="136"/>
              <w:spacing w:after="0"/>
              <w:rPr>
                <w:sz w:val="20"/>
                <w:szCs w:val="20"/>
                <w:color w:val="auto"/>
              </w:rPr>
            </w:pPr>
            <w:r>
              <w:rPr>
                <w:rFonts w:ascii="Arial" w:cs="Arial" w:eastAsia="Arial" w:hAnsi="Arial"/>
                <w:sz w:val="13"/>
                <w:szCs w:val="13"/>
                <w:color w:val="auto"/>
              </w:rPr>
              <w:t>147,740</w:t>
            </w:r>
          </w:p>
        </w:tc>
        <w:tc>
          <w:tcPr>
            <w:tcW w:w="800" w:type="dxa"/>
            <w:vAlign w:val="bottom"/>
          </w:tcPr>
          <w:p>
            <w:pPr>
              <w:jc w:val="right"/>
              <w:spacing w:after="0"/>
              <w:rPr>
                <w:sz w:val="20"/>
                <w:szCs w:val="20"/>
                <w:color w:val="auto"/>
              </w:rPr>
            </w:pPr>
            <w:r>
              <w:rPr>
                <w:rFonts w:ascii="Arial" w:cs="Arial" w:eastAsia="Arial" w:hAnsi="Arial"/>
                <w:sz w:val="13"/>
                <w:szCs w:val="13"/>
                <w:color w:val="auto"/>
              </w:rPr>
              <w:t>1,969,037</w:t>
            </w:r>
          </w:p>
        </w:tc>
        <w:tc>
          <w:tcPr>
            <w:tcW w:w="0" w:type="dxa"/>
            <w:vAlign w:val="bottom"/>
          </w:tcPr>
          <w:p>
            <w:pPr>
              <w:spacing w:after="0"/>
              <w:rPr>
                <w:sz w:val="1"/>
                <w:szCs w:val="1"/>
                <w:color w:val="auto"/>
              </w:rPr>
            </w:pPr>
          </w:p>
        </w:tc>
      </w:tr>
      <w:tr>
        <w:trPr>
          <w:trHeight w:val="28"/>
        </w:trPr>
        <w:tc>
          <w:tcPr>
            <w:tcW w:w="2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Gregory S. Janey,</w:t>
            </w:r>
          </w:p>
        </w:tc>
        <w:tc>
          <w:tcPr>
            <w:tcW w:w="62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6"/>
              </w:rPr>
              <w:t>2023</w:t>
            </w:r>
          </w:p>
        </w:tc>
        <w:tc>
          <w:tcPr>
            <w:tcW w:w="1100" w:type="dxa"/>
            <w:vAlign w:val="bottom"/>
            <w:shd w:val="clear" w:color="auto" w:fill="DBDBDB"/>
          </w:tcPr>
          <w:p>
            <w:pPr>
              <w:jc w:val="right"/>
              <w:ind w:right="76"/>
              <w:spacing w:after="0"/>
              <w:rPr>
                <w:sz w:val="20"/>
                <w:szCs w:val="20"/>
                <w:color w:val="auto"/>
              </w:rPr>
            </w:pPr>
            <w:r>
              <w:rPr>
                <w:rFonts w:ascii="Arial" w:cs="Arial" w:eastAsia="Arial" w:hAnsi="Arial"/>
                <w:sz w:val="13"/>
                <w:szCs w:val="13"/>
                <w:color w:val="auto"/>
              </w:rPr>
              <w:t>431,519</w:t>
            </w:r>
          </w:p>
        </w:tc>
        <w:tc>
          <w:tcPr>
            <w:tcW w:w="84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82"/>
              </w:rPr>
              <w:t>0</w:t>
            </w:r>
          </w:p>
        </w:tc>
        <w:tc>
          <w:tcPr>
            <w:tcW w:w="1060" w:type="dxa"/>
            <w:vAlign w:val="bottom"/>
            <w:shd w:val="clear" w:color="auto" w:fill="DBDBDB"/>
          </w:tcPr>
          <w:p>
            <w:pPr>
              <w:jc w:val="right"/>
              <w:ind w:right="76"/>
              <w:spacing w:after="0"/>
              <w:rPr>
                <w:sz w:val="20"/>
                <w:szCs w:val="20"/>
                <w:color w:val="auto"/>
              </w:rPr>
            </w:pPr>
            <w:r>
              <w:rPr>
                <w:rFonts w:ascii="Arial" w:cs="Arial" w:eastAsia="Arial" w:hAnsi="Arial"/>
                <w:sz w:val="13"/>
                <w:szCs w:val="13"/>
                <w:color w:val="auto"/>
              </w:rPr>
              <w:t>603,428</w:t>
            </w:r>
          </w:p>
        </w:tc>
        <w:tc>
          <w:tcPr>
            <w:tcW w:w="920" w:type="dxa"/>
            <w:vAlign w:val="bottom"/>
            <w:shd w:val="clear" w:color="auto" w:fill="DBDBDB"/>
          </w:tcPr>
          <w:p>
            <w:pPr>
              <w:jc w:val="right"/>
              <w:ind w:right="16"/>
              <w:spacing w:after="0"/>
              <w:rPr>
                <w:sz w:val="20"/>
                <w:szCs w:val="20"/>
                <w:color w:val="auto"/>
              </w:rPr>
            </w:pPr>
            <w:r>
              <w:rPr>
                <w:rFonts w:ascii="Arial" w:cs="Arial" w:eastAsia="Arial" w:hAnsi="Arial"/>
                <w:sz w:val="13"/>
                <w:szCs w:val="13"/>
                <w:color w:val="auto"/>
              </w:rPr>
              <w:t>382,053</w:t>
            </w:r>
          </w:p>
        </w:tc>
        <w:tc>
          <w:tcPr>
            <w:tcW w:w="1620" w:type="dxa"/>
            <w:vAlign w:val="bottom"/>
            <w:shd w:val="clear" w:color="auto" w:fill="DBDBDB"/>
          </w:tcPr>
          <w:p>
            <w:pPr>
              <w:jc w:val="right"/>
              <w:ind w:right="96"/>
              <w:spacing w:after="0"/>
              <w:rPr>
                <w:sz w:val="20"/>
                <w:szCs w:val="20"/>
                <w:color w:val="auto"/>
              </w:rPr>
            </w:pPr>
            <w:r>
              <w:rPr>
                <w:rFonts w:ascii="Arial" w:cs="Arial" w:eastAsia="Arial" w:hAnsi="Arial"/>
                <w:sz w:val="13"/>
                <w:szCs w:val="13"/>
                <w:color w:val="auto"/>
              </w:rPr>
              <w:t>81,201</w:t>
            </w:r>
          </w:p>
        </w:tc>
        <w:tc>
          <w:tcPr>
            <w:tcW w:w="1560" w:type="dxa"/>
            <w:vAlign w:val="bottom"/>
            <w:shd w:val="clear" w:color="auto" w:fill="DBDBDB"/>
          </w:tcPr>
          <w:p>
            <w:pPr>
              <w:jc w:val="right"/>
              <w:ind w:right="136"/>
              <w:spacing w:after="0"/>
              <w:rPr>
                <w:sz w:val="20"/>
                <w:szCs w:val="20"/>
                <w:color w:val="auto"/>
              </w:rPr>
            </w:pPr>
            <w:r>
              <w:rPr>
                <w:rFonts w:ascii="Arial" w:cs="Arial" w:eastAsia="Arial" w:hAnsi="Arial"/>
                <w:sz w:val="13"/>
                <w:szCs w:val="13"/>
                <w:color w:val="auto"/>
              </w:rPr>
              <w:t>68,147</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1,566,348</w:t>
            </w:r>
          </w:p>
        </w:tc>
        <w:tc>
          <w:tcPr>
            <w:tcW w:w="0" w:type="dxa"/>
            <w:vAlign w:val="bottom"/>
          </w:tcPr>
          <w:p>
            <w:pPr>
              <w:spacing w:after="0"/>
              <w:rPr>
                <w:sz w:val="1"/>
                <w:szCs w:val="1"/>
                <w:color w:val="auto"/>
              </w:rPr>
            </w:pPr>
          </w:p>
        </w:tc>
      </w:tr>
      <w:tr>
        <w:trPr>
          <w:trHeight w:val="129"/>
        </w:trPr>
        <w:tc>
          <w:tcPr>
            <w:tcW w:w="2600" w:type="dxa"/>
            <w:vAlign w:val="bottom"/>
            <w:shd w:val="clear" w:color="auto" w:fill="DBDBDB"/>
          </w:tcPr>
          <w:p>
            <w:pPr>
              <w:ind w:left="100"/>
              <w:spacing w:after="0" w:line="129" w:lineRule="exact"/>
              <w:rPr>
                <w:sz w:val="20"/>
                <w:szCs w:val="20"/>
                <w:color w:val="auto"/>
              </w:rPr>
            </w:pPr>
            <w:r>
              <w:rPr>
                <w:rFonts w:ascii="Arial" w:cs="Arial" w:eastAsia="Arial" w:hAnsi="Arial"/>
                <w:sz w:val="13"/>
                <w:szCs w:val="13"/>
                <w:color w:val="auto"/>
              </w:rPr>
              <w:t>Group Vice President,</w:t>
            </w:r>
          </w:p>
        </w:tc>
        <w:tc>
          <w:tcPr>
            <w:tcW w:w="62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840" w:type="dxa"/>
            <w:vAlign w:val="bottom"/>
            <w:shd w:val="clear" w:color="auto" w:fill="DBDBDB"/>
          </w:tcPr>
          <w:p>
            <w:pPr>
              <w:spacing w:after="0"/>
              <w:rPr>
                <w:sz w:val="11"/>
                <w:szCs w:val="11"/>
                <w:color w:val="auto"/>
              </w:rPr>
            </w:pPr>
          </w:p>
        </w:tc>
        <w:tc>
          <w:tcPr>
            <w:tcW w:w="1060" w:type="dxa"/>
            <w:vAlign w:val="bottom"/>
            <w:shd w:val="clear" w:color="auto" w:fill="DBDBDB"/>
          </w:tcPr>
          <w:p>
            <w:pPr>
              <w:spacing w:after="0"/>
              <w:rPr>
                <w:sz w:val="11"/>
                <w:szCs w:val="11"/>
                <w:color w:val="auto"/>
              </w:rPr>
            </w:pPr>
          </w:p>
        </w:tc>
        <w:tc>
          <w:tcPr>
            <w:tcW w:w="920" w:type="dxa"/>
            <w:vAlign w:val="bottom"/>
            <w:shd w:val="clear" w:color="auto" w:fill="DBDBDB"/>
          </w:tcPr>
          <w:p>
            <w:pPr>
              <w:spacing w:after="0"/>
              <w:rPr>
                <w:sz w:val="11"/>
                <w:szCs w:val="11"/>
                <w:color w:val="auto"/>
              </w:rPr>
            </w:pPr>
          </w:p>
        </w:tc>
        <w:tc>
          <w:tcPr>
            <w:tcW w:w="1620" w:type="dxa"/>
            <w:vAlign w:val="bottom"/>
            <w:shd w:val="clear" w:color="auto" w:fill="DBDBDB"/>
          </w:tcPr>
          <w:p>
            <w:pPr>
              <w:spacing w:after="0"/>
              <w:rPr>
                <w:sz w:val="11"/>
                <w:szCs w:val="11"/>
                <w:color w:val="auto"/>
              </w:rPr>
            </w:pPr>
          </w:p>
        </w:tc>
        <w:tc>
          <w:tcPr>
            <w:tcW w:w="1560" w:type="dxa"/>
            <w:vAlign w:val="bottom"/>
            <w:shd w:val="clear" w:color="auto" w:fill="DBDBDB"/>
          </w:tcPr>
          <w:p>
            <w:pPr>
              <w:spacing w:after="0"/>
              <w:rPr>
                <w:sz w:val="11"/>
                <w:szCs w:val="11"/>
                <w:color w:val="auto"/>
              </w:rPr>
            </w:pPr>
          </w:p>
        </w:tc>
        <w:tc>
          <w:tcPr>
            <w:tcW w:w="8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600" w:type="dxa"/>
            <w:vAlign w:val="bottom"/>
            <w:shd w:val="clear" w:color="auto" w:fill="DBDBDB"/>
          </w:tcPr>
          <w:p>
            <w:pPr>
              <w:ind w:left="100"/>
              <w:spacing w:after="0"/>
              <w:rPr>
                <w:sz w:val="20"/>
                <w:szCs w:val="20"/>
                <w:color w:val="auto"/>
              </w:rPr>
            </w:pPr>
            <w:r>
              <w:rPr>
                <w:rFonts w:ascii="Arial" w:cs="Arial" w:eastAsia="Arial" w:hAnsi="Arial"/>
                <w:sz w:val="13"/>
                <w:szCs w:val="13"/>
                <w:color w:val="auto"/>
              </w:rPr>
              <w:t>Landscapes &amp; Contractor</w:t>
            </w:r>
            <w:r>
              <w:rPr>
                <w:rFonts w:ascii="Arial" w:cs="Arial" w:eastAsia="Arial" w:hAnsi="Arial"/>
                <w:sz w:val="17"/>
                <w:szCs w:val="17"/>
                <w:color w:val="auto"/>
                <w:vertAlign w:val="superscript"/>
              </w:rPr>
              <w:t>8</w:t>
            </w:r>
          </w:p>
        </w:tc>
        <w:tc>
          <w:tcPr>
            <w:tcW w:w="6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62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00" w:type="dxa"/>
            <w:vAlign w:val="bottom"/>
          </w:tcPr>
          <w:p>
            <w:pPr>
              <w:ind w:left="20"/>
              <w:spacing w:after="0"/>
              <w:rPr>
                <w:sz w:val="20"/>
                <w:szCs w:val="20"/>
                <w:color w:val="auto"/>
              </w:rPr>
            </w:pPr>
            <w:r>
              <w:rPr>
                <w:rFonts w:ascii="Arial" w:cs="Arial" w:eastAsia="Arial" w:hAnsi="Arial"/>
                <w:sz w:val="13"/>
                <w:szCs w:val="13"/>
                <w:color w:val="auto"/>
              </w:rPr>
              <w:t>Richard W. Rodier,</w:t>
            </w:r>
          </w:p>
        </w:tc>
        <w:tc>
          <w:tcPr>
            <w:tcW w:w="620" w:type="dxa"/>
            <w:vAlign w:val="bottom"/>
          </w:tcPr>
          <w:p>
            <w:pPr>
              <w:jc w:val="center"/>
              <w:spacing w:after="0"/>
              <w:rPr>
                <w:sz w:val="20"/>
                <w:szCs w:val="20"/>
                <w:color w:val="auto"/>
              </w:rPr>
            </w:pPr>
            <w:r>
              <w:rPr>
                <w:rFonts w:ascii="Arial" w:cs="Arial" w:eastAsia="Arial" w:hAnsi="Arial"/>
                <w:sz w:val="13"/>
                <w:szCs w:val="13"/>
                <w:color w:val="auto"/>
                <w:w w:val="96"/>
              </w:rPr>
              <w:t>2023</w:t>
            </w:r>
          </w:p>
        </w:tc>
        <w:tc>
          <w:tcPr>
            <w:tcW w:w="1100" w:type="dxa"/>
            <w:vAlign w:val="bottom"/>
          </w:tcPr>
          <w:p>
            <w:pPr>
              <w:jc w:val="right"/>
              <w:ind w:right="76"/>
              <w:spacing w:after="0"/>
              <w:rPr>
                <w:sz w:val="20"/>
                <w:szCs w:val="20"/>
                <w:color w:val="auto"/>
              </w:rPr>
            </w:pPr>
            <w:r>
              <w:rPr>
                <w:rFonts w:ascii="Arial" w:cs="Arial" w:eastAsia="Arial" w:hAnsi="Arial"/>
                <w:sz w:val="13"/>
                <w:szCs w:val="13"/>
                <w:color w:val="auto"/>
              </w:rPr>
              <w:t>284,221</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616,770</w:t>
            </w: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635,628</w:t>
            </w:r>
          </w:p>
        </w:tc>
        <w:tc>
          <w:tcPr>
            <w:tcW w:w="1620" w:type="dxa"/>
            <w:vAlign w:val="bottom"/>
          </w:tcPr>
          <w:p>
            <w:pPr>
              <w:jc w:val="right"/>
              <w:ind w:right="96"/>
              <w:spacing w:after="0"/>
              <w:rPr>
                <w:sz w:val="20"/>
                <w:szCs w:val="20"/>
                <w:color w:val="auto"/>
              </w:rPr>
            </w:pPr>
            <w:r>
              <w:rPr>
                <w:rFonts w:ascii="Arial" w:cs="Arial" w:eastAsia="Arial" w:hAnsi="Arial"/>
                <w:sz w:val="13"/>
                <w:szCs w:val="13"/>
                <w:color w:val="auto"/>
              </w:rPr>
              <w:t>61,712</w:t>
            </w:r>
          </w:p>
        </w:tc>
        <w:tc>
          <w:tcPr>
            <w:tcW w:w="1560" w:type="dxa"/>
            <w:vAlign w:val="bottom"/>
          </w:tcPr>
          <w:p>
            <w:pPr>
              <w:jc w:val="right"/>
              <w:ind w:right="136"/>
              <w:spacing w:after="0"/>
              <w:rPr>
                <w:sz w:val="20"/>
                <w:szCs w:val="20"/>
                <w:color w:val="auto"/>
              </w:rPr>
            </w:pPr>
            <w:r>
              <w:rPr>
                <w:rFonts w:ascii="Arial" w:cs="Arial" w:eastAsia="Arial" w:hAnsi="Arial"/>
                <w:sz w:val="13"/>
                <w:szCs w:val="13"/>
                <w:color w:val="auto"/>
              </w:rPr>
              <w:t>76,547</w:t>
            </w:r>
          </w:p>
        </w:tc>
        <w:tc>
          <w:tcPr>
            <w:tcW w:w="800" w:type="dxa"/>
            <w:vAlign w:val="bottom"/>
          </w:tcPr>
          <w:p>
            <w:pPr>
              <w:jc w:val="right"/>
              <w:spacing w:after="0"/>
              <w:rPr>
                <w:sz w:val="20"/>
                <w:szCs w:val="20"/>
                <w:color w:val="auto"/>
              </w:rPr>
            </w:pPr>
            <w:r>
              <w:rPr>
                <w:rFonts w:ascii="Arial" w:cs="Arial" w:eastAsia="Arial" w:hAnsi="Arial"/>
                <w:sz w:val="13"/>
                <w:szCs w:val="13"/>
                <w:color w:val="auto"/>
              </w:rPr>
              <w:t>1,674,878</w:t>
            </w:r>
          </w:p>
        </w:tc>
        <w:tc>
          <w:tcPr>
            <w:tcW w:w="0" w:type="dxa"/>
            <w:vAlign w:val="bottom"/>
          </w:tcPr>
          <w:p>
            <w:pPr>
              <w:spacing w:after="0"/>
              <w:rPr>
                <w:sz w:val="1"/>
                <w:szCs w:val="1"/>
                <w:color w:val="auto"/>
              </w:rPr>
            </w:pPr>
          </w:p>
        </w:tc>
      </w:tr>
      <w:tr>
        <w:trPr>
          <w:trHeight w:val="162"/>
        </w:trPr>
        <w:tc>
          <w:tcPr>
            <w:tcW w:w="2600" w:type="dxa"/>
            <w:vAlign w:val="bottom"/>
          </w:tcPr>
          <w:p>
            <w:pPr>
              <w:ind w:left="100"/>
              <w:spacing w:after="0"/>
              <w:rPr>
                <w:sz w:val="20"/>
                <w:szCs w:val="20"/>
                <w:color w:val="auto"/>
              </w:rPr>
            </w:pPr>
            <w:r>
              <w:rPr>
                <w:rFonts w:ascii="Arial" w:cs="Arial" w:eastAsia="Arial" w:hAnsi="Arial"/>
                <w:sz w:val="13"/>
                <w:szCs w:val="13"/>
                <w:color w:val="auto"/>
              </w:rPr>
              <w:t>Former Group Vice President,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96"/>
              </w:rPr>
              <w:t>2022</w:t>
            </w:r>
          </w:p>
        </w:tc>
        <w:tc>
          <w:tcPr>
            <w:tcW w:w="1100" w:type="dxa"/>
            <w:vAlign w:val="bottom"/>
            <w:vMerge w:val="restart"/>
          </w:tcPr>
          <w:p>
            <w:pPr>
              <w:jc w:val="right"/>
              <w:ind w:right="76"/>
              <w:spacing w:after="0"/>
              <w:rPr>
                <w:sz w:val="20"/>
                <w:szCs w:val="20"/>
                <w:color w:val="auto"/>
              </w:rPr>
            </w:pPr>
            <w:r>
              <w:rPr>
                <w:rFonts w:ascii="Arial" w:cs="Arial" w:eastAsia="Arial" w:hAnsi="Arial"/>
                <w:sz w:val="13"/>
                <w:szCs w:val="13"/>
                <w:color w:val="auto"/>
              </w:rPr>
              <w:t>537,054</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1060" w:type="dxa"/>
            <w:vAlign w:val="bottom"/>
            <w:vMerge w:val="restart"/>
          </w:tcPr>
          <w:p>
            <w:pPr>
              <w:jc w:val="right"/>
              <w:ind w:right="76"/>
              <w:spacing w:after="0"/>
              <w:rPr>
                <w:sz w:val="20"/>
                <w:szCs w:val="20"/>
                <w:color w:val="auto"/>
              </w:rPr>
            </w:pPr>
            <w:r>
              <w:rPr>
                <w:rFonts w:ascii="Arial" w:cs="Arial" w:eastAsia="Arial" w:hAnsi="Arial"/>
                <w:sz w:val="13"/>
                <w:szCs w:val="13"/>
                <w:color w:val="auto"/>
              </w:rPr>
              <w:t>472,368</w:t>
            </w:r>
          </w:p>
        </w:tc>
        <w:tc>
          <w:tcPr>
            <w:tcW w:w="920" w:type="dxa"/>
            <w:vAlign w:val="bottom"/>
            <w:vMerge w:val="restart"/>
          </w:tcPr>
          <w:p>
            <w:pPr>
              <w:jc w:val="right"/>
              <w:ind w:right="16"/>
              <w:spacing w:after="0"/>
              <w:rPr>
                <w:sz w:val="20"/>
                <w:szCs w:val="20"/>
                <w:color w:val="auto"/>
              </w:rPr>
            </w:pPr>
            <w:r>
              <w:rPr>
                <w:rFonts w:ascii="Arial" w:cs="Arial" w:eastAsia="Arial" w:hAnsi="Arial"/>
                <w:sz w:val="13"/>
                <w:szCs w:val="13"/>
                <w:color w:val="auto"/>
              </w:rPr>
              <w:t>473,388</w:t>
            </w:r>
          </w:p>
        </w:tc>
        <w:tc>
          <w:tcPr>
            <w:tcW w:w="1620" w:type="dxa"/>
            <w:vAlign w:val="bottom"/>
            <w:vMerge w:val="restart"/>
          </w:tcPr>
          <w:p>
            <w:pPr>
              <w:jc w:val="right"/>
              <w:ind w:right="96"/>
              <w:spacing w:after="0"/>
              <w:rPr>
                <w:sz w:val="20"/>
                <w:szCs w:val="20"/>
                <w:color w:val="auto"/>
              </w:rPr>
            </w:pPr>
            <w:r>
              <w:rPr>
                <w:rFonts w:ascii="Arial" w:cs="Arial" w:eastAsia="Arial" w:hAnsi="Arial"/>
                <w:sz w:val="13"/>
                <w:szCs w:val="13"/>
                <w:color w:val="auto"/>
              </w:rPr>
              <w:t>277,885</w:t>
            </w:r>
          </w:p>
        </w:tc>
        <w:tc>
          <w:tcPr>
            <w:tcW w:w="1560" w:type="dxa"/>
            <w:vAlign w:val="bottom"/>
            <w:vMerge w:val="restart"/>
          </w:tcPr>
          <w:p>
            <w:pPr>
              <w:jc w:val="right"/>
              <w:ind w:right="136"/>
              <w:spacing w:after="0"/>
              <w:rPr>
                <w:sz w:val="20"/>
                <w:szCs w:val="20"/>
                <w:color w:val="auto"/>
              </w:rPr>
            </w:pPr>
            <w:r>
              <w:rPr>
                <w:rFonts w:ascii="Arial" w:cs="Arial" w:eastAsia="Arial" w:hAnsi="Arial"/>
                <w:sz w:val="13"/>
                <w:szCs w:val="13"/>
                <w:color w:val="auto"/>
              </w:rPr>
              <w:t>114,968</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1,875,663</w:t>
            </w:r>
          </w:p>
        </w:tc>
        <w:tc>
          <w:tcPr>
            <w:tcW w:w="0" w:type="dxa"/>
            <w:vAlign w:val="bottom"/>
          </w:tcPr>
          <w:p>
            <w:pPr>
              <w:spacing w:after="0"/>
              <w:rPr>
                <w:sz w:val="1"/>
                <w:szCs w:val="1"/>
                <w:color w:val="auto"/>
              </w:rPr>
            </w:pPr>
          </w:p>
        </w:tc>
      </w:tr>
      <w:tr>
        <w:trPr>
          <w:trHeight w:val="80"/>
        </w:trPr>
        <w:tc>
          <w:tcPr>
            <w:tcW w:w="2600" w:type="dxa"/>
            <w:vAlign w:val="bottom"/>
            <w:vMerge w:val="restart"/>
          </w:tcPr>
          <w:p>
            <w:pPr>
              <w:ind w:left="100"/>
              <w:spacing w:after="0"/>
              <w:rPr>
                <w:sz w:val="20"/>
                <w:szCs w:val="20"/>
                <w:color w:val="auto"/>
              </w:rPr>
            </w:pPr>
            <w:r>
              <w:rPr>
                <w:rFonts w:ascii="Arial" w:cs="Arial" w:eastAsia="Arial" w:hAnsi="Arial"/>
                <w:sz w:val="13"/>
                <w:szCs w:val="13"/>
                <w:color w:val="auto"/>
              </w:rPr>
              <w:t>Construction Businesses</w:t>
            </w:r>
          </w:p>
        </w:tc>
        <w:tc>
          <w:tcPr>
            <w:tcW w:w="6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2600" w:type="dxa"/>
            <w:vAlign w:val="bottom"/>
            <w:vMerge w:val="continue"/>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96"/>
              </w:rPr>
              <w:t>2021</w:t>
            </w:r>
          </w:p>
        </w:tc>
        <w:tc>
          <w:tcPr>
            <w:tcW w:w="1100" w:type="dxa"/>
            <w:vAlign w:val="bottom"/>
            <w:vMerge w:val="restart"/>
          </w:tcPr>
          <w:p>
            <w:pPr>
              <w:jc w:val="right"/>
              <w:ind w:right="76"/>
              <w:spacing w:after="0"/>
              <w:rPr>
                <w:sz w:val="20"/>
                <w:szCs w:val="20"/>
                <w:color w:val="auto"/>
              </w:rPr>
            </w:pPr>
            <w:r>
              <w:rPr>
                <w:rFonts w:ascii="Arial" w:cs="Arial" w:eastAsia="Arial" w:hAnsi="Arial"/>
                <w:sz w:val="13"/>
                <w:szCs w:val="13"/>
                <w:color w:val="auto"/>
              </w:rPr>
              <w:t>515,545</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1060" w:type="dxa"/>
            <w:vAlign w:val="bottom"/>
            <w:vMerge w:val="restart"/>
          </w:tcPr>
          <w:p>
            <w:pPr>
              <w:jc w:val="right"/>
              <w:ind w:right="76"/>
              <w:spacing w:after="0"/>
              <w:rPr>
                <w:sz w:val="20"/>
                <w:szCs w:val="20"/>
                <w:color w:val="auto"/>
              </w:rPr>
            </w:pPr>
            <w:r>
              <w:rPr>
                <w:rFonts w:ascii="Arial" w:cs="Arial" w:eastAsia="Arial" w:hAnsi="Arial"/>
                <w:sz w:val="13"/>
                <w:szCs w:val="13"/>
                <w:color w:val="auto"/>
              </w:rPr>
              <w:t>561,658</w:t>
            </w:r>
          </w:p>
        </w:tc>
        <w:tc>
          <w:tcPr>
            <w:tcW w:w="920" w:type="dxa"/>
            <w:vAlign w:val="bottom"/>
            <w:vMerge w:val="restart"/>
          </w:tcPr>
          <w:p>
            <w:pPr>
              <w:jc w:val="right"/>
              <w:ind w:right="16"/>
              <w:spacing w:after="0"/>
              <w:rPr>
                <w:sz w:val="20"/>
                <w:szCs w:val="20"/>
                <w:color w:val="auto"/>
              </w:rPr>
            </w:pPr>
            <w:r>
              <w:rPr>
                <w:rFonts w:ascii="Arial" w:cs="Arial" w:eastAsia="Arial" w:hAnsi="Arial"/>
                <w:sz w:val="13"/>
                <w:szCs w:val="13"/>
                <w:color w:val="auto"/>
              </w:rPr>
              <w:t>584,304</w:t>
            </w:r>
          </w:p>
        </w:tc>
        <w:tc>
          <w:tcPr>
            <w:tcW w:w="1620" w:type="dxa"/>
            <w:vAlign w:val="bottom"/>
            <w:vMerge w:val="restart"/>
          </w:tcPr>
          <w:p>
            <w:pPr>
              <w:jc w:val="right"/>
              <w:ind w:right="96"/>
              <w:spacing w:after="0"/>
              <w:rPr>
                <w:sz w:val="20"/>
                <w:szCs w:val="20"/>
                <w:color w:val="auto"/>
              </w:rPr>
            </w:pPr>
            <w:r>
              <w:rPr>
                <w:rFonts w:ascii="Arial" w:cs="Arial" w:eastAsia="Arial" w:hAnsi="Arial"/>
                <w:sz w:val="13"/>
                <w:szCs w:val="13"/>
                <w:color w:val="auto"/>
              </w:rPr>
              <w:t>602,528</w:t>
            </w:r>
          </w:p>
        </w:tc>
        <w:tc>
          <w:tcPr>
            <w:tcW w:w="1560" w:type="dxa"/>
            <w:vAlign w:val="bottom"/>
            <w:vMerge w:val="restart"/>
          </w:tcPr>
          <w:p>
            <w:pPr>
              <w:jc w:val="right"/>
              <w:ind w:right="136"/>
              <w:spacing w:after="0"/>
              <w:rPr>
                <w:sz w:val="20"/>
                <w:szCs w:val="20"/>
                <w:color w:val="auto"/>
              </w:rPr>
            </w:pPr>
            <w:r>
              <w:rPr>
                <w:rFonts w:ascii="Arial" w:cs="Arial" w:eastAsia="Arial" w:hAnsi="Arial"/>
                <w:sz w:val="13"/>
                <w:szCs w:val="13"/>
                <w:color w:val="auto"/>
              </w:rPr>
              <w:t>127,192</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2,391,227</w:t>
            </w:r>
          </w:p>
        </w:tc>
        <w:tc>
          <w:tcPr>
            <w:tcW w:w="0" w:type="dxa"/>
            <w:vAlign w:val="bottom"/>
          </w:tcPr>
          <w:p>
            <w:pPr>
              <w:spacing w:after="0"/>
              <w:rPr>
                <w:sz w:val="1"/>
                <w:szCs w:val="1"/>
                <w:color w:val="auto"/>
              </w:rPr>
            </w:pPr>
          </w:p>
        </w:tc>
      </w:tr>
      <w:tr>
        <w:trPr>
          <w:trHeight w:val="119"/>
        </w:trPr>
        <w:tc>
          <w:tcPr>
            <w:tcW w:w="26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9888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13"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reflect actual salary earnings throughout the fiscal year.</w:t>
      </w:r>
    </w:p>
    <w:p>
      <w:pPr>
        <w:spacing w:after="0" w:line="49" w:lineRule="exact"/>
        <w:rPr>
          <w:rFonts w:ascii="Arial" w:cs="Arial" w:eastAsia="Arial" w:hAnsi="Arial"/>
          <w:sz w:val="18"/>
          <w:szCs w:val="18"/>
          <w:color w:val="auto"/>
        </w:rPr>
      </w:pPr>
    </w:p>
    <w:p>
      <w:pPr>
        <w:ind w:left="340" w:right="140" w:hanging="332"/>
        <w:spacing w:after="0" w:line="241" w:lineRule="auto"/>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generally do not pay discretionary bonuses or bonuses that are subjectively determined; we did not pay any such bonuses to any of our NEOs in any of the last three most recently completed fiscal years, other than a sign-on bonus to Ms. Totsky as part of her employment offer and upon commencement of her employment with us. Annual cash incentive award payouts based on performance against pre-established financial performance goals are reported in the Non-Equity Incentive Plan Compensation column.</w:t>
      </w:r>
    </w:p>
    <w:p>
      <w:pPr>
        <w:spacing w:after="0" w:line="5" w:lineRule="exact"/>
        <w:rPr>
          <w:rFonts w:ascii="Arial" w:cs="Arial" w:eastAsia="Arial" w:hAnsi="Arial"/>
          <w:sz w:val="18"/>
          <w:szCs w:val="18"/>
          <w:color w:val="auto"/>
        </w:rPr>
      </w:pPr>
    </w:p>
    <w:p>
      <w:pPr>
        <w:ind w:left="340" w:hanging="332"/>
        <w:spacing w:after="0" w:line="236" w:lineRule="auto"/>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reported for fiscal 2023 for our NEOs, other than for Ms. Totsky, represent the grant date fair value, computed in accordance with FASB ASC Topic 718, of performance share awards granted for the fiscal 2023 to fiscal 2025 performance period assuming target levels of performance. The amount reported for Ms. Totsky reflects the grant date fair value of a restricted stock unit award granted to her in June 2023 as part of her employment offer. The amount reported for Ms. Drake also includes the grant date fair value of a restricted stock unit award granted to her in March 2023 in connection with her promotion to Vice President and Chief Financial Officer. The amount reported for Mr. Janey also includes the grant date fair value of a restricted stock unit award granted to him in November 2022 in connection with his promotion to Group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4" w:right="35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color w:val="auto"/>
        </w:rPr>
        <w:t>Landscapes and Contractor. Amounts reported for fiscal 2023 are set forth in the Grants of Plan-Based Awards for Fiscal 2023 table in</w:t>
      </w:r>
    </w:p>
    <w:p>
      <w:pPr>
        <w:spacing w:after="0" w:line="14" w:lineRule="exact"/>
        <w:rPr>
          <w:sz w:val="20"/>
          <w:szCs w:val="20"/>
          <w:color w:val="auto"/>
        </w:rPr>
      </w:pPr>
    </w:p>
    <w:p>
      <w:pPr>
        <w:ind w:left="340" w:right="280"/>
        <w:spacing w:after="0"/>
        <w:rPr>
          <w:sz w:val="20"/>
          <w:szCs w:val="20"/>
          <w:color w:val="auto"/>
        </w:rPr>
      </w:pPr>
      <w:r>
        <w:rPr>
          <w:rFonts w:ascii="Arial" w:cs="Arial" w:eastAsia="Arial" w:hAnsi="Arial"/>
          <w:sz w:val="17"/>
          <w:szCs w:val="17"/>
          <w:color w:val="auto"/>
        </w:rPr>
        <w:t>the Grant Date Fair Value of Stock and Option Awards column. Provided below is the fiscal 2023 grant date fair value of performance share awards for the fiscal 2023 to fiscal 2025 performance period assuming maximum levels of performance. The maximum value is</w:t>
      </w:r>
    </w:p>
    <w:p>
      <w:pPr>
        <w:ind w:left="340"/>
        <w:spacing w:after="0" w:line="235" w:lineRule="auto"/>
        <w:rPr>
          <w:sz w:val="20"/>
          <w:szCs w:val="20"/>
          <w:color w:val="auto"/>
        </w:rPr>
      </w:pPr>
      <w:r>
        <w:rPr>
          <w:rFonts w:ascii="Arial" w:cs="Arial" w:eastAsia="Arial" w:hAnsi="Arial"/>
          <w:sz w:val="18"/>
          <w:szCs w:val="18"/>
          <w:color w:val="auto"/>
        </w:rPr>
        <w:t>calculated using the number of shares reflected in the Maximum column of the Estimated Future Payouts Under Equity Incentive Plan</w:t>
      </w:r>
    </w:p>
    <w:p>
      <w:pPr>
        <w:ind w:left="340" w:right="220"/>
        <w:spacing w:after="0" w:line="237" w:lineRule="auto"/>
        <w:rPr>
          <w:sz w:val="20"/>
          <w:szCs w:val="20"/>
          <w:color w:val="auto"/>
        </w:rPr>
      </w:pPr>
      <w:r>
        <w:rPr>
          <w:rFonts w:ascii="Arial" w:cs="Arial" w:eastAsia="Arial" w:hAnsi="Arial"/>
          <w:sz w:val="18"/>
          <w:szCs w:val="18"/>
          <w:color w:val="auto"/>
        </w:rPr>
        <w:t>Awards section of the Grants of Plan-Based Awards for Fiscal 2023 table and the closing price of our common stock on December 13, 2022, the grant date, of $112.14.</w:t>
      </w:r>
    </w:p>
    <w:p>
      <w:pPr>
        <w:spacing w:after="0" w:line="24" w:lineRule="exact"/>
        <w:rPr>
          <w:sz w:val="20"/>
          <w:szCs w:val="20"/>
          <w:color w:val="auto"/>
        </w:rPr>
      </w:pPr>
    </w:p>
    <w:tbl>
      <w:tblPr>
        <w:tblLayout w:type="fixed"/>
        <w:tblInd w:w="2880" w:type="dxa"/>
        <w:tblCellMar>
          <w:top w:w="0" w:type="dxa"/>
          <w:left w:w="0" w:type="dxa"/>
          <w:bottom w:w="0" w:type="dxa"/>
          <w:right w:w="0" w:type="dxa"/>
        </w:tblCellMar>
      </w:tblPr>
      <w:tr>
        <w:trPr>
          <w:trHeight w:val="180"/>
        </w:trPr>
        <w:tc>
          <w:tcPr>
            <w:tcW w:w="1940" w:type="dxa"/>
            <w:vAlign w:val="bottom"/>
            <w:shd w:val="clear" w:color="auto" w:fill="BF2115"/>
          </w:tcPr>
          <w:p>
            <w:pPr>
              <w:spacing w:after="0"/>
              <w:rPr>
                <w:sz w:val="15"/>
                <w:szCs w:val="15"/>
                <w:color w:val="auto"/>
              </w:rPr>
            </w:pPr>
          </w:p>
        </w:tc>
        <w:tc>
          <w:tcPr>
            <w:tcW w:w="3560" w:type="dxa"/>
            <w:vAlign w:val="bottom"/>
            <w:shd w:val="clear" w:color="auto" w:fill="BF2115"/>
          </w:tcPr>
          <w:p>
            <w:pPr>
              <w:jc w:val="center"/>
              <w:ind w:left="542"/>
              <w:spacing w:after="0"/>
              <w:rPr>
                <w:sz w:val="20"/>
                <w:szCs w:val="20"/>
                <w:color w:val="auto"/>
              </w:rPr>
            </w:pPr>
            <w:r>
              <w:rPr>
                <w:rFonts w:ascii="Arial" w:cs="Arial" w:eastAsia="Arial" w:hAnsi="Arial"/>
                <w:sz w:val="14"/>
                <w:szCs w:val="14"/>
                <w:b w:val="1"/>
                <w:bCs w:val="1"/>
                <w:color w:val="FFFFFF"/>
              </w:rPr>
              <w:t>Grant Date Fair Value at</w:t>
            </w:r>
          </w:p>
        </w:tc>
      </w:tr>
      <w:tr>
        <w:trPr>
          <w:trHeight w:val="162"/>
        </w:trPr>
        <w:tc>
          <w:tcPr>
            <w:tcW w:w="1940" w:type="dxa"/>
            <w:vAlign w:val="bottom"/>
            <w:shd w:val="clear" w:color="auto" w:fill="BF2115"/>
          </w:tcPr>
          <w:p>
            <w:pPr>
              <w:spacing w:after="0"/>
              <w:rPr>
                <w:sz w:val="14"/>
                <w:szCs w:val="14"/>
                <w:color w:val="auto"/>
              </w:rPr>
            </w:pPr>
          </w:p>
        </w:tc>
        <w:tc>
          <w:tcPr>
            <w:tcW w:w="3560" w:type="dxa"/>
            <w:vAlign w:val="bottom"/>
            <w:shd w:val="clear" w:color="auto" w:fill="BF2115"/>
          </w:tcPr>
          <w:p>
            <w:pPr>
              <w:jc w:val="center"/>
              <w:ind w:left="522"/>
              <w:spacing w:after="0"/>
              <w:rPr>
                <w:sz w:val="20"/>
                <w:szCs w:val="20"/>
                <w:color w:val="auto"/>
              </w:rPr>
            </w:pPr>
            <w:r>
              <w:rPr>
                <w:rFonts w:ascii="Arial" w:cs="Arial" w:eastAsia="Arial" w:hAnsi="Arial"/>
                <w:sz w:val="14"/>
                <w:szCs w:val="14"/>
                <w:b w:val="1"/>
                <w:bCs w:val="1"/>
                <w:color w:val="FFFFFF"/>
              </w:rPr>
              <w:t>Maximum Levels of Performance</w:t>
            </w:r>
          </w:p>
        </w:tc>
      </w:tr>
      <w:tr>
        <w:trPr>
          <w:trHeight w:val="212"/>
        </w:trPr>
        <w:tc>
          <w:tcPr>
            <w:tcW w:w="19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3560" w:type="dxa"/>
            <w:vAlign w:val="bottom"/>
            <w:shd w:val="clear" w:color="auto" w:fill="BF2115"/>
          </w:tcPr>
          <w:p>
            <w:pPr>
              <w:jc w:val="center"/>
              <w:ind w:left="542"/>
              <w:spacing w:after="0"/>
              <w:rPr>
                <w:sz w:val="20"/>
                <w:szCs w:val="20"/>
                <w:color w:val="auto"/>
              </w:rPr>
            </w:pPr>
            <w:r>
              <w:rPr>
                <w:rFonts w:ascii="Arial" w:cs="Arial" w:eastAsia="Arial" w:hAnsi="Arial"/>
                <w:sz w:val="14"/>
                <w:szCs w:val="14"/>
                <w:b w:val="1"/>
                <w:bCs w:val="1"/>
                <w:color w:val="FFFFFF"/>
              </w:rPr>
              <w:t>($)</w:t>
            </w:r>
          </w:p>
        </w:tc>
      </w:tr>
      <w:tr>
        <w:trPr>
          <w:trHeight w:val="215"/>
        </w:trPr>
        <w:tc>
          <w:tcPr>
            <w:tcW w:w="1940" w:type="dxa"/>
            <w:vAlign w:val="bottom"/>
          </w:tcPr>
          <w:p>
            <w:pPr>
              <w:ind w:left="20"/>
              <w:spacing w:after="0"/>
              <w:rPr>
                <w:sz w:val="20"/>
                <w:szCs w:val="20"/>
                <w:color w:val="auto"/>
              </w:rPr>
            </w:pPr>
            <w:r>
              <w:rPr>
                <w:rFonts w:ascii="Arial" w:cs="Arial" w:eastAsia="Arial" w:hAnsi="Arial"/>
                <w:sz w:val="16"/>
                <w:szCs w:val="16"/>
                <w:color w:val="auto"/>
              </w:rPr>
              <w:t>Mr. Olson</w:t>
            </w:r>
          </w:p>
        </w:tc>
        <w:tc>
          <w:tcPr>
            <w:tcW w:w="3560" w:type="dxa"/>
            <w:vAlign w:val="bottom"/>
          </w:tcPr>
          <w:p>
            <w:pPr>
              <w:jc w:val="right"/>
              <w:spacing w:after="0"/>
              <w:rPr>
                <w:sz w:val="20"/>
                <w:szCs w:val="20"/>
                <w:color w:val="auto"/>
              </w:rPr>
            </w:pPr>
            <w:r>
              <w:rPr>
                <w:rFonts w:ascii="Arial" w:cs="Arial" w:eastAsia="Arial" w:hAnsi="Arial"/>
                <w:sz w:val="16"/>
                <w:szCs w:val="16"/>
                <w:color w:val="auto"/>
              </w:rPr>
              <w:t>7,199,388</w:t>
            </w:r>
          </w:p>
        </w:tc>
      </w:tr>
      <w:tr>
        <w:trPr>
          <w:trHeight w:val="28"/>
        </w:trPr>
        <w:tc>
          <w:tcPr>
            <w:tcW w:w="194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23"/>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3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426,132</w:t>
            </w:r>
          </w:p>
        </w:tc>
      </w:tr>
      <w:tr>
        <w:trPr>
          <w:trHeight w:val="215"/>
        </w:trPr>
        <w:tc>
          <w:tcPr>
            <w:tcW w:w="1940" w:type="dxa"/>
            <w:vAlign w:val="bottom"/>
          </w:tcPr>
          <w:p>
            <w:pPr>
              <w:ind w:left="20"/>
              <w:spacing w:after="0"/>
              <w:rPr>
                <w:sz w:val="20"/>
                <w:szCs w:val="20"/>
                <w:color w:val="auto"/>
              </w:rPr>
            </w:pPr>
            <w:r>
              <w:rPr>
                <w:rFonts w:ascii="Arial" w:cs="Arial" w:eastAsia="Arial" w:hAnsi="Arial"/>
                <w:sz w:val="16"/>
                <w:szCs w:val="16"/>
                <w:color w:val="auto"/>
              </w:rPr>
              <w:t>Ms. Peterson</w:t>
            </w:r>
          </w:p>
        </w:tc>
        <w:tc>
          <w:tcPr>
            <w:tcW w:w="3560" w:type="dxa"/>
            <w:vAlign w:val="bottom"/>
          </w:tcPr>
          <w:p>
            <w:pPr>
              <w:jc w:val="right"/>
              <w:spacing w:after="0"/>
              <w:rPr>
                <w:sz w:val="20"/>
                <w:szCs w:val="20"/>
                <w:color w:val="auto"/>
              </w:rPr>
            </w:pPr>
            <w:r>
              <w:rPr>
                <w:rFonts w:ascii="Arial" w:cs="Arial" w:eastAsia="Arial" w:hAnsi="Arial"/>
                <w:sz w:val="16"/>
                <w:szCs w:val="16"/>
                <w:color w:val="auto"/>
              </w:rPr>
              <w:t>1,861,524</w:t>
            </w:r>
          </w:p>
        </w:tc>
      </w:tr>
      <w:tr>
        <w:trPr>
          <w:trHeight w:val="28"/>
        </w:trPr>
        <w:tc>
          <w:tcPr>
            <w:tcW w:w="194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23"/>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Totsky</w:t>
            </w:r>
          </w:p>
        </w:tc>
        <w:tc>
          <w:tcPr>
            <w:tcW w:w="3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N/A</w:t>
            </w:r>
          </w:p>
        </w:tc>
      </w:tr>
      <w:tr>
        <w:trPr>
          <w:trHeight w:val="215"/>
        </w:trPr>
        <w:tc>
          <w:tcPr>
            <w:tcW w:w="1940" w:type="dxa"/>
            <w:vAlign w:val="bottom"/>
          </w:tcPr>
          <w:p>
            <w:pPr>
              <w:ind w:left="20"/>
              <w:spacing w:after="0"/>
              <w:rPr>
                <w:sz w:val="20"/>
                <w:szCs w:val="20"/>
                <w:color w:val="auto"/>
              </w:rPr>
            </w:pPr>
            <w:r>
              <w:rPr>
                <w:rFonts w:ascii="Arial" w:cs="Arial" w:eastAsia="Arial" w:hAnsi="Arial"/>
                <w:sz w:val="16"/>
                <w:szCs w:val="16"/>
                <w:color w:val="auto"/>
              </w:rPr>
              <w:t>Ms. Dahl</w:t>
            </w:r>
          </w:p>
        </w:tc>
        <w:tc>
          <w:tcPr>
            <w:tcW w:w="3560" w:type="dxa"/>
            <w:vAlign w:val="bottom"/>
          </w:tcPr>
          <w:p>
            <w:pPr>
              <w:jc w:val="right"/>
              <w:spacing w:after="0"/>
              <w:rPr>
                <w:sz w:val="20"/>
                <w:szCs w:val="20"/>
                <w:color w:val="auto"/>
              </w:rPr>
            </w:pPr>
            <w:r>
              <w:rPr>
                <w:rFonts w:ascii="Arial" w:cs="Arial" w:eastAsia="Arial" w:hAnsi="Arial"/>
                <w:sz w:val="16"/>
                <w:szCs w:val="16"/>
                <w:color w:val="auto"/>
              </w:rPr>
              <w:t>1,009,260</w:t>
            </w:r>
          </w:p>
        </w:tc>
      </w:tr>
      <w:tr>
        <w:trPr>
          <w:trHeight w:val="28"/>
        </w:trPr>
        <w:tc>
          <w:tcPr>
            <w:tcW w:w="194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23"/>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Mr. Janey</w:t>
            </w:r>
          </w:p>
        </w:tc>
        <w:tc>
          <w:tcPr>
            <w:tcW w:w="3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740,124</w:t>
            </w:r>
          </w:p>
        </w:tc>
      </w:tr>
      <w:tr>
        <w:trPr>
          <w:trHeight w:val="215"/>
        </w:trPr>
        <w:tc>
          <w:tcPr>
            <w:tcW w:w="1940" w:type="dxa"/>
            <w:vAlign w:val="bottom"/>
          </w:tcPr>
          <w:p>
            <w:pPr>
              <w:ind w:left="20"/>
              <w:spacing w:after="0"/>
              <w:rPr>
                <w:sz w:val="20"/>
                <w:szCs w:val="20"/>
                <w:color w:val="auto"/>
              </w:rPr>
            </w:pPr>
            <w:r>
              <w:rPr>
                <w:rFonts w:ascii="Arial" w:cs="Arial" w:eastAsia="Arial" w:hAnsi="Arial"/>
                <w:sz w:val="16"/>
                <w:szCs w:val="16"/>
                <w:color w:val="auto"/>
              </w:rPr>
              <w:t>Mr. Rodier</w:t>
            </w:r>
          </w:p>
        </w:tc>
        <w:tc>
          <w:tcPr>
            <w:tcW w:w="3560" w:type="dxa"/>
            <w:vAlign w:val="bottom"/>
          </w:tcPr>
          <w:p>
            <w:pPr>
              <w:jc w:val="right"/>
              <w:spacing w:after="0"/>
              <w:rPr>
                <w:sz w:val="20"/>
                <w:szCs w:val="20"/>
                <w:color w:val="auto"/>
              </w:rPr>
            </w:pPr>
            <w:r>
              <w:rPr>
                <w:rFonts w:ascii="Arial" w:cs="Arial" w:eastAsia="Arial" w:hAnsi="Arial"/>
                <w:sz w:val="16"/>
                <w:szCs w:val="16"/>
                <w:color w:val="auto"/>
              </w:rPr>
              <w:t>1,233,540</w:t>
            </w:r>
          </w:p>
        </w:tc>
      </w:tr>
    </w:tbl>
    <w:p>
      <w:pPr>
        <w:spacing w:after="0" w:line="50" w:lineRule="exact"/>
        <w:rPr>
          <w:sz w:val="20"/>
          <w:szCs w:val="20"/>
          <w:color w:val="auto"/>
        </w:rPr>
      </w:pPr>
    </w:p>
    <w:p>
      <w:pPr>
        <w:ind w:left="340" w:hanging="332"/>
        <w:spacing w:after="0" w:line="267" w:lineRule="auto"/>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computed in accordance with FASB ASC Topic 718, of option awards granted each fiscal year. Summarized in the table below are the specific assumptions used in the valuation of the option awards.</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1340" w:type="dxa"/>
            <w:vAlign w:val="bottom"/>
            <w:shd w:val="clear" w:color="auto" w:fill="BF2115"/>
          </w:tcPr>
          <w:p>
            <w:pPr>
              <w:spacing w:after="0"/>
              <w:rPr>
                <w:sz w:val="18"/>
                <w:szCs w:val="18"/>
                <w:color w:val="auto"/>
              </w:rPr>
            </w:pPr>
          </w:p>
        </w:tc>
        <w:tc>
          <w:tcPr>
            <w:tcW w:w="1820" w:type="dxa"/>
            <w:vAlign w:val="bottom"/>
            <w:vMerge w:val="restart"/>
            <w:shd w:val="clear" w:color="auto" w:fill="BF2115"/>
          </w:tcPr>
          <w:p>
            <w:pPr>
              <w:jc w:val="right"/>
              <w:ind w:right="563"/>
              <w:spacing w:after="0"/>
              <w:rPr>
                <w:sz w:val="20"/>
                <w:szCs w:val="20"/>
                <w:color w:val="auto"/>
              </w:rPr>
            </w:pPr>
            <w:r>
              <w:rPr>
                <w:rFonts w:ascii="Arial" w:cs="Arial" w:eastAsia="Arial" w:hAnsi="Arial"/>
                <w:sz w:val="14"/>
                <w:szCs w:val="14"/>
                <w:b w:val="1"/>
                <w:bCs w:val="1"/>
                <w:color w:val="FFFFFF"/>
              </w:rPr>
              <w:t>Risk Free</w:t>
            </w:r>
          </w:p>
        </w:tc>
        <w:tc>
          <w:tcPr>
            <w:tcW w:w="1540" w:type="dxa"/>
            <w:vAlign w:val="bottom"/>
            <w:vMerge w:val="restart"/>
            <w:shd w:val="clear" w:color="auto" w:fill="BF2115"/>
          </w:tcPr>
          <w:p>
            <w:pPr>
              <w:jc w:val="center"/>
              <w:ind w:right="303"/>
              <w:spacing w:after="0"/>
              <w:rPr>
                <w:sz w:val="20"/>
                <w:szCs w:val="20"/>
                <w:color w:val="auto"/>
              </w:rPr>
            </w:pPr>
            <w:r>
              <w:rPr>
                <w:rFonts w:ascii="Arial" w:cs="Arial" w:eastAsia="Arial" w:hAnsi="Arial"/>
                <w:sz w:val="14"/>
                <w:szCs w:val="14"/>
                <w:b w:val="1"/>
                <w:bCs w:val="1"/>
                <w:color w:val="FFFFFF"/>
              </w:rPr>
              <w:t>Expected</w:t>
            </w:r>
          </w:p>
        </w:tc>
        <w:tc>
          <w:tcPr>
            <w:tcW w:w="1560" w:type="dxa"/>
            <w:vAlign w:val="bottom"/>
            <w:vMerge w:val="restart"/>
            <w:shd w:val="clear" w:color="auto" w:fill="BF2115"/>
          </w:tcPr>
          <w:p>
            <w:pPr>
              <w:jc w:val="right"/>
              <w:ind w:right="543"/>
              <w:spacing w:after="0"/>
              <w:rPr>
                <w:sz w:val="20"/>
                <w:szCs w:val="20"/>
                <w:color w:val="auto"/>
              </w:rPr>
            </w:pPr>
            <w:r>
              <w:rPr>
                <w:rFonts w:ascii="Arial" w:cs="Arial" w:eastAsia="Arial" w:hAnsi="Arial"/>
                <w:sz w:val="14"/>
                <w:szCs w:val="14"/>
                <w:b w:val="1"/>
                <w:bCs w:val="1"/>
                <w:color w:val="FFFFFF"/>
              </w:rPr>
              <w:t>Expected</w:t>
            </w:r>
          </w:p>
        </w:tc>
        <w:tc>
          <w:tcPr>
            <w:tcW w:w="1520" w:type="dxa"/>
            <w:vAlign w:val="bottom"/>
            <w:vMerge w:val="restart"/>
            <w:shd w:val="clear" w:color="auto" w:fill="BF2115"/>
          </w:tcPr>
          <w:p>
            <w:pPr>
              <w:jc w:val="right"/>
              <w:ind w:right="423"/>
              <w:spacing w:after="0"/>
              <w:rPr>
                <w:sz w:val="20"/>
                <w:szCs w:val="20"/>
                <w:color w:val="auto"/>
              </w:rPr>
            </w:pPr>
            <w:r>
              <w:rPr>
                <w:rFonts w:ascii="Arial" w:cs="Arial" w:eastAsia="Arial" w:hAnsi="Arial"/>
                <w:sz w:val="14"/>
                <w:szCs w:val="14"/>
                <w:b w:val="1"/>
                <w:bCs w:val="1"/>
                <w:color w:val="FFFFFF"/>
              </w:rPr>
              <w:t>Expected</w:t>
            </w:r>
          </w:p>
        </w:tc>
        <w:tc>
          <w:tcPr>
            <w:tcW w:w="220" w:type="dxa"/>
            <w:vAlign w:val="bottom"/>
            <w:shd w:val="clear" w:color="auto" w:fill="BF2115"/>
          </w:tcPr>
          <w:p>
            <w:pPr>
              <w:spacing w:after="0"/>
              <w:rPr>
                <w:sz w:val="18"/>
                <w:szCs w:val="18"/>
                <w:color w:val="auto"/>
              </w:rPr>
            </w:pPr>
          </w:p>
        </w:tc>
        <w:tc>
          <w:tcPr>
            <w:tcW w:w="1260" w:type="dxa"/>
            <w:vAlign w:val="bottom"/>
            <w:shd w:val="clear" w:color="auto" w:fill="BF2115"/>
          </w:tcPr>
          <w:p>
            <w:pPr>
              <w:jc w:val="center"/>
              <w:ind w:right="84"/>
              <w:spacing w:after="0"/>
              <w:rPr>
                <w:sz w:val="20"/>
                <w:szCs w:val="20"/>
                <w:color w:val="auto"/>
              </w:rPr>
            </w:pPr>
            <w:r>
              <w:rPr>
                <w:rFonts w:ascii="Arial" w:cs="Arial" w:eastAsia="Arial" w:hAnsi="Arial"/>
                <w:sz w:val="14"/>
                <w:szCs w:val="14"/>
                <w:b w:val="1"/>
                <w:bCs w:val="1"/>
                <w:color w:val="FFFFFF"/>
              </w:rPr>
              <w:t>Per Share</w:t>
            </w:r>
          </w:p>
        </w:tc>
        <w:tc>
          <w:tcPr>
            <w:tcW w:w="0" w:type="dxa"/>
            <w:vAlign w:val="bottom"/>
          </w:tcPr>
          <w:p>
            <w:pPr>
              <w:spacing w:after="0"/>
              <w:rPr>
                <w:sz w:val="1"/>
                <w:szCs w:val="1"/>
                <w:color w:val="auto"/>
              </w:rPr>
            </w:pPr>
          </w:p>
        </w:tc>
      </w:tr>
      <w:tr>
        <w:trPr>
          <w:trHeight w:val="175"/>
        </w:trPr>
        <w:tc>
          <w:tcPr>
            <w:tcW w:w="1340" w:type="dxa"/>
            <w:vAlign w:val="bottom"/>
            <w:shd w:val="clear" w:color="auto" w:fill="BF2115"/>
          </w:tcPr>
          <w:p>
            <w:pPr>
              <w:spacing w:after="0"/>
              <w:rPr>
                <w:sz w:val="15"/>
                <w:szCs w:val="15"/>
                <w:color w:val="auto"/>
              </w:rPr>
            </w:pPr>
          </w:p>
        </w:tc>
        <w:tc>
          <w:tcPr>
            <w:tcW w:w="1820" w:type="dxa"/>
            <w:vAlign w:val="bottom"/>
            <w:vMerge w:val="continue"/>
            <w:shd w:val="clear" w:color="auto" w:fill="BF2115"/>
          </w:tcPr>
          <w:p>
            <w:pPr>
              <w:spacing w:after="0"/>
              <w:rPr>
                <w:sz w:val="15"/>
                <w:szCs w:val="15"/>
                <w:color w:val="auto"/>
              </w:rPr>
            </w:pPr>
          </w:p>
        </w:tc>
        <w:tc>
          <w:tcPr>
            <w:tcW w:w="1540" w:type="dxa"/>
            <w:vAlign w:val="bottom"/>
            <w:vMerge w:val="continue"/>
            <w:shd w:val="clear" w:color="auto" w:fill="BF2115"/>
          </w:tcPr>
          <w:p>
            <w:pPr>
              <w:spacing w:after="0"/>
              <w:rPr>
                <w:sz w:val="15"/>
                <w:szCs w:val="15"/>
                <w:color w:val="auto"/>
              </w:rPr>
            </w:pPr>
          </w:p>
        </w:tc>
        <w:tc>
          <w:tcPr>
            <w:tcW w:w="1560" w:type="dxa"/>
            <w:vAlign w:val="bottom"/>
            <w:vMerge w:val="continue"/>
            <w:shd w:val="clear" w:color="auto" w:fill="BF2115"/>
          </w:tcPr>
          <w:p>
            <w:pPr>
              <w:spacing w:after="0"/>
              <w:rPr>
                <w:sz w:val="15"/>
                <w:szCs w:val="15"/>
                <w:color w:val="auto"/>
              </w:rPr>
            </w:pPr>
          </w:p>
        </w:tc>
        <w:tc>
          <w:tcPr>
            <w:tcW w:w="1520" w:type="dxa"/>
            <w:vAlign w:val="bottom"/>
            <w:vMerge w:val="continue"/>
            <w:shd w:val="clear" w:color="auto" w:fill="BF2115"/>
          </w:tcPr>
          <w:p>
            <w:pPr>
              <w:spacing w:after="0"/>
              <w:rPr>
                <w:sz w:val="15"/>
                <w:szCs w:val="15"/>
                <w:color w:val="auto"/>
              </w:rPr>
            </w:pPr>
          </w:p>
        </w:tc>
        <w:tc>
          <w:tcPr>
            <w:tcW w:w="220" w:type="dxa"/>
            <w:vAlign w:val="bottom"/>
            <w:shd w:val="clear" w:color="auto" w:fill="BF2115"/>
          </w:tcPr>
          <w:p>
            <w:pPr>
              <w:spacing w:after="0"/>
              <w:rPr>
                <w:sz w:val="15"/>
                <w:szCs w:val="15"/>
                <w:color w:val="auto"/>
              </w:rPr>
            </w:pPr>
          </w:p>
        </w:tc>
        <w:tc>
          <w:tcPr>
            <w:tcW w:w="1260" w:type="dxa"/>
            <w:vAlign w:val="bottom"/>
            <w:shd w:val="clear" w:color="auto" w:fill="BF2115"/>
          </w:tcPr>
          <w:p>
            <w:pPr>
              <w:jc w:val="center"/>
              <w:ind w:right="84"/>
              <w:spacing w:after="0"/>
              <w:rPr>
                <w:sz w:val="20"/>
                <w:szCs w:val="20"/>
                <w:color w:val="auto"/>
              </w:rPr>
            </w:pPr>
            <w:r>
              <w:rPr>
                <w:rFonts w:ascii="Arial" w:cs="Arial" w:eastAsia="Arial" w:hAnsi="Arial"/>
                <w:sz w:val="14"/>
                <w:szCs w:val="14"/>
                <w:b w:val="1"/>
                <w:bCs w:val="1"/>
                <w:color w:val="FFFFFF"/>
              </w:rPr>
              <w:t>Black-Scholes</w:t>
            </w:r>
          </w:p>
        </w:tc>
        <w:tc>
          <w:tcPr>
            <w:tcW w:w="0" w:type="dxa"/>
            <w:vAlign w:val="bottom"/>
          </w:tcPr>
          <w:p>
            <w:pPr>
              <w:spacing w:after="0"/>
              <w:rPr>
                <w:sz w:val="1"/>
                <w:szCs w:val="1"/>
                <w:color w:val="auto"/>
              </w:rPr>
            </w:pPr>
          </w:p>
        </w:tc>
      </w:tr>
      <w:tr>
        <w:trPr>
          <w:trHeight w:val="198"/>
        </w:trPr>
        <w:tc>
          <w:tcPr>
            <w:tcW w:w="13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Grant Date</w:t>
            </w:r>
          </w:p>
        </w:tc>
        <w:tc>
          <w:tcPr>
            <w:tcW w:w="1820" w:type="dxa"/>
            <w:vAlign w:val="bottom"/>
            <w:shd w:val="clear" w:color="auto" w:fill="BF2115"/>
          </w:tcPr>
          <w:p>
            <w:pPr>
              <w:jc w:val="right"/>
              <w:ind w:right="723"/>
              <w:spacing w:after="0"/>
              <w:rPr>
                <w:sz w:val="20"/>
                <w:szCs w:val="20"/>
                <w:color w:val="auto"/>
              </w:rPr>
            </w:pPr>
            <w:r>
              <w:rPr>
                <w:rFonts w:ascii="Arial" w:cs="Arial" w:eastAsia="Arial" w:hAnsi="Arial"/>
                <w:sz w:val="14"/>
                <w:szCs w:val="14"/>
                <w:b w:val="1"/>
                <w:bCs w:val="1"/>
                <w:color w:val="FFFFFF"/>
              </w:rPr>
              <w:t>Rate</w:t>
            </w:r>
          </w:p>
        </w:tc>
        <w:tc>
          <w:tcPr>
            <w:tcW w:w="1540" w:type="dxa"/>
            <w:vAlign w:val="bottom"/>
            <w:shd w:val="clear" w:color="auto" w:fill="BF2115"/>
          </w:tcPr>
          <w:p>
            <w:pPr>
              <w:jc w:val="center"/>
              <w:ind w:right="303"/>
              <w:spacing w:after="0"/>
              <w:rPr>
                <w:sz w:val="20"/>
                <w:szCs w:val="20"/>
                <w:color w:val="auto"/>
              </w:rPr>
            </w:pPr>
            <w:r>
              <w:rPr>
                <w:rFonts w:ascii="Arial" w:cs="Arial" w:eastAsia="Arial" w:hAnsi="Arial"/>
                <w:sz w:val="14"/>
                <w:szCs w:val="14"/>
                <w:b w:val="1"/>
                <w:bCs w:val="1"/>
                <w:color w:val="FFFFFF"/>
                <w:w w:val="96"/>
              </w:rPr>
              <w:t>Life</w:t>
            </w:r>
          </w:p>
        </w:tc>
        <w:tc>
          <w:tcPr>
            <w:tcW w:w="1560" w:type="dxa"/>
            <w:vAlign w:val="bottom"/>
            <w:shd w:val="clear" w:color="auto" w:fill="BF2115"/>
          </w:tcPr>
          <w:p>
            <w:pPr>
              <w:jc w:val="right"/>
              <w:ind w:right="583"/>
              <w:spacing w:after="0"/>
              <w:rPr>
                <w:sz w:val="20"/>
                <w:szCs w:val="20"/>
                <w:color w:val="auto"/>
              </w:rPr>
            </w:pPr>
            <w:r>
              <w:rPr>
                <w:rFonts w:ascii="Arial" w:cs="Arial" w:eastAsia="Arial" w:hAnsi="Arial"/>
                <w:sz w:val="14"/>
                <w:szCs w:val="14"/>
                <w:b w:val="1"/>
                <w:bCs w:val="1"/>
                <w:color w:val="FFFFFF"/>
              </w:rPr>
              <w:t>Volatility</w:t>
            </w:r>
          </w:p>
        </w:tc>
        <w:tc>
          <w:tcPr>
            <w:tcW w:w="1520" w:type="dxa"/>
            <w:vAlign w:val="bottom"/>
            <w:shd w:val="clear" w:color="auto" w:fill="BF2115"/>
          </w:tcPr>
          <w:p>
            <w:pPr>
              <w:jc w:val="right"/>
              <w:ind w:right="243"/>
              <w:spacing w:after="0"/>
              <w:rPr>
                <w:sz w:val="20"/>
                <w:szCs w:val="20"/>
                <w:color w:val="auto"/>
              </w:rPr>
            </w:pPr>
            <w:r>
              <w:rPr>
                <w:rFonts w:ascii="Arial" w:cs="Arial" w:eastAsia="Arial" w:hAnsi="Arial"/>
                <w:sz w:val="14"/>
                <w:szCs w:val="14"/>
                <w:b w:val="1"/>
                <w:bCs w:val="1"/>
                <w:color w:val="FFFFFF"/>
              </w:rPr>
              <w:t>Dividend Yield</w:t>
            </w:r>
          </w:p>
        </w:tc>
        <w:tc>
          <w:tcPr>
            <w:tcW w:w="220" w:type="dxa"/>
            <w:vAlign w:val="bottom"/>
            <w:shd w:val="clear" w:color="auto" w:fill="BF2115"/>
          </w:tcPr>
          <w:p>
            <w:pPr>
              <w:spacing w:after="0"/>
              <w:rPr>
                <w:sz w:val="17"/>
                <w:szCs w:val="17"/>
                <w:color w:val="auto"/>
              </w:rPr>
            </w:pPr>
          </w:p>
        </w:tc>
        <w:tc>
          <w:tcPr>
            <w:tcW w:w="1260" w:type="dxa"/>
            <w:vAlign w:val="bottom"/>
            <w:shd w:val="clear" w:color="auto" w:fill="BF2115"/>
          </w:tcPr>
          <w:p>
            <w:pPr>
              <w:jc w:val="center"/>
              <w:ind w:right="84"/>
              <w:spacing w:after="0"/>
              <w:rPr>
                <w:sz w:val="20"/>
                <w:szCs w:val="20"/>
                <w:color w:val="auto"/>
              </w:rPr>
            </w:pPr>
            <w:r>
              <w:rPr>
                <w:rFonts w:ascii="Arial" w:cs="Arial" w:eastAsia="Arial" w:hAnsi="Arial"/>
                <w:sz w:val="14"/>
                <w:szCs w:val="14"/>
                <w:b w:val="1"/>
                <w:bCs w:val="1"/>
                <w:color w:val="FFFFFF"/>
              </w:rPr>
              <w:t>Value</w:t>
            </w:r>
          </w:p>
        </w:tc>
        <w:tc>
          <w:tcPr>
            <w:tcW w:w="0" w:type="dxa"/>
            <w:vAlign w:val="bottom"/>
          </w:tcPr>
          <w:p>
            <w:pPr>
              <w:spacing w:after="0"/>
              <w:rPr>
                <w:sz w:val="1"/>
                <w:szCs w:val="1"/>
                <w:color w:val="auto"/>
              </w:rPr>
            </w:pPr>
          </w:p>
        </w:tc>
      </w:tr>
      <w:tr>
        <w:trPr>
          <w:trHeight w:val="215"/>
        </w:trPr>
        <w:tc>
          <w:tcPr>
            <w:tcW w:w="1340" w:type="dxa"/>
            <w:vAlign w:val="bottom"/>
          </w:tcPr>
          <w:p>
            <w:pPr>
              <w:ind w:left="20"/>
              <w:spacing w:after="0"/>
              <w:rPr>
                <w:sz w:val="20"/>
                <w:szCs w:val="20"/>
                <w:color w:val="auto"/>
              </w:rPr>
            </w:pPr>
            <w:r>
              <w:rPr>
                <w:rFonts w:ascii="Arial" w:cs="Arial" w:eastAsia="Arial" w:hAnsi="Arial"/>
                <w:sz w:val="16"/>
                <w:szCs w:val="16"/>
                <w:color w:val="auto"/>
              </w:rPr>
              <w:t>12/22/2022</w:t>
            </w:r>
          </w:p>
        </w:tc>
        <w:tc>
          <w:tcPr>
            <w:tcW w:w="1820" w:type="dxa"/>
            <w:vAlign w:val="bottom"/>
          </w:tcPr>
          <w:p>
            <w:pPr>
              <w:jc w:val="right"/>
              <w:ind w:right="163"/>
              <w:spacing w:after="0"/>
              <w:rPr>
                <w:sz w:val="20"/>
                <w:szCs w:val="20"/>
                <w:color w:val="auto"/>
              </w:rPr>
            </w:pPr>
            <w:r>
              <w:rPr>
                <w:rFonts w:ascii="Arial" w:cs="Arial" w:eastAsia="Arial" w:hAnsi="Arial"/>
                <w:sz w:val="16"/>
                <w:szCs w:val="16"/>
                <w:color w:val="auto"/>
              </w:rPr>
              <w:t>3.77 %</w:t>
            </w:r>
          </w:p>
        </w:tc>
        <w:tc>
          <w:tcPr>
            <w:tcW w:w="1540" w:type="dxa"/>
            <w:vAlign w:val="bottom"/>
          </w:tcPr>
          <w:p>
            <w:pPr>
              <w:ind w:left="600"/>
              <w:spacing w:after="0"/>
              <w:rPr>
                <w:sz w:val="20"/>
                <w:szCs w:val="20"/>
                <w:color w:val="auto"/>
              </w:rPr>
            </w:pPr>
            <w:r>
              <w:rPr>
                <w:rFonts w:ascii="Arial" w:cs="Arial" w:eastAsia="Arial" w:hAnsi="Arial"/>
                <w:sz w:val="16"/>
                <w:szCs w:val="16"/>
                <w:color w:val="auto"/>
              </w:rPr>
              <w:t>6.6 years</w:t>
            </w:r>
          </w:p>
        </w:tc>
        <w:tc>
          <w:tcPr>
            <w:tcW w:w="1560" w:type="dxa"/>
            <w:vAlign w:val="bottom"/>
          </w:tcPr>
          <w:p>
            <w:pPr>
              <w:jc w:val="right"/>
              <w:ind w:right="123"/>
              <w:spacing w:after="0"/>
              <w:rPr>
                <w:sz w:val="20"/>
                <w:szCs w:val="20"/>
                <w:color w:val="auto"/>
              </w:rPr>
            </w:pPr>
            <w:r>
              <w:rPr>
                <w:rFonts w:ascii="Arial" w:cs="Arial" w:eastAsia="Arial" w:hAnsi="Arial"/>
                <w:sz w:val="16"/>
                <w:szCs w:val="16"/>
                <w:color w:val="auto"/>
              </w:rPr>
              <w:t>24.94 %</w:t>
            </w:r>
          </w:p>
        </w:tc>
        <w:tc>
          <w:tcPr>
            <w:tcW w:w="1520" w:type="dxa"/>
            <w:vAlign w:val="bottom"/>
          </w:tcPr>
          <w:p>
            <w:pPr>
              <w:jc w:val="right"/>
              <w:spacing w:after="0"/>
              <w:rPr>
                <w:sz w:val="20"/>
                <w:szCs w:val="20"/>
                <w:color w:val="auto"/>
              </w:rPr>
            </w:pPr>
            <w:r>
              <w:rPr>
                <w:rFonts w:ascii="Arial" w:cs="Arial" w:eastAsia="Arial" w:hAnsi="Arial"/>
                <w:sz w:val="16"/>
                <w:szCs w:val="16"/>
                <w:color w:val="auto"/>
              </w:rPr>
              <w:t>0.94 %</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33.81</w:t>
            </w:r>
          </w:p>
        </w:tc>
        <w:tc>
          <w:tcPr>
            <w:tcW w:w="0" w:type="dxa"/>
            <w:vAlign w:val="bottom"/>
          </w:tcPr>
          <w:p>
            <w:pPr>
              <w:spacing w:after="0"/>
              <w:rPr>
                <w:sz w:val="1"/>
                <w:szCs w:val="1"/>
                <w:color w:val="auto"/>
              </w:rPr>
            </w:pPr>
          </w:p>
        </w:tc>
      </w:tr>
      <w:tr>
        <w:trPr>
          <w:trHeight w:val="28"/>
        </w:trPr>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12/16/2021</w:t>
            </w:r>
          </w:p>
        </w:tc>
        <w:tc>
          <w:tcPr>
            <w:tcW w:w="1820" w:type="dxa"/>
            <w:vAlign w:val="bottom"/>
            <w:tcBorders>
              <w:bottom w:val="single" w:sz="8" w:color="DBDBDB"/>
            </w:tcBorders>
            <w:shd w:val="clear" w:color="auto" w:fill="DBDBDB"/>
          </w:tcPr>
          <w:p>
            <w:pPr>
              <w:jc w:val="right"/>
              <w:ind w:right="163"/>
              <w:spacing w:after="0"/>
              <w:rPr>
                <w:sz w:val="20"/>
                <w:szCs w:val="20"/>
                <w:color w:val="auto"/>
              </w:rPr>
            </w:pPr>
            <w:r>
              <w:rPr>
                <w:rFonts w:ascii="Arial" w:cs="Arial" w:eastAsia="Arial" w:hAnsi="Arial"/>
                <w:sz w:val="16"/>
                <w:szCs w:val="16"/>
                <w:color w:val="auto"/>
              </w:rPr>
              <w:t>1.31 %</w:t>
            </w:r>
          </w:p>
        </w:tc>
        <w:tc>
          <w:tcPr>
            <w:tcW w:w="1540" w:type="dxa"/>
            <w:vAlign w:val="bottom"/>
            <w:tcBorders>
              <w:bottom w:val="single" w:sz="8" w:color="DBDBDB"/>
            </w:tcBorders>
            <w:shd w:val="clear" w:color="auto" w:fill="DBDBDB"/>
          </w:tcPr>
          <w:p>
            <w:pPr>
              <w:ind w:left="600"/>
              <w:spacing w:after="0"/>
              <w:rPr>
                <w:sz w:val="20"/>
                <w:szCs w:val="20"/>
                <w:color w:val="auto"/>
              </w:rPr>
            </w:pPr>
            <w:r>
              <w:rPr>
                <w:rFonts w:ascii="Arial" w:cs="Arial" w:eastAsia="Arial" w:hAnsi="Arial"/>
                <w:sz w:val="16"/>
                <w:szCs w:val="16"/>
                <w:color w:val="auto"/>
              </w:rPr>
              <w:t>6.4 years</w:t>
            </w:r>
          </w:p>
        </w:tc>
        <w:tc>
          <w:tcPr>
            <w:tcW w:w="1560" w:type="dxa"/>
            <w:vAlign w:val="bottom"/>
            <w:tcBorders>
              <w:bottom w:val="single" w:sz="8" w:color="DBDBDB"/>
            </w:tcBorders>
            <w:shd w:val="clear" w:color="auto" w:fill="DBDBDB"/>
          </w:tcPr>
          <w:p>
            <w:pPr>
              <w:jc w:val="right"/>
              <w:ind w:right="123"/>
              <w:spacing w:after="0"/>
              <w:rPr>
                <w:sz w:val="20"/>
                <w:szCs w:val="20"/>
                <w:color w:val="auto"/>
              </w:rPr>
            </w:pPr>
            <w:r>
              <w:rPr>
                <w:rFonts w:ascii="Arial" w:cs="Arial" w:eastAsia="Arial" w:hAnsi="Arial"/>
                <w:sz w:val="16"/>
                <w:szCs w:val="16"/>
                <w:color w:val="auto"/>
              </w:rPr>
              <w:t>23.75 %</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0.93 %</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22.98</w:t>
            </w:r>
          </w:p>
        </w:tc>
        <w:tc>
          <w:tcPr>
            <w:tcW w:w="0" w:type="dxa"/>
            <w:vAlign w:val="bottom"/>
          </w:tcPr>
          <w:p>
            <w:pPr>
              <w:spacing w:after="0"/>
              <w:rPr>
                <w:sz w:val="1"/>
                <w:szCs w:val="1"/>
                <w:color w:val="auto"/>
              </w:rPr>
            </w:pPr>
          </w:p>
        </w:tc>
      </w:tr>
      <w:tr>
        <w:trPr>
          <w:trHeight w:val="215"/>
        </w:trPr>
        <w:tc>
          <w:tcPr>
            <w:tcW w:w="1340" w:type="dxa"/>
            <w:vAlign w:val="bottom"/>
          </w:tcPr>
          <w:p>
            <w:pPr>
              <w:ind w:left="20"/>
              <w:spacing w:after="0"/>
              <w:rPr>
                <w:sz w:val="20"/>
                <w:szCs w:val="20"/>
                <w:color w:val="auto"/>
              </w:rPr>
            </w:pPr>
            <w:r>
              <w:rPr>
                <w:rFonts w:ascii="Arial" w:cs="Arial" w:eastAsia="Arial" w:hAnsi="Arial"/>
                <w:sz w:val="16"/>
                <w:szCs w:val="16"/>
                <w:color w:val="auto"/>
              </w:rPr>
              <w:t>12/17/2020</w:t>
            </w:r>
          </w:p>
        </w:tc>
        <w:tc>
          <w:tcPr>
            <w:tcW w:w="1820" w:type="dxa"/>
            <w:vAlign w:val="bottom"/>
          </w:tcPr>
          <w:p>
            <w:pPr>
              <w:jc w:val="right"/>
              <w:ind w:right="163"/>
              <w:spacing w:after="0"/>
              <w:rPr>
                <w:sz w:val="20"/>
                <w:szCs w:val="20"/>
                <w:color w:val="auto"/>
              </w:rPr>
            </w:pPr>
            <w:r>
              <w:rPr>
                <w:rFonts w:ascii="Arial" w:cs="Arial" w:eastAsia="Arial" w:hAnsi="Arial"/>
                <w:sz w:val="16"/>
                <w:szCs w:val="16"/>
                <w:color w:val="auto"/>
              </w:rPr>
              <w:t>0.58 %</w:t>
            </w:r>
          </w:p>
        </w:tc>
        <w:tc>
          <w:tcPr>
            <w:tcW w:w="1540" w:type="dxa"/>
            <w:vAlign w:val="bottom"/>
          </w:tcPr>
          <w:p>
            <w:pPr>
              <w:ind w:left="600"/>
              <w:spacing w:after="0"/>
              <w:rPr>
                <w:sz w:val="20"/>
                <w:szCs w:val="20"/>
                <w:color w:val="auto"/>
              </w:rPr>
            </w:pPr>
            <w:r>
              <w:rPr>
                <w:rFonts w:ascii="Arial" w:cs="Arial" w:eastAsia="Arial" w:hAnsi="Arial"/>
                <w:sz w:val="16"/>
                <w:szCs w:val="16"/>
                <w:color w:val="auto"/>
              </w:rPr>
              <w:t>6.4 years</w:t>
            </w:r>
          </w:p>
        </w:tc>
        <w:tc>
          <w:tcPr>
            <w:tcW w:w="1560" w:type="dxa"/>
            <w:vAlign w:val="bottom"/>
          </w:tcPr>
          <w:p>
            <w:pPr>
              <w:jc w:val="right"/>
              <w:ind w:right="123"/>
              <w:spacing w:after="0"/>
              <w:rPr>
                <w:sz w:val="20"/>
                <w:szCs w:val="20"/>
                <w:color w:val="auto"/>
              </w:rPr>
            </w:pPr>
            <w:r>
              <w:rPr>
                <w:rFonts w:ascii="Arial" w:cs="Arial" w:eastAsia="Arial" w:hAnsi="Arial"/>
                <w:sz w:val="16"/>
                <w:szCs w:val="16"/>
                <w:color w:val="auto"/>
              </w:rPr>
              <w:t>23.13 %</w:t>
            </w:r>
          </w:p>
        </w:tc>
        <w:tc>
          <w:tcPr>
            <w:tcW w:w="1520" w:type="dxa"/>
            <w:vAlign w:val="bottom"/>
          </w:tcPr>
          <w:p>
            <w:pPr>
              <w:jc w:val="right"/>
              <w:spacing w:after="0"/>
              <w:rPr>
                <w:sz w:val="20"/>
                <w:szCs w:val="20"/>
                <w:color w:val="auto"/>
              </w:rPr>
            </w:pPr>
            <w:r>
              <w:rPr>
                <w:rFonts w:ascii="Arial" w:cs="Arial" w:eastAsia="Arial" w:hAnsi="Arial"/>
                <w:sz w:val="16"/>
                <w:szCs w:val="16"/>
                <w:color w:val="auto"/>
              </w:rPr>
              <w:t>0.85 %</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19.74</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right="660" w:hanging="332"/>
        <w:spacing w:after="0" w:line="266" w:lineRule="auto"/>
        <w:tabs>
          <w:tab w:leader="none" w:pos="32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Amounts reported represent annual cash incentive awards earned for each fiscal year, but paid during the following fiscal year or deferred. Annual cash incentive awards are calculated and paid based on performance against financial performance goals.</w:t>
      </w: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Amounts for fiscal 2023 are set forth below under All Other Compensation for Fiscal 2023.</w:t>
      </w:r>
    </w:p>
    <w:p>
      <w:pPr>
        <w:spacing w:after="0" w:line="36" w:lineRule="exact"/>
        <w:rPr>
          <w:rFonts w:ascii="Arial" w:cs="Arial" w:eastAsia="Arial" w:hAnsi="Arial"/>
          <w:sz w:val="18"/>
          <w:szCs w:val="18"/>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Ms. Totsky joined the Company on June 19, 2023; therefore, her information is provided only for fiscal 2023.</w:t>
      </w:r>
    </w:p>
    <w:p>
      <w:pPr>
        <w:spacing w:after="0" w:line="49" w:lineRule="exact"/>
        <w:rPr>
          <w:rFonts w:ascii="Arial" w:cs="Arial" w:eastAsia="Arial" w:hAnsi="Arial"/>
          <w:sz w:val="18"/>
          <w:szCs w:val="18"/>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Janey was not a named executive officer in fiscal 2022 or fiscal 2021; therefore, his information is only provided for fiscal 2023.</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All Other Compensation for Fiscal 2023</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other compensation for fiscal 2023 includes the compensation components described below.</w:t>
      </w:r>
    </w:p>
    <w:p>
      <w:pPr>
        <w:sectPr>
          <w:pgSz w:w="11900" w:h="16838" w:orient="portrait"/>
          <w:cols w:equalWidth="0" w:num="1">
            <w:col w:w="11200"/>
          </w:cols>
          <w:pgMar w:left="320" w:top="1106" w:right="379" w:bottom="1440" w:gutter="0" w:footer="0" w:header="0"/>
        </w:sectPr>
      </w:pPr>
    </w:p>
    <w:p>
      <w:pPr>
        <w:spacing w:after="0" w:line="16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Element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Retirement</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Benefits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-115570</wp:posOffset>
            </wp:positionV>
            <wp:extent cx="696087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60870" cy="154305"/>
                    </a:xfrm>
                    <a:prstGeom prst="rect">
                      <a:avLst/>
                    </a:prstGeom>
                    <a:noFill/>
                  </pic:spPr>
                </pic:pic>
              </a:graphicData>
            </a:graphic>
          </wp:anchor>
        </w:drawing>
      </w:r>
    </w:p>
    <w:p>
      <w:pPr>
        <w:spacing w:after="0" w:line="39"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color w:val="auto"/>
        </w:rPr>
        <w:t>Under our Retirement Plan in calendar year 2023, we matched one dollar for each employee dollar contribution, up to an employee maximum of 4%. Additionally, the Company may make a discretionary investment fund contribution. Employees are eligible to participate in the plan after 30 days of service. For employees whose compensation exceeds the IRS limit, we also provide a contribution into our nonqualified deferred compensation plans, the Supplemental Benefit Plan or the Deferred Plan, as applicable. Our nonqualified deferred compensation plans are described under Nonqualified Deferred Compensation for Fiscal 2023.</w:t>
      </w:r>
    </w:p>
    <w:p>
      <w:pPr>
        <w:spacing w:after="0" w:line="200" w:lineRule="exact"/>
        <w:rPr>
          <w:sz w:val="20"/>
          <w:szCs w:val="20"/>
          <w:color w:val="auto"/>
        </w:rPr>
      </w:pPr>
    </w:p>
    <w:p>
      <w:pPr>
        <w:sectPr>
          <w:pgSz w:w="11900" w:h="16838" w:orient="portrait"/>
          <w:cols w:equalWidth="0" w:num="2">
            <w:col w:w="1020" w:space="720"/>
            <w:col w:w="9460"/>
          </w:cols>
          <w:pgMar w:left="320" w:top="110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type w:val="continuous"/>
        </w:sectPr>
      </w:pPr>
    </w:p>
    <w:bookmarkStart w:id="60" w:name="page61"/>
    <w:bookmarkEnd w:id="60"/>
    <w:p>
      <w:pPr>
        <w:ind w:left="180"/>
        <w:spacing w:after="0"/>
        <w:rPr>
          <w:sz w:val="20"/>
          <w:szCs w:val="20"/>
          <w:color w:val="auto"/>
        </w:rPr>
      </w:pPr>
      <w:r>
        <w:rPr>
          <w:rFonts w:ascii="Arial" w:cs="Arial" w:eastAsia="Arial" w:hAnsi="Arial"/>
          <w:sz w:val="16"/>
          <w:szCs w:val="16"/>
          <w:color w:val="auto"/>
        </w:rPr>
        <w:t>Perquisites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Charitable</w:t>
      </w:r>
    </w:p>
    <w:p>
      <w:pPr>
        <w:ind w:left="180"/>
        <w:spacing w:after="0"/>
        <w:rPr>
          <w:sz w:val="20"/>
          <w:szCs w:val="20"/>
          <w:color w:val="auto"/>
        </w:rPr>
      </w:pPr>
      <w:r>
        <w:rPr>
          <w:rFonts w:ascii="Arial" w:cs="Arial" w:eastAsia="Arial" w:hAnsi="Arial"/>
          <w:sz w:val="16"/>
          <w:szCs w:val="16"/>
          <w:color w:val="auto"/>
        </w:rPr>
        <w:t>Giving</w:t>
      </w: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Relocation Benefits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 provide our executive officers with modest perquisites,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-141605</wp:posOffset>
            </wp:positionV>
            <wp:extent cx="6960870" cy="1945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60870" cy="1945640"/>
                    </a:xfrm>
                    <a:prstGeom prst="rect">
                      <a:avLst/>
                    </a:prstGeom>
                    <a:noFill/>
                  </pic:spPr>
                </pic:pic>
              </a:graphicData>
            </a:graphic>
          </wp:anchor>
        </w:drawing>
      </w:r>
    </w:p>
    <w:p>
      <w:pPr>
        <w:spacing w:after="0" w:line="12" w:lineRule="exact"/>
        <w:rPr>
          <w:sz w:val="20"/>
          <w:szCs w:val="20"/>
          <w:color w:val="auto"/>
        </w:rPr>
      </w:pPr>
    </w:p>
    <w:p>
      <w:pPr>
        <w:ind w:left="160" w:right="160" w:hanging="160"/>
        <w:spacing w:after="0" w:line="264" w:lineRule="auto"/>
        <w:tabs>
          <w:tab w:leader="none" w:pos="1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Company-leased automobile--We pay all costs associated with leasing, operating, maintaining and insuring a company-leased automobile up to certain thresholds.</w:t>
      </w:r>
    </w:p>
    <w:p>
      <w:pPr>
        <w:ind w:left="160" w:hanging="160"/>
        <w:spacing w:after="0" w:line="258" w:lineRule="auto"/>
        <w:tabs>
          <w:tab w:leader="none" w:pos="1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Financial planning-We encourage our executive officers to receive professional advice regarding their financial, tax and estate planning needs. Therefore, we pay up to a maximum defined amount for each of our executive officers to cover tax planning, tax return preparation, financial counseling and estate planning.</w:t>
      </w:r>
    </w:p>
    <w:p>
      <w:pPr>
        <w:ind w:left="160" w:right="440" w:hanging="160"/>
        <w:spacing w:after="0" w:line="272" w:lineRule="auto"/>
        <w:tabs>
          <w:tab w:leader="none" w:pos="1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Annual executive physical--To help ensure the health of our executive officers, we generally pay up to a certain amount for approved physical exam expenses not covered by the executive officer's health insurance.</w:t>
      </w:r>
    </w:p>
    <w:p>
      <w:pPr>
        <w:spacing w:after="0" w:line="1" w:lineRule="exact"/>
        <w:rPr>
          <w:rFonts w:ascii="Arial" w:cs="Arial" w:eastAsia="Arial" w:hAnsi="Arial"/>
          <w:sz w:val="16"/>
          <w:szCs w:val="16"/>
          <w:color w:val="auto"/>
        </w:rPr>
      </w:pPr>
    </w:p>
    <w:p>
      <w:pPr>
        <w:ind w:left="160" w:right="200" w:hanging="160"/>
        <w:spacing w:after="0" w:line="250" w:lineRule="auto"/>
        <w:tabs>
          <w:tab w:leader="none" w:pos="1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Company products--To enable our executive officers the opportunity to become more familiar with our products and use those products on a regular basis, we provide certain Company products and related accessories for personal use at no cost; provided, however, that executive officers are responsible for applicable taxes attributable to the value of such products. The value is generally deemed to be our distributor net price or its equivalent, which is the price at which products are available to employees for purchase.</w:t>
      </w:r>
    </w:p>
    <w:p>
      <w:pPr>
        <w:ind w:left="160" w:right="60" w:hanging="160"/>
        <w:spacing w:after="0" w:line="281" w:lineRule="auto"/>
        <w:tabs>
          <w:tab w:leader="none" w:pos="1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Travel expenses--During fiscal 2023, we paid certain travel costs for spouses of our executive officers in connection with certain off-site, business-related meetings in which it was appropriate for a spouse to attend.</w:t>
      </w:r>
    </w:p>
    <w:p>
      <w:pPr>
        <w:spacing w:after="0" w:line="1"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We support charitable organizations for our employees through our matching gift program. The program for our executive officers provides that a gift or gifts by an executive officer and/or his or her spouse to one or more tax exempt 501(c)(3) charitable organizations located in the United States will be matched by us in an aggregate amount of up to $3,000 per year.</w:t>
      </w:r>
    </w:p>
    <w:p>
      <w:pPr>
        <w:spacing w:after="0" w:line="16"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We maintain a standard, market competitive relocation policy. Relocation expenses reimbursed and/or paid typically include: shipment of household goods, automobile shipment, home finding trip, temporary living, destination home purchase assistance, and a "gross-up" to help offset the tax impact of these expenses that are reimbursed and/or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-374015</wp:posOffset>
            </wp:positionV>
            <wp:extent cx="6960870" cy="3860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60870" cy="3860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160"/>
            <w:col w:w="9340"/>
          </w:cols>
          <w:pgMar w:left="320" w:top="1165" w:right="499" w:bottom="1440" w:gutter="0" w:footer="0" w:header="0"/>
        </w:sectPr>
      </w:pPr>
    </w:p>
    <w:p>
      <w:pPr>
        <w:spacing w:after="0" w:line="1" w:lineRule="exact"/>
        <w:rPr>
          <w:sz w:val="20"/>
          <w:szCs w:val="20"/>
          <w:color w:val="auto"/>
        </w:rPr>
      </w:pPr>
    </w:p>
    <w:p>
      <w:pPr>
        <w:ind w:right="100" w:firstLine="393"/>
        <w:spacing w:after="0" w:line="271" w:lineRule="auto"/>
        <w:rPr>
          <w:sz w:val="20"/>
          <w:szCs w:val="20"/>
          <w:color w:val="auto"/>
        </w:rPr>
      </w:pPr>
      <w:r>
        <w:rPr>
          <w:rFonts w:ascii="Arial" w:cs="Arial" w:eastAsia="Arial" w:hAnsi="Arial"/>
          <w:sz w:val="18"/>
          <w:szCs w:val="18"/>
          <w:color w:val="auto"/>
        </w:rPr>
        <w:t>Specific amounts included in the fiscal 2023 "All Other Compensation" column of the "Summary Compensation Table" are in the table below.</w:t>
      </w:r>
    </w:p>
    <w:p>
      <w:pPr>
        <w:spacing w:after="0" w:line="91" w:lineRule="exact"/>
        <w:rPr>
          <w:sz w:val="20"/>
          <w:szCs w:val="20"/>
          <w:color w:val="auto"/>
        </w:rPr>
      </w:pPr>
    </w:p>
    <w:tbl>
      <w:tblPr>
        <w:tblLayout w:type="fixed"/>
        <w:tblInd w:w="420" w:type="dxa"/>
        <w:tblCellMar>
          <w:top w:w="0" w:type="dxa"/>
          <w:left w:w="0" w:type="dxa"/>
          <w:bottom w:w="0" w:type="dxa"/>
          <w:right w:w="0" w:type="dxa"/>
        </w:tblCellMar>
      </w:tblPr>
      <w:tr>
        <w:trPr>
          <w:trHeight w:val="218"/>
        </w:trPr>
        <w:tc>
          <w:tcPr>
            <w:tcW w:w="1400" w:type="dxa"/>
            <w:vAlign w:val="bottom"/>
            <w:shd w:val="clear" w:color="auto" w:fill="BF2115"/>
          </w:tcPr>
          <w:p>
            <w:pPr>
              <w:spacing w:after="0"/>
              <w:rPr>
                <w:sz w:val="18"/>
                <w:szCs w:val="18"/>
                <w:color w:val="auto"/>
              </w:rPr>
            </w:pPr>
          </w:p>
        </w:tc>
        <w:tc>
          <w:tcPr>
            <w:tcW w:w="1820" w:type="dxa"/>
            <w:vAlign w:val="bottom"/>
            <w:shd w:val="clear" w:color="auto" w:fill="BF2115"/>
          </w:tcPr>
          <w:p>
            <w:pPr>
              <w:jc w:val="center"/>
              <w:ind w:left="82"/>
              <w:spacing w:after="0"/>
              <w:rPr>
                <w:sz w:val="20"/>
                <w:szCs w:val="20"/>
                <w:color w:val="auto"/>
              </w:rPr>
            </w:pPr>
            <w:r>
              <w:rPr>
                <w:rFonts w:ascii="Arial" w:cs="Arial" w:eastAsia="Arial" w:hAnsi="Arial"/>
                <w:sz w:val="14"/>
                <w:szCs w:val="14"/>
                <w:b w:val="1"/>
                <w:bCs w:val="1"/>
                <w:color w:val="FFFFFF"/>
              </w:rPr>
              <w:t>Retirement Plan</w:t>
            </w:r>
          </w:p>
        </w:tc>
        <w:tc>
          <w:tcPr>
            <w:tcW w:w="1740" w:type="dxa"/>
            <w:vAlign w:val="bottom"/>
            <w:shd w:val="clear" w:color="auto" w:fill="BF2115"/>
          </w:tcPr>
          <w:p>
            <w:pPr>
              <w:jc w:val="center"/>
              <w:ind w:right="202"/>
              <w:spacing w:after="0"/>
              <w:rPr>
                <w:sz w:val="20"/>
                <w:szCs w:val="20"/>
                <w:color w:val="auto"/>
              </w:rPr>
            </w:pPr>
            <w:r>
              <w:rPr>
                <w:rFonts w:ascii="Arial" w:cs="Arial" w:eastAsia="Arial" w:hAnsi="Arial"/>
                <w:sz w:val="14"/>
                <w:szCs w:val="14"/>
                <w:b w:val="1"/>
                <w:bCs w:val="1"/>
                <w:color w:val="FFFFFF"/>
              </w:rPr>
              <w:t>Nonqualified Plan</w:t>
            </w:r>
          </w:p>
        </w:tc>
        <w:tc>
          <w:tcPr>
            <w:tcW w:w="1460" w:type="dxa"/>
            <w:vAlign w:val="bottom"/>
            <w:shd w:val="clear" w:color="auto" w:fill="BF2115"/>
          </w:tcPr>
          <w:p>
            <w:pPr>
              <w:jc w:val="center"/>
              <w:ind w:right="282"/>
              <w:spacing w:after="0"/>
              <w:rPr>
                <w:sz w:val="20"/>
                <w:szCs w:val="20"/>
                <w:color w:val="auto"/>
              </w:rPr>
            </w:pPr>
            <w:r>
              <w:rPr>
                <w:rFonts w:ascii="Arial" w:cs="Arial" w:eastAsia="Arial" w:hAnsi="Arial"/>
                <w:sz w:val="14"/>
                <w:szCs w:val="14"/>
                <w:b w:val="1"/>
                <w:bCs w:val="1"/>
                <w:color w:val="FFFFFF"/>
              </w:rPr>
              <w:t>Charitable</w:t>
            </w:r>
          </w:p>
        </w:tc>
        <w:tc>
          <w:tcPr>
            <w:tcW w:w="1360" w:type="dxa"/>
            <w:vAlign w:val="bottom"/>
            <w:vMerge w:val="restart"/>
            <w:shd w:val="clear" w:color="auto" w:fill="BF2115"/>
          </w:tcPr>
          <w:p>
            <w:pPr>
              <w:jc w:val="right"/>
              <w:ind w:right="281"/>
              <w:spacing w:after="0"/>
              <w:rPr>
                <w:sz w:val="20"/>
                <w:szCs w:val="20"/>
                <w:color w:val="auto"/>
              </w:rPr>
            </w:pPr>
            <w:r>
              <w:rPr>
                <w:rFonts w:ascii="Arial" w:cs="Arial" w:eastAsia="Arial" w:hAnsi="Arial"/>
                <w:sz w:val="14"/>
                <w:szCs w:val="14"/>
                <w:b w:val="1"/>
                <w:bCs w:val="1"/>
                <w:color w:val="FFFFFF"/>
              </w:rPr>
              <w:t>Perquisites</w:t>
            </w:r>
            <w:r>
              <w:rPr>
                <w:rFonts w:ascii="Arial" w:cs="Arial" w:eastAsia="Arial" w:hAnsi="Arial"/>
                <w:sz w:val="9"/>
                <w:szCs w:val="9"/>
                <w:b w:val="1"/>
                <w:bCs w:val="1"/>
                <w:color w:val="FFFFFF"/>
              </w:rPr>
              <w:t>4</w:t>
            </w:r>
          </w:p>
        </w:tc>
        <w:tc>
          <w:tcPr>
            <w:tcW w:w="1680" w:type="dxa"/>
            <w:vAlign w:val="bottom"/>
            <w:vMerge w:val="restart"/>
            <w:shd w:val="clear" w:color="auto" w:fill="BF2115"/>
          </w:tcPr>
          <w:p>
            <w:pPr>
              <w:jc w:val="right"/>
              <w:ind w:right="161"/>
              <w:spacing w:after="0"/>
              <w:rPr>
                <w:sz w:val="20"/>
                <w:szCs w:val="20"/>
                <w:color w:val="auto"/>
              </w:rPr>
            </w:pPr>
            <w:r>
              <w:rPr>
                <w:rFonts w:ascii="Arial" w:cs="Arial" w:eastAsia="Arial" w:hAnsi="Arial"/>
                <w:sz w:val="14"/>
                <w:szCs w:val="14"/>
                <w:b w:val="1"/>
                <w:bCs w:val="1"/>
                <w:color w:val="FFFFFF"/>
              </w:rPr>
              <w:t>Relocation Benefits</w:t>
            </w:r>
            <w:r>
              <w:rPr>
                <w:rFonts w:ascii="Arial" w:cs="Arial" w:eastAsia="Arial" w:hAnsi="Arial"/>
                <w:sz w:val="9"/>
                <w:szCs w:val="9"/>
                <w:b w:val="1"/>
                <w:bCs w:val="1"/>
                <w:color w:val="FFFFFF"/>
              </w:rPr>
              <w:t>5</w:t>
            </w:r>
          </w:p>
        </w:tc>
        <w:tc>
          <w:tcPr>
            <w:tcW w:w="960" w:type="dxa"/>
            <w:vAlign w:val="bottom"/>
            <w:vMerge w:val="restart"/>
            <w:shd w:val="clear" w:color="auto" w:fill="BF2115"/>
          </w:tcPr>
          <w:p>
            <w:pPr>
              <w:jc w:val="right"/>
              <w:ind w:right="341"/>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78"/>
        </w:trPr>
        <w:tc>
          <w:tcPr>
            <w:tcW w:w="1400" w:type="dxa"/>
            <w:vAlign w:val="bottom"/>
            <w:shd w:val="clear" w:color="auto" w:fill="BF2115"/>
          </w:tcPr>
          <w:p>
            <w:pPr>
              <w:spacing w:after="0"/>
              <w:rPr>
                <w:sz w:val="15"/>
                <w:szCs w:val="15"/>
                <w:color w:val="auto"/>
              </w:rPr>
            </w:pPr>
          </w:p>
        </w:tc>
        <w:tc>
          <w:tcPr>
            <w:tcW w:w="1820" w:type="dxa"/>
            <w:vAlign w:val="bottom"/>
            <w:shd w:val="clear" w:color="auto" w:fill="BF2115"/>
          </w:tcPr>
          <w:p>
            <w:pPr>
              <w:jc w:val="center"/>
              <w:ind w:left="62"/>
              <w:spacing w:after="0" w:line="178" w:lineRule="exact"/>
              <w:rPr>
                <w:sz w:val="20"/>
                <w:szCs w:val="20"/>
                <w:color w:val="auto"/>
              </w:rPr>
            </w:pPr>
            <w:r>
              <w:rPr>
                <w:rFonts w:ascii="Arial" w:cs="Arial" w:eastAsia="Arial" w:hAnsi="Arial"/>
                <w:sz w:val="14"/>
                <w:szCs w:val="14"/>
                <w:b w:val="1"/>
                <w:bCs w:val="1"/>
                <w:color w:val="FFFFFF"/>
              </w:rPr>
              <w:t>Contributions</w:t>
            </w:r>
            <w:r>
              <w:rPr>
                <w:rFonts w:ascii="Arial" w:cs="Arial" w:eastAsia="Arial" w:hAnsi="Arial"/>
                <w:sz w:val="18"/>
                <w:szCs w:val="18"/>
                <w:b w:val="1"/>
                <w:bCs w:val="1"/>
                <w:color w:val="FFFFFF"/>
                <w:vertAlign w:val="superscript"/>
              </w:rPr>
              <w:t>1</w:t>
            </w:r>
          </w:p>
        </w:tc>
        <w:tc>
          <w:tcPr>
            <w:tcW w:w="1740" w:type="dxa"/>
            <w:vAlign w:val="bottom"/>
            <w:shd w:val="clear" w:color="auto" w:fill="BF2115"/>
          </w:tcPr>
          <w:p>
            <w:pPr>
              <w:jc w:val="center"/>
              <w:ind w:right="202"/>
              <w:spacing w:after="0" w:line="178" w:lineRule="exact"/>
              <w:rPr>
                <w:sz w:val="20"/>
                <w:szCs w:val="20"/>
                <w:color w:val="auto"/>
              </w:rPr>
            </w:pPr>
            <w:r>
              <w:rPr>
                <w:rFonts w:ascii="Arial" w:cs="Arial" w:eastAsia="Arial" w:hAnsi="Arial"/>
                <w:sz w:val="14"/>
                <w:szCs w:val="14"/>
                <w:b w:val="1"/>
                <w:bCs w:val="1"/>
                <w:color w:val="FFFFFF"/>
                <w:w w:val="99"/>
              </w:rPr>
              <w:t>Contributions</w:t>
            </w:r>
            <w:r>
              <w:rPr>
                <w:rFonts w:ascii="Arial" w:cs="Arial" w:eastAsia="Arial" w:hAnsi="Arial"/>
                <w:sz w:val="18"/>
                <w:szCs w:val="18"/>
                <w:b w:val="1"/>
                <w:bCs w:val="1"/>
                <w:color w:val="FFFFFF"/>
                <w:w w:val="99"/>
                <w:vertAlign w:val="superscript"/>
              </w:rPr>
              <w:t>2</w:t>
            </w:r>
          </w:p>
        </w:tc>
        <w:tc>
          <w:tcPr>
            <w:tcW w:w="1460" w:type="dxa"/>
            <w:vAlign w:val="bottom"/>
            <w:shd w:val="clear" w:color="auto" w:fill="BF2115"/>
          </w:tcPr>
          <w:p>
            <w:pPr>
              <w:jc w:val="center"/>
              <w:ind w:right="282"/>
              <w:spacing w:after="0" w:line="178" w:lineRule="exact"/>
              <w:rPr>
                <w:sz w:val="20"/>
                <w:szCs w:val="20"/>
                <w:color w:val="auto"/>
              </w:rPr>
            </w:pPr>
            <w:r>
              <w:rPr>
                <w:rFonts w:ascii="Arial" w:cs="Arial" w:eastAsia="Arial" w:hAnsi="Arial"/>
                <w:sz w:val="14"/>
                <w:szCs w:val="14"/>
                <w:b w:val="1"/>
                <w:bCs w:val="1"/>
                <w:color w:val="FFFFFF"/>
                <w:w w:val="99"/>
              </w:rPr>
              <w:t>Giving</w:t>
            </w:r>
            <w:r>
              <w:rPr>
                <w:rFonts w:ascii="Arial" w:cs="Arial" w:eastAsia="Arial" w:hAnsi="Arial"/>
                <w:sz w:val="18"/>
                <w:szCs w:val="18"/>
                <w:b w:val="1"/>
                <w:bCs w:val="1"/>
                <w:color w:val="FFFFFF"/>
                <w:w w:val="99"/>
                <w:vertAlign w:val="superscript"/>
              </w:rPr>
              <w:t>3</w:t>
            </w:r>
          </w:p>
        </w:tc>
        <w:tc>
          <w:tcPr>
            <w:tcW w:w="1360" w:type="dxa"/>
            <w:vAlign w:val="bottom"/>
            <w:vMerge w:val="continue"/>
            <w:shd w:val="clear" w:color="auto" w:fill="BF2115"/>
          </w:tcPr>
          <w:p>
            <w:pPr>
              <w:spacing w:after="0"/>
              <w:rPr>
                <w:sz w:val="15"/>
                <w:szCs w:val="15"/>
                <w:color w:val="auto"/>
              </w:rPr>
            </w:pPr>
          </w:p>
        </w:tc>
        <w:tc>
          <w:tcPr>
            <w:tcW w:w="1680" w:type="dxa"/>
            <w:vAlign w:val="bottom"/>
            <w:vMerge w:val="continue"/>
            <w:shd w:val="clear" w:color="auto" w:fill="BF2115"/>
          </w:tcPr>
          <w:p>
            <w:pPr>
              <w:spacing w:after="0"/>
              <w:rPr>
                <w:sz w:val="15"/>
                <w:szCs w:val="15"/>
                <w:color w:val="auto"/>
              </w:rPr>
            </w:pPr>
          </w:p>
        </w:tc>
        <w:tc>
          <w:tcPr>
            <w:tcW w:w="960" w:type="dxa"/>
            <w:vAlign w:val="bottom"/>
            <w:vMerge w:val="continue"/>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40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820" w:type="dxa"/>
            <w:vAlign w:val="bottom"/>
            <w:shd w:val="clear" w:color="auto" w:fill="BF2115"/>
          </w:tcPr>
          <w:p>
            <w:pPr>
              <w:jc w:val="center"/>
              <w:ind w:left="82"/>
              <w:spacing w:after="0"/>
              <w:rPr>
                <w:sz w:val="20"/>
                <w:szCs w:val="20"/>
                <w:color w:val="auto"/>
              </w:rPr>
            </w:pPr>
            <w:r>
              <w:rPr>
                <w:rFonts w:ascii="Arial" w:cs="Arial" w:eastAsia="Arial" w:hAnsi="Arial"/>
                <w:sz w:val="14"/>
                <w:szCs w:val="14"/>
                <w:b w:val="1"/>
                <w:bCs w:val="1"/>
                <w:color w:val="FFFFFF"/>
              </w:rPr>
              <w:t>($)</w:t>
            </w:r>
          </w:p>
        </w:tc>
        <w:tc>
          <w:tcPr>
            <w:tcW w:w="1740" w:type="dxa"/>
            <w:vAlign w:val="bottom"/>
            <w:shd w:val="clear" w:color="auto" w:fill="BF2115"/>
          </w:tcPr>
          <w:p>
            <w:pPr>
              <w:jc w:val="center"/>
              <w:ind w:right="202"/>
              <w:spacing w:after="0"/>
              <w:rPr>
                <w:sz w:val="20"/>
                <w:szCs w:val="20"/>
                <w:color w:val="auto"/>
              </w:rPr>
            </w:pPr>
            <w:r>
              <w:rPr>
                <w:rFonts w:ascii="Arial" w:cs="Arial" w:eastAsia="Arial" w:hAnsi="Arial"/>
                <w:sz w:val="14"/>
                <w:szCs w:val="14"/>
                <w:b w:val="1"/>
                <w:bCs w:val="1"/>
                <w:color w:val="FFFFFF"/>
              </w:rPr>
              <w:t>($)</w:t>
            </w:r>
          </w:p>
        </w:tc>
        <w:tc>
          <w:tcPr>
            <w:tcW w:w="1460" w:type="dxa"/>
            <w:vAlign w:val="bottom"/>
            <w:shd w:val="clear" w:color="auto" w:fill="BF2115"/>
          </w:tcPr>
          <w:p>
            <w:pPr>
              <w:jc w:val="center"/>
              <w:ind w:right="282"/>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BF2115"/>
          </w:tcPr>
          <w:p>
            <w:pPr>
              <w:jc w:val="right"/>
              <w:ind w:right="601"/>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BF2115"/>
          </w:tcPr>
          <w:p>
            <w:pPr>
              <w:jc w:val="right"/>
              <w:ind w:right="781"/>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BF2115"/>
          </w:tcPr>
          <w:p>
            <w:pPr>
              <w:jc w:val="right"/>
              <w:ind w:right="421"/>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5"/>
        </w:trPr>
        <w:tc>
          <w:tcPr>
            <w:tcW w:w="1400" w:type="dxa"/>
            <w:vAlign w:val="bottom"/>
          </w:tcPr>
          <w:p>
            <w:pPr>
              <w:ind w:left="20"/>
              <w:spacing w:after="0"/>
              <w:rPr>
                <w:sz w:val="20"/>
                <w:szCs w:val="20"/>
                <w:color w:val="auto"/>
              </w:rPr>
            </w:pPr>
            <w:r>
              <w:rPr>
                <w:rFonts w:ascii="Arial" w:cs="Arial" w:eastAsia="Arial" w:hAnsi="Arial"/>
                <w:sz w:val="16"/>
                <w:szCs w:val="16"/>
                <w:color w:val="auto"/>
              </w:rPr>
              <w:t>Mr. Olson</w:t>
            </w:r>
          </w:p>
        </w:tc>
        <w:tc>
          <w:tcPr>
            <w:tcW w:w="1820" w:type="dxa"/>
            <w:vAlign w:val="bottom"/>
          </w:tcPr>
          <w:p>
            <w:pPr>
              <w:jc w:val="right"/>
              <w:ind w:right="22"/>
              <w:spacing w:after="0"/>
              <w:rPr>
                <w:sz w:val="20"/>
                <w:szCs w:val="20"/>
                <w:color w:val="auto"/>
              </w:rPr>
            </w:pPr>
            <w:r>
              <w:rPr>
                <w:rFonts w:ascii="Arial" w:cs="Arial" w:eastAsia="Arial" w:hAnsi="Arial"/>
                <w:sz w:val="16"/>
                <w:szCs w:val="16"/>
                <w:color w:val="auto"/>
              </w:rPr>
              <w:t>27,843</w:t>
            </w:r>
          </w:p>
        </w:tc>
        <w:tc>
          <w:tcPr>
            <w:tcW w:w="1740" w:type="dxa"/>
            <w:vAlign w:val="bottom"/>
          </w:tcPr>
          <w:p>
            <w:pPr>
              <w:jc w:val="right"/>
              <w:ind w:right="142"/>
              <w:spacing w:after="0"/>
              <w:rPr>
                <w:sz w:val="20"/>
                <w:szCs w:val="20"/>
                <w:color w:val="auto"/>
              </w:rPr>
            </w:pPr>
            <w:r>
              <w:rPr>
                <w:rFonts w:ascii="Arial" w:cs="Arial" w:eastAsia="Arial" w:hAnsi="Arial"/>
                <w:sz w:val="16"/>
                <w:szCs w:val="16"/>
                <w:color w:val="auto"/>
              </w:rPr>
              <w:t>132,056</w:t>
            </w:r>
          </w:p>
        </w:tc>
        <w:tc>
          <w:tcPr>
            <w:tcW w:w="146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1360" w:type="dxa"/>
            <w:vAlign w:val="bottom"/>
          </w:tcPr>
          <w:p>
            <w:pPr>
              <w:jc w:val="right"/>
              <w:spacing w:after="0"/>
              <w:rPr>
                <w:sz w:val="20"/>
                <w:szCs w:val="20"/>
                <w:color w:val="auto"/>
              </w:rPr>
            </w:pPr>
            <w:r>
              <w:rPr>
                <w:rFonts w:ascii="Arial" w:cs="Arial" w:eastAsia="Arial" w:hAnsi="Arial"/>
                <w:sz w:val="16"/>
                <w:szCs w:val="16"/>
                <w:color w:val="auto"/>
              </w:rPr>
              <w:t>18,948</w:t>
            </w:r>
          </w:p>
        </w:tc>
        <w:tc>
          <w:tcPr>
            <w:tcW w:w="1680" w:type="dxa"/>
            <w:vAlign w:val="bottom"/>
          </w:tcPr>
          <w:p>
            <w:pPr>
              <w:jc w:val="right"/>
              <w:ind w:right="121"/>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178,847</w:t>
            </w:r>
          </w:p>
        </w:tc>
        <w:tc>
          <w:tcPr>
            <w:tcW w:w="0" w:type="dxa"/>
            <w:vAlign w:val="bottom"/>
          </w:tcPr>
          <w:p>
            <w:pPr>
              <w:spacing w:after="0"/>
              <w:rPr>
                <w:sz w:val="1"/>
                <w:szCs w:val="1"/>
                <w:color w:val="auto"/>
              </w:rPr>
            </w:pPr>
          </w:p>
        </w:tc>
      </w:tr>
      <w:tr>
        <w:trPr>
          <w:trHeight w:val="28"/>
        </w:trPr>
        <w:tc>
          <w:tcPr>
            <w:tcW w:w="1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1820" w:type="dxa"/>
            <w:vAlign w:val="bottom"/>
            <w:tcBorders>
              <w:bottom w:val="single" w:sz="8" w:color="DBDBDB"/>
            </w:tcBorders>
            <w:shd w:val="clear" w:color="auto" w:fill="DBDBDB"/>
          </w:tcPr>
          <w:p>
            <w:pPr>
              <w:jc w:val="right"/>
              <w:ind w:right="22"/>
              <w:spacing w:after="0"/>
              <w:rPr>
                <w:sz w:val="20"/>
                <w:szCs w:val="20"/>
                <w:color w:val="auto"/>
              </w:rPr>
            </w:pPr>
            <w:r>
              <w:rPr>
                <w:rFonts w:ascii="Arial" w:cs="Arial" w:eastAsia="Arial" w:hAnsi="Arial"/>
                <w:sz w:val="16"/>
                <w:szCs w:val="16"/>
                <w:color w:val="auto"/>
              </w:rPr>
              <w:t>27,843</w:t>
            </w:r>
          </w:p>
        </w:tc>
        <w:tc>
          <w:tcPr>
            <w:tcW w:w="1740" w:type="dxa"/>
            <w:vAlign w:val="bottom"/>
            <w:tcBorders>
              <w:bottom w:val="single" w:sz="8" w:color="DBDBDB"/>
            </w:tcBorders>
            <w:shd w:val="clear" w:color="auto" w:fill="DBDBDB"/>
          </w:tcPr>
          <w:p>
            <w:pPr>
              <w:jc w:val="right"/>
              <w:ind w:right="142"/>
              <w:spacing w:after="0"/>
              <w:rPr>
                <w:sz w:val="20"/>
                <w:szCs w:val="20"/>
                <w:color w:val="auto"/>
              </w:rPr>
            </w:pPr>
            <w:r>
              <w:rPr>
                <w:rFonts w:ascii="Arial" w:cs="Arial" w:eastAsia="Arial" w:hAnsi="Arial"/>
                <w:sz w:val="16"/>
                <w:szCs w:val="16"/>
                <w:color w:val="auto"/>
              </w:rPr>
              <w:t>28,392</w:t>
            </w:r>
          </w:p>
        </w:tc>
        <w:tc>
          <w:tcPr>
            <w:tcW w:w="1460" w:type="dxa"/>
            <w:vAlign w:val="bottom"/>
            <w:tcBorders>
              <w:bottom w:val="single" w:sz="8" w:color="DBDBDB"/>
            </w:tcBorders>
            <w:shd w:val="clear" w:color="auto" w:fill="DBDBDB"/>
          </w:tcPr>
          <w:p>
            <w:pPr>
              <w:jc w:val="right"/>
              <w:ind w:right="102"/>
              <w:spacing w:after="0"/>
              <w:rPr>
                <w:sz w:val="20"/>
                <w:szCs w:val="20"/>
                <w:color w:val="auto"/>
              </w:rPr>
            </w:pPr>
            <w:r>
              <w:rPr>
                <w:rFonts w:ascii="Arial" w:cs="Arial" w:eastAsia="Arial" w:hAnsi="Arial"/>
                <w:sz w:val="16"/>
                <w:szCs w:val="16"/>
                <w:color w:val="auto"/>
              </w:rPr>
              <w:t>1,700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17,875</w:t>
            </w:r>
          </w:p>
        </w:tc>
        <w:tc>
          <w:tcPr>
            <w:tcW w:w="1680" w:type="dxa"/>
            <w:vAlign w:val="bottom"/>
            <w:tcBorders>
              <w:bottom w:val="single" w:sz="8" w:color="DBDBDB"/>
            </w:tcBorders>
            <w:shd w:val="clear" w:color="auto" w:fill="DBDBDB"/>
          </w:tcPr>
          <w:p>
            <w:pPr>
              <w:jc w:val="right"/>
              <w:ind w:right="121"/>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75,810</w:t>
            </w:r>
          </w:p>
        </w:tc>
        <w:tc>
          <w:tcPr>
            <w:tcW w:w="0" w:type="dxa"/>
            <w:vAlign w:val="bottom"/>
          </w:tcPr>
          <w:p>
            <w:pPr>
              <w:spacing w:after="0"/>
              <w:rPr>
                <w:sz w:val="1"/>
                <w:szCs w:val="1"/>
                <w:color w:val="auto"/>
              </w:rPr>
            </w:pPr>
          </w:p>
        </w:tc>
      </w:tr>
      <w:tr>
        <w:trPr>
          <w:trHeight w:val="215"/>
        </w:trPr>
        <w:tc>
          <w:tcPr>
            <w:tcW w:w="1400" w:type="dxa"/>
            <w:vAlign w:val="bottom"/>
          </w:tcPr>
          <w:p>
            <w:pPr>
              <w:ind w:left="20"/>
              <w:spacing w:after="0"/>
              <w:rPr>
                <w:sz w:val="20"/>
                <w:szCs w:val="20"/>
                <w:color w:val="auto"/>
              </w:rPr>
            </w:pPr>
            <w:r>
              <w:rPr>
                <w:rFonts w:ascii="Arial" w:cs="Arial" w:eastAsia="Arial" w:hAnsi="Arial"/>
                <w:sz w:val="16"/>
                <w:szCs w:val="16"/>
                <w:color w:val="auto"/>
              </w:rPr>
              <w:t>Ms. Peterson</w:t>
            </w:r>
          </w:p>
        </w:tc>
        <w:tc>
          <w:tcPr>
            <w:tcW w:w="1820" w:type="dxa"/>
            <w:vAlign w:val="bottom"/>
          </w:tcPr>
          <w:p>
            <w:pPr>
              <w:jc w:val="right"/>
              <w:ind w:right="22"/>
              <w:spacing w:after="0"/>
              <w:rPr>
                <w:sz w:val="20"/>
                <w:szCs w:val="20"/>
                <w:color w:val="auto"/>
              </w:rPr>
            </w:pPr>
            <w:r>
              <w:rPr>
                <w:rFonts w:ascii="Arial" w:cs="Arial" w:eastAsia="Arial" w:hAnsi="Arial"/>
                <w:sz w:val="16"/>
                <w:szCs w:val="16"/>
                <w:color w:val="auto"/>
              </w:rPr>
              <w:t>27,843</w:t>
            </w:r>
          </w:p>
        </w:tc>
        <w:tc>
          <w:tcPr>
            <w:tcW w:w="1740" w:type="dxa"/>
            <w:vAlign w:val="bottom"/>
          </w:tcPr>
          <w:p>
            <w:pPr>
              <w:jc w:val="right"/>
              <w:ind w:right="142"/>
              <w:spacing w:after="0"/>
              <w:rPr>
                <w:sz w:val="20"/>
                <w:szCs w:val="20"/>
                <w:color w:val="auto"/>
              </w:rPr>
            </w:pPr>
            <w:r>
              <w:rPr>
                <w:rFonts w:ascii="Arial" w:cs="Arial" w:eastAsia="Arial" w:hAnsi="Arial"/>
                <w:sz w:val="16"/>
                <w:szCs w:val="16"/>
                <w:color w:val="auto"/>
              </w:rPr>
              <w:t>24,672</w:t>
            </w:r>
          </w:p>
        </w:tc>
        <w:tc>
          <w:tcPr>
            <w:tcW w:w="146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1360" w:type="dxa"/>
            <w:vAlign w:val="bottom"/>
          </w:tcPr>
          <w:p>
            <w:pPr>
              <w:jc w:val="right"/>
              <w:spacing w:after="0"/>
              <w:rPr>
                <w:sz w:val="20"/>
                <w:szCs w:val="20"/>
                <w:color w:val="auto"/>
              </w:rPr>
            </w:pPr>
            <w:r>
              <w:rPr>
                <w:rFonts w:ascii="Arial" w:cs="Arial" w:eastAsia="Arial" w:hAnsi="Arial"/>
                <w:sz w:val="16"/>
                <w:szCs w:val="16"/>
                <w:color w:val="auto"/>
              </w:rPr>
              <w:t>53,278</w:t>
            </w:r>
          </w:p>
        </w:tc>
        <w:tc>
          <w:tcPr>
            <w:tcW w:w="1680" w:type="dxa"/>
            <w:vAlign w:val="bottom"/>
          </w:tcPr>
          <w:p>
            <w:pPr>
              <w:jc w:val="right"/>
              <w:ind w:right="121"/>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105,793</w:t>
            </w:r>
          </w:p>
        </w:tc>
        <w:tc>
          <w:tcPr>
            <w:tcW w:w="0" w:type="dxa"/>
            <w:vAlign w:val="bottom"/>
          </w:tcPr>
          <w:p>
            <w:pPr>
              <w:spacing w:after="0"/>
              <w:rPr>
                <w:sz w:val="1"/>
                <w:szCs w:val="1"/>
                <w:color w:val="auto"/>
              </w:rPr>
            </w:pPr>
          </w:p>
        </w:tc>
      </w:tr>
      <w:tr>
        <w:trPr>
          <w:trHeight w:val="28"/>
        </w:trPr>
        <w:tc>
          <w:tcPr>
            <w:tcW w:w="1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Totsky</w:t>
            </w:r>
          </w:p>
        </w:tc>
        <w:tc>
          <w:tcPr>
            <w:tcW w:w="1820" w:type="dxa"/>
            <w:vAlign w:val="bottom"/>
            <w:tcBorders>
              <w:bottom w:val="single" w:sz="8" w:color="DBDBDB"/>
            </w:tcBorders>
            <w:shd w:val="clear" w:color="auto" w:fill="DBDBDB"/>
          </w:tcPr>
          <w:p>
            <w:pPr>
              <w:jc w:val="right"/>
              <w:ind w:right="22"/>
              <w:spacing w:after="0"/>
              <w:rPr>
                <w:sz w:val="20"/>
                <w:szCs w:val="20"/>
                <w:color w:val="auto"/>
              </w:rPr>
            </w:pPr>
            <w:r>
              <w:rPr>
                <w:rFonts w:ascii="Arial" w:cs="Arial" w:eastAsia="Arial" w:hAnsi="Arial"/>
                <w:sz w:val="16"/>
                <w:szCs w:val="16"/>
                <w:color w:val="auto"/>
              </w:rPr>
              <w:t>12,973</w:t>
            </w:r>
          </w:p>
        </w:tc>
        <w:tc>
          <w:tcPr>
            <w:tcW w:w="1740" w:type="dxa"/>
            <w:vAlign w:val="bottom"/>
            <w:tcBorders>
              <w:bottom w:val="single" w:sz="8" w:color="DBDBDB"/>
            </w:tcBorders>
            <w:shd w:val="clear" w:color="auto" w:fill="DBDBDB"/>
          </w:tcPr>
          <w:p>
            <w:pPr>
              <w:jc w:val="right"/>
              <w:ind w:right="142"/>
              <w:spacing w:after="0"/>
              <w:rPr>
                <w:sz w:val="20"/>
                <w:szCs w:val="20"/>
                <w:color w:val="auto"/>
              </w:rPr>
            </w:pPr>
            <w:r>
              <w:rPr>
                <w:rFonts w:ascii="Arial" w:cs="Arial" w:eastAsia="Arial" w:hAnsi="Arial"/>
                <w:sz w:val="16"/>
                <w:szCs w:val="16"/>
                <w:color w:val="auto"/>
              </w:rPr>
              <w:t>0</w:t>
            </w:r>
          </w:p>
        </w:tc>
        <w:tc>
          <w:tcPr>
            <w:tcW w:w="1460" w:type="dxa"/>
            <w:vAlign w:val="bottom"/>
            <w:tcBorders>
              <w:bottom w:val="single" w:sz="8" w:color="DBDBDB"/>
            </w:tcBorders>
            <w:shd w:val="clear" w:color="auto" w:fill="DBDBDB"/>
          </w:tcPr>
          <w:p>
            <w:pPr>
              <w:jc w:val="right"/>
              <w:ind w:right="102"/>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47</w:t>
            </w:r>
          </w:p>
        </w:tc>
        <w:tc>
          <w:tcPr>
            <w:tcW w:w="1680" w:type="dxa"/>
            <w:vAlign w:val="bottom"/>
            <w:tcBorders>
              <w:bottom w:val="single" w:sz="8" w:color="DBDBDB"/>
            </w:tcBorders>
            <w:shd w:val="clear" w:color="auto" w:fill="DBDBDB"/>
          </w:tcPr>
          <w:p>
            <w:pPr>
              <w:jc w:val="right"/>
              <w:ind w:right="121"/>
              <w:spacing w:after="0"/>
              <w:rPr>
                <w:sz w:val="20"/>
                <w:szCs w:val="20"/>
                <w:color w:val="auto"/>
              </w:rPr>
            </w:pPr>
            <w:r>
              <w:rPr>
                <w:rFonts w:ascii="Arial" w:cs="Arial" w:eastAsia="Arial" w:hAnsi="Arial"/>
                <w:sz w:val="16"/>
                <w:szCs w:val="16"/>
                <w:color w:val="auto"/>
              </w:rPr>
              <w:t>106,225</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119,245</w:t>
            </w:r>
          </w:p>
        </w:tc>
        <w:tc>
          <w:tcPr>
            <w:tcW w:w="0" w:type="dxa"/>
            <w:vAlign w:val="bottom"/>
          </w:tcPr>
          <w:p>
            <w:pPr>
              <w:spacing w:after="0"/>
              <w:rPr>
                <w:sz w:val="1"/>
                <w:szCs w:val="1"/>
                <w:color w:val="auto"/>
              </w:rPr>
            </w:pPr>
          </w:p>
        </w:tc>
      </w:tr>
      <w:tr>
        <w:trPr>
          <w:trHeight w:val="215"/>
        </w:trPr>
        <w:tc>
          <w:tcPr>
            <w:tcW w:w="1400" w:type="dxa"/>
            <w:vAlign w:val="bottom"/>
          </w:tcPr>
          <w:p>
            <w:pPr>
              <w:ind w:left="20"/>
              <w:spacing w:after="0"/>
              <w:rPr>
                <w:sz w:val="20"/>
                <w:szCs w:val="20"/>
                <w:color w:val="auto"/>
              </w:rPr>
            </w:pPr>
            <w:r>
              <w:rPr>
                <w:rFonts w:ascii="Arial" w:cs="Arial" w:eastAsia="Arial" w:hAnsi="Arial"/>
                <w:sz w:val="16"/>
                <w:szCs w:val="16"/>
                <w:color w:val="auto"/>
              </w:rPr>
              <w:t>Ms. Dahl</w:t>
            </w:r>
          </w:p>
        </w:tc>
        <w:tc>
          <w:tcPr>
            <w:tcW w:w="1820" w:type="dxa"/>
            <w:vAlign w:val="bottom"/>
          </w:tcPr>
          <w:p>
            <w:pPr>
              <w:jc w:val="right"/>
              <w:ind w:right="22"/>
              <w:spacing w:after="0"/>
              <w:rPr>
                <w:sz w:val="20"/>
                <w:szCs w:val="20"/>
                <w:color w:val="auto"/>
              </w:rPr>
            </w:pPr>
            <w:r>
              <w:rPr>
                <w:rFonts w:ascii="Arial" w:cs="Arial" w:eastAsia="Arial" w:hAnsi="Arial"/>
                <w:sz w:val="16"/>
                <w:szCs w:val="16"/>
                <w:color w:val="auto"/>
              </w:rPr>
              <w:t>27,843</w:t>
            </w:r>
          </w:p>
        </w:tc>
        <w:tc>
          <w:tcPr>
            <w:tcW w:w="1740" w:type="dxa"/>
            <w:vAlign w:val="bottom"/>
          </w:tcPr>
          <w:p>
            <w:pPr>
              <w:jc w:val="right"/>
              <w:ind w:right="142"/>
              <w:spacing w:after="0"/>
              <w:rPr>
                <w:sz w:val="20"/>
                <w:szCs w:val="20"/>
                <w:color w:val="auto"/>
              </w:rPr>
            </w:pPr>
            <w:r>
              <w:rPr>
                <w:rFonts w:ascii="Arial" w:cs="Arial" w:eastAsia="Arial" w:hAnsi="Arial"/>
                <w:sz w:val="16"/>
                <w:szCs w:val="16"/>
                <w:color w:val="auto"/>
              </w:rPr>
              <w:t>34,859</w:t>
            </w:r>
          </w:p>
        </w:tc>
        <w:tc>
          <w:tcPr>
            <w:tcW w:w="1460" w:type="dxa"/>
            <w:vAlign w:val="bottom"/>
          </w:tcPr>
          <w:p>
            <w:pPr>
              <w:jc w:val="right"/>
              <w:ind w:right="102"/>
              <w:spacing w:after="0"/>
              <w:rPr>
                <w:sz w:val="20"/>
                <w:szCs w:val="20"/>
                <w:color w:val="auto"/>
              </w:rPr>
            </w:pPr>
            <w:r>
              <w:rPr>
                <w:rFonts w:ascii="Arial" w:cs="Arial" w:eastAsia="Arial" w:hAnsi="Arial"/>
                <w:sz w:val="16"/>
                <w:szCs w:val="16"/>
                <w:color w:val="auto"/>
              </w:rPr>
              <w:t>3,000</w:t>
            </w:r>
          </w:p>
        </w:tc>
        <w:tc>
          <w:tcPr>
            <w:tcW w:w="1360" w:type="dxa"/>
            <w:vAlign w:val="bottom"/>
          </w:tcPr>
          <w:p>
            <w:pPr>
              <w:jc w:val="right"/>
              <w:spacing w:after="0"/>
              <w:rPr>
                <w:sz w:val="20"/>
                <w:szCs w:val="20"/>
                <w:color w:val="auto"/>
              </w:rPr>
            </w:pPr>
            <w:r>
              <w:rPr>
                <w:rFonts w:ascii="Arial" w:cs="Arial" w:eastAsia="Arial" w:hAnsi="Arial"/>
                <w:sz w:val="16"/>
                <w:szCs w:val="16"/>
                <w:color w:val="auto"/>
              </w:rPr>
              <w:t>34,646</w:t>
            </w:r>
          </w:p>
        </w:tc>
        <w:tc>
          <w:tcPr>
            <w:tcW w:w="1680" w:type="dxa"/>
            <w:vAlign w:val="bottom"/>
          </w:tcPr>
          <w:p>
            <w:pPr>
              <w:jc w:val="right"/>
              <w:ind w:right="121"/>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100,348</w:t>
            </w:r>
          </w:p>
        </w:tc>
        <w:tc>
          <w:tcPr>
            <w:tcW w:w="0" w:type="dxa"/>
            <w:vAlign w:val="bottom"/>
          </w:tcPr>
          <w:p>
            <w:pPr>
              <w:spacing w:after="0"/>
              <w:rPr>
                <w:sz w:val="1"/>
                <w:szCs w:val="1"/>
                <w:color w:val="auto"/>
              </w:rPr>
            </w:pPr>
          </w:p>
        </w:tc>
      </w:tr>
      <w:tr>
        <w:trPr>
          <w:trHeight w:val="28"/>
        </w:trPr>
        <w:tc>
          <w:tcPr>
            <w:tcW w:w="1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Mr. Janey</w:t>
            </w:r>
          </w:p>
        </w:tc>
        <w:tc>
          <w:tcPr>
            <w:tcW w:w="1820" w:type="dxa"/>
            <w:vAlign w:val="bottom"/>
            <w:tcBorders>
              <w:bottom w:val="single" w:sz="8" w:color="DBDBDB"/>
            </w:tcBorders>
            <w:shd w:val="clear" w:color="auto" w:fill="DBDBDB"/>
          </w:tcPr>
          <w:p>
            <w:pPr>
              <w:jc w:val="right"/>
              <w:ind w:right="22"/>
              <w:spacing w:after="0"/>
              <w:rPr>
                <w:sz w:val="20"/>
                <w:szCs w:val="20"/>
                <w:color w:val="auto"/>
              </w:rPr>
            </w:pPr>
            <w:r>
              <w:rPr>
                <w:rFonts w:ascii="Arial" w:cs="Arial" w:eastAsia="Arial" w:hAnsi="Arial"/>
                <w:sz w:val="16"/>
                <w:szCs w:val="16"/>
                <w:color w:val="auto"/>
              </w:rPr>
              <w:t>27,843</w:t>
            </w:r>
          </w:p>
        </w:tc>
        <w:tc>
          <w:tcPr>
            <w:tcW w:w="1740" w:type="dxa"/>
            <w:vAlign w:val="bottom"/>
            <w:tcBorders>
              <w:bottom w:val="single" w:sz="8" w:color="DBDBDB"/>
            </w:tcBorders>
            <w:shd w:val="clear" w:color="auto" w:fill="DBDBDB"/>
          </w:tcPr>
          <w:p>
            <w:pPr>
              <w:jc w:val="right"/>
              <w:ind w:right="142"/>
              <w:spacing w:after="0"/>
              <w:rPr>
                <w:sz w:val="20"/>
                <w:szCs w:val="20"/>
                <w:color w:val="auto"/>
              </w:rPr>
            </w:pPr>
            <w:r>
              <w:rPr>
                <w:rFonts w:ascii="Arial" w:cs="Arial" w:eastAsia="Arial" w:hAnsi="Arial"/>
                <w:sz w:val="16"/>
                <w:szCs w:val="16"/>
                <w:color w:val="auto"/>
              </w:rPr>
              <w:t>18,963</w:t>
            </w:r>
          </w:p>
        </w:tc>
        <w:tc>
          <w:tcPr>
            <w:tcW w:w="1460" w:type="dxa"/>
            <w:vAlign w:val="bottom"/>
            <w:tcBorders>
              <w:bottom w:val="single" w:sz="8" w:color="DBDBDB"/>
            </w:tcBorders>
            <w:shd w:val="clear" w:color="auto" w:fill="DBDBDB"/>
          </w:tcPr>
          <w:p>
            <w:pPr>
              <w:jc w:val="right"/>
              <w:ind w:right="102"/>
              <w:spacing w:after="0"/>
              <w:rPr>
                <w:sz w:val="20"/>
                <w:szCs w:val="20"/>
                <w:color w:val="auto"/>
              </w:rPr>
            </w:pPr>
            <w:r>
              <w:rPr>
                <w:rFonts w:ascii="Arial" w:cs="Arial" w:eastAsia="Arial" w:hAnsi="Arial"/>
                <w:sz w:val="16"/>
                <w:szCs w:val="16"/>
                <w:color w:val="auto"/>
              </w:rPr>
              <w:t>100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21,241</w:t>
            </w:r>
          </w:p>
        </w:tc>
        <w:tc>
          <w:tcPr>
            <w:tcW w:w="1680" w:type="dxa"/>
            <w:vAlign w:val="bottom"/>
            <w:tcBorders>
              <w:bottom w:val="single" w:sz="8" w:color="DBDBDB"/>
            </w:tcBorders>
            <w:shd w:val="clear" w:color="auto" w:fill="DBDBDB"/>
          </w:tcPr>
          <w:p>
            <w:pPr>
              <w:jc w:val="right"/>
              <w:ind w:right="121"/>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68,147</w:t>
            </w:r>
          </w:p>
        </w:tc>
        <w:tc>
          <w:tcPr>
            <w:tcW w:w="0" w:type="dxa"/>
            <w:vAlign w:val="bottom"/>
          </w:tcPr>
          <w:p>
            <w:pPr>
              <w:spacing w:after="0"/>
              <w:rPr>
                <w:sz w:val="1"/>
                <w:szCs w:val="1"/>
                <w:color w:val="auto"/>
              </w:rPr>
            </w:pPr>
          </w:p>
        </w:tc>
      </w:tr>
      <w:tr>
        <w:trPr>
          <w:trHeight w:val="215"/>
        </w:trPr>
        <w:tc>
          <w:tcPr>
            <w:tcW w:w="1400" w:type="dxa"/>
            <w:vAlign w:val="bottom"/>
          </w:tcPr>
          <w:p>
            <w:pPr>
              <w:ind w:left="20"/>
              <w:spacing w:after="0"/>
              <w:rPr>
                <w:sz w:val="20"/>
                <w:szCs w:val="20"/>
                <w:color w:val="auto"/>
              </w:rPr>
            </w:pPr>
            <w:r>
              <w:rPr>
                <w:rFonts w:ascii="Arial" w:cs="Arial" w:eastAsia="Arial" w:hAnsi="Arial"/>
                <w:sz w:val="16"/>
                <w:szCs w:val="16"/>
                <w:color w:val="auto"/>
              </w:rPr>
              <w:t>Mr. Rodier</w:t>
            </w:r>
          </w:p>
        </w:tc>
        <w:tc>
          <w:tcPr>
            <w:tcW w:w="1820" w:type="dxa"/>
            <w:vAlign w:val="bottom"/>
          </w:tcPr>
          <w:p>
            <w:pPr>
              <w:jc w:val="right"/>
              <w:ind w:right="22"/>
              <w:spacing w:after="0"/>
              <w:rPr>
                <w:sz w:val="20"/>
                <w:szCs w:val="20"/>
                <w:color w:val="auto"/>
              </w:rPr>
            </w:pPr>
            <w:r>
              <w:rPr>
                <w:rFonts w:ascii="Arial" w:cs="Arial" w:eastAsia="Arial" w:hAnsi="Arial"/>
                <w:sz w:val="16"/>
                <w:szCs w:val="16"/>
                <w:color w:val="auto"/>
              </w:rPr>
              <w:t>24,156</w:t>
            </w:r>
          </w:p>
        </w:tc>
        <w:tc>
          <w:tcPr>
            <w:tcW w:w="1740" w:type="dxa"/>
            <w:vAlign w:val="bottom"/>
          </w:tcPr>
          <w:p>
            <w:pPr>
              <w:jc w:val="right"/>
              <w:ind w:right="142"/>
              <w:spacing w:after="0"/>
              <w:rPr>
                <w:sz w:val="20"/>
                <w:szCs w:val="20"/>
                <w:color w:val="auto"/>
              </w:rPr>
            </w:pPr>
            <w:r>
              <w:rPr>
                <w:rFonts w:ascii="Arial" w:cs="Arial" w:eastAsia="Arial" w:hAnsi="Arial"/>
                <w:sz w:val="16"/>
                <w:szCs w:val="16"/>
                <w:color w:val="auto"/>
              </w:rPr>
              <w:t>8,545</w:t>
            </w:r>
          </w:p>
        </w:tc>
        <w:tc>
          <w:tcPr>
            <w:tcW w:w="146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1360" w:type="dxa"/>
            <w:vAlign w:val="bottom"/>
          </w:tcPr>
          <w:p>
            <w:pPr>
              <w:jc w:val="right"/>
              <w:spacing w:after="0"/>
              <w:rPr>
                <w:sz w:val="20"/>
                <w:szCs w:val="20"/>
                <w:color w:val="auto"/>
              </w:rPr>
            </w:pPr>
            <w:r>
              <w:rPr>
                <w:rFonts w:ascii="Arial" w:cs="Arial" w:eastAsia="Arial" w:hAnsi="Arial"/>
                <w:sz w:val="16"/>
                <w:szCs w:val="16"/>
                <w:color w:val="auto"/>
              </w:rPr>
              <w:t>43,846</w:t>
            </w:r>
          </w:p>
        </w:tc>
        <w:tc>
          <w:tcPr>
            <w:tcW w:w="1680" w:type="dxa"/>
            <w:vAlign w:val="bottom"/>
          </w:tcPr>
          <w:p>
            <w:pPr>
              <w:jc w:val="right"/>
              <w:ind w:right="121"/>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76,547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9888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27"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reported represent Company matching contributions and a discretionary investment fund contribution.</w:t>
      </w:r>
    </w:p>
    <w:p>
      <w:pPr>
        <w:spacing w:after="0" w:line="36" w:lineRule="exact"/>
        <w:rPr>
          <w:rFonts w:ascii="Arial" w:cs="Arial" w:eastAsia="Arial" w:hAnsi="Arial"/>
          <w:sz w:val="18"/>
          <w:szCs w:val="18"/>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w:t>
      </w:r>
    </w:p>
    <w:p>
      <w:pPr>
        <w:spacing w:after="0" w:line="49" w:lineRule="exact"/>
        <w:rPr>
          <w:rFonts w:ascii="Arial" w:cs="Arial" w:eastAsia="Arial" w:hAnsi="Arial"/>
          <w:sz w:val="18"/>
          <w:szCs w:val="18"/>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reported represent matching contributions for charitable donations made by our executive officers.</w:t>
      </w:r>
    </w:p>
    <w:p>
      <w:pPr>
        <w:spacing w:after="0" w:line="49" w:lineRule="exact"/>
        <w:rPr>
          <w:rFonts w:ascii="Arial" w:cs="Arial" w:eastAsia="Arial" w:hAnsi="Arial"/>
          <w:sz w:val="18"/>
          <w:szCs w:val="18"/>
          <w:color w:val="auto"/>
        </w:rPr>
      </w:pPr>
    </w:p>
    <w:p>
      <w:pPr>
        <w:ind w:left="340" w:hanging="332"/>
        <w:spacing w:after="0" w:line="241" w:lineRule="auto"/>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reported represent Company paid amounts for automobile lease plus reportable income for personal use of the automobile; Company paid amounts for financial planning expenses and executive physical expenses; value of Company products received for personal use; and incremental travel costs paid by the Company for spouses of our executive officers in connection with certain off-site, business-related travel.</w:t>
      </w:r>
    </w:p>
    <w:p>
      <w:pPr>
        <w:spacing w:after="0" w:line="5" w:lineRule="exact"/>
        <w:rPr>
          <w:rFonts w:ascii="Arial" w:cs="Arial" w:eastAsia="Arial" w:hAnsi="Arial"/>
          <w:sz w:val="18"/>
          <w:szCs w:val="18"/>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 reported represents company-paid relocation expenses.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Grants of Plan-Based Awards for Fiscal 2023</w:t>
      </w:r>
    </w:p>
    <w:p>
      <w:pPr>
        <w:spacing w:after="0" w:line="99" w:lineRule="exact"/>
        <w:rPr>
          <w:sz w:val="20"/>
          <w:szCs w:val="20"/>
          <w:color w:val="auto"/>
        </w:rPr>
      </w:pPr>
    </w:p>
    <w:p>
      <w:pPr>
        <w:ind w:right="180" w:firstLine="324"/>
        <w:spacing w:after="0" w:line="237" w:lineRule="auto"/>
        <w:rPr>
          <w:sz w:val="20"/>
          <w:szCs w:val="20"/>
          <w:color w:val="auto"/>
        </w:rPr>
      </w:pPr>
      <w:r>
        <w:rPr>
          <w:rFonts w:ascii="Arial" w:cs="Arial" w:eastAsia="Arial" w:hAnsi="Arial"/>
          <w:sz w:val="18"/>
          <w:szCs w:val="18"/>
          <w:color w:val="auto"/>
        </w:rPr>
        <w:t>During fiscal 2023, plan-based awards granted to our NEOs included annual cash incentive awards, performance share awards, restricted stock unit awards, and stock option awards. The following table summarizes all plan-based awards granted to our NEOs during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65" w:right="49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162"/>
        </w:trPr>
        <w:tc>
          <w:tcPr>
            <w:tcW w:w="1660" w:type="dxa"/>
            <w:vAlign w:val="bottom"/>
            <w:shd w:val="clear" w:color="auto" w:fill="BF2115"/>
          </w:tcPr>
          <w:p>
            <w:pPr>
              <w:spacing w:after="0"/>
              <w:rPr>
                <w:sz w:val="14"/>
                <w:szCs w:val="14"/>
                <w:color w:val="auto"/>
              </w:rPr>
            </w:pPr>
          </w:p>
        </w:tc>
        <w:tc>
          <w:tcPr>
            <w:tcW w:w="740" w:type="dxa"/>
            <w:vAlign w:val="bottom"/>
            <w:shd w:val="clear" w:color="auto" w:fill="BF2115"/>
          </w:tcPr>
          <w:p>
            <w:pPr>
              <w:spacing w:after="0"/>
              <w:rPr>
                <w:sz w:val="14"/>
                <w:szCs w:val="14"/>
                <w:color w:val="auto"/>
              </w:rPr>
            </w:pPr>
          </w:p>
        </w:tc>
        <w:tc>
          <w:tcPr>
            <w:tcW w:w="720" w:type="dxa"/>
            <w:vAlign w:val="bottom"/>
            <w:shd w:val="clear" w:color="auto" w:fill="BF2115"/>
          </w:tcPr>
          <w:p>
            <w:pPr>
              <w:spacing w:after="0"/>
              <w:rPr>
                <w:sz w:val="14"/>
                <w:szCs w:val="14"/>
                <w:color w:val="auto"/>
              </w:rPr>
            </w:pPr>
          </w:p>
        </w:tc>
        <w:tc>
          <w:tcPr>
            <w:tcW w:w="780" w:type="dxa"/>
            <w:vAlign w:val="bottom"/>
            <w:shd w:val="clear" w:color="auto" w:fill="BF2115"/>
          </w:tcPr>
          <w:p>
            <w:pPr>
              <w:spacing w:after="0"/>
              <w:rPr>
                <w:sz w:val="14"/>
                <w:szCs w:val="14"/>
                <w:color w:val="auto"/>
              </w:rPr>
            </w:pPr>
          </w:p>
        </w:tc>
        <w:tc>
          <w:tcPr>
            <w:tcW w:w="840" w:type="dxa"/>
            <w:vAlign w:val="bottom"/>
            <w:shd w:val="clear" w:color="auto" w:fill="BF2115"/>
          </w:tcPr>
          <w:p>
            <w:pPr>
              <w:spacing w:after="0"/>
              <w:rPr>
                <w:sz w:val="14"/>
                <w:szCs w:val="14"/>
                <w:color w:val="auto"/>
              </w:rPr>
            </w:pPr>
          </w:p>
        </w:tc>
        <w:tc>
          <w:tcPr>
            <w:tcW w:w="800" w:type="dxa"/>
            <w:vAlign w:val="bottom"/>
            <w:shd w:val="clear" w:color="auto" w:fill="BF2115"/>
          </w:tcPr>
          <w:p>
            <w:pPr>
              <w:spacing w:after="0"/>
              <w:rPr>
                <w:sz w:val="14"/>
                <w:szCs w:val="14"/>
                <w:color w:val="auto"/>
              </w:rPr>
            </w:pPr>
          </w:p>
        </w:tc>
        <w:tc>
          <w:tcPr>
            <w:tcW w:w="760" w:type="dxa"/>
            <w:vAlign w:val="bottom"/>
            <w:shd w:val="clear" w:color="auto" w:fill="BF2115"/>
          </w:tcPr>
          <w:p>
            <w:pPr>
              <w:spacing w:after="0"/>
              <w:rPr>
                <w:sz w:val="14"/>
                <w:szCs w:val="14"/>
                <w:color w:val="auto"/>
              </w:rPr>
            </w:pPr>
          </w:p>
        </w:tc>
        <w:tc>
          <w:tcPr>
            <w:tcW w:w="680" w:type="dxa"/>
            <w:vAlign w:val="bottom"/>
            <w:shd w:val="clear" w:color="auto" w:fill="BF2115"/>
          </w:tcPr>
          <w:p>
            <w:pPr>
              <w:spacing w:after="0"/>
              <w:rPr>
                <w:sz w:val="14"/>
                <w:szCs w:val="14"/>
                <w:color w:val="auto"/>
              </w:rPr>
            </w:pPr>
          </w:p>
        </w:tc>
        <w:tc>
          <w:tcPr>
            <w:tcW w:w="760" w:type="dxa"/>
            <w:vAlign w:val="bottom"/>
            <w:shd w:val="clear" w:color="auto" w:fill="BF2115"/>
          </w:tcPr>
          <w:p>
            <w:pPr>
              <w:spacing w:after="0"/>
              <w:rPr>
                <w:sz w:val="14"/>
                <w:szCs w:val="14"/>
                <w:color w:val="auto"/>
              </w:rPr>
            </w:pPr>
          </w:p>
        </w:tc>
        <w:tc>
          <w:tcPr>
            <w:tcW w:w="80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8"/>
              </w:rPr>
              <w:t>All Other</w:t>
            </w:r>
          </w:p>
        </w:tc>
        <w:tc>
          <w:tcPr>
            <w:tcW w:w="880" w:type="dxa"/>
            <w:vAlign w:val="bottom"/>
            <w:shd w:val="clear" w:color="auto" w:fill="BF2115"/>
          </w:tcPr>
          <w:p>
            <w:pPr>
              <w:jc w:val="center"/>
              <w:ind w:right="84"/>
              <w:spacing w:after="0"/>
              <w:rPr>
                <w:sz w:val="20"/>
                <w:szCs w:val="20"/>
                <w:color w:val="auto"/>
              </w:rPr>
            </w:pPr>
            <w:r>
              <w:rPr>
                <w:rFonts w:ascii="Arial" w:cs="Arial" w:eastAsia="Arial" w:hAnsi="Arial"/>
                <w:sz w:val="11"/>
                <w:szCs w:val="11"/>
                <w:b w:val="1"/>
                <w:bCs w:val="1"/>
                <w:color w:val="FFFFFF"/>
                <w:w w:val="98"/>
              </w:rPr>
              <w:t>All Other</w:t>
            </w:r>
          </w:p>
        </w:tc>
        <w:tc>
          <w:tcPr>
            <w:tcW w:w="780" w:type="dxa"/>
            <w:vAlign w:val="bottom"/>
            <w:shd w:val="clear" w:color="auto" w:fill="BF2115"/>
          </w:tcPr>
          <w:p>
            <w:pPr>
              <w:spacing w:after="0"/>
              <w:rPr>
                <w:sz w:val="14"/>
                <w:szCs w:val="14"/>
                <w:color w:val="auto"/>
              </w:rPr>
            </w:pPr>
          </w:p>
        </w:tc>
        <w:tc>
          <w:tcPr>
            <w:tcW w:w="740" w:type="dxa"/>
            <w:vAlign w:val="bottom"/>
            <w:shd w:val="clear" w:color="auto" w:fill="BF2115"/>
          </w:tcPr>
          <w:p>
            <w:pPr>
              <w:spacing w:after="0"/>
              <w:rPr>
                <w:sz w:val="14"/>
                <w:szCs w:val="14"/>
                <w:color w:val="auto"/>
              </w:rPr>
            </w:pPr>
          </w:p>
        </w:tc>
      </w:tr>
      <w:tr>
        <w:trPr>
          <w:trHeight w:val="135"/>
        </w:trPr>
        <w:tc>
          <w:tcPr>
            <w:tcW w:w="1660" w:type="dxa"/>
            <w:vAlign w:val="bottom"/>
            <w:shd w:val="clear" w:color="auto" w:fill="BF2115"/>
          </w:tcPr>
          <w:p>
            <w:pPr>
              <w:spacing w:after="0"/>
              <w:rPr>
                <w:sz w:val="11"/>
                <w:szCs w:val="11"/>
                <w:color w:val="auto"/>
              </w:rPr>
            </w:pPr>
          </w:p>
        </w:tc>
        <w:tc>
          <w:tcPr>
            <w:tcW w:w="740" w:type="dxa"/>
            <w:vAlign w:val="bottom"/>
            <w:shd w:val="clear" w:color="auto" w:fill="BF2115"/>
          </w:tcPr>
          <w:p>
            <w:pPr>
              <w:spacing w:after="0"/>
              <w:rPr>
                <w:sz w:val="11"/>
                <w:szCs w:val="11"/>
                <w:color w:val="auto"/>
              </w:rPr>
            </w:pPr>
          </w:p>
        </w:tc>
        <w:tc>
          <w:tcPr>
            <w:tcW w:w="720" w:type="dxa"/>
            <w:vAlign w:val="bottom"/>
            <w:shd w:val="clear" w:color="auto" w:fill="BF2115"/>
          </w:tcPr>
          <w:p>
            <w:pPr>
              <w:spacing w:after="0"/>
              <w:rPr>
                <w:sz w:val="11"/>
                <w:szCs w:val="11"/>
                <w:color w:val="auto"/>
              </w:rPr>
            </w:pPr>
          </w:p>
        </w:tc>
        <w:tc>
          <w:tcPr>
            <w:tcW w:w="780" w:type="dxa"/>
            <w:vAlign w:val="bottom"/>
            <w:shd w:val="clear" w:color="auto" w:fill="BF2115"/>
          </w:tcPr>
          <w:p>
            <w:pPr>
              <w:spacing w:after="0"/>
              <w:rPr>
                <w:sz w:val="11"/>
                <w:szCs w:val="11"/>
                <w:color w:val="auto"/>
              </w:rPr>
            </w:pPr>
          </w:p>
        </w:tc>
        <w:tc>
          <w:tcPr>
            <w:tcW w:w="840" w:type="dxa"/>
            <w:vAlign w:val="bottom"/>
            <w:shd w:val="clear" w:color="auto" w:fill="BF2115"/>
          </w:tcPr>
          <w:p>
            <w:pPr>
              <w:spacing w:after="0"/>
              <w:rPr>
                <w:sz w:val="11"/>
                <w:szCs w:val="11"/>
                <w:color w:val="auto"/>
              </w:rPr>
            </w:pPr>
          </w:p>
        </w:tc>
        <w:tc>
          <w:tcPr>
            <w:tcW w:w="80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6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80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9"/>
              </w:rPr>
              <w:t>Stock</w:t>
            </w:r>
          </w:p>
        </w:tc>
        <w:tc>
          <w:tcPr>
            <w:tcW w:w="880" w:type="dxa"/>
            <w:vAlign w:val="bottom"/>
            <w:shd w:val="clear" w:color="auto" w:fill="BF2115"/>
          </w:tcPr>
          <w:p>
            <w:pPr>
              <w:jc w:val="center"/>
              <w:ind w:right="84"/>
              <w:spacing w:after="0"/>
              <w:rPr>
                <w:sz w:val="20"/>
                <w:szCs w:val="20"/>
                <w:color w:val="auto"/>
              </w:rPr>
            </w:pPr>
            <w:r>
              <w:rPr>
                <w:rFonts w:ascii="Arial" w:cs="Arial" w:eastAsia="Arial" w:hAnsi="Arial"/>
                <w:sz w:val="11"/>
                <w:szCs w:val="11"/>
                <w:b w:val="1"/>
                <w:bCs w:val="1"/>
                <w:color w:val="FFFFFF"/>
                <w:w w:val="95"/>
              </w:rPr>
              <w:t>Option</w:t>
            </w:r>
          </w:p>
        </w:tc>
        <w:tc>
          <w:tcPr>
            <w:tcW w:w="780" w:type="dxa"/>
            <w:vAlign w:val="bottom"/>
            <w:shd w:val="clear" w:color="auto" w:fill="BF2115"/>
          </w:tcPr>
          <w:p>
            <w:pPr>
              <w:spacing w:after="0"/>
              <w:rPr>
                <w:sz w:val="11"/>
                <w:szCs w:val="11"/>
                <w:color w:val="auto"/>
              </w:rPr>
            </w:pPr>
          </w:p>
        </w:tc>
        <w:tc>
          <w:tcPr>
            <w:tcW w:w="740" w:type="dxa"/>
            <w:vAlign w:val="bottom"/>
            <w:shd w:val="clear" w:color="auto" w:fill="BF2115"/>
          </w:tcPr>
          <w:p>
            <w:pPr>
              <w:jc w:val="center"/>
              <w:ind w:right="3"/>
              <w:spacing w:after="0"/>
              <w:rPr>
                <w:sz w:val="20"/>
                <w:szCs w:val="20"/>
                <w:color w:val="auto"/>
              </w:rPr>
            </w:pPr>
            <w:r>
              <w:rPr>
                <w:rFonts w:ascii="Arial" w:cs="Arial" w:eastAsia="Arial" w:hAnsi="Arial"/>
                <w:sz w:val="11"/>
                <w:szCs w:val="11"/>
                <w:b w:val="1"/>
                <w:bCs w:val="1"/>
                <w:color w:val="FFFFFF"/>
                <w:w w:val="95"/>
              </w:rPr>
              <w:t>Grant</w:t>
            </w:r>
          </w:p>
        </w:tc>
      </w:tr>
      <w:tr>
        <w:trPr>
          <w:trHeight w:val="135"/>
        </w:trPr>
        <w:tc>
          <w:tcPr>
            <w:tcW w:w="1660" w:type="dxa"/>
            <w:vAlign w:val="bottom"/>
            <w:shd w:val="clear" w:color="auto" w:fill="BF2115"/>
          </w:tcPr>
          <w:p>
            <w:pPr>
              <w:spacing w:after="0"/>
              <w:rPr>
                <w:sz w:val="11"/>
                <w:szCs w:val="11"/>
                <w:color w:val="auto"/>
              </w:rPr>
            </w:pPr>
          </w:p>
        </w:tc>
        <w:tc>
          <w:tcPr>
            <w:tcW w:w="740" w:type="dxa"/>
            <w:vAlign w:val="bottom"/>
            <w:shd w:val="clear" w:color="auto" w:fill="BF2115"/>
          </w:tcPr>
          <w:p>
            <w:pPr>
              <w:spacing w:after="0"/>
              <w:rPr>
                <w:sz w:val="11"/>
                <w:szCs w:val="11"/>
                <w:color w:val="auto"/>
              </w:rPr>
            </w:pPr>
          </w:p>
        </w:tc>
        <w:tc>
          <w:tcPr>
            <w:tcW w:w="720" w:type="dxa"/>
            <w:vAlign w:val="bottom"/>
            <w:shd w:val="clear" w:color="auto" w:fill="BF2115"/>
          </w:tcPr>
          <w:p>
            <w:pPr>
              <w:spacing w:after="0"/>
              <w:rPr>
                <w:sz w:val="11"/>
                <w:szCs w:val="11"/>
                <w:color w:val="auto"/>
              </w:rPr>
            </w:pPr>
          </w:p>
        </w:tc>
        <w:tc>
          <w:tcPr>
            <w:tcW w:w="780" w:type="dxa"/>
            <w:vAlign w:val="bottom"/>
            <w:shd w:val="clear" w:color="auto" w:fill="BF2115"/>
          </w:tcPr>
          <w:p>
            <w:pPr>
              <w:spacing w:after="0"/>
              <w:rPr>
                <w:sz w:val="11"/>
                <w:szCs w:val="11"/>
                <w:color w:val="auto"/>
              </w:rPr>
            </w:pPr>
          </w:p>
        </w:tc>
        <w:tc>
          <w:tcPr>
            <w:tcW w:w="840" w:type="dxa"/>
            <w:vAlign w:val="bottom"/>
            <w:shd w:val="clear" w:color="auto" w:fill="BF2115"/>
          </w:tcPr>
          <w:p>
            <w:pPr>
              <w:spacing w:after="0"/>
              <w:rPr>
                <w:sz w:val="11"/>
                <w:szCs w:val="11"/>
                <w:color w:val="auto"/>
              </w:rPr>
            </w:pPr>
          </w:p>
        </w:tc>
        <w:tc>
          <w:tcPr>
            <w:tcW w:w="80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6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80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6"/>
              </w:rPr>
              <w:t>Awards:</w:t>
            </w:r>
          </w:p>
        </w:tc>
        <w:tc>
          <w:tcPr>
            <w:tcW w:w="880" w:type="dxa"/>
            <w:vAlign w:val="bottom"/>
            <w:shd w:val="clear" w:color="auto" w:fill="BF2115"/>
          </w:tcPr>
          <w:p>
            <w:pPr>
              <w:jc w:val="center"/>
              <w:ind w:right="84"/>
              <w:spacing w:after="0"/>
              <w:rPr>
                <w:sz w:val="20"/>
                <w:szCs w:val="20"/>
                <w:color w:val="auto"/>
              </w:rPr>
            </w:pPr>
            <w:r>
              <w:rPr>
                <w:rFonts w:ascii="Arial" w:cs="Arial" w:eastAsia="Arial" w:hAnsi="Arial"/>
                <w:sz w:val="11"/>
                <w:szCs w:val="11"/>
                <w:b w:val="1"/>
                <w:bCs w:val="1"/>
                <w:color w:val="FFFFFF"/>
                <w:w w:val="96"/>
              </w:rPr>
              <w:t>Awards:</w:t>
            </w:r>
          </w:p>
        </w:tc>
        <w:tc>
          <w:tcPr>
            <w:tcW w:w="780" w:type="dxa"/>
            <w:vAlign w:val="bottom"/>
            <w:shd w:val="clear" w:color="auto" w:fill="BF2115"/>
          </w:tcPr>
          <w:p>
            <w:pPr>
              <w:jc w:val="center"/>
              <w:ind w:right="64"/>
              <w:spacing w:after="0"/>
              <w:rPr>
                <w:sz w:val="20"/>
                <w:szCs w:val="20"/>
                <w:color w:val="auto"/>
              </w:rPr>
            </w:pPr>
            <w:r>
              <w:rPr>
                <w:rFonts w:ascii="Arial" w:cs="Arial" w:eastAsia="Arial" w:hAnsi="Arial"/>
                <w:sz w:val="11"/>
                <w:szCs w:val="11"/>
                <w:b w:val="1"/>
                <w:bCs w:val="1"/>
                <w:color w:val="FFFFFF"/>
              </w:rPr>
              <w:t>Exercise</w:t>
            </w:r>
          </w:p>
        </w:tc>
        <w:tc>
          <w:tcPr>
            <w:tcW w:w="74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Date Fair</w:t>
            </w:r>
          </w:p>
        </w:tc>
      </w:tr>
      <w:tr>
        <w:trPr>
          <w:trHeight w:val="135"/>
        </w:trPr>
        <w:tc>
          <w:tcPr>
            <w:tcW w:w="1660" w:type="dxa"/>
            <w:vAlign w:val="bottom"/>
            <w:shd w:val="clear" w:color="auto" w:fill="BF2115"/>
          </w:tcPr>
          <w:p>
            <w:pPr>
              <w:spacing w:after="0"/>
              <w:rPr>
                <w:sz w:val="11"/>
                <w:szCs w:val="11"/>
                <w:color w:val="auto"/>
              </w:rPr>
            </w:pPr>
          </w:p>
        </w:tc>
        <w:tc>
          <w:tcPr>
            <w:tcW w:w="740" w:type="dxa"/>
            <w:vAlign w:val="bottom"/>
            <w:shd w:val="clear" w:color="auto" w:fill="BF2115"/>
          </w:tcPr>
          <w:p>
            <w:pPr>
              <w:spacing w:after="0"/>
              <w:rPr>
                <w:sz w:val="11"/>
                <w:szCs w:val="11"/>
                <w:color w:val="auto"/>
              </w:rPr>
            </w:pPr>
          </w:p>
        </w:tc>
        <w:tc>
          <w:tcPr>
            <w:tcW w:w="720" w:type="dxa"/>
            <w:vAlign w:val="bottom"/>
            <w:shd w:val="clear" w:color="auto" w:fill="BF2115"/>
          </w:tcPr>
          <w:p>
            <w:pPr>
              <w:spacing w:after="0"/>
              <w:rPr>
                <w:sz w:val="11"/>
                <w:szCs w:val="11"/>
                <w:color w:val="auto"/>
              </w:rPr>
            </w:pPr>
          </w:p>
        </w:tc>
        <w:tc>
          <w:tcPr>
            <w:tcW w:w="2420" w:type="dxa"/>
            <w:vAlign w:val="bottom"/>
            <w:gridSpan w:val="3"/>
            <w:shd w:val="clear" w:color="auto" w:fill="BF2115"/>
          </w:tcPr>
          <w:p>
            <w:pPr>
              <w:jc w:val="center"/>
              <w:ind w:right="23"/>
              <w:spacing w:after="0"/>
              <w:rPr>
                <w:sz w:val="20"/>
                <w:szCs w:val="20"/>
                <w:color w:val="auto"/>
              </w:rPr>
            </w:pPr>
            <w:r>
              <w:rPr>
                <w:rFonts w:ascii="Arial" w:cs="Arial" w:eastAsia="Arial" w:hAnsi="Arial"/>
                <w:sz w:val="11"/>
                <w:szCs w:val="11"/>
                <w:b w:val="1"/>
                <w:bCs w:val="1"/>
                <w:color w:val="FFFFFF"/>
                <w:w w:val="98"/>
              </w:rPr>
              <w:t>Estimated Future Payouts</w:t>
            </w:r>
          </w:p>
        </w:tc>
        <w:tc>
          <w:tcPr>
            <w:tcW w:w="2200" w:type="dxa"/>
            <w:vAlign w:val="bottom"/>
            <w:gridSpan w:val="3"/>
            <w:shd w:val="clear" w:color="auto" w:fill="BF2115"/>
          </w:tcPr>
          <w:p>
            <w:pPr>
              <w:jc w:val="center"/>
              <w:ind w:right="83"/>
              <w:spacing w:after="0"/>
              <w:rPr>
                <w:sz w:val="20"/>
                <w:szCs w:val="20"/>
                <w:color w:val="auto"/>
              </w:rPr>
            </w:pPr>
            <w:r>
              <w:rPr>
                <w:rFonts w:ascii="Arial" w:cs="Arial" w:eastAsia="Arial" w:hAnsi="Arial"/>
                <w:sz w:val="11"/>
                <w:szCs w:val="11"/>
                <w:b w:val="1"/>
                <w:bCs w:val="1"/>
                <w:color w:val="FFFFFF"/>
                <w:w w:val="98"/>
              </w:rPr>
              <w:t>Estimated Future Payouts</w:t>
            </w:r>
          </w:p>
        </w:tc>
        <w:tc>
          <w:tcPr>
            <w:tcW w:w="80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8"/>
              </w:rPr>
              <w:t>Number of</w:t>
            </w:r>
          </w:p>
        </w:tc>
        <w:tc>
          <w:tcPr>
            <w:tcW w:w="880" w:type="dxa"/>
            <w:vAlign w:val="bottom"/>
            <w:shd w:val="clear" w:color="auto" w:fill="BF2115"/>
          </w:tcPr>
          <w:p>
            <w:pPr>
              <w:jc w:val="center"/>
              <w:ind w:right="84"/>
              <w:spacing w:after="0"/>
              <w:rPr>
                <w:sz w:val="20"/>
                <w:szCs w:val="20"/>
                <w:color w:val="auto"/>
              </w:rPr>
            </w:pPr>
            <w:r>
              <w:rPr>
                <w:rFonts w:ascii="Arial" w:cs="Arial" w:eastAsia="Arial" w:hAnsi="Arial"/>
                <w:sz w:val="11"/>
                <w:szCs w:val="11"/>
                <w:b w:val="1"/>
                <w:bCs w:val="1"/>
                <w:color w:val="FFFFFF"/>
                <w:w w:val="98"/>
              </w:rPr>
              <w:t>Number of</w:t>
            </w:r>
          </w:p>
        </w:tc>
        <w:tc>
          <w:tcPr>
            <w:tcW w:w="780" w:type="dxa"/>
            <w:vAlign w:val="bottom"/>
            <w:shd w:val="clear" w:color="auto" w:fill="BF2115"/>
          </w:tcPr>
          <w:p>
            <w:pPr>
              <w:jc w:val="center"/>
              <w:ind w:right="64"/>
              <w:spacing w:after="0"/>
              <w:rPr>
                <w:sz w:val="20"/>
                <w:szCs w:val="20"/>
                <w:color w:val="auto"/>
              </w:rPr>
            </w:pPr>
            <w:r>
              <w:rPr>
                <w:rFonts w:ascii="Arial" w:cs="Arial" w:eastAsia="Arial" w:hAnsi="Arial"/>
                <w:sz w:val="11"/>
                <w:szCs w:val="11"/>
                <w:b w:val="1"/>
                <w:bCs w:val="1"/>
                <w:color w:val="FFFFFF"/>
                <w:w w:val="94"/>
              </w:rPr>
              <w:t>or Base</w:t>
            </w:r>
          </w:p>
        </w:tc>
        <w:tc>
          <w:tcPr>
            <w:tcW w:w="74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Value of</w:t>
            </w:r>
          </w:p>
        </w:tc>
      </w:tr>
      <w:tr>
        <w:trPr>
          <w:trHeight w:val="135"/>
        </w:trPr>
        <w:tc>
          <w:tcPr>
            <w:tcW w:w="1660" w:type="dxa"/>
            <w:vAlign w:val="bottom"/>
            <w:shd w:val="clear" w:color="auto" w:fill="BF2115"/>
          </w:tcPr>
          <w:p>
            <w:pPr>
              <w:spacing w:after="0"/>
              <w:rPr>
                <w:sz w:val="11"/>
                <w:szCs w:val="11"/>
                <w:color w:val="auto"/>
              </w:rPr>
            </w:pPr>
          </w:p>
        </w:tc>
        <w:tc>
          <w:tcPr>
            <w:tcW w:w="740" w:type="dxa"/>
            <w:vAlign w:val="bottom"/>
            <w:shd w:val="clear" w:color="auto" w:fill="BF2115"/>
          </w:tcPr>
          <w:p>
            <w:pPr>
              <w:spacing w:after="0"/>
              <w:rPr>
                <w:sz w:val="11"/>
                <w:szCs w:val="11"/>
                <w:color w:val="auto"/>
              </w:rPr>
            </w:pPr>
          </w:p>
        </w:tc>
        <w:tc>
          <w:tcPr>
            <w:tcW w:w="720" w:type="dxa"/>
            <w:vAlign w:val="bottom"/>
            <w:shd w:val="clear" w:color="auto" w:fill="BF2115"/>
          </w:tcPr>
          <w:p>
            <w:pPr>
              <w:spacing w:after="0"/>
              <w:rPr>
                <w:sz w:val="11"/>
                <w:szCs w:val="11"/>
                <w:color w:val="auto"/>
              </w:rPr>
            </w:pPr>
          </w:p>
        </w:tc>
        <w:tc>
          <w:tcPr>
            <w:tcW w:w="2420" w:type="dxa"/>
            <w:vAlign w:val="bottom"/>
            <w:gridSpan w:val="3"/>
            <w:shd w:val="clear" w:color="auto" w:fill="BF2115"/>
          </w:tcPr>
          <w:p>
            <w:pPr>
              <w:jc w:val="center"/>
              <w:ind w:right="23"/>
              <w:spacing w:after="0"/>
              <w:rPr>
                <w:sz w:val="20"/>
                <w:szCs w:val="20"/>
                <w:color w:val="auto"/>
              </w:rPr>
            </w:pPr>
            <w:r>
              <w:rPr>
                <w:rFonts w:ascii="Arial" w:cs="Arial" w:eastAsia="Arial" w:hAnsi="Arial"/>
                <w:sz w:val="11"/>
                <w:szCs w:val="11"/>
                <w:b w:val="1"/>
                <w:bCs w:val="1"/>
                <w:color w:val="FFFFFF"/>
                <w:w w:val="98"/>
              </w:rPr>
              <w:t>Under Non-Equity Incentive</w:t>
            </w:r>
          </w:p>
        </w:tc>
        <w:tc>
          <w:tcPr>
            <w:tcW w:w="2200" w:type="dxa"/>
            <w:vAlign w:val="bottom"/>
            <w:gridSpan w:val="3"/>
            <w:shd w:val="clear" w:color="auto" w:fill="BF2115"/>
          </w:tcPr>
          <w:p>
            <w:pPr>
              <w:jc w:val="center"/>
              <w:ind w:right="63"/>
              <w:spacing w:after="0"/>
              <w:rPr>
                <w:sz w:val="20"/>
                <w:szCs w:val="20"/>
                <w:color w:val="auto"/>
              </w:rPr>
            </w:pPr>
            <w:r>
              <w:rPr>
                <w:rFonts w:ascii="Arial" w:cs="Arial" w:eastAsia="Arial" w:hAnsi="Arial"/>
                <w:sz w:val="11"/>
                <w:szCs w:val="11"/>
                <w:b w:val="1"/>
                <w:bCs w:val="1"/>
                <w:color w:val="FFFFFF"/>
                <w:w w:val="98"/>
              </w:rPr>
              <w:t>Under Equity Incentive Plan</w:t>
            </w:r>
          </w:p>
        </w:tc>
        <w:tc>
          <w:tcPr>
            <w:tcW w:w="80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9"/>
              </w:rPr>
              <w:t>Shares of</w:t>
            </w:r>
          </w:p>
        </w:tc>
        <w:tc>
          <w:tcPr>
            <w:tcW w:w="880" w:type="dxa"/>
            <w:vAlign w:val="bottom"/>
            <w:shd w:val="clear" w:color="auto" w:fill="BF2115"/>
          </w:tcPr>
          <w:p>
            <w:pPr>
              <w:jc w:val="center"/>
              <w:ind w:right="84"/>
              <w:spacing w:after="0"/>
              <w:rPr>
                <w:sz w:val="20"/>
                <w:szCs w:val="20"/>
                <w:color w:val="auto"/>
              </w:rPr>
            </w:pPr>
            <w:r>
              <w:rPr>
                <w:rFonts w:ascii="Arial" w:cs="Arial" w:eastAsia="Arial" w:hAnsi="Arial"/>
                <w:sz w:val="11"/>
                <w:szCs w:val="11"/>
                <w:b w:val="1"/>
                <w:bCs w:val="1"/>
                <w:color w:val="FFFFFF"/>
                <w:w w:val="94"/>
              </w:rPr>
              <w:t>Securities</w:t>
            </w:r>
          </w:p>
        </w:tc>
        <w:tc>
          <w:tcPr>
            <w:tcW w:w="780" w:type="dxa"/>
            <w:vAlign w:val="bottom"/>
            <w:shd w:val="clear" w:color="auto" w:fill="BF2115"/>
          </w:tcPr>
          <w:p>
            <w:pPr>
              <w:jc w:val="center"/>
              <w:ind w:right="64"/>
              <w:spacing w:after="0"/>
              <w:rPr>
                <w:sz w:val="20"/>
                <w:szCs w:val="20"/>
                <w:color w:val="auto"/>
              </w:rPr>
            </w:pPr>
            <w:r>
              <w:rPr>
                <w:rFonts w:ascii="Arial" w:cs="Arial" w:eastAsia="Arial" w:hAnsi="Arial"/>
                <w:sz w:val="11"/>
                <w:szCs w:val="11"/>
                <w:b w:val="1"/>
                <w:bCs w:val="1"/>
                <w:color w:val="FFFFFF"/>
                <w:w w:val="94"/>
              </w:rPr>
              <w:t>Price of</w:t>
            </w:r>
          </w:p>
        </w:tc>
        <w:tc>
          <w:tcPr>
            <w:tcW w:w="740" w:type="dxa"/>
            <w:vAlign w:val="bottom"/>
            <w:shd w:val="clear" w:color="auto" w:fill="BF2115"/>
          </w:tcPr>
          <w:p>
            <w:pPr>
              <w:jc w:val="center"/>
              <w:ind w:right="3"/>
              <w:spacing w:after="0"/>
              <w:rPr>
                <w:sz w:val="20"/>
                <w:szCs w:val="20"/>
                <w:color w:val="auto"/>
              </w:rPr>
            </w:pPr>
            <w:r>
              <w:rPr>
                <w:rFonts w:ascii="Arial" w:cs="Arial" w:eastAsia="Arial" w:hAnsi="Arial"/>
                <w:sz w:val="11"/>
                <w:szCs w:val="11"/>
                <w:b w:val="1"/>
                <w:bCs w:val="1"/>
                <w:color w:val="FFFFFF"/>
                <w:w w:val="98"/>
              </w:rPr>
              <w:t>Stock and</w:t>
            </w:r>
          </w:p>
        </w:tc>
      </w:tr>
      <w:tr>
        <w:trPr>
          <w:trHeight w:val="161"/>
        </w:trPr>
        <w:tc>
          <w:tcPr>
            <w:tcW w:w="1660" w:type="dxa"/>
            <w:vAlign w:val="bottom"/>
            <w:shd w:val="clear" w:color="auto" w:fill="BF2115"/>
          </w:tcPr>
          <w:p>
            <w:pPr>
              <w:spacing w:after="0"/>
              <w:rPr>
                <w:sz w:val="14"/>
                <w:szCs w:val="14"/>
                <w:color w:val="auto"/>
              </w:rPr>
            </w:pPr>
          </w:p>
        </w:tc>
        <w:tc>
          <w:tcPr>
            <w:tcW w:w="740" w:type="dxa"/>
            <w:vAlign w:val="bottom"/>
            <w:shd w:val="clear" w:color="auto" w:fill="BF2115"/>
          </w:tcPr>
          <w:p>
            <w:pPr>
              <w:spacing w:after="0"/>
              <w:rPr>
                <w:sz w:val="14"/>
                <w:szCs w:val="14"/>
                <w:color w:val="auto"/>
              </w:rPr>
            </w:pPr>
          </w:p>
        </w:tc>
        <w:tc>
          <w:tcPr>
            <w:tcW w:w="720" w:type="dxa"/>
            <w:vAlign w:val="bottom"/>
            <w:shd w:val="clear" w:color="auto" w:fill="BF2115"/>
          </w:tcPr>
          <w:p>
            <w:pPr>
              <w:spacing w:after="0"/>
              <w:rPr>
                <w:sz w:val="14"/>
                <w:szCs w:val="14"/>
                <w:color w:val="auto"/>
              </w:rPr>
            </w:pPr>
          </w:p>
        </w:tc>
        <w:tc>
          <w:tcPr>
            <w:tcW w:w="780" w:type="dxa"/>
            <w:vAlign w:val="bottom"/>
            <w:shd w:val="clear" w:color="auto" w:fill="BF2115"/>
          </w:tcPr>
          <w:p>
            <w:pPr>
              <w:spacing w:after="0"/>
              <w:rPr>
                <w:sz w:val="14"/>
                <w:szCs w:val="14"/>
                <w:color w:val="auto"/>
              </w:rPr>
            </w:pPr>
          </w:p>
        </w:tc>
        <w:tc>
          <w:tcPr>
            <w:tcW w:w="84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Plan Awards</w:t>
            </w:r>
            <w:r>
              <w:rPr>
                <w:rFonts w:ascii="Arial" w:cs="Arial" w:eastAsia="Arial" w:hAnsi="Arial"/>
                <w:sz w:val="7"/>
                <w:szCs w:val="7"/>
                <w:b w:val="1"/>
                <w:bCs w:val="1"/>
                <w:color w:val="FFFFFF"/>
                <w:w w:val="97"/>
              </w:rPr>
              <w:t>1</w:t>
            </w:r>
          </w:p>
        </w:tc>
        <w:tc>
          <w:tcPr>
            <w:tcW w:w="800" w:type="dxa"/>
            <w:vAlign w:val="bottom"/>
            <w:shd w:val="clear" w:color="auto" w:fill="BF2115"/>
          </w:tcPr>
          <w:p>
            <w:pPr>
              <w:spacing w:after="0"/>
              <w:rPr>
                <w:sz w:val="14"/>
                <w:szCs w:val="14"/>
                <w:color w:val="auto"/>
              </w:rPr>
            </w:pPr>
          </w:p>
        </w:tc>
        <w:tc>
          <w:tcPr>
            <w:tcW w:w="760" w:type="dxa"/>
            <w:vAlign w:val="bottom"/>
            <w:shd w:val="clear" w:color="auto" w:fill="BF2115"/>
          </w:tcPr>
          <w:p>
            <w:pPr>
              <w:spacing w:after="0"/>
              <w:rPr>
                <w:sz w:val="14"/>
                <w:szCs w:val="14"/>
                <w:color w:val="auto"/>
              </w:rPr>
            </w:pPr>
          </w:p>
        </w:tc>
        <w:tc>
          <w:tcPr>
            <w:tcW w:w="680" w:type="dxa"/>
            <w:vAlign w:val="bottom"/>
            <w:shd w:val="clear" w:color="auto" w:fill="BF2115"/>
          </w:tcPr>
          <w:p>
            <w:pPr>
              <w:jc w:val="center"/>
              <w:ind w:right="83"/>
              <w:spacing w:after="0"/>
              <w:rPr>
                <w:sz w:val="20"/>
                <w:szCs w:val="20"/>
                <w:color w:val="auto"/>
              </w:rPr>
            </w:pPr>
            <w:r>
              <w:rPr>
                <w:rFonts w:ascii="Arial" w:cs="Arial" w:eastAsia="Arial" w:hAnsi="Arial"/>
                <w:sz w:val="11"/>
                <w:szCs w:val="11"/>
                <w:b w:val="1"/>
                <w:bCs w:val="1"/>
                <w:color w:val="FFFFFF"/>
                <w:w w:val="96"/>
              </w:rPr>
              <w:t>Awards</w:t>
            </w:r>
            <w:r>
              <w:rPr>
                <w:rFonts w:ascii="Arial" w:cs="Arial" w:eastAsia="Arial" w:hAnsi="Arial"/>
                <w:sz w:val="7"/>
                <w:szCs w:val="7"/>
                <w:b w:val="1"/>
                <w:bCs w:val="1"/>
                <w:color w:val="FFFFFF"/>
                <w:w w:val="96"/>
              </w:rPr>
              <w:t>2</w:t>
            </w:r>
          </w:p>
        </w:tc>
        <w:tc>
          <w:tcPr>
            <w:tcW w:w="760" w:type="dxa"/>
            <w:vAlign w:val="bottom"/>
            <w:shd w:val="clear" w:color="auto" w:fill="BF2115"/>
          </w:tcPr>
          <w:p>
            <w:pPr>
              <w:spacing w:after="0"/>
              <w:rPr>
                <w:sz w:val="14"/>
                <w:szCs w:val="14"/>
                <w:color w:val="auto"/>
              </w:rPr>
            </w:pPr>
          </w:p>
        </w:tc>
        <w:tc>
          <w:tcPr>
            <w:tcW w:w="800" w:type="dxa"/>
            <w:vAlign w:val="bottom"/>
            <w:shd w:val="clear" w:color="auto" w:fill="BF2115"/>
          </w:tcPr>
          <w:p>
            <w:pPr>
              <w:jc w:val="center"/>
              <w:ind w:right="65"/>
              <w:spacing w:after="0"/>
              <w:rPr>
                <w:sz w:val="20"/>
                <w:szCs w:val="20"/>
                <w:color w:val="auto"/>
              </w:rPr>
            </w:pPr>
            <w:r>
              <w:rPr>
                <w:rFonts w:ascii="Arial" w:cs="Arial" w:eastAsia="Arial" w:hAnsi="Arial"/>
                <w:sz w:val="11"/>
                <w:szCs w:val="11"/>
                <w:b w:val="1"/>
                <w:bCs w:val="1"/>
                <w:color w:val="FFFFFF"/>
                <w:w w:val="99"/>
              </w:rPr>
              <w:t>Stock or</w:t>
            </w:r>
          </w:p>
        </w:tc>
        <w:tc>
          <w:tcPr>
            <w:tcW w:w="880" w:type="dxa"/>
            <w:vAlign w:val="bottom"/>
            <w:shd w:val="clear" w:color="auto" w:fill="BF2115"/>
          </w:tcPr>
          <w:p>
            <w:pPr>
              <w:jc w:val="center"/>
              <w:ind w:right="84"/>
              <w:spacing w:after="0"/>
              <w:rPr>
                <w:sz w:val="20"/>
                <w:szCs w:val="20"/>
                <w:color w:val="auto"/>
              </w:rPr>
            </w:pPr>
            <w:r>
              <w:rPr>
                <w:rFonts w:ascii="Arial" w:cs="Arial" w:eastAsia="Arial" w:hAnsi="Arial"/>
                <w:sz w:val="11"/>
                <w:szCs w:val="11"/>
                <w:b w:val="1"/>
                <w:bCs w:val="1"/>
                <w:color w:val="FFFFFF"/>
              </w:rPr>
              <w:t>Underlying</w:t>
            </w:r>
          </w:p>
        </w:tc>
        <w:tc>
          <w:tcPr>
            <w:tcW w:w="780" w:type="dxa"/>
            <w:vAlign w:val="bottom"/>
            <w:shd w:val="clear" w:color="auto" w:fill="BF2115"/>
          </w:tcPr>
          <w:p>
            <w:pPr>
              <w:jc w:val="center"/>
              <w:ind w:right="64"/>
              <w:spacing w:after="0"/>
              <w:rPr>
                <w:sz w:val="20"/>
                <w:szCs w:val="20"/>
                <w:color w:val="auto"/>
              </w:rPr>
            </w:pPr>
            <w:r>
              <w:rPr>
                <w:rFonts w:ascii="Arial" w:cs="Arial" w:eastAsia="Arial" w:hAnsi="Arial"/>
                <w:sz w:val="11"/>
                <w:szCs w:val="11"/>
                <w:b w:val="1"/>
                <w:bCs w:val="1"/>
                <w:color w:val="FFFFFF"/>
                <w:w w:val="95"/>
              </w:rPr>
              <w:t>Option</w:t>
            </w:r>
          </w:p>
        </w:tc>
        <w:tc>
          <w:tcPr>
            <w:tcW w:w="74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Option</w:t>
            </w:r>
          </w:p>
        </w:tc>
      </w:tr>
      <w:tr>
        <w:trPr>
          <w:trHeight w:val="190"/>
        </w:trPr>
        <w:tc>
          <w:tcPr>
            <w:tcW w:w="1660" w:type="dxa"/>
            <w:vAlign w:val="bottom"/>
            <w:shd w:val="clear" w:color="auto" w:fill="BF2115"/>
          </w:tcPr>
          <w:p>
            <w:pPr>
              <w:spacing w:after="0"/>
              <w:rPr>
                <w:sz w:val="16"/>
                <w:szCs w:val="16"/>
                <w:color w:val="auto"/>
              </w:rPr>
            </w:pPr>
          </w:p>
        </w:tc>
        <w:tc>
          <w:tcPr>
            <w:tcW w:w="74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rPr>
              <w:t>Grant</w:t>
            </w:r>
          </w:p>
        </w:tc>
        <w:tc>
          <w:tcPr>
            <w:tcW w:w="72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Approval</w:t>
            </w:r>
          </w:p>
        </w:tc>
        <w:tc>
          <w:tcPr>
            <w:tcW w:w="780" w:type="dxa"/>
            <w:vAlign w:val="bottom"/>
            <w:shd w:val="clear" w:color="auto" w:fill="BF2115"/>
          </w:tcPr>
          <w:p>
            <w:pPr>
              <w:jc w:val="right"/>
              <w:ind w:right="83"/>
              <w:spacing w:after="0"/>
              <w:rPr>
                <w:sz w:val="20"/>
                <w:szCs w:val="20"/>
                <w:color w:val="auto"/>
              </w:rPr>
            </w:pPr>
            <w:r>
              <w:rPr>
                <w:rFonts w:ascii="Arial" w:cs="Arial" w:eastAsia="Arial" w:hAnsi="Arial"/>
                <w:sz w:val="11"/>
                <w:szCs w:val="11"/>
                <w:b w:val="1"/>
                <w:bCs w:val="1"/>
                <w:color w:val="FFFFFF"/>
              </w:rPr>
              <w:t>Threshold</w:t>
            </w:r>
          </w:p>
        </w:tc>
        <w:tc>
          <w:tcPr>
            <w:tcW w:w="840" w:type="dxa"/>
            <w:vAlign w:val="bottom"/>
            <w:shd w:val="clear" w:color="auto" w:fill="BF2115"/>
          </w:tcPr>
          <w:p>
            <w:pPr>
              <w:jc w:val="center"/>
              <w:ind w:right="23"/>
              <w:spacing w:after="0"/>
              <w:rPr>
                <w:sz w:val="20"/>
                <w:szCs w:val="20"/>
                <w:color w:val="auto"/>
              </w:rPr>
            </w:pPr>
            <w:r>
              <w:rPr>
                <w:rFonts w:ascii="Arial" w:cs="Arial" w:eastAsia="Arial" w:hAnsi="Arial"/>
                <w:sz w:val="11"/>
                <w:szCs w:val="11"/>
                <w:b w:val="1"/>
                <w:bCs w:val="1"/>
                <w:color w:val="FFFFFF"/>
                <w:w w:val="95"/>
              </w:rPr>
              <w:t>Target</w:t>
            </w:r>
          </w:p>
        </w:tc>
        <w:tc>
          <w:tcPr>
            <w:tcW w:w="800" w:type="dxa"/>
            <w:vAlign w:val="bottom"/>
            <w:shd w:val="clear" w:color="auto" w:fill="BF2115"/>
          </w:tcPr>
          <w:p>
            <w:pPr>
              <w:jc w:val="right"/>
              <w:ind w:right="163"/>
              <w:spacing w:after="0"/>
              <w:rPr>
                <w:sz w:val="20"/>
                <w:szCs w:val="20"/>
                <w:color w:val="auto"/>
              </w:rPr>
            </w:pPr>
            <w:r>
              <w:rPr>
                <w:rFonts w:ascii="Arial" w:cs="Arial" w:eastAsia="Arial" w:hAnsi="Arial"/>
                <w:sz w:val="11"/>
                <w:szCs w:val="11"/>
                <w:b w:val="1"/>
                <w:bCs w:val="1"/>
                <w:color w:val="FFFFFF"/>
              </w:rPr>
              <w:t>Maximum</w:t>
            </w:r>
          </w:p>
        </w:tc>
        <w:tc>
          <w:tcPr>
            <w:tcW w:w="760" w:type="dxa"/>
            <w:vAlign w:val="bottom"/>
            <w:shd w:val="clear" w:color="auto" w:fill="BF2115"/>
          </w:tcPr>
          <w:p>
            <w:pPr>
              <w:jc w:val="right"/>
              <w:ind w:right="103"/>
              <w:spacing w:after="0"/>
              <w:rPr>
                <w:sz w:val="20"/>
                <w:szCs w:val="20"/>
                <w:color w:val="auto"/>
              </w:rPr>
            </w:pPr>
            <w:r>
              <w:rPr>
                <w:rFonts w:ascii="Arial" w:cs="Arial" w:eastAsia="Arial" w:hAnsi="Arial"/>
                <w:sz w:val="11"/>
                <w:szCs w:val="11"/>
                <w:b w:val="1"/>
                <w:bCs w:val="1"/>
                <w:color w:val="FFFFFF"/>
              </w:rPr>
              <w:t>Threshold</w:t>
            </w:r>
          </w:p>
        </w:tc>
        <w:tc>
          <w:tcPr>
            <w:tcW w:w="680" w:type="dxa"/>
            <w:vAlign w:val="bottom"/>
            <w:shd w:val="clear" w:color="auto" w:fill="BF2115"/>
          </w:tcPr>
          <w:p>
            <w:pPr>
              <w:jc w:val="right"/>
              <w:ind w:right="163"/>
              <w:spacing w:after="0"/>
              <w:rPr>
                <w:sz w:val="20"/>
                <w:szCs w:val="20"/>
                <w:color w:val="auto"/>
              </w:rPr>
            </w:pPr>
            <w:r>
              <w:rPr>
                <w:rFonts w:ascii="Arial" w:cs="Arial" w:eastAsia="Arial" w:hAnsi="Arial"/>
                <w:sz w:val="11"/>
                <w:szCs w:val="11"/>
                <w:b w:val="1"/>
                <w:bCs w:val="1"/>
                <w:color w:val="FFFFFF"/>
              </w:rPr>
              <w:t>Target</w:t>
            </w:r>
          </w:p>
        </w:tc>
        <w:tc>
          <w:tcPr>
            <w:tcW w:w="760" w:type="dxa"/>
            <w:vAlign w:val="bottom"/>
            <w:shd w:val="clear" w:color="auto" w:fill="BF2115"/>
          </w:tcPr>
          <w:p>
            <w:pPr>
              <w:jc w:val="right"/>
              <w:ind w:right="123"/>
              <w:spacing w:after="0"/>
              <w:rPr>
                <w:sz w:val="20"/>
                <w:szCs w:val="20"/>
                <w:color w:val="auto"/>
              </w:rPr>
            </w:pPr>
            <w:r>
              <w:rPr>
                <w:rFonts w:ascii="Arial" w:cs="Arial" w:eastAsia="Arial" w:hAnsi="Arial"/>
                <w:sz w:val="11"/>
                <w:szCs w:val="11"/>
                <w:b w:val="1"/>
                <w:bCs w:val="1"/>
                <w:color w:val="FFFFFF"/>
              </w:rPr>
              <w:t>Maximum</w:t>
            </w:r>
          </w:p>
        </w:tc>
        <w:tc>
          <w:tcPr>
            <w:tcW w:w="80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1"/>
              </w:rPr>
              <w:t>Units</w:t>
            </w:r>
            <w:r>
              <w:rPr>
                <w:rFonts w:ascii="Arial" w:cs="Arial" w:eastAsia="Arial" w:hAnsi="Arial"/>
                <w:sz w:val="14"/>
                <w:szCs w:val="14"/>
                <w:b w:val="1"/>
                <w:bCs w:val="1"/>
                <w:color w:val="FFFFFF"/>
                <w:w w:val="91"/>
                <w:vertAlign w:val="superscript"/>
              </w:rPr>
              <w:t>3</w:t>
            </w:r>
          </w:p>
        </w:tc>
        <w:tc>
          <w:tcPr>
            <w:tcW w:w="880" w:type="dxa"/>
            <w:vAlign w:val="bottom"/>
            <w:shd w:val="clear" w:color="auto" w:fill="BF2115"/>
          </w:tcPr>
          <w:p>
            <w:pPr>
              <w:jc w:val="center"/>
              <w:ind w:right="84"/>
              <w:spacing w:after="0"/>
              <w:rPr>
                <w:sz w:val="20"/>
                <w:szCs w:val="20"/>
                <w:color w:val="auto"/>
              </w:rPr>
            </w:pPr>
            <w:r>
              <w:rPr>
                <w:rFonts w:ascii="Arial" w:cs="Arial" w:eastAsia="Arial" w:hAnsi="Arial"/>
                <w:sz w:val="11"/>
                <w:szCs w:val="11"/>
                <w:b w:val="1"/>
                <w:bCs w:val="1"/>
                <w:color w:val="FFFFFF"/>
                <w:w w:val="98"/>
              </w:rPr>
              <w:t>Options</w:t>
            </w:r>
            <w:r>
              <w:rPr>
                <w:rFonts w:ascii="Arial" w:cs="Arial" w:eastAsia="Arial" w:hAnsi="Arial"/>
                <w:sz w:val="14"/>
                <w:szCs w:val="14"/>
                <w:b w:val="1"/>
                <w:bCs w:val="1"/>
                <w:color w:val="FFFFFF"/>
                <w:w w:val="98"/>
                <w:vertAlign w:val="superscript"/>
              </w:rPr>
              <w:t>4</w:t>
            </w:r>
          </w:p>
        </w:tc>
        <w:tc>
          <w:tcPr>
            <w:tcW w:w="780" w:type="dxa"/>
            <w:vAlign w:val="bottom"/>
            <w:shd w:val="clear" w:color="auto" w:fill="BF2115"/>
          </w:tcPr>
          <w:p>
            <w:pPr>
              <w:jc w:val="center"/>
              <w:ind w:right="64"/>
              <w:spacing w:after="0"/>
              <w:rPr>
                <w:sz w:val="20"/>
                <w:szCs w:val="20"/>
                <w:color w:val="auto"/>
              </w:rPr>
            </w:pPr>
            <w:r>
              <w:rPr>
                <w:rFonts w:ascii="Arial" w:cs="Arial" w:eastAsia="Arial" w:hAnsi="Arial"/>
                <w:sz w:val="11"/>
                <w:szCs w:val="11"/>
                <w:b w:val="1"/>
                <w:bCs w:val="1"/>
                <w:color w:val="FFFFFF"/>
                <w:w w:val="93"/>
              </w:rPr>
              <w:t>Awards</w:t>
            </w:r>
            <w:r>
              <w:rPr>
                <w:rFonts w:ascii="Arial" w:cs="Arial" w:eastAsia="Arial" w:hAnsi="Arial"/>
                <w:sz w:val="14"/>
                <w:szCs w:val="14"/>
                <w:b w:val="1"/>
                <w:bCs w:val="1"/>
                <w:color w:val="FFFFFF"/>
                <w:w w:val="93"/>
                <w:vertAlign w:val="superscript"/>
              </w:rPr>
              <w:t>5</w:t>
            </w:r>
          </w:p>
        </w:tc>
        <w:tc>
          <w:tcPr>
            <w:tcW w:w="74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w w:val="93"/>
              </w:rPr>
              <w:t>Awards</w:t>
            </w:r>
            <w:r>
              <w:rPr>
                <w:rFonts w:ascii="Arial" w:cs="Arial" w:eastAsia="Arial" w:hAnsi="Arial"/>
                <w:sz w:val="14"/>
                <w:szCs w:val="14"/>
                <w:b w:val="1"/>
                <w:bCs w:val="1"/>
                <w:color w:val="FFFFFF"/>
                <w:w w:val="93"/>
                <w:vertAlign w:val="superscript"/>
              </w:rPr>
              <w:t>6</w:t>
            </w:r>
          </w:p>
        </w:tc>
      </w:tr>
      <w:tr>
        <w:trPr>
          <w:trHeight w:val="162"/>
        </w:trPr>
        <w:tc>
          <w:tcPr>
            <w:tcW w:w="1660" w:type="dxa"/>
            <w:vAlign w:val="bottom"/>
            <w:shd w:val="clear" w:color="auto" w:fill="BF2115"/>
          </w:tcPr>
          <w:p>
            <w:pPr>
              <w:ind w:left="20"/>
              <w:spacing w:after="0"/>
              <w:rPr>
                <w:sz w:val="20"/>
                <w:szCs w:val="20"/>
                <w:color w:val="auto"/>
              </w:rPr>
            </w:pPr>
            <w:r>
              <w:rPr>
                <w:rFonts w:ascii="Arial" w:cs="Arial" w:eastAsia="Arial" w:hAnsi="Arial"/>
                <w:sz w:val="11"/>
                <w:szCs w:val="11"/>
                <w:b w:val="1"/>
                <w:bCs w:val="1"/>
                <w:color w:val="FFFFFF"/>
              </w:rPr>
              <w:t>Name</w:t>
            </w:r>
          </w:p>
        </w:tc>
        <w:tc>
          <w:tcPr>
            <w:tcW w:w="74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rPr>
              <w:t>Date</w:t>
            </w:r>
          </w:p>
        </w:tc>
        <w:tc>
          <w:tcPr>
            <w:tcW w:w="72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rPr>
              <w:t>Date</w:t>
            </w:r>
          </w:p>
        </w:tc>
        <w:tc>
          <w:tcPr>
            <w:tcW w:w="780" w:type="dxa"/>
            <w:vAlign w:val="bottom"/>
            <w:shd w:val="clear" w:color="auto" w:fill="BF2115"/>
          </w:tcPr>
          <w:p>
            <w:pPr>
              <w:jc w:val="right"/>
              <w:ind w:right="263"/>
              <w:spacing w:after="0"/>
              <w:rPr>
                <w:sz w:val="20"/>
                <w:szCs w:val="20"/>
                <w:color w:val="auto"/>
              </w:rPr>
            </w:pPr>
            <w:r>
              <w:rPr>
                <w:rFonts w:ascii="Arial" w:cs="Arial" w:eastAsia="Arial" w:hAnsi="Arial"/>
                <w:sz w:val="11"/>
                <w:szCs w:val="11"/>
                <w:b w:val="1"/>
                <w:bCs w:val="1"/>
                <w:color w:val="FFFFFF"/>
              </w:rPr>
              <w:t>($)</w:t>
            </w:r>
          </w:p>
        </w:tc>
        <w:tc>
          <w:tcPr>
            <w:tcW w:w="840" w:type="dxa"/>
            <w:vAlign w:val="bottom"/>
            <w:shd w:val="clear" w:color="auto" w:fill="BF2115"/>
          </w:tcPr>
          <w:p>
            <w:pPr>
              <w:jc w:val="right"/>
              <w:ind w:right="323"/>
              <w:spacing w:after="0"/>
              <w:rPr>
                <w:sz w:val="20"/>
                <w:szCs w:val="20"/>
                <w:color w:val="auto"/>
              </w:rPr>
            </w:pPr>
            <w:r>
              <w:rPr>
                <w:rFonts w:ascii="Arial" w:cs="Arial" w:eastAsia="Arial" w:hAnsi="Arial"/>
                <w:sz w:val="11"/>
                <w:szCs w:val="11"/>
                <w:b w:val="1"/>
                <w:bCs w:val="1"/>
                <w:color w:val="FFFFFF"/>
              </w:rPr>
              <w:t>($)</w:t>
            </w:r>
          </w:p>
        </w:tc>
        <w:tc>
          <w:tcPr>
            <w:tcW w:w="800" w:type="dxa"/>
            <w:vAlign w:val="bottom"/>
            <w:shd w:val="clear" w:color="auto" w:fill="BF2115"/>
          </w:tcPr>
          <w:p>
            <w:pPr>
              <w:jc w:val="right"/>
              <w:ind w:right="343"/>
              <w:spacing w:after="0"/>
              <w:rPr>
                <w:sz w:val="20"/>
                <w:szCs w:val="20"/>
                <w:color w:val="auto"/>
              </w:rPr>
            </w:pPr>
            <w:r>
              <w:rPr>
                <w:rFonts w:ascii="Arial" w:cs="Arial" w:eastAsia="Arial" w:hAnsi="Arial"/>
                <w:sz w:val="11"/>
                <w:szCs w:val="11"/>
                <w:b w:val="1"/>
                <w:bCs w:val="1"/>
                <w:color w:val="FFFFFF"/>
              </w:rPr>
              <w:t>($)</w:t>
            </w:r>
          </w:p>
        </w:tc>
        <w:tc>
          <w:tcPr>
            <w:tcW w:w="760" w:type="dxa"/>
            <w:vAlign w:val="bottom"/>
            <w:shd w:val="clear" w:color="auto" w:fill="BF2115"/>
          </w:tcPr>
          <w:p>
            <w:pPr>
              <w:jc w:val="right"/>
              <w:ind w:right="303"/>
              <w:spacing w:after="0"/>
              <w:rPr>
                <w:sz w:val="20"/>
                <w:szCs w:val="20"/>
                <w:color w:val="auto"/>
              </w:rPr>
            </w:pPr>
            <w:r>
              <w:rPr>
                <w:rFonts w:ascii="Arial" w:cs="Arial" w:eastAsia="Arial" w:hAnsi="Arial"/>
                <w:sz w:val="11"/>
                <w:szCs w:val="11"/>
                <w:b w:val="1"/>
                <w:bCs w:val="1"/>
                <w:color w:val="FFFFFF"/>
              </w:rPr>
              <w:t>(#)</w:t>
            </w:r>
          </w:p>
        </w:tc>
        <w:tc>
          <w:tcPr>
            <w:tcW w:w="680" w:type="dxa"/>
            <w:vAlign w:val="bottom"/>
            <w:shd w:val="clear" w:color="auto" w:fill="BF2115"/>
          </w:tcPr>
          <w:p>
            <w:pPr>
              <w:jc w:val="right"/>
              <w:ind w:right="263"/>
              <w:spacing w:after="0"/>
              <w:rPr>
                <w:sz w:val="20"/>
                <w:szCs w:val="20"/>
                <w:color w:val="auto"/>
              </w:rPr>
            </w:pPr>
            <w:r>
              <w:rPr>
                <w:rFonts w:ascii="Arial" w:cs="Arial" w:eastAsia="Arial" w:hAnsi="Arial"/>
                <w:sz w:val="11"/>
                <w:szCs w:val="11"/>
                <w:b w:val="1"/>
                <w:bCs w:val="1"/>
                <w:color w:val="FFFFFF"/>
              </w:rPr>
              <w:t>(#)</w:t>
            </w:r>
          </w:p>
        </w:tc>
        <w:tc>
          <w:tcPr>
            <w:tcW w:w="760" w:type="dxa"/>
            <w:vAlign w:val="bottom"/>
            <w:shd w:val="clear" w:color="auto" w:fill="BF2115"/>
          </w:tcPr>
          <w:p>
            <w:pPr>
              <w:jc w:val="right"/>
              <w:ind w:right="303"/>
              <w:spacing w:after="0"/>
              <w:rPr>
                <w:sz w:val="20"/>
                <w:szCs w:val="20"/>
                <w:color w:val="auto"/>
              </w:rPr>
            </w:pPr>
            <w:r>
              <w:rPr>
                <w:rFonts w:ascii="Arial" w:cs="Arial" w:eastAsia="Arial" w:hAnsi="Arial"/>
                <w:sz w:val="11"/>
                <w:szCs w:val="11"/>
                <w:b w:val="1"/>
                <w:bCs w:val="1"/>
                <w:color w:val="FFFFFF"/>
              </w:rPr>
              <w:t>(#)</w:t>
            </w:r>
          </w:p>
        </w:tc>
        <w:tc>
          <w:tcPr>
            <w:tcW w:w="80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rPr>
              <w:t>(#)</w:t>
            </w:r>
          </w:p>
        </w:tc>
        <w:tc>
          <w:tcPr>
            <w:tcW w:w="880" w:type="dxa"/>
            <w:vAlign w:val="bottom"/>
            <w:shd w:val="clear" w:color="auto" w:fill="BF2115"/>
          </w:tcPr>
          <w:p>
            <w:pPr>
              <w:jc w:val="center"/>
              <w:ind w:right="84"/>
              <w:spacing w:after="0"/>
              <w:rPr>
                <w:sz w:val="20"/>
                <w:szCs w:val="20"/>
                <w:color w:val="auto"/>
              </w:rPr>
            </w:pPr>
            <w:r>
              <w:rPr>
                <w:rFonts w:ascii="Arial" w:cs="Arial" w:eastAsia="Arial" w:hAnsi="Arial"/>
                <w:sz w:val="11"/>
                <w:szCs w:val="11"/>
                <w:b w:val="1"/>
                <w:bCs w:val="1"/>
                <w:color w:val="FFFFFF"/>
              </w:rPr>
              <w:t>(#)</w:t>
            </w:r>
          </w:p>
        </w:tc>
        <w:tc>
          <w:tcPr>
            <w:tcW w:w="780" w:type="dxa"/>
            <w:vAlign w:val="bottom"/>
            <w:shd w:val="clear" w:color="auto" w:fill="BF2115"/>
          </w:tcPr>
          <w:p>
            <w:pPr>
              <w:jc w:val="center"/>
              <w:ind w:right="64"/>
              <w:spacing w:after="0"/>
              <w:rPr>
                <w:sz w:val="20"/>
                <w:szCs w:val="20"/>
                <w:color w:val="auto"/>
              </w:rPr>
            </w:pPr>
            <w:r>
              <w:rPr>
                <w:rFonts w:ascii="Arial" w:cs="Arial" w:eastAsia="Arial" w:hAnsi="Arial"/>
                <w:sz w:val="11"/>
                <w:szCs w:val="11"/>
                <w:b w:val="1"/>
                <w:bCs w:val="1"/>
                <w:color w:val="FFFFFF"/>
                <w:w w:val="98"/>
              </w:rPr>
              <w:t>($/Sh)</w:t>
            </w:r>
          </w:p>
        </w:tc>
        <w:tc>
          <w:tcPr>
            <w:tcW w:w="74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rPr>
              <w:t>($)</w:t>
            </w:r>
          </w:p>
        </w:tc>
      </w:tr>
      <w:tr>
        <w:trPr>
          <w:trHeight w:val="158"/>
        </w:trPr>
        <w:tc>
          <w:tcPr>
            <w:tcW w:w="1660" w:type="dxa"/>
            <w:vAlign w:val="bottom"/>
          </w:tcPr>
          <w:p>
            <w:pPr>
              <w:ind w:left="20"/>
              <w:spacing w:after="0"/>
              <w:rPr>
                <w:sz w:val="20"/>
                <w:szCs w:val="20"/>
                <w:color w:val="auto"/>
              </w:rPr>
            </w:pPr>
            <w:r>
              <w:rPr>
                <w:rFonts w:ascii="Arial" w:cs="Arial" w:eastAsia="Arial" w:hAnsi="Arial"/>
                <w:sz w:val="12"/>
                <w:szCs w:val="12"/>
                <w:color w:val="auto"/>
              </w:rPr>
              <w:t>Richard M. Olson</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9"/>
        </w:trPr>
        <w:tc>
          <w:tcPr>
            <w:tcW w:w="1660" w:type="dxa"/>
            <w:vAlign w:val="bottom"/>
          </w:tcPr>
          <w:p>
            <w:pPr>
              <w:ind w:left="140"/>
              <w:spacing w:after="0"/>
              <w:rPr>
                <w:sz w:val="20"/>
                <w:szCs w:val="20"/>
                <w:color w:val="auto"/>
              </w:rPr>
            </w:pPr>
            <w:r>
              <w:rPr>
                <w:rFonts w:ascii="Arial" w:cs="Arial" w:eastAsia="Arial" w:hAnsi="Arial"/>
                <w:sz w:val="12"/>
                <w:szCs w:val="12"/>
                <w:color w:val="auto"/>
              </w:rPr>
              <w:t>Annual Cash Incentive</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587,578</w:t>
            </w:r>
          </w:p>
        </w:tc>
        <w:tc>
          <w:tcPr>
            <w:tcW w:w="840" w:type="dxa"/>
            <w:vAlign w:val="bottom"/>
          </w:tcPr>
          <w:p>
            <w:pPr>
              <w:jc w:val="right"/>
              <w:ind w:right="23"/>
              <w:spacing w:after="0"/>
              <w:rPr>
                <w:sz w:val="20"/>
                <w:szCs w:val="20"/>
                <w:color w:val="auto"/>
              </w:rPr>
            </w:pPr>
            <w:r>
              <w:rPr>
                <w:rFonts w:ascii="Arial" w:cs="Arial" w:eastAsia="Arial" w:hAnsi="Arial"/>
                <w:sz w:val="12"/>
                <w:szCs w:val="12"/>
                <w:color w:val="auto"/>
              </w:rPr>
              <w:t>1,468,945</w:t>
            </w: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2,937,890</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1660" w:type="dxa"/>
            <w:vAlign w:val="bottom"/>
          </w:tcPr>
          <w:p>
            <w:pPr>
              <w:ind w:left="140"/>
              <w:spacing w:after="0"/>
              <w:rPr>
                <w:sz w:val="20"/>
                <w:szCs w:val="20"/>
                <w:color w:val="auto"/>
              </w:rPr>
            </w:pPr>
            <w:r>
              <w:rPr>
                <w:rFonts w:ascii="Arial" w:cs="Arial" w:eastAsia="Arial" w:hAnsi="Arial"/>
                <w:sz w:val="12"/>
                <w:szCs w:val="12"/>
                <w:color w:val="auto"/>
              </w:rPr>
              <w:t>Performance Shares</w:t>
            </w:r>
          </w:p>
        </w:tc>
        <w:tc>
          <w:tcPr>
            <w:tcW w:w="740" w:type="dxa"/>
            <w:vAlign w:val="bottom"/>
          </w:tcPr>
          <w:p>
            <w:pPr>
              <w:jc w:val="center"/>
              <w:spacing w:after="0"/>
              <w:rPr>
                <w:sz w:val="20"/>
                <w:szCs w:val="20"/>
                <w:color w:val="auto"/>
              </w:rPr>
            </w:pPr>
            <w:r>
              <w:rPr>
                <w:rFonts w:ascii="Arial" w:cs="Arial" w:eastAsia="Arial" w:hAnsi="Arial"/>
                <w:sz w:val="12"/>
                <w:szCs w:val="12"/>
                <w:color w:val="auto"/>
                <w:w w:val="98"/>
              </w:rPr>
              <w:t>12/13/22</w:t>
            </w:r>
          </w:p>
        </w:tc>
        <w:tc>
          <w:tcPr>
            <w:tcW w:w="720" w:type="dxa"/>
            <w:vAlign w:val="bottom"/>
          </w:tcPr>
          <w:p>
            <w:pPr>
              <w:jc w:val="center"/>
              <w:spacing w:after="0"/>
              <w:rPr>
                <w:sz w:val="20"/>
                <w:szCs w:val="20"/>
                <w:color w:val="auto"/>
              </w:rPr>
            </w:pPr>
            <w:r>
              <w:rPr>
                <w:rFonts w:ascii="Arial" w:cs="Arial" w:eastAsia="Arial" w:hAnsi="Arial"/>
                <w:sz w:val="12"/>
                <w:szCs w:val="12"/>
                <w:color w:val="auto"/>
                <w:w w:val="98"/>
              </w:rPr>
              <w:t>12/13/22</w:t>
            </w: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12,840</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32,100</w:t>
            </w:r>
          </w:p>
        </w:tc>
        <w:tc>
          <w:tcPr>
            <w:tcW w:w="760" w:type="dxa"/>
            <w:vAlign w:val="bottom"/>
          </w:tcPr>
          <w:p>
            <w:pPr>
              <w:jc w:val="right"/>
              <w:ind w:right="23"/>
              <w:spacing w:after="0"/>
              <w:rPr>
                <w:sz w:val="20"/>
                <w:szCs w:val="20"/>
                <w:color w:val="auto"/>
              </w:rPr>
            </w:pPr>
            <w:r>
              <w:rPr>
                <w:rFonts w:ascii="Arial" w:cs="Arial" w:eastAsia="Arial" w:hAnsi="Arial"/>
                <w:sz w:val="12"/>
                <w:szCs w:val="12"/>
                <w:color w:val="auto"/>
              </w:rPr>
              <w:t>64,200</w:t>
            </w: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3,599,694</w:t>
            </w:r>
          </w:p>
        </w:tc>
      </w:tr>
      <w:tr>
        <w:trPr>
          <w:trHeight w:val="189"/>
        </w:trPr>
        <w:tc>
          <w:tcPr>
            <w:tcW w:w="1660" w:type="dxa"/>
            <w:vAlign w:val="bottom"/>
          </w:tcPr>
          <w:p>
            <w:pPr>
              <w:ind w:left="140"/>
              <w:spacing w:after="0"/>
              <w:rPr>
                <w:sz w:val="20"/>
                <w:szCs w:val="20"/>
                <w:color w:val="auto"/>
              </w:rPr>
            </w:pPr>
            <w:r>
              <w:rPr>
                <w:rFonts w:ascii="Arial" w:cs="Arial" w:eastAsia="Arial" w:hAnsi="Arial"/>
                <w:sz w:val="12"/>
                <w:szCs w:val="12"/>
                <w:color w:val="auto"/>
              </w:rPr>
              <w:t>Stock Options</w:t>
            </w:r>
          </w:p>
        </w:tc>
        <w:tc>
          <w:tcPr>
            <w:tcW w:w="740" w:type="dxa"/>
            <w:vAlign w:val="bottom"/>
          </w:tcPr>
          <w:p>
            <w:pPr>
              <w:jc w:val="center"/>
              <w:spacing w:after="0"/>
              <w:rPr>
                <w:sz w:val="20"/>
                <w:szCs w:val="20"/>
                <w:color w:val="auto"/>
              </w:rPr>
            </w:pPr>
            <w:r>
              <w:rPr>
                <w:rFonts w:ascii="Arial" w:cs="Arial" w:eastAsia="Arial" w:hAnsi="Arial"/>
                <w:sz w:val="12"/>
                <w:szCs w:val="12"/>
                <w:color w:val="auto"/>
                <w:w w:val="98"/>
              </w:rPr>
              <w:t>12/22/22</w:t>
            </w:r>
          </w:p>
        </w:tc>
        <w:tc>
          <w:tcPr>
            <w:tcW w:w="720" w:type="dxa"/>
            <w:vAlign w:val="bottom"/>
          </w:tcPr>
          <w:p>
            <w:pPr>
              <w:jc w:val="center"/>
              <w:spacing w:after="0"/>
              <w:rPr>
                <w:sz w:val="20"/>
                <w:szCs w:val="20"/>
                <w:color w:val="auto"/>
              </w:rPr>
            </w:pPr>
            <w:r>
              <w:rPr>
                <w:rFonts w:ascii="Arial" w:cs="Arial" w:eastAsia="Arial" w:hAnsi="Arial"/>
                <w:sz w:val="12"/>
                <w:szCs w:val="12"/>
                <w:color w:val="auto"/>
                <w:w w:val="98"/>
              </w:rPr>
              <w:t>12/13/22</w:t>
            </w: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jc w:val="right"/>
              <w:ind w:right="24"/>
              <w:spacing w:after="0"/>
              <w:rPr>
                <w:sz w:val="20"/>
                <w:szCs w:val="20"/>
                <w:color w:val="auto"/>
              </w:rPr>
            </w:pPr>
            <w:r>
              <w:rPr>
                <w:rFonts w:ascii="Arial" w:cs="Arial" w:eastAsia="Arial" w:hAnsi="Arial"/>
                <w:sz w:val="12"/>
                <w:szCs w:val="12"/>
                <w:color w:val="auto"/>
              </w:rPr>
              <w:t>109,200</w:t>
            </w:r>
          </w:p>
        </w:tc>
        <w:tc>
          <w:tcPr>
            <w:tcW w:w="780" w:type="dxa"/>
            <w:vAlign w:val="bottom"/>
          </w:tcPr>
          <w:p>
            <w:pPr>
              <w:jc w:val="right"/>
              <w:ind w:right="24"/>
              <w:spacing w:after="0"/>
              <w:rPr>
                <w:sz w:val="20"/>
                <w:szCs w:val="20"/>
                <w:color w:val="auto"/>
              </w:rPr>
            </w:pPr>
            <w:r>
              <w:rPr>
                <w:rFonts w:ascii="Arial" w:cs="Arial" w:eastAsia="Arial" w:hAnsi="Arial"/>
                <w:sz w:val="12"/>
                <w:szCs w:val="12"/>
                <w:color w:val="auto"/>
              </w:rPr>
              <w:t>111.15</w:t>
            </w:r>
          </w:p>
        </w:tc>
        <w:tc>
          <w:tcPr>
            <w:tcW w:w="740" w:type="dxa"/>
            <w:vAlign w:val="bottom"/>
          </w:tcPr>
          <w:p>
            <w:pPr>
              <w:jc w:val="right"/>
              <w:spacing w:after="0"/>
              <w:rPr>
                <w:sz w:val="20"/>
                <w:szCs w:val="20"/>
                <w:color w:val="auto"/>
              </w:rPr>
            </w:pPr>
            <w:r>
              <w:rPr>
                <w:rFonts w:ascii="Arial" w:cs="Arial" w:eastAsia="Arial" w:hAnsi="Arial"/>
                <w:sz w:val="12"/>
                <w:szCs w:val="12"/>
                <w:color w:val="auto"/>
              </w:rPr>
              <w:t>3,692,052</w:t>
            </w:r>
          </w:p>
        </w:tc>
      </w:tr>
      <w:tr>
        <w:trPr>
          <w:trHeight w:val="32"/>
        </w:trPr>
        <w:tc>
          <w:tcPr>
            <w:tcW w:w="1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58"/>
        </w:trPr>
        <w:tc>
          <w:tcPr>
            <w:tcW w:w="16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Angela C. Drake</w:t>
            </w:r>
          </w:p>
        </w:tc>
        <w:tc>
          <w:tcPr>
            <w:tcW w:w="74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r>
      <w:tr>
        <w:trPr>
          <w:trHeight w:val="189"/>
        </w:trPr>
        <w:tc>
          <w:tcPr>
            <w:tcW w:w="1660" w:type="dxa"/>
            <w:vAlign w:val="bottom"/>
            <w:shd w:val="clear" w:color="auto" w:fill="DBDBDB"/>
          </w:tcPr>
          <w:p>
            <w:pPr>
              <w:ind w:left="140"/>
              <w:spacing w:after="0"/>
              <w:rPr>
                <w:sz w:val="20"/>
                <w:szCs w:val="20"/>
                <w:color w:val="auto"/>
              </w:rPr>
            </w:pPr>
            <w:r>
              <w:rPr>
                <w:rFonts w:ascii="Arial" w:cs="Arial" w:eastAsia="Arial" w:hAnsi="Arial"/>
                <w:sz w:val="12"/>
                <w:szCs w:val="12"/>
                <w:color w:val="auto"/>
              </w:rPr>
              <w:t>Annual Cash Incentive</w:t>
            </w:r>
          </w:p>
        </w:tc>
        <w:tc>
          <w:tcPr>
            <w:tcW w:w="74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127,056</w:t>
            </w:r>
          </w:p>
        </w:tc>
        <w:tc>
          <w:tcPr>
            <w:tcW w:w="840" w:type="dxa"/>
            <w:vAlign w:val="bottom"/>
            <w:shd w:val="clear" w:color="auto" w:fill="DBDBDB"/>
          </w:tcPr>
          <w:p>
            <w:pPr>
              <w:jc w:val="right"/>
              <w:ind w:right="63"/>
              <w:spacing w:after="0"/>
              <w:rPr>
                <w:sz w:val="20"/>
                <w:szCs w:val="20"/>
                <w:color w:val="auto"/>
              </w:rPr>
            </w:pPr>
            <w:r>
              <w:rPr>
                <w:rFonts w:ascii="Arial" w:cs="Arial" w:eastAsia="Arial" w:hAnsi="Arial"/>
                <w:sz w:val="12"/>
                <w:szCs w:val="12"/>
                <w:color w:val="auto"/>
              </w:rPr>
              <w:t>317,640</w:t>
            </w:r>
          </w:p>
        </w:tc>
        <w:tc>
          <w:tcPr>
            <w:tcW w:w="800" w:type="dxa"/>
            <w:vAlign w:val="bottom"/>
            <w:shd w:val="clear" w:color="auto" w:fill="DBDBDB"/>
          </w:tcPr>
          <w:p>
            <w:pPr>
              <w:jc w:val="right"/>
              <w:ind w:right="23"/>
              <w:spacing w:after="0"/>
              <w:rPr>
                <w:sz w:val="20"/>
                <w:szCs w:val="20"/>
                <w:color w:val="auto"/>
              </w:rPr>
            </w:pPr>
            <w:r>
              <w:rPr>
                <w:rFonts w:ascii="Arial" w:cs="Arial" w:eastAsia="Arial" w:hAnsi="Arial"/>
                <w:sz w:val="12"/>
                <w:szCs w:val="12"/>
                <w:color w:val="auto"/>
              </w:rPr>
              <w:t>635,280</w:t>
            </w:r>
          </w:p>
        </w:tc>
        <w:tc>
          <w:tcPr>
            <w:tcW w:w="76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r>
      <w:tr>
        <w:trPr>
          <w:trHeight w:val="189"/>
        </w:trPr>
        <w:tc>
          <w:tcPr>
            <w:tcW w:w="1660" w:type="dxa"/>
            <w:vAlign w:val="bottom"/>
            <w:shd w:val="clear" w:color="auto" w:fill="DBDBDB"/>
          </w:tcPr>
          <w:p>
            <w:pPr>
              <w:ind w:left="140"/>
              <w:spacing w:after="0"/>
              <w:rPr>
                <w:sz w:val="20"/>
                <w:szCs w:val="20"/>
                <w:color w:val="auto"/>
              </w:rPr>
            </w:pPr>
            <w:r>
              <w:rPr>
                <w:rFonts w:ascii="Arial" w:cs="Arial" w:eastAsia="Arial" w:hAnsi="Arial"/>
                <w:sz w:val="12"/>
                <w:szCs w:val="12"/>
                <w:color w:val="auto"/>
              </w:rPr>
              <w:t>Performance Shares</w:t>
            </w:r>
          </w:p>
        </w:tc>
        <w:tc>
          <w:tcPr>
            <w:tcW w:w="74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8"/>
              </w:rPr>
              <w:t>12/13/22</w:t>
            </w:r>
          </w:p>
        </w:tc>
        <w:tc>
          <w:tcPr>
            <w:tcW w:w="7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8"/>
              </w:rPr>
              <w:t>12/13/22</w:t>
            </w:r>
          </w:p>
        </w:tc>
        <w:tc>
          <w:tcPr>
            <w:tcW w:w="7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760</w:t>
            </w:r>
          </w:p>
        </w:tc>
        <w:tc>
          <w:tcPr>
            <w:tcW w:w="680" w:type="dxa"/>
            <w:vAlign w:val="bottom"/>
            <w:shd w:val="clear" w:color="auto" w:fill="DBDBDB"/>
          </w:tcPr>
          <w:p>
            <w:pPr>
              <w:jc w:val="right"/>
              <w:ind w:right="43"/>
              <w:spacing w:after="0"/>
              <w:rPr>
                <w:sz w:val="20"/>
                <w:szCs w:val="20"/>
                <w:color w:val="auto"/>
              </w:rPr>
            </w:pPr>
            <w:r>
              <w:rPr>
                <w:rFonts w:ascii="Arial" w:cs="Arial" w:eastAsia="Arial" w:hAnsi="Arial"/>
                <w:sz w:val="12"/>
                <w:szCs w:val="12"/>
                <w:color w:val="auto"/>
              </w:rPr>
              <w:t>1,900</w:t>
            </w:r>
          </w:p>
        </w:tc>
        <w:tc>
          <w:tcPr>
            <w:tcW w:w="760" w:type="dxa"/>
            <w:vAlign w:val="bottom"/>
            <w:shd w:val="clear" w:color="auto" w:fill="DBDBDB"/>
          </w:tcPr>
          <w:p>
            <w:pPr>
              <w:jc w:val="right"/>
              <w:ind w:right="23"/>
              <w:spacing w:after="0"/>
              <w:rPr>
                <w:sz w:val="20"/>
                <w:szCs w:val="20"/>
                <w:color w:val="auto"/>
              </w:rPr>
            </w:pPr>
            <w:r>
              <w:rPr>
                <w:rFonts w:ascii="Arial" w:cs="Arial" w:eastAsia="Arial" w:hAnsi="Arial"/>
                <w:sz w:val="12"/>
                <w:szCs w:val="12"/>
                <w:color w:val="auto"/>
              </w:rPr>
              <w:t>3,800</w:t>
            </w:r>
          </w:p>
        </w:tc>
        <w:tc>
          <w:tcPr>
            <w:tcW w:w="8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213,066</w:t>
            </w:r>
          </w:p>
        </w:tc>
      </w:tr>
      <w:tr>
        <w:trPr>
          <w:trHeight w:val="189"/>
        </w:trPr>
        <w:tc>
          <w:tcPr>
            <w:tcW w:w="1660" w:type="dxa"/>
            <w:vAlign w:val="bottom"/>
            <w:shd w:val="clear" w:color="auto" w:fill="DBDBDB"/>
          </w:tcPr>
          <w:p>
            <w:pPr>
              <w:ind w:left="140"/>
              <w:spacing w:after="0"/>
              <w:rPr>
                <w:sz w:val="20"/>
                <w:szCs w:val="20"/>
                <w:color w:val="auto"/>
              </w:rPr>
            </w:pPr>
            <w:r>
              <w:rPr>
                <w:rFonts w:ascii="Arial" w:cs="Arial" w:eastAsia="Arial" w:hAnsi="Arial"/>
                <w:sz w:val="12"/>
                <w:szCs w:val="12"/>
                <w:color w:val="auto"/>
              </w:rPr>
              <w:t>Stock Options</w:t>
            </w:r>
          </w:p>
        </w:tc>
        <w:tc>
          <w:tcPr>
            <w:tcW w:w="74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8"/>
              </w:rPr>
              <w:t>12/22/22</w:t>
            </w:r>
          </w:p>
        </w:tc>
        <w:tc>
          <w:tcPr>
            <w:tcW w:w="7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8"/>
              </w:rPr>
              <w:t>12/13/22</w:t>
            </w:r>
          </w:p>
        </w:tc>
        <w:tc>
          <w:tcPr>
            <w:tcW w:w="7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880" w:type="dxa"/>
            <w:vAlign w:val="bottom"/>
            <w:shd w:val="clear" w:color="auto" w:fill="DBDBDB"/>
          </w:tcPr>
          <w:p>
            <w:pPr>
              <w:jc w:val="right"/>
              <w:ind w:right="64"/>
              <w:spacing w:after="0"/>
              <w:rPr>
                <w:sz w:val="20"/>
                <w:szCs w:val="20"/>
                <w:color w:val="auto"/>
              </w:rPr>
            </w:pPr>
            <w:r>
              <w:rPr>
                <w:rFonts w:ascii="Arial" w:cs="Arial" w:eastAsia="Arial" w:hAnsi="Arial"/>
                <w:sz w:val="12"/>
                <w:szCs w:val="12"/>
                <w:color w:val="auto"/>
              </w:rPr>
              <w:t>6,600</w:t>
            </w:r>
          </w:p>
        </w:tc>
        <w:tc>
          <w:tcPr>
            <w:tcW w:w="780" w:type="dxa"/>
            <w:vAlign w:val="bottom"/>
            <w:shd w:val="clear" w:color="auto" w:fill="DBDBDB"/>
          </w:tcPr>
          <w:p>
            <w:pPr>
              <w:jc w:val="right"/>
              <w:ind w:right="24"/>
              <w:spacing w:after="0"/>
              <w:rPr>
                <w:sz w:val="20"/>
                <w:szCs w:val="20"/>
                <w:color w:val="auto"/>
              </w:rPr>
            </w:pPr>
            <w:r>
              <w:rPr>
                <w:rFonts w:ascii="Arial" w:cs="Arial" w:eastAsia="Arial" w:hAnsi="Arial"/>
                <w:sz w:val="12"/>
                <w:szCs w:val="12"/>
                <w:color w:val="auto"/>
              </w:rPr>
              <w:t>111.15</w:t>
            </w:r>
          </w:p>
        </w:tc>
        <w:tc>
          <w:tcPr>
            <w:tcW w:w="74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223,146</w:t>
            </w:r>
          </w:p>
        </w:tc>
      </w:tr>
      <w:tr>
        <w:trPr>
          <w:trHeight w:val="201"/>
        </w:trPr>
        <w:tc>
          <w:tcPr>
            <w:tcW w:w="16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2"/>
                <w:szCs w:val="12"/>
                <w:color w:val="auto"/>
              </w:rPr>
              <w:t>Restricted Stock Units</w:t>
            </w:r>
          </w:p>
        </w:tc>
        <w:tc>
          <w:tcPr>
            <w:tcW w:w="7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8"/>
              </w:rPr>
              <w:t>03/10/23</w:t>
            </w:r>
          </w:p>
        </w:tc>
        <w:tc>
          <w:tcPr>
            <w:tcW w:w="7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8"/>
              </w:rPr>
              <w:t>02/13/23</w:t>
            </w:r>
          </w:p>
        </w:tc>
        <w:tc>
          <w:tcPr>
            <w:tcW w:w="78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ind w:right="65"/>
              <w:spacing w:after="0"/>
              <w:rPr>
                <w:sz w:val="20"/>
                <w:szCs w:val="20"/>
                <w:color w:val="auto"/>
              </w:rPr>
            </w:pPr>
            <w:r>
              <w:rPr>
                <w:rFonts w:ascii="Arial" w:cs="Arial" w:eastAsia="Arial" w:hAnsi="Arial"/>
                <w:sz w:val="12"/>
                <w:szCs w:val="12"/>
                <w:color w:val="auto"/>
              </w:rPr>
              <w:t>7,777</w:t>
            </w:r>
          </w:p>
        </w:tc>
        <w:tc>
          <w:tcPr>
            <w:tcW w:w="88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849,948</w:t>
            </w:r>
          </w:p>
        </w:tc>
      </w:tr>
      <w:tr>
        <w:trPr>
          <w:trHeight w:val="158"/>
        </w:trPr>
        <w:tc>
          <w:tcPr>
            <w:tcW w:w="1660" w:type="dxa"/>
            <w:vAlign w:val="bottom"/>
          </w:tcPr>
          <w:p>
            <w:pPr>
              <w:ind w:left="20"/>
              <w:spacing w:after="0"/>
              <w:rPr>
                <w:sz w:val="20"/>
                <w:szCs w:val="20"/>
                <w:color w:val="auto"/>
              </w:rPr>
            </w:pPr>
            <w:r>
              <w:rPr>
                <w:rFonts w:ascii="Arial" w:cs="Arial" w:eastAsia="Arial" w:hAnsi="Arial"/>
                <w:sz w:val="12"/>
                <w:szCs w:val="12"/>
                <w:color w:val="auto"/>
              </w:rPr>
              <w:t>Renee J. Peterson</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9"/>
        </w:trPr>
        <w:tc>
          <w:tcPr>
            <w:tcW w:w="1660" w:type="dxa"/>
            <w:vAlign w:val="bottom"/>
          </w:tcPr>
          <w:p>
            <w:pPr>
              <w:ind w:left="140"/>
              <w:spacing w:after="0"/>
              <w:rPr>
                <w:sz w:val="20"/>
                <w:szCs w:val="20"/>
                <w:color w:val="auto"/>
              </w:rPr>
            </w:pPr>
            <w:r>
              <w:rPr>
                <w:rFonts w:ascii="Arial" w:cs="Arial" w:eastAsia="Arial" w:hAnsi="Arial"/>
                <w:sz w:val="12"/>
                <w:szCs w:val="12"/>
                <w:color w:val="auto"/>
              </w:rPr>
              <w:t>Annual Cash Incentive</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154,469</w:t>
            </w:r>
          </w:p>
        </w:tc>
        <w:tc>
          <w:tcPr>
            <w:tcW w:w="840" w:type="dxa"/>
            <w:vAlign w:val="bottom"/>
          </w:tcPr>
          <w:p>
            <w:pPr>
              <w:jc w:val="right"/>
              <w:ind w:right="23"/>
              <w:spacing w:after="0"/>
              <w:rPr>
                <w:sz w:val="20"/>
                <w:szCs w:val="20"/>
                <w:color w:val="auto"/>
              </w:rPr>
            </w:pPr>
            <w:r>
              <w:rPr>
                <w:rFonts w:ascii="Arial" w:cs="Arial" w:eastAsia="Arial" w:hAnsi="Arial"/>
                <w:sz w:val="12"/>
                <w:szCs w:val="12"/>
                <w:color w:val="auto"/>
              </w:rPr>
              <w:t>386,173</w:t>
            </w: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772,346</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1660" w:type="dxa"/>
            <w:vAlign w:val="bottom"/>
          </w:tcPr>
          <w:p>
            <w:pPr>
              <w:ind w:left="140"/>
              <w:spacing w:after="0"/>
              <w:rPr>
                <w:sz w:val="20"/>
                <w:szCs w:val="20"/>
                <w:color w:val="auto"/>
              </w:rPr>
            </w:pPr>
            <w:r>
              <w:rPr>
                <w:rFonts w:ascii="Arial" w:cs="Arial" w:eastAsia="Arial" w:hAnsi="Arial"/>
                <w:sz w:val="12"/>
                <w:szCs w:val="12"/>
                <w:color w:val="auto"/>
              </w:rPr>
              <w:t>Performance Shares</w:t>
            </w:r>
          </w:p>
        </w:tc>
        <w:tc>
          <w:tcPr>
            <w:tcW w:w="740" w:type="dxa"/>
            <w:vAlign w:val="bottom"/>
          </w:tcPr>
          <w:p>
            <w:pPr>
              <w:jc w:val="center"/>
              <w:spacing w:after="0"/>
              <w:rPr>
                <w:sz w:val="20"/>
                <w:szCs w:val="20"/>
                <w:color w:val="auto"/>
              </w:rPr>
            </w:pPr>
            <w:r>
              <w:rPr>
                <w:rFonts w:ascii="Arial" w:cs="Arial" w:eastAsia="Arial" w:hAnsi="Arial"/>
                <w:sz w:val="12"/>
                <w:szCs w:val="12"/>
                <w:color w:val="auto"/>
                <w:w w:val="98"/>
              </w:rPr>
              <w:t>12/13/22</w:t>
            </w:r>
          </w:p>
        </w:tc>
        <w:tc>
          <w:tcPr>
            <w:tcW w:w="720" w:type="dxa"/>
            <w:vAlign w:val="bottom"/>
          </w:tcPr>
          <w:p>
            <w:pPr>
              <w:jc w:val="center"/>
              <w:spacing w:after="0"/>
              <w:rPr>
                <w:sz w:val="20"/>
                <w:szCs w:val="20"/>
                <w:color w:val="auto"/>
              </w:rPr>
            </w:pPr>
            <w:r>
              <w:rPr>
                <w:rFonts w:ascii="Arial" w:cs="Arial" w:eastAsia="Arial" w:hAnsi="Arial"/>
                <w:sz w:val="12"/>
                <w:szCs w:val="12"/>
                <w:color w:val="auto"/>
                <w:w w:val="98"/>
              </w:rPr>
              <w:t>12/13/22</w:t>
            </w: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3,320</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8,300</w:t>
            </w:r>
          </w:p>
        </w:tc>
        <w:tc>
          <w:tcPr>
            <w:tcW w:w="760" w:type="dxa"/>
            <w:vAlign w:val="bottom"/>
          </w:tcPr>
          <w:p>
            <w:pPr>
              <w:jc w:val="right"/>
              <w:ind w:right="23"/>
              <w:spacing w:after="0"/>
              <w:rPr>
                <w:sz w:val="20"/>
                <w:szCs w:val="20"/>
                <w:color w:val="auto"/>
              </w:rPr>
            </w:pPr>
            <w:r>
              <w:rPr>
                <w:rFonts w:ascii="Arial" w:cs="Arial" w:eastAsia="Arial" w:hAnsi="Arial"/>
                <w:sz w:val="12"/>
                <w:szCs w:val="12"/>
                <w:color w:val="auto"/>
              </w:rPr>
              <w:t>16,600</w:t>
            </w: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930,762</w:t>
            </w:r>
          </w:p>
        </w:tc>
      </w:tr>
      <w:tr>
        <w:trPr>
          <w:trHeight w:val="189"/>
        </w:trPr>
        <w:tc>
          <w:tcPr>
            <w:tcW w:w="1660" w:type="dxa"/>
            <w:vAlign w:val="bottom"/>
          </w:tcPr>
          <w:p>
            <w:pPr>
              <w:ind w:left="140"/>
              <w:spacing w:after="0"/>
              <w:rPr>
                <w:sz w:val="20"/>
                <w:szCs w:val="20"/>
                <w:color w:val="auto"/>
              </w:rPr>
            </w:pPr>
            <w:r>
              <w:rPr>
                <w:rFonts w:ascii="Arial" w:cs="Arial" w:eastAsia="Arial" w:hAnsi="Arial"/>
                <w:sz w:val="12"/>
                <w:szCs w:val="12"/>
                <w:color w:val="auto"/>
              </w:rPr>
              <w:t>Stock Options</w:t>
            </w:r>
          </w:p>
        </w:tc>
        <w:tc>
          <w:tcPr>
            <w:tcW w:w="740" w:type="dxa"/>
            <w:vAlign w:val="bottom"/>
          </w:tcPr>
          <w:p>
            <w:pPr>
              <w:jc w:val="center"/>
              <w:spacing w:after="0"/>
              <w:rPr>
                <w:sz w:val="20"/>
                <w:szCs w:val="20"/>
                <w:color w:val="auto"/>
              </w:rPr>
            </w:pPr>
            <w:r>
              <w:rPr>
                <w:rFonts w:ascii="Arial" w:cs="Arial" w:eastAsia="Arial" w:hAnsi="Arial"/>
                <w:sz w:val="12"/>
                <w:szCs w:val="12"/>
                <w:color w:val="auto"/>
                <w:w w:val="98"/>
              </w:rPr>
              <w:t>12/22/22</w:t>
            </w:r>
          </w:p>
        </w:tc>
        <w:tc>
          <w:tcPr>
            <w:tcW w:w="720" w:type="dxa"/>
            <w:vAlign w:val="bottom"/>
          </w:tcPr>
          <w:p>
            <w:pPr>
              <w:jc w:val="center"/>
              <w:spacing w:after="0"/>
              <w:rPr>
                <w:sz w:val="20"/>
                <w:szCs w:val="20"/>
                <w:color w:val="auto"/>
              </w:rPr>
            </w:pPr>
            <w:r>
              <w:rPr>
                <w:rFonts w:ascii="Arial" w:cs="Arial" w:eastAsia="Arial" w:hAnsi="Arial"/>
                <w:sz w:val="12"/>
                <w:szCs w:val="12"/>
                <w:color w:val="auto"/>
                <w:w w:val="98"/>
              </w:rPr>
              <w:t>12/13/22</w:t>
            </w: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jc w:val="right"/>
              <w:ind w:right="24"/>
              <w:spacing w:after="0"/>
              <w:rPr>
                <w:sz w:val="20"/>
                <w:szCs w:val="20"/>
                <w:color w:val="auto"/>
              </w:rPr>
            </w:pPr>
            <w:r>
              <w:rPr>
                <w:rFonts w:ascii="Arial" w:cs="Arial" w:eastAsia="Arial" w:hAnsi="Arial"/>
                <w:sz w:val="12"/>
                <w:szCs w:val="12"/>
                <w:color w:val="auto"/>
              </w:rPr>
              <w:t>28,200</w:t>
            </w:r>
          </w:p>
        </w:tc>
        <w:tc>
          <w:tcPr>
            <w:tcW w:w="780" w:type="dxa"/>
            <w:vAlign w:val="bottom"/>
          </w:tcPr>
          <w:p>
            <w:pPr>
              <w:jc w:val="right"/>
              <w:ind w:right="24"/>
              <w:spacing w:after="0"/>
              <w:rPr>
                <w:sz w:val="20"/>
                <w:szCs w:val="20"/>
                <w:color w:val="auto"/>
              </w:rPr>
            </w:pPr>
            <w:r>
              <w:rPr>
                <w:rFonts w:ascii="Arial" w:cs="Arial" w:eastAsia="Arial" w:hAnsi="Arial"/>
                <w:sz w:val="12"/>
                <w:szCs w:val="12"/>
                <w:color w:val="auto"/>
              </w:rPr>
              <w:t>111.15</w:t>
            </w:r>
          </w:p>
        </w:tc>
        <w:tc>
          <w:tcPr>
            <w:tcW w:w="740" w:type="dxa"/>
            <w:vAlign w:val="bottom"/>
          </w:tcPr>
          <w:p>
            <w:pPr>
              <w:jc w:val="right"/>
              <w:spacing w:after="0"/>
              <w:rPr>
                <w:sz w:val="20"/>
                <w:szCs w:val="20"/>
                <w:color w:val="auto"/>
              </w:rPr>
            </w:pPr>
            <w:r>
              <w:rPr>
                <w:rFonts w:ascii="Arial" w:cs="Arial" w:eastAsia="Arial" w:hAnsi="Arial"/>
                <w:sz w:val="12"/>
                <w:szCs w:val="12"/>
                <w:color w:val="auto"/>
              </w:rPr>
              <w:t>953,442</w:t>
            </w:r>
          </w:p>
        </w:tc>
      </w:tr>
      <w:tr>
        <w:trPr>
          <w:trHeight w:val="32"/>
        </w:trPr>
        <w:tc>
          <w:tcPr>
            <w:tcW w:w="1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58"/>
        </w:trPr>
        <w:tc>
          <w:tcPr>
            <w:tcW w:w="1660" w:type="dxa"/>
            <w:vAlign w:val="bottom"/>
            <w:shd w:val="clear" w:color="auto" w:fill="DBDBDB"/>
          </w:tcPr>
          <w:p>
            <w:pPr>
              <w:ind w:left="20"/>
              <w:spacing w:after="0"/>
              <w:rPr>
                <w:sz w:val="20"/>
                <w:szCs w:val="20"/>
                <w:color w:val="auto"/>
              </w:rPr>
            </w:pPr>
            <w:r>
              <w:rPr>
                <w:rFonts w:ascii="Arial" w:cs="Arial" w:eastAsia="Arial" w:hAnsi="Arial"/>
                <w:sz w:val="12"/>
                <w:szCs w:val="12"/>
                <w:color w:val="auto"/>
              </w:rPr>
              <w:t>Joanna M. Totsky</w:t>
            </w:r>
          </w:p>
        </w:tc>
        <w:tc>
          <w:tcPr>
            <w:tcW w:w="74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r>
      <w:tr>
        <w:trPr>
          <w:trHeight w:val="189"/>
        </w:trPr>
        <w:tc>
          <w:tcPr>
            <w:tcW w:w="1660" w:type="dxa"/>
            <w:vAlign w:val="bottom"/>
            <w:shd w:val="clear" w:color="auto" w:fill="DBDBDB"/>
          </w:tcPr>
          <w:p>
            <w:pPr>
              <w:ind w:left="140"/>
              <w:spacing w:after="0"/>
              <w:rPr>
                <w:sz w:val="20"/>
                <w:szCs w:val="20"/>
                <w:color w:val="auto"/>
              </w:rPr>
            </w:pPr>
            <w:r>
              <w:rPr>
                <w:rFonts w:ascii="Arial" w:cs="Arial" w:eastAsia="Arial" w:hAnsi="Arial"/>
                <w:sz w:val="12"/>
                <w:szCs w:val="12"/>
                <w:color w:val="auto"/>
              </w:rPr>
              <w:t>Annual Cash Incentive</w:t>
            </w:r>
          </w:p>
        </w:tc>
        <w:tc>
          <w:tcPr>
            <w:tcW w:w="74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52,252</w:t>
            </w:r>
          </w:p>
        </w:tc>
        <w:tc>
          <w:tcPr>
            <w:tcW w:w="840" w:type="dxa"/>
            <w:vAlign w:val="bottom"/>
            <w:shd w:val="clear" w:color="auto" w:fill="DBDBDB"/>
          </w:tcPr>
          <w:p>
            <w:pPr>
              <w:jc w:val="right"/>
              <w:ind w:right="23"/>
              <w:spacing w:after="0"/>
              <w:rPr>
                <w:sz w:val="20"/>
                <w:szCs w:val="20"/>
                <w:color w:val="auto"/>
              </w:rPr>
            </w:pPr>
            <w:r>
              <w:rPr>
                <w:rFonts w:ascii="Arial" w:cs="Arial" w:eastAsia="Arial" w:hAnsi="Arial"/>
                <w:sz w:val="12"/>
                <w:szCs w:val="12"/>
                <w:color w:val="auto"/>
              </w:rPr>
              <w:t>130,629</w:t>
            </w:r>
          </w:p>
        </w:tc>
        <w:tc>
          <w:tcPr>
            <w:tcW w:w="800" w:type="dxa"/>
            <w:vAlign w:val="bottom"/>
            <w:shd w:val="clear" w:color="auto" w:fill="DBDBDB"/>
          </w:tcPr>
          <w:p>
            <w:pPr>
              <w:jc w:val="right"/>
              <w:ind w:right="23"/>
              <w:spacing w:after="0"/>
              <w:rPr>
                <w:sz w:val="20"/>
                <w:szCs w:val="20"/>
                <w:color w:val="auto"/>
              </w:rPr>
            </w:pPr>
            <w:r>
              <w:rPr>
                <w:rFonts w:ascii="Arial" w:cs="Arial" w:eastAsia="Arial" w:hAnsi="Arial"/>
                <w:sz w:val="12"/>
                <w:szCs w:val="12"/>
                <w:color w:val="auto"/>
              </w:rPr>
              <w:t>261,258</w:t>
            </w:r>
          </w:p>
        </w:tc>
        <w:tc>
          <w:tcPr>
            <w:tcW w:w="76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r>
      <w:tr>
        <w:trPr>
          <w:trHeight w:val="200"/>
        </w:trPr>
        <w:tc>
          <w:tcPr>
            <w:tcW w:w="16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2"/>
                <w:szCs w:val="12"/>
                <w:color w:val="auto"/>
              </w:rPr>
              <w:t>Restricted Stock Units</w:t>
            </w:r>
          </w:p>
        </w:tc>
        <w:tc>
          <w:tcPr>
            <w:tcW w:w="7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4"/>
              </w:rPr>
              <w:t>6/20/23</w:t>
            </w:r>
          </w:p>
        </w:tc>
        <w:tc>
          <w:tcPr>
            <w:tcW w:w="7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5"/>
              </w:rPr>
              <w:t>5/8/23</w:t>
            </w:r>
          </w:p>
        </w:tc>
        <w:tc>
          <w:tcPr>
            <w:tcW w:w="78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ind w:right="25"/>
              <w:spacing w:after="0"/>
              <w:rPr>
                <w:sz w:val="20"/>
                <w:szCs w:val="20"/>
                <w:color w:val="auto"/>
              </w:rPr>
            </w:pPr>
            <w:r>
              <w:rPr>
                <w:rFonts w:ascii="Arial" w:cs="Arial" w:eastAsia="Arial" w:hAnsi="Arial"/>
                <w:sz w:val="12"/>
                <w:szCs w:val="12"/>
                <w:color w:val="auto"/>
              </w:rPr>
              <w:t>13,878</w:t>
            </w:r>
          </w:p>
        </w:tc>
        <w:tc>
          <w:tcPr>
            <w:tcW w:w="88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1,349,913</w:t>
            </w:r>
          </w:p>
        </w:tc>
      </w:tr>
      <w:tr>
        <w:trPr>
          <w:trHeight w:val="158"/>
        </w:trPr>
        <w:tc>
          <w:tcPr>
            <w:tcW w:w="1660" w:type="dxa"/>
            <w:vAlign w:val="bottom"/>
          </w:tcPr>
          <w:p>
            <w:pPr>
              <w:ind w:left="20"/>
              <w:spacing w:after="0"/>
              <w:rPr>
                <w:sz w:val="20"/>
                <w:szCs w:val="20"/>
                <w:color w:val="auto"/>
              </w:rPr>
            </w:pPr>
            <w:r>
              <w:rPr>
                <w:rFonts w:ascii="Arial" w:cs="Arial" w:eastAsia="Arial" w:hAnsi="Arial"/>
                <w:sz w:val="12"/>
                <w:szCs w:val="12"/>
                <w:color w:val="auto"/>
              </w:rPr>
              <w:t>Amy E. Dahl</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9"/>
        </w:trPr>
        <w:tc>
          <w:tcPr>
            <w:tcW w:w="1660" w:type="dxa"/>
            <w:vAlign w:val="bottom"/>
          </w:tcPr>
          <w:p>
            <w:pPr>
              <w:ind w:left="140"/>
              <w:spacing w:after="0"/>
              <w:rPr>
                <w:sz w:val="20"/>
                <w:szCs w:val="20"/>
                <w:color w:val="auto"/>
              </w:rPr>
            </w:pPr>
            <w:r>
              <w:rPr>
                <w:rFonts w:ascii="Arial" w:cs="Arial" w:eastAsia="Arial" w:hAnsi="Arial"/>
                <w:sz w:val="12"/>
                <w:szCs w:val="12"/>
                <w:color w:val="auto"/>
              </w:rPr>
              <w:t>Annual Cash Incentive</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136,235</w:t>
            </w:r>
          </w:p>
        </w:tc>
        <w:tc>
          <w:tcPr>
            <w:tcW w:w="840" w:type="dxa"/>
            <w:vAlign w:val="bottom"/>
          </w:tcPr>
          <w:p>
            <w:pPr>
              <w:jc w:val="right"/>
              <w:ind w:right="23"/>
              <w:spacing w:after="0"/>
              <w:rPr>
                <w:sz w:val="20"/>
                <w:szCs w:val="20"/>
                <w:color w:val="auto"/>
              </w:rPr>
            </w:pPr>
            <w:r>
              <w:rPr>
                <w:rFonts w:ascii="Arial" w:cs="Arial" w:eastAsia="Arial" w:hAnsi="Arial"/>
                <w:sz w:val="12"/>
                <w:szCs w:val="12"/>
                <w:color w:val="auto"/>
              </w:rPr>
              <w:t>340,588</w:t>
            </w: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681,176</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1660" w:type="dxa"/>
            <w:vAlign w:val="bottom"/>
          </w:tcPr>
          <w:p>
            <w:pPr>
              <w:ind w:left="140"/>
              <w:spacing w:after="0"/>
              <w:rPr>
                <w:sz w:val="20"/>
                <w:szCs w:val="20"/>
                <w:color w:val="auto"/>
              </w:rPr>
            </w:pPr>
            <w:r>
              <w:rPr>
                <w:rFonts w:ascii="Arial" w:cs="Arial" w:eastAsia="Arial" w:hAnsi="Arial"/>
                <w:sz w:val="12"/>
                <w:szCs w:val="12"/>
                <w:color w:val="auto"/>
              </w:rPr>
              <w:t>Performance Shares</w:t>
            </w:r>
          </w:p>
        </w:tc>
        <w:tc>
          <w:tcPr>
            <w:tcW w:w="740" w:type="dxa"/>
            <w:vAlign w:val="bottom"/>
          </w:tcPr>
          <w:p>
            <w:pPr>
              <w:jc w:val="center"/>
              <w:spacing w:after="0"/>
              <w:rPr>
                <w:sz w:val="20"/>
                <w:szCs w:val="20"/>
                <w:color w:val="auto"/>
              </w:rPr>
            </w:pPr>
            <w:r>
              <w:rPr>
                <w:rFonts w:ascii="Arial" w:cs="Arial" w:eastAsia="Arial" w:hAnsi="Arial"/>
                <w:sz w:val="12"/>
                <w:szCs w:val="12"/>
                <w:color w:val="auto"/>
                <w:w w:val="98"/>
              </w:rPr>
              <w:t>12/13/22</w:t>
            </w:r>
          </w:p>
        </w:tc>
        <w:tc>
          <w:tcPr>
            <w:tcW w:w="720" w:type="dxa"/>
            <w:vAlign w:val="bottom"/>
          </w:tcPr>
          <w:p>
            <w:pPr>
              <w:jc w:val="center"/>
              <w:spacing w:after="0"/>
              <w:rPr>
                <w:sz w:val="20"/>
                <w:szCs w:val="20"/>
                <w:color w:val="auto"/>
              </w:rPr>
            </w:pPr>
            <w:r>
              <w:rPr>
                <w:rFonts w:ascii="Arial" w:cs="Arial" w:eastAsia="Arial" w:hAnsi="Arial"/>
                <w:sz w:val="12"/>
                <w:szCs w:val="12"/>
                <w:color w:val="auto"/>
                <w:w w:val="98"/>
              </w:rPr>
              <w:t>12/13/22</w:t>
            </w: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1,800</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4,500</w:t>
            </w:r>
          </w:p>
        </w:tc>
        <w:tc>
          <w:tcPr>
            <w:tcW w:w="760" w:type="dxa"/>
            <w:vAlign w:val="bottom"/>
          </w:tcPr>
          <w:p>
            <w:pPr>
              <w:jc w:val="right"/>
              <w:ind w:right="23"/>
              <w:spacing w:after="0"/>
              <w:rPr>
                <w:sz w:val="20"/>
                <w:szCs w:val="20"/>
                <w:color w:val="auto"/>
              </w:rPr>
            </w:pPr>
            <w:r>
              <w:rPr>
                <w:rFonts w:ascii="Arial" w:cs="Arial" w:eastAsia="Arial" w:hAnsi="Arial"/>
                <w:sz w:val="12"/>
                <w:szCs w:val="12"/>
                <w:color w:val="auto"/>
              </w:rPr>
              <w:t>9,000</w:t>
            </w: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504,630</w:t>
            </w:r>
          </w:p>
        </w:tc>
      </w:tr>
      <w:tr>
        <w:trPr>
          <w:trHeight w:val="189"/>
        </w:trPr>
        <w:tc>
          <w:tcPr>
            <w:tcW w:w="1660" w:type="dxa"/>
            <w:vAlign w:val="bottom"/>
          </w:tcPr>
          <w:p>
            <w:pPr>
              <w:ind w:left="140"/>
              <w:spacing w:after="0"/>
              <w:rPr>
                <w:sz w:val="20"/>
                <w:szCs w:val="20"/>
                <w:color w:val="auto"/>
              </w:rPr>
            </w:pPr>
            <w:r>
              <w:rPr>
                <w:rFonts w:ascii="Arial" w:cs="Arial" w:eastAsia="Arial" w:hAnsi="Arial"/>
                <w:sz w:val="12"/>
                <w:szCs w:val="12"/>
                <w:color w:val="auto"/>
              </w:rPr>
              <w:t>Stock Options</w:t>
            </w:r>
          </w:p>
        </w:tc>
        <w:tc>
          <w:tcPr>
            <w:tcW w:w="740" w:type="dxa"/>
            <w:vAlign w:val="bottom"/>
          </w:tcPr>
          <w:p>
            <w:pPr>
              <w:jc w:val="center"/>
              <w:spacing w:after="0"/>
              <w:rPr>
                <w:sz w:val="20"/>
                <w:szCs w:val="20"/>
                <w:color w:val="auto"/>
              </w:rPr>
            </w:pPr>
            <w:r>
              <w:rPr>
                <w:rFonts w:ascii="Arial" w:cs="Arial" w:eastAsia="Arial" w:hAnsi="Arial"/>
                <w:sz w:val="12"/>
                <w:szCs w:val="12"/>
                <w:color w:val="auto"/>
                <w:w w:val="98"/>
              </w:rPr>
              <w:t>12/22/22</w:t>
            </w:r>
          </w:p>
        </w:tc>
        <w:tc>
          <w:tcPr>
            <w:tcW w:w="720" w:type="dxa"/>
            <w:vAlign w:val="bottom"/>
          </w:tcPr>
          <w:p>
            <w:pPr>
              <w:jc w:val="center"/>
              <w:spacing w:after="0"/>
              <w:rPr>
                <w:sz w:val="20"/>
                <w:szCs w:val="20"/>
                <w:color w:val="auto"/>
              </w:rPr>
            </w:pPr>
            <w:r>
              <w:rPr>
                <w:rFonts w:ascii="Arial" w:cs="Arial" w:eastAsia="Arial" w:hAnsi="Arial"/>
                <w:sz w:val="12"/>
                <w:szCs w:val="12"/>
                <w:color w:val="auto"/>
                <w:w w:val="98"/>
              </w:rPr>
              <w:t>12/13/22</w:t>
            </w: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jc w:val="right"/>
              <w:ind w:right="24"/>
              <w:spacing w:after="0"/>
              <w:rPr>
                <w:sz w:val="20"/>
                <w:szCs w:val="20"/>
                <w:color w:val="auto"/>
              </w:rPr>
            </w:pPr>
            <w:r>
              <w:rPr>
                <w:rFonts w:ascii="Arial" w:cs="Arial" w:eastAsia="Arial" w:hAnsi="Arial"/>
                <w:sz w:val="12"/>
                <w:szCs w:val="12"/>
                <w:color w:val="auto"/>
              </w:rPr>
              <w:t>15,400</w:t>
            </w:r>
          </w:p>
        </w:tc>
        <w:tc>
          <w:tcPr>
            <w:tcW w:w="780" w:type="dxa"/>
            <w:vAlign w:val="bottom"/>
          </w:tcPr>
          <w:p>
            <w:pPr>
              <w:jc w:val="right"/>
              <w:ind w:right="24"/>
              <w:spacing w:after="0"/>
              <w:rPr>
                <w:sz w:val="20"/>
                <w:szCs w:val="20"/>
                <w:color w:val="auto"/>
              </w:rPr>
            </w:pPr>
            <w:r>
              <w:rPr>
                <w:rFonts w:ascii="Arial" w:cs="Arial" w:eastAsia="Arial" w:hAnsi="Arial"/>
                <w:sz w:val="12"/>
                <w:szCs w:val="12"/>
                <w:color w:val="auto"/>
              </w:rPr>
              <w:t>111.15</w:t>
            </w:r>
          </w:p>
        </w:tc>
        <w:tc>
          <w:tcPr>
            <w:tcW w:w="740" w:type="dxa"/>
            <w:vAlign w:val="bottom"/>
          </w:tcPr>
          <w:p>
            <w:pPr>
              <w:jc w:val="right"/>
              <w:spacing w:after="0"/>
              <w:rPr>
                <w:sz w:val="20"/>
                <w:szCs w:val="20"/>
                <w:color w:val="auto"/>
              </w:rPr>
            </w:pPr>
            <w:r>
              <w:rPr>
                <w:rFonts w:ascii="Arial" w:cs="Arial" w:eastAsia="Arial" w:hAnsi="Arial"/>
                <w:sz w:val="12"/>
                <w:szCs w:val="12"/>
                <w:color w:val="auto"/>
              </w:rPr>
              <w:t>520,674</w:t>
            </w:r>
          </w:p>
        </w:tc>
      </w:tr>
      <w:tr>
        <w:trPr>
          <w:trHeight w:val="32"/>
        </w:trPr>
        <w:tc>
          <w:tcPr>
            <w:tcW w:w="1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57"/>
        </w:trPr>
        <w:tc>
          <w:tcPr>
            <w:tcW w:w="1660" w:type="dxa"/>
            <w:vAlign w:val="bottom"/>
            <w:shd w:val="clear" w:color="auto" w:fill="DBDBDB"/>
          </w:tcPr>
          <w:p>
            <w:pPr>
              <w:ind w:left="20"/>
              <w:spacing w:after="0"/>
              <w:rPr>
                <w:sz w:val="20"/>
                <w:szCs w:val="20"/>
                <w:color w:val="auto"/>
              </w:rPr>
            </w:pPr>
            <w:r>
              <w:rPr>
                <w:rFonts w:ascii="Arial" w:cs="Arial" w:eastAsia="Arial" w:hAnsi="Arial"/>
                <w:sz w:val="12"/>
                <w:szCs w:val="12"/>
                <w:color w:val="auto"/>
              </w:rPr>
              <w:t>Gregory S. Janey</w:t>
            </w:r>
          </w:p>
        </w:tc>
        <w:tc>
          <w:tcPr>
            <w:tcW w:w="74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r>
      <w:tr>
        <w:trPr>
          <w:trHeight w:val="189"/>
        </w:trPr>
        <w:tc>
          <w:tcPr>
            <w:tcW w:w="1660" w:type="dxa"/>
            <w:vAlign w:val="bottom"/>
            <w:shd w:val="clear" w:color="auto" w:fill="DBDBDB"/>
          </w:tcPr>
          <w:p>
            <w:pPr>
              <w:ind w:left="140"/>
              <w:spacing w:after="0"/>
              <w:rPr>
                <w:sz w:val="20"/>
                <w:szCs w:val="20"/>
                <w:color w:val="auto"/>
              </w:rPr>
            </w:pPr>
            <w:r>
              <w:rPr>
                <w:rFonts w:ascii="Arial" w:cs="Arial" w:eastAsia="Arial" w:hAnsi="Arial"/>
                <w:sz w:val="12"/>
                <w:szCs w:val="12"/>
                <w:color w:val="auto"/>
              </w:rPr>
              <w:t>Annual Cash Incentive</w:t>
            </w:r>
          </w:p>
        </w:tc>
        <w:tc>
          <w:tcPr>
            <w:tcW w:w="74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780" w:type="dxa"/>
            <w:vAlign w:val="bottom"/>
            <w:shd w:val="clear" w:color="auto" w:fill="DBDBDB"/>
          </w:tcPr>
          <w:p>
            <w:pPr>
              <w:jc w:val="right"/>
              <w:ind w:right="163"/>
              <w:spacing w:after="0"/>
              <w:rPr>
                <w:sz w:val="20"/>
                <w:szCs w:val="20"/>
                <w:color w:val="auto"/>
              </w:rPr>
            </w:pPr>
            <w:r>
              <w:rPr>
                <w:rFonts w:ascii="Arial" w:cs="Arial" w:eastAsia="Arial" w:hAnsi="Arial"/>
                <w:sz w:val="12"/>
                <w:szCs w:val="12"/>
                <w:color w:val="auto"/>
              </w:rPr>
              <w:t>94,934</w:t>
            </w:r>
          </w:p>
        </w:tc>
        <w:tc>
          <w:tcPr>
            <w:tcW w:w="840" w:type="dxa"/>
            <w:vAlign w:val="bottom"/>
            <w:shd w:val="clear" w:color="auto" w:fill="DBDBDB"/>
          </w:tcPr>
          <w:p>
            <w:pPr>
              <w:jc w:val="right"/>
              <w:ind w:right="183"/>
              <w:spacing w:after="0"/>
              <w:rPr>
                <w:sz w:val="20"/>
                <w:szCs w:val="20"/>
                <w:color w:val="auto"/>
              </w:rPr>
            </w:pPr>
            <w:r>
              <w:rPr>
                <w:rFonts w:ascii="Arial" w:cs="Arial" w:eastAsia="Arial" w:hAnsi="Arial"/>
                <w:sz w:val="12"/>
                <w:szCs w:val="12"/>
                <w:color w:val="auto"/>
              </w:rPr>
              <w:t>237,335</w:t>
            </w:r>
          </w:p>
        </w:tc>
        <w:tc>
          <w:tcPr>
            <w:tcW w:w="800" w:type="dxa"/>
            <w:vAlign w:val="bottom"/>
            <w:shd w:val="clear" w:color="auto" w:fill="DBDBDB"/>
          </w:tcPr>
          <w:p>
            <w:pPr>
              <w:jc w:val="right"/>
              <w:ind w:right="203"/>
              <w:spacing w:after="0"/>
              <w:rPr>
                <w:sz w:val="20"/>
                <w:szCs w:val="20"/>
                <w:color w:val="auto"/>
              </w:rPr>
            </w:pPr>
            <w:r>
              <w:rPr>
                <w:rFonts w:ascii="Arial" w:cs="Arial" w:eastAsia="Arial" w:hAnsi="Arial"/>
                <w:sz w:val="12"/>
                <w:szCs w:val="12"/>
                <w:color w:val="auto"/>
              </w:rPr>
              <w:t>474,670</w:t>
            </w:r>
          </w:p>
        </w:tc>
        <w:tc>
          <w:tcPr>
            <w:tcW w:w="76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r>
      <w:tr>
        <w:trPr>
          <w:trHeight w:val="189"/>
        </w:trPr>
        <w:tc>
          <w:tcPr>
            <w:tcW w:w="1660" w:type="dxa"/>
            <w:vAlign w:val="bottom"/>
            <w:shd w:val="clear" w:color="auto" w:fill="DBDBDB"/>
          </w:tcPr>
          <w:p>
            <w:pPr>
              <w:ind w:left="140"/>
              <w:spacing w:after="0"/>
              <w:rPr>
                <w:sz w:val="20"/>
                <w:szCs w:val="20"/>
                <w:color w:val="auto"/>
              </w:rPr>
            </w:pPr>
            <w:r>
              <w:rPr>
                <w:rFonts w:ascii="Arial" w:cs="Arial" w:eastAsia="Arial" w:hAnsi="Arial"/>
                <w:sz w:val="12"/>
                <w:szCs w:val="12"/>
                <w:color w:val="auto"/>
              </w:rPr>
              <w:t>Performance Shares</w:t>
            </w:r>
          </w:p>
        </w:tc>
        <w:tc>
          <w:tcPr>
            <w:tcW w:w="74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8"/>
              </w:rPr>
              <w:t>12/13/22</w:t>
            </w:r>
          </w:p>
        </w:tc>
        <w:tc>
          <w:tcPr>
            <w:tcW w:w="7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8"/>
              </w:rPr>
              <w:t>12/13/22</w:t>
            </w:r>
          </w:p>
        </w:tc>
        <w:tc>
          <w:tcPr>
            <w:tcW w:w="7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223"/>
              <w:spacing w:after="0"/>
              <w:rPr>
                <w:sz w:val="20"/>
                <w:szCs w:val="20"/>
                <w:color w:val="auto"/>
              </w:rPr>
            </w:pPr>
            <w:r>
              <w:rPr>
                <w:rFonts w:ascii="Arial" w:cs="Arial" w:eastAsia="Arial" w:hAnsi="Arial"/>
                <w:sz w:val="12"/>
                <w:szCs w:val="12"/>
                <w:color w:val="auto"/>
              </w:rPr>
              <w:t>1,320</w:t>
            </w:r>
          </w:p>
        </w:tc>
        <w:tc>
          <w:tcPr>
            <w:tcW w:w="680" w:type="dxa"/>
            <w:vAlign w:val="bottom"/>
            <w:shd w:val="clear" w:color="auto" w:fill="DBDBDB"/>
          </w:tcPr>
          <w:p>
            <w:pPr>
              <w:jc w:val="right"/>
              <w:ind w:right="183"/>
              <w:spacing w:after="0"/>
              <w:rPr>
                <w:sz w:val="20"/>
                <w:szCs w:val="20"/>
                <w:color w:val="auto"/>
              </w:rPr>
            </w:pPr>
            <w:r>
              <w:rPr>
                <w:rFonts w:ascii="Arial" w:cs="Arial" w:eastAsia="Arial" w:hAnsi="Arial"/>
                <w:sz w:val="12"/>
                <w:szCs w:val="12"/>
                <w:color w:val="auto"/>
              </w:rPr>
              <w:t>3,300</w:t>
            </w:r>
          </w:p>
        </w:tc>
        <w:tc>
          <w:tcPr>
            <w:tcW w:w="760" w:type="dxa"/>
            <w:vAlign w:val="bottom"/>
            <w:shd w:val="clear" w:color="auto" w:fill="DBDBDB"/>
          </w:tcPr>
          <w:p>
            <w:pPr>
              <w:jc w:val="right"/>
              <w:ind w:right="223"/>
              <w:spacing w:after="0"/>
              <w:rPr>
                <w:sz w:val="20"/>
                <w:szCs w:val="20"/>
                <w:color w:val="auto"/>
              </w:rPr>
            </w:pPr>
            <w:r>
              <w:rPr>
                <w:rFonts w:ascii="Arial" w:cs="Arial" w:eastAsia="Arial" w:hAnsi="Arial"/>
                <w:sz w:val="12"/>
                <w:szCs w:val="12"/>
                <w:color w:val="auto"/>
              </w:rPr>
              <w:t>6,600</w:t>
            </w:r>
          </w:p>
        </w:tc>
        <w:tc>
          <w:tcPr>
            <w:tcW w:w="8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74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370,062</w:t>
            </w:r>
          </w:p>
        </w:tc>
      </w:tr>
      <w:tr>
        <w:trPr>
          <w:trHeight w:val="189"/>
        </w:trPr>
        <w:tc>
          <w:tcPr>
            <w:tcW w:w="1660" w:type="dxa"/>
            <w:vAlign w:val="bottom"/>
            <w:shd w:val="clear" w:color="auto" w:fill="DBDBDB"/>
          </w:tcPr>
          <w:p>
            <w:pPr>
              <w:ind w:left="140"/>
              <w:spacing w:after="0"/>
              <w:rPr>
                <w:sz w:val="20"/>
                <w:szCs w:val="20"/>
                <w:color w:val="auto"/>
              </w:rPr>
            </w:pPr>
            <w:r>
              <w:rPr>
                <w:rFonts w:ascii="Arial" w:cs="Arial" w:eastAsia="Arial" w:hAnsi="Arial"/>
                <w:sz w:val="12"/>
                <w:szCs w:val="12"/>
                <w:color w:val="auto"/>
              </w:rPr>
              <w:t>Stock Options</w:t>
            </w:r>
          </w:p>
        </w:tc>
        <w:tc>
          <w:tcPr>
            <w:tcW w:w="74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8"/>
              </w:rPr>
              <w:t>12/22/22</w:t>
            </w:r>
          </w:p>
        </w:tc>
        <w:tc>
          <w:tcPr>
            <w:tcW w:w="7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8"/>
              </w:rPr>
              <w:t>12/13/22</w:t>
            </w:r>
          </w:p>
        </w:tc>
        <w:tc>
          <w:tcPr>
            <w:tcW w:w="7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880" w:type="dxa"/>
            <w:vAlign w:val="bottom"/>
            <w:shd w:val="clear" w:color="auto" w:fill="DBDBDB"/>
          </w:tcPr>
          <w:p>
            <w:pPr>
              <w:jc w:val="right"/>
              <w:ind w:right="64"/>
              <w:spacing w:after="0"/>
              <w:rPr>
                <w:sz w:val="20"/>
                <w:szCs w:val="20"/>
                <w:color w:val="auto"/>
              </w:rPr>
            </w:pPr>
            <w:r>
              <w:rPr>
                <w:rFonts w:ascii="Arial" w:cs="Arial" w:eastAsia="Arial" w:hAnsi="Arial"/>
                <w:sz w:val="12"/>
                <w:szCs w:val="12"/>
                <w:color w:val="auto"/>
              </w:rPr>
              <w:t>11,300</w:t>
            </w:r>
          </w:p>
        </w:tc>
        <w:tc>
          <w:tcPr>
            <w:tcW w:w="780" w:type="dxa"/>
            <w:vAlign w:val="bottom"/>
            <w:shd w:val="clear" w:color="auto" w:fill="DBDBDB"/>
          </w:tcPr>
          <w:p>
            <w:pPr>
              <w:jc w:val="right"/>
              <w:ind w:right="24"/>
              <w:spacing w:after="0"/>
              <w:rPr>
                <w:sz w:val="20"/>
                <w:szCs w:val="20"/>
                <w:color w:val="auto"/>
              </w:rPr>
            </w:pPr>
            <w:r>
              <w:rPr>
                <w:rFonts w:ascii="Arial" w:cs="Arial" w:eastAsia="Arial" w:hAnsi="Arial"/>
                <w:sz w:val="12"/>
                <w:szCs w:val="12"/>
                <w:color w:val="auto"/>
              </w:rPr>
              <w:t>111.15</w:t>
            </w:r>
          </w:p>
        </w:tc>
        <w:tc>
          <w:tcPr>
            <w:tcW w:w="74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382,053</w:t>
            </w:r>
          </w:p>
        </w:tc>
      </w:tr>
      <w:tr>
        <w:trPr>
          <w:trHeight w:val="201"/>
        </w:trPr>
        <w:tc>
          <w:tcPr>
            <w:tcW w:w="16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2"/>
                <w:szCs w:val="12"/>
                <w:color w:val="auto"/>
              </w:rPr>
              <w:t>Restricted Stock Units</w:t>
            </w:r>
          </w:p>
        </w:tc>
        <w:tc>
          <w:tcPr>
            <w:tcW w:w="7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4"/>
              </w:rPr>
              <w:t>11/01/22</w:t>
            </w:r>
          </w:p>
        </w:tc>
        <w:tc>
          <w:tcPr>
            <w:tcW w:w="7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8"/>
              </w:rPr>
              <w:t>09/20/22</w:t>
            </w:r>
          </w:p>
        </w:tc>
        <w:tc>
          <w:tcPr>
            <w:tcW w:w="78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ind w:right="25"/>
              <w:spacing w:after="0"/>
              <w:rPr>
                <w:sz w:val="20"/>
                <w:szCs w:val="20"/>
                <w:color w:val="auto"/>
              </w:rPr>
            </w:pPr>
            <w:r>
              <w:rPr>
                <w:rFonts w:ascii="Arial" w:cs="Arial" w:eastAsia="Arial" w:hAnsi="Arial"/>
                <w:sz w:val="12"/>
                <w:szCs w:val="12"/>
                <w:color w:val="auto"/>
              </w:rPr>
              <w:t>2,200</w:t>
            </w:r>
          </w:p>
        </w:tc>
        <w:tc>
          <w:tcPr>
            <w:tcW w:w="88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231,264</w:t>
            </w:r>
          </w:p>
        </w:tc>
      </w:tr>
      <w:tr>
        <w:trPr>
          <w:trHeight w:val="157"/>
        </w:trPr>
        <w:tc>
          <w:tcPr>
            <w:tcW w:w="1660" w:type="dxa"/>
            <w:vAlign w:val="bottom"/>
          </w:tcPr>
          <w:p>
            <w:pPr>
              <w:ind w:left="20"/>
              <w:spacing w:after="0"/>
              <w:rPr>
                <w:sz w:val="20"/>
                <w:szCs w:val="20"/>
                <w:color w:val="auto"/>
              </w:rPr>
            </w:pPr>
            <w:r>
              <w:rPr>
                <w:rFonts w:ascii="Arial" w:cs="Arial" w:eastAsia="Arial" w:hAnsi="Arial"/>
                <w:sz w:val="12"/>
                <w:szCs w:val="12"/>
                <w:color w:val="auto"/>
              </w:rPr>
              <w:t>Richard W. Rodier</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9"/>
        </w:trPr>
        <w:tc>
          <w:tcPr>
            <w:tcW w:w="1660" w:type="dxa"/>
            <w:vAlign w:val="bottom"/>
          </w:tcPr>
          <w:p>
            <w:pPr>
              <w:ind w:left="140"/>
              <w:spacing w:after="0"/>
              <w:rPr>
                <w:sz w:val="20"/>
                <w:szCs w:val="20"/>
                <w:color w:val="auto"/>
              </w:rPr>
            </w:pPr>
            <w:r>
              <w:rPr>
                <w:rFonts w:ascii="Arial" w:cs="Arial" w:eastAsia="Arial" w:hAnsi="Arial"/>
                <w:sz w:val="12"/>
                <w:szCs w:val="12"/>
                <w:color w:val="auto"/>
              </w:rPr>
              <w:t>Annual Cash Incentive</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85,266</w:t>
            </w:r>
          </w:p>
        </w:tc>
        <w:tc>
          <w:tcPr>
            <w:tcW w:w="840" w:type="dxa"/>
            <w:vAlign w:val="bottom"/>
          </w:tcPr>
          <w:p>
            <w:pPr>
              <w:jc w:val="right"/>
              <w:ind w:right="23"/>
              <w:spacing w:after="0"/>
              <w:rPr>
                <w:sz w:val="20"/>
                <w:szCs w:val="20"/>
                <w:color w:val="auto"/>
              </w:rPr>
            </w:pPr>
            <w:r>
              <w:rPr>
                <w:rFonts w:ascii="Arial" w:cs="Arial" w:eastAsia="Arial" w:hAnsi="Arial"/>
                <w:sz w:val="12"/>
                <w:szCs w:val="12"/>
                <w:color w:val="auto"/>
              </w:rPr>
              <w:t>213,166</w:t>
            </w: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426,332</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1660" w:type="dxa"/>
            <w:vAlign w:val="bottom"/>
          </w:tcPr>
          <w:p>
            <w:pPr>
              <w:ind w:left="140"/>
              <w:spacing w:after="0"/>
              <w:rPr>
                <w:sz w:val="20"/>
                <w:szCs w:val="20"/>
                <w:color w:val="auto"/>
              </w:rPr>
            </w:pPr>
            <w:r>
              <w:rPr>
                <w:rFonts w:ascii="Arial" w:cs="Arial" w:eastAsia="Arial" w:hAnsi="Arial"/>
                <w:sz w:val="12"/>
                <w:szCs w:val="12"/>
                <w:color w:val="auto"/>
              </w:rPr>
              <w:t>Performance Shares</w:t>
            </w:r>
          </w:p>
        </w:tc>
        <w:tc>
          <w:tcPr>
            <w:tcW w:w="740" w:type="dxa"/>
            <w:vAlign w:val="bottom"/>
          </w:tcPr>
          <w:p>
            <w:pPr>
              <w:jc w:val="center"/>
              <w:spacing w:after="0"/>
              <w:rPr>
                <w:sz w:val="20"/>
                <w:szCs w:val="20"/>
                <w:color w:val="auto"/>
              </w:rPr>
            </w:pPr>
            <w:r>
              <w:rPr>
                <w:rFonts w:ascii="Arial" w:cs="Arial" w:eastAsia="Arial" w:hAnsi="Arial"/>
                <w:sz w:val="12"/>
                <w:szCs w:val="12"/>
                <w:color w:val="auto"/>
                <w:w w:val="98"/>
              </w:rPr>
              <w:t>12/13/22</w:t>
            </w:r>
          </w:p>
        </w:tc>
        <w:tc>
          <w:tcPr>
            <w:tcW w:w="720" w:type="dxa"/>
            <w:vAlign w:val="bottom"/>
          </w:tcPr>
          <w:p>
            <w:pPr>
              <w:jc w:val="center"/>
              <w:spacing w:after="0"/>
              <w:rPr>
                <w:sz w:val="20"/>
                <w:szCs w:val="20"/>
                <w:color w:val="auto"/>
              </w:rPr>
            </w:pPr>
            <w:r>
              <w:rPr>
                <w:rFonts w:ascii="Arial" w:cs="Arial" w:eastAsia="Arial" w:hAnsi="Arial"/>
                <w:sz w:val="12"/>
                <w:szCs w:val="12"/>
                <w:color w:val="auto"/>
                <w:w w:val="98"/>
              </w:rPr>
              <w:t>12/13/22</w:t>
            </w: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2,200</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5,500</w:t>
            </w:r>
          </w:p>
        </w:tc>
        <w:tc>
          <w:tcPr>
            <w:tcW w:w="760" w:type="dxa"/>
            <w:vAlign w:val="bottom"/>
          </w:tcPr>
          <w:p>
            <w:pPr>
              <w:jc w:val="right"/>
              <w:ind w:right="23"/>
              <w:spacing w:after="0"/>
              <w:rPr>
                <w:sz w:val="20"/>
                <w:szCs w:val="20"/>
                <w:color w:val="auto"/>
              </w:rPr>
            </w:pPr>
            <w:r>
              <w:rPr>
                <w:rFonts w:ascii="Arial" w:cs="Arial" w:eastAsia="Arial" w:hAnsi="Arial"/>
                <w:sz w:val="12"/>
                <w:szCs w:val="12"/>
                <w:color w:val="auto"/>
              </w:rPr>
              <w:t>11,000</w:t>
            </w: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616,770</w:t>
            </w:r>
          </w:p>
        </w:tc>
      </w:tr>
      <w:tr>
        <w:trPr>
          <w:trHeight w:val="189"/>
        </w:trPr>
        <w:tc>
          <w:tcPr>
            <w:tcW w:w="1660" w:type="dxa"/>
            <w:vAlign w:val="bottom"/>
          </w:tcPr>
          <w:p>
            <w:pPr>
              <w:ind w:left="140"/>
              <w:spacing w:after="0"/>
              <w:rPr>
                <w:sz w:val="20"/>
                <w:szCs w:val="20"/>
                <w:color w:val="auto"/>
              </w:rPr>
            </w:pPr>
            <w:r>
              <w:rPr>
                <w:rFonts w:ascii="Arial" w:cs="Arial" w:eastAsia="Arial" w:hAnsi="Arial"/>
                <w:sz w:val="12"/>
                <w:szCs w:val="12"/>
                <w:color w:val="auto"/>
              </w:rPr>
              <w:t>Stock Options</w:t>
            </w:r>
          </w:p>
        </w:tc>
        <w:tc>
          <w:tcPr>
            <w:tcW w:w="740" w:type="dxa"/>
            <w:vAlign w:val="bottom"/>
          </w:tcPr>
          <w:p>
            <w:pPr>
              <w:jc w:val="center"/>
              <w:spacing w:after="0"/>
              <w:rPr>
                <w:sz w:val="20"/>
                <w:szCs w:val="20"/>
                <w:color w:val="auto"/>
              </w:rPr>
            </w:pPr>
            <w:r>
              <w:rPr>
                <w:rFonts w:ascii="Arial" w:cs="Arial" w:eastAsia="Arial" w:hAnsi="Arial"/>
                <w:sz w:val="12"/>
                <w:szCs w:val="12"/>
                <w:color w:val="auto"/>
                <w:w w:val="98"/>
              </w:rPr>
              <w:t>12/22/22</w:t>
            </w:r>
          </w:p>
        </w:tc>
        <w:tc>
          <w:tcPr>
            <w:tcW w:w="720" w:type="dxa"/>
            <w:vAlign w:val="bottom"/>
          </w:tcPr>
          <w:p>
            <w:pPr>
              <w:jc w:val="center"/>
              <w:spacing w:after="0"/>
              <w:rPr>
                <w:sz w:val="20"/>
                <w:szCs w:val="20"/>
                <w:color w:val="auto"/>
              </w:rPr>
            </w:pPr>
            <w:r>
              <w:rPr>
                <w:rFonts w:ascii="Arial" w:cs="Arial" w:eastAsia="Arial" w:hAnsi="Arial"/>
                <w:sz w:val="12"/>
                <w:szCs w:val="12"/>
                <w:color w:val="auto"/>
                <w:w w:val="98"/>
              </w:rPr>
              <w:t>12/13/22</w:t>
            </w: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jc w:val="right"/>
              <w:ind w:right="24"/>
              <w:spacing w:after="0"/>
              <w:rPr>
                <w:sz w:val="20"/>
                <w:szCs w:val="20"/>
                <w:color w:val="auto"/>
              </w:rPr>
            </w:pPr>
            <w:r>
              <w:rPr>
                <w:rFonts w:ascii="Arial" w:cs="Arial" w:eastAsia="Arial" w:hAnsi="Arial"/>
                <w:sz w:val="12"/>
                <w:szCs w:val="12"/>
                <w:color w:val="auto"/>
              </w:rPr>
              <w:t>18,800</w:t>
            </w:r>
          </w:p>
        </w:tc>
        <w:tc>
          <w:tcPr>
            <w:tcW w:w="780" w:type="dxa"/>
            <w:vAlign w:val="bottom"/>
          </w:tcPr>
          <w:p>
            <w:pPr>
              <w:jc w:val="right"/>
              <w:ind w:right="24"/>
              <w:spacing w:after="0"/>
              <w:rPr>
                <w:sz w:val="20"/>
                <w:szCs w:val="20"/>
                <w:color w:val="auto"/>
              </w:rPr>
            </w:pPr>
            <w:r>
              <w:rPr>
                <w:rFonts w:ascii="Arial" w:cs="Arial" w:eastAsia="Arial" w:hAnsi="Arial"/>
                <w:sz w:val="12"/>
                <w:szCs w:val="12"/>
                <w:color w:val="auto"/>
              </w:rPr>
              <w:t>111.15</w:t>
            </w:r>
          </w:p>
        </w:tc>
        <w:tc>
          <w:tcPr>
            <w:tcW w:w="740" w:type="dxa"/>
            <w:vAlign w:val="bottom"/>
          </w:tcPr>
          <w:p>
            <w:pPr>
              <w:jc w:val="right"/>
              <w:spacing w:after="0"/>
              <w:rPr>
                <w:sz w:val="20"/>
                <w:szCs w:val="20"/>
                <w:color w:val="auto"/>
              </w:rPr>
            </w:pPr>
            <w:r>
              <w:rPr>
                <w:rFonts w:ascii="Arial" w:cs="Arial" w:eastAsia="Arial" w:hAnsi="Arial"/>
                <w:sz w:val="12"/>
                <w:szCs w:val="12"/>
                <w:color w:val="auto"/>
              </w:rPr>
              <w:t>635,628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-3674110</wp:posOffset>
            </wp:positionV>
            <wp:extent cx="28975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19888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17" w:lineRule="exact"/>
        <w:rPr>
          <w:sz w:val="20"/>
          <w:szCs w:val="20"/>
          <w:color w:val="auto"/>
        </w:rPr>
      </w:pPr>
    </w:p>
    <w:p>
      <w:pPr>
        <w:ind w:left="340" w:right="40" w:hanging="332"/>
        <w:spacing w:after="0" w:line="266"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reported represent the range of payouts of annual cash incentive awards for fiscal 2023. Actual payout amounts for fiscal 2023 are included in the Summary Compensation Table in the Non-Equity Incentive Plan Compensation column.</w:t>
      </w:r>
    </w:p>
    <w:p>
      <w:pPr>
        <w:ind w:left="340" w:right="340" w:hanging="332"/>
        <w:spacing w:after="0" w:line="245"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reported represent the range of performance share award payouts for the fiscal 2023 to fiscal 2025 performance period. Information regarding the performance share awards is set forth within the Compensation Discussion and Analysis under Long-Term Incentives—Performance Share Awards.</w:t>
      </w:r>
    </w:p>
    <w:p>
      <w:pPr>
        <w:spacing w:after="0" w:line="14" w:lineRule="exact"/>
        <w:rPr>
          <w:rFonts w:ascii="Arial" w:cs="Arial" w:eastAsia="Arial" w:hAnsi="Arial"/>
          <w:sz w:val="18"/>
          <w:szCs w:val="18"/>
          <w:color w:val="auto"/>
        </w:rPr>
      </w:pPr>
    </w:p>
    <w:p>
      <w:pPr>
        <w:ind w:left="340" w:right="100" w:hanging="332"/>
        <w:spacing w:after="0" w:line="236"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reported for Ms. Drake represents a restricted stock unit award granted to her in March 2023 in connection with her promotion to Vice President and Chief Financial Officer. Amount reported for Ms. Totsky represents a restricted stock unit award granted in June 2023 in connection with her hiring to help offset equity forfeited by departing her previous employer. Amount reported for Mr. Janey represents a restricted stock unit award granted in November 2022 in connection with his promotion to Group Vice President, Landscapes and Contractor.</w:t>
      </w:r>
    </w:p>
    <w:p>
      <w:pPr>
        <w:spacing w:after="0" w:line="21" w:lineRule="exact"/>
        <w:rPr>
          <w:rFonts w:ascii="Arial" w:cs="Arial" w:eastAsia="Arial" w:hAnsi="Arial"/>
          <w:sz w:val="18"/>
          <w:szCs w:val="18"/>
          <w:color w:val="auto"/>
        </w:rPr>
      </w:pPr>
    </w:p>
    <w:p>
      <w:pPr>
        <w:ind w:left="340" w:right="360" w:hanging="332"/>
        <w:spacing w:after="0" w:line="273" w:lineRule="auto"/>
        <w:tabs>
          <w:tab w:leader="none" w:pos="328" w:val="left"/>
        </w:tabs>
        <w:numPr>
          <w:ilvl w:val="0"/>
          <w:numId w:val="67"/>
        </w:numPr>
        <w:rPr>
          <w:rFonts w:ascii="Arial" w:cs="Arial" w:eastAsia="Arial" w:hAnsi="Arial"/>
          <w:sz w:val="17"/>
          <w:szCs w:val="17"/>
          <w:color w:val="auto"/>
        </w:rPr>
      </w:pPr>
      <w:r>
        <w:rPr>
          <w:rFonts w:ascii="Arial" w:cs="Arial" w:eastAsia="Arial" w:hAnsi="Arial"/>
          <w:sz w:val="17"/>
          <w:szCs w:val="17"/>
          <w:color w:val="auto"/>
        </w:rPr>
        <w:t>Amounts reported represent stock options granted during fiscal 2023, which grant date was December 22, 2022. All of these options have a ten-year term and vest in three equal installments on each of the first, second and third year anniversaries of the grant date.</w:t>
      </w:r>
    </w:p>
    <w:p>
      <w:pPr>
        <w:ind w:left="340" w:hanging="332"/>
        <w:spacing w:after="0" w:line="266"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reported represent the exercise price of stock options granted during fiscal 2023, which equals the closing price of our common stock on December 22, 2022, of $111.15.</w:t>
      </w:r>
    </w:p>
    <w:p>
      <w:pPr>
        <w:jc w:val="both"/>
        <w:ind w:left="340" w:right="320" w:hanging="332"/>
        <w:spacing w:after="0" w:line="245"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of performance share awards at target granted for the fiscal 2023 to fiscal 2025 performance period and option awards for all NEOs, each as computed in accordance with FASB ASC Topic 718. The grant date fair value of the performance share awards is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6" w:right="39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color w:val="auto"/>
        </w:rPr>
        <w:t>the closing price of our common stock on December 13, 2022, the grant date, of $112.14. These amounts are also set forth in the</w:t>
      </w:r>
    </w:p>
    <w:p>
      <w:pPr>
        <w:spacing w:after="0" w:line="14" w:lineRule="exact"/>
        <w:rPr>
          <w:sz w:val="20"/>
          <w:szCs w:val="20"/>
          <w:color w:val="auto"/>
        </w:rPr>
      </w:pPr>
    </w:p>
    <w:p>
      <w:pPr>
        <w:ind w:left="340" w:right="140"/>
        <w:spacing w:after="0"/>
        <w:rPr>
          <w:sz w:val="20"/>
          <w:szCs w:val="20"/>
          <w:color w:val="auto"/>
        </w:rPr>
      </w:pPr>
      <w:r>
        <w:rPr>
          <w:rFonts w:ascii="Arial" w:cs="Arial" w:eastAsia="Arial" w:hAnsi="Arial"/>
          <w:sz w:val="17"/>
          <w:szCs w:val="17"/>
          <w:color w:val="auto"/>
        </w:rPr>
        <w:t>Summary Compensation Table in the Stock Awards column. The grant date fair value of the option awards is based on a Black-Scholes model valuation of $33.81 per share for options granted on December 22, 2022. The grant date fair value of the restricted stock unit</w:t>
      </w:r>
    </w:p>
    <w:p>
      <w:pPr>
        <w:ind w:left="340"/>
        <w:spacing w:after="0" w:line="235" w:lineRule="auto"/>
        <w:rPr>
          <w:sz w:val="20"/>
          <w:szCs w:val="20"/>
          <w:color w:val="auto"/>
        </w:rPr>
      </w:pPr>
      <w:r>
        <w:rPr>
          <w:rFonts w:ascii="Arial" w:cs="Arial" w:eastAsia="Arial" w:hAnsi="Arial"/>
          <w:sz w:val="18"/>
          <w:szCs w:val="18"/>
          <w:color w:val="auto"/>
        </w:rPr>
        <w:t>award granted to Ms. Drake is based on the closing price of our common stock on March 10, 2023, the grant date, of $109.29. The grant</w:t>
      </w:r>
    </w:p>
    <w:p>
      <w:pPr>
        <w:ind w:left="340" w:right="180"/>
        <w:spacing w:after="0"/>
        <w:rPr>
          <w:sz w:val="20"/>
          <w:szCs w:val="20"/>
          <w:color w:val="auto"/>
        </w:rPr>
      </w:pPr>
      <w:r>
        <w:rPr>
          <w:rFonts w:ascii="Arial" w:cs="Arial" w:eastAsia="Arial" w:hAnsi="Arial"/>
          <w:sz w:val="17"/>
          <w:szCs w:val="17"/>
          <w:color w:val="auto"/>
        </w:rPr>
        <w:t>date fair value of the restricted stock unit award granted to Ms. Totsky is based on the closing price of our common stock on June 20, 2023, the grant date, of $97.27. The grant date fair value of the restricted stock unit award granted to Mr. Janey is based on the closing</w:t>
      </w:r>
    </w:p>
    <w:p>
      <w:pPr>
        <w:spacing w:after="0" w:line="1" w:lineRule="exact"/>
        <w:rPr>
          <w:sz w:val="20"/>
          <w:szCs w:val="20"/>
          <w:color w:val="auto"/>
        </w:rPr>
      </w:pPr>
    </w:p>
    <w:p>
      <w:pPr>
        <w:ind w:left="340" w:right="120"/>
        <w:spacing w:after="0"/>
        <w:rPr>
          <w:sz w:val="20"/>
          <w:szCs w:val="20"/>
          <w:color w:val="auto"/>
        </w:rPr>
      </w:pPr>
      <w:r>
        <w:rPr>
          <w:rFonts w:ascii="Arial" w:cs="Arial" w:eastAsia="Arial" w:hAnsi="Arial"/>
          <w:sz w:val="17"/>
          <w:szCs w:val="17"/>
          <w:color w:val="auto"/>
        </w:rPr>
        <w:t>price of our common stock on November 1, 2022, the grant date, of $105.20. These amounts are also set forth in the Summary Compensation Table in the Stock Awards column. The specific assumptions used in the valuation of the options are included in footnote</w:t>
      </w:r>
    </w:p>
    <w:p>
      <w:pPr>
        <w:spacing w:after="0" w:line="1" w:lineRule="exact"/>
        <w:rPr>
          <w:sz w:val="20"/>
          <w:szCs w:val="20"/>
          <w:color w:val="auto"/>
        </w:rPr>
      </w:pPr>
    </w:p>
    <w:p>
      <w:pPr>
        <w:ind w:left="340"/>
        <w:spacing w:after="0" w:line="250" w:lineRule="auto"/>
        <w:rPr>
          <w:sz w:val="20"/>
          <w:szCs w:val="20"/>
          <w:color w:val="auto"/>
        </w:rPr>
      </w:pPr>
      <w:r>
        <w:rPr>
          <w:rFonts w:ascii="Arial" w:cs="Arial" w:eastAsia="Arial" w:hAnsi="Arial"/>
          <w:sz w:val="18"/>
          <w:szCs w:val="18"/>
          <w:color w:val="auto"/>
        </w:rPr>
        <w:t>4 to the Summary Compensation Table. The option amounts are also set forth in the Summary Compensation Table in the Option Awards column.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Outstanding Equity Awards at Fiscal Year-End for 2023</w:t>
      </w:r>
    </w:p>
    <w:p>
      <w:pPr>
        <w:spacing w:after="0" w:line="99" w:lineRule="exact"/>
        <w:rPr>
          <w:sz w:val="20"/>
          <w:szCs w:val="20"/>
          <w:color w:val="auto"/>
        </w:rPr>
      </w:pPr>
    </w:p>
    <w:p>
      <w:pPr>
        <w:ind w:right="260" w:firstLine="393"/>
        <w:spacing w:after="0" w:line="261" w:lineRule="auto"/>
        <w:rPr>
          <w:sz w:val="20"/>
          <w:szCs w:val="20"/>
          <w:color w:val="auto"/>
        </w:rPr>
      </w:pPr>
      <w:r>
        <w:rPr>
          <w:rFonts w:ascii="Arial" w:cs="Arial" w:eastAsia="Arial" w:hAnsi="Arial"/>
          <w:sz w:val="18"/>
          <w:szCs w:val="18"/>
          <w:color w:val="auto"/>
        </w:rPr>
        <w:t>The following table summarizes all outstanding equity awards previously granted to our NEOs that were outstanding on October 31, 2023, the last day of fiscal 2023. Specifically, it reflects exercisable and unexercisable stock options, unvested restricted stock unit awards and unvested performance share awards.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220" w:type="dxa"/>
            <w:vAlign w:val="bottom"/>
            <w:shd w:val="clear" w:color="auto" w:fill="BF2115"/>
          </w:tcPr>
          <w:p>
            <w:pPr>
              <w:spacing w:after="0"/>
              <w:rPr>
                <w:sz w:val="14"/>
                <w:szCs w:val="14"/>
                <w:color w:val="auto"/>
              </w:rPr>
            </w:pPr>
          </w:p>
        </w:tc>
        <w:tc>
          <w:tcPr>
            <w:tcW w:w="1140" w:type="dxa"/>
            <w:vAlign w:val="bottom"/>
            <w:shd w:val="clear" w:color="auto" w:fill="BF2115"/>
          </w:tcPr>
          <w:p>
            <w:pPr>
              <w:spacing w:after="0"/>
              <w:rPr>
                <w:sz w:val="14"/>
                <w:szCs w:val="14"/>
                <w:color w:val="auto"/>
              </w:rPr>
            </w:pPr>
          </w:p>
        </w:tc>
        <w:tc>
          <w:tcPr>
            <w:tcW w:w="40" w:type="dxa"/>
            <w:vAlign w:val="bottom"/>
            <w:shd w:val="clear" w:color="auto" w:fill="BF2115"/>
          </w:tcPr>
          <w:p>
            <w:pPr>
              <w:spacing w:after="0"/>
              <w:rPr>
                <w:sz w:val="14"/>
                <w:szCs w:val="14"/>
                <w:color w:val="auto"/>
              </w:rPr>
            </w:pPr>
          </w:p>
        </w:tc>
        <w:tc>
          <w:tcPr>
            <w:tcW w:w="2380" w:type="dxa"/>
            <w:vAlign w:val="bottom"/>
            <w:gridSpan w:val="2"/>
            <w:shd w:val="clear" w:color="auto" w:fill="BF2115"/>
          </w:tcPr>
          <w:p>
            <w:pPr>
              <w:ind w:left="800"/>
              <w:spacing w:after="0"/>
              <w:rPr>
                <w:sz w:val="20"/>
                <w:szCs w:val="20"/>
                <w:color w:val="auto"/>
              </w:rPr>
            </w:pPr>
            <w:r>
              <w:rPr>
                <w:rFonts w:ascii="Arial" w:cs="Arial" w:eastAsia="Arial" w:hAnsi="Arial"/>
                <w:sz w:val="11"/>
                <w:szCs w:val="11"/>
                <w:b w:val="1"/>
                <w:bCs w:val="1"/>
                <w:color w:val="FFFFFF"/>
              </w:rPr>
              <w:t>Option Awards</w:t>
            </w:r>
          </w:p>
        </w:tc>
        <w:tc>
          <w:tcPr>
            <w:tcW w:w="1220" w:type="dxa"/>
            <w:vAlign w:val="bottom"/>
            <w:shd w:val="clear" w:color="auto" w:fill="BF2115"/>
          </w:tcPr>
          <w:p>
            <w:pPr>
              <w:spacing w:after="0"/>
              <w:rPr>
                <w:sz w:val="14"/>
                <w:szCs w:val="14"/>
                <w:color w:val="auto"/>
              </w:rPr>
            </w:pPr>
          </w:p>
        </w:tc>
        <w:tc>
          <w:tcPr>
            <w:tcW w:w="840" w:type="dxa"/>
            <w:vAlign w:val="bottom"/>
            <w:shd w:val="clear" w:color="auto" w:fill="BF2115"/>
          </w:tcPr>
          <w:p>
            <w:pPr>
              <w:spacing w:after="0"/>
              <w:rPr>
                <w:sz w:val="14"/>
                <w:szCs w:val="14"/>
                <w:color w:val="auto"/>
              </w:rPr>
            </w:pPr>
          </w:p>
        </w:tc>
        <w:tc>
          <w:tcPr>
            <w:tcW w:w="2300" w:type="dxa"/>
            <w:vAlign w:val="bottom"/>
            <w:gridSpan w:val="2"/>
            <w:shd w:val="clear" w:color="auto" w:fill="BF2115"/>
          </w:tcPr>
          <w:p>
            <w:pPr>
              <w:jc w:val="right"/>
              <w:ind w:right="623"/>
              <w:spacing w:after="0"/>
              <w:rPr>
                <w:sz w:val="20"/>
                <w:szCs w:val="20"/>
                <w:color w:val="auto"/>
              </w:rPr>
            </w:pPr>
            <w:r>
              <w:rPr>
                <w:rFonts w:ascii="Arial" w:cs="Arial" w:eastAsia="Arial" w:hAnsi="Arial"/>
                <w:sz w:val="11"/>
                <w:szCs w:val="11"/>
                <w:b w:val="1"/>
                <w:bCs w:val="1"/>
                <w:color w:val="FFFFFF"/>
              </w:rPr>
              <w:t>Stock Awards</w:t>
            </w:r>
          </w:p>
        </w:tc>
        <w:tc>
          <w:tcPr>
            <w:tcW w:w="1100" w:type="dxa"/>
            <w:vAlign w:val="bottom"/>
            <w:shd w:val="clear" w:color="auto" w:fill="BF211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shd w:val="clear" w:color="auto" w:fill="BF2115"/>
          </w:tcPr>
          <w:p>
            <w:pPr>
              <w:spacing w:after="0"/>
              <w:rPr>
                <w:sz w:val="17"/>
                <w:szCs w:val="17"/>
                <w:color w:val="auto"/>
              </w:rPr>
            </w:pPr>
          </w:p>
        </w:tc>
        <w:tc>
          <w:tcPr>
            <w:tcW w:w="1140" w:type="dxa"/>
            <w:vAlign w:val="bottom"/>
            <w:shd w:val="clear" w:color="auto" w:fill="BF2115"/>
          </w:tcPr>
          <w:p>
            <w:pPr>
              <w:spacing w:after="0"/>
              <w:rPr>
                <w:sz w:val="17"/>
                <w:szCs w:val="17"/>
                <w:color w:val="auto"/>
              </w:rPr>
            </w:pPr>
          </w:p>
        </w:tc>
        <w:tc>
          <w:tcPr>
            <w:tcW w:w="40" w:type="dxa"/>
            <w:vAlign w:val="bottom"/>
            <w:shd w:val="clear" w:color="auto" w:fill="BF2115"/>
          </w:tcPr>
          <w:p>
            <w:pPr>
              <w:spacing w:after="0"/>
              <w:rPr>
                <w:sz w:val="17"/>
                <w:szCs w:val="17"/>
                <w:color w:val="auto"/>
              </w:rPr>
            </w:pPr>
          </w:p>
        </w:tc>
        <w:tc>
          <w:tcPr>
            <w:tcW w:w="1180" w:type="dxa"/>
            <w:vAlign w:val="bottom"/>
            <w:shd w:val="clear" w:color="auto" w:fill="BF2115"/>
          </w:tcPr>
          <w:p>
            <w:pPr>
              <w:spacing w:after="0"/>
              <w:rPr>
                <w:sz w:val="17"/>
                <w:szCs w:val="17"/>
                <w:color w:val="auto"/>
              </w:rPr>
            </w:pPr>
          </w:p>
        </w:tc>
        <w:tc>
          <w:tcPr>
            <w:tcW w:w="1200" w:type="dxa"/>
            <w:vAlign w:val="bottom"/>
            <w:shd w:val="clear" w:color="auto" w:fill="BF2115"/>
          </w:tcPr>
          <w:p>
            <w:pPr>
              <w:spacing w:after="0"/>
              <w:rPr>
                <w:sz w:val="17"/>
                <w:szCs w:val="17"/>
                <w:color w:val="auto"/>
              </w:rPr>
            </w:pPr>
          </w:p>
        </w:tc>
        <w:tc>
          <w:tcPr>
            <w:tcW w:w="1220" w:type="dxa"/>
            <w:vAlign w:val="bottom"/>
            <w:shd w:val="clear" w:color="auto" w:fill="BF2115"/>
          </w:tcPr>
          <w:p>
            <w:pPr>
              <w:spacing w:after="0"/>
              <w:rPr>
                <w:sz w:val="17"/>
                <w:szCs w:val="17"/>
                <w:color w:val="auto"/>
              </w:rPr>
            </w:pPr>
          </w:p>
        </w:tc>
        <w:tc>
          <w:tcPr>
            <w:tcW w:w="840" w:type="dxa"/>
            <w:vAlign w:val="bottom"/>
            <w:shd w:val="clear" w:color="auto" w:fill="BF2115"/>
          </w:tcPr>
          <w:p>
            <w:pPr>
              <w:spacing w:after="0"/>
              <w:rPr>
                <w:sz w:val="17"/>
                <w:szCs w:val="17"/>
                <w:color w:val="auto"/>
              </w:rPr>
            </w:pPr>
          </w:p>
        </w:tc>
        <w:tc>
          <w:tcPr>
            <w:tcW w:w="1120" w:type="dxa"/>
            <w:vAlign w:val="bottom"/>
            <w:shd w:val="clear" w:color="auto" w:fill="BF2115"/>
          </w:tcPr>
          <w:p>
            <w:pPr>
              <w:spacing w:after="0"/>
              <w:rPr>
                <w:sz w:val="17"/>
                <w:szCs w:val="17"/>
                <w:color w:val="auto"/>
              </w:rPr>
            </w:pPr>
          </w:p>
        </w:tc>
        <w:tc>
          <w:tcPr>
            <w:tcW w:w="1180" w:type="dxa"/>
            <w:vAlign w:val="bottom"/>
            <w:vMerge w:val="restart"/>
            <w:shd w:val="clear" w:color="auto" w:fill="BF2115"/>
          </w:tcPr>
          <w:p>
            <w:pPr>
              <w:jc w:val="center"/>
              <w:ind w:right="123"/>
              <w:spacing w:after="0"/>
              <w:rPr>
                <w:sz w:val="20"/>
                <w:szCs w:val="20"/>
                <w:color w:val="auto"/>
              </w:rPr>
            </w:pPr>
            <w:r>
              <w:rPr>
                <w:rFonts w:ascii="Arial" w:cs="Arial" w:eastAsia="Arial" w:hAnsi="Arial"/>
                <w:sz w:val="11"/>
                <w:szCs w:val="11"/>
                <w:b w:val="1"/>
                <w:bCs w:val="1"/>
                <w:color w:val="FFFFFF"/>
                <w:w w:val="95"/>
              </w:rPr>
              <w:t>Equity</w:t>
            </w:r>
          </w:p>
        </w:tc>
        <w:tc>
          <w:tcPr>
            <w:tcW w:w="1100" w:type="dxa"/>
            <w:vAlign w:val="bottom"/>
            <w:shd w:val="clear" w:color="auto" w:fill="BF2115"/>
          </w:tcPr>
          <w:p>
            <w:pPr>
              <w:jc w:val="center"/>
              <w:ind w:right="25"/>
              <w:spacing w:after="0"/>
              <w:rPr>
                <w:sz w:val="20"/>
                <w:szCs w:val="20"/>
                <w:color w:val="auto"/>
              </w:rPr>
            </w:pPr>
            <w:r>
              <w:rPr>
                <w:rFonts w:ascii="Arial" w:cs="Arial" w:eastAsia="Arial" w:hAnsi="Arial"/>
                <w:sz w:val="11"/>
                <w:szCs w:val="11"/>
                <w:b w:val="1"/>
                <w:bCs w:val="1"/>
                <w:color w:val="FFFFFF"/>
              </w:rPr>
              <w:t>Equity</w:t>
            </w:r>
          </w:p>
        </w:tc>
        <w:tc>
          <w:tcPr>
            <w:tcW w:w="0" w:type="dxa"/>
            <w:vAlign w:val="bottom"/>
          </w:tcPr>
          <w:p>
            <w:pPr>
              <w:spacing w:after="0"/>
              <w:rPr>
                <w:sz w:val="1"/>
                <w:szCs w:val="1"/>
                <w:color w:val="auto"/>
              </w:rPr>
            </w:pPr>
          </w:p>
        </w:tc>
      </w:tr>
      <w:tr>
        <w:trPr>
          <w:trHeight w:val="94"/>
        </w:trPr>
        <w:tc>
          <w:tcPr>
            <w:tcW w:w="2220" w:type="dxa"/>
            <w:vAlign w:val="bottom"/>
            <w:shd w:val="clear" w:color="auto" w:fill="BF2115"/>
          </w:tcPr>
          <w:p>
            <w:pPr>
              <w:spacing w:after="0"/>
              <w:rPr>
                <w:sz w:val="8"/>
                <w:szCs w:val="8"/>
                <w:color w:val="auto"/>
              </w:rPr>
            </w:pPr>
          </w:p>
        </w:tc>
        <w:tc>
          <w:tcPr>
            <w:tcW w:w="1140" w:type="dxa"/>
            <w:vAlign w:val="bottom"/>
            <w:shd w:val="clear" w:color="auto" w:fill="BF2115"/>
          </w:tcPr>
          <w:p>
            <w:pPr>
              <w:spacing w:after="0"/>
              <w:rPr>
                <w:sz w:val="8"/>
                <w:szCs w:val="8"/>
                <w:color w:val="auto"/>
              </w:rPr>
            </w:pPr>
          </w:p>
        </w:tc>
        <w:tc>
          <w:tcPr>
            <w:tcW w:w="4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200" w:type="dxa"/>
            <w:vAlign w:val="bottom"/>
            <w:shd w:val="clear" w:color="auto" w:fill="BF2115"/>
          </w:tcPr>
          <w:p>
            <w:pPr>
              <w:spacing w:after="0"/>
              <w:rPr>
                <w:sz w:val="8"/>
                <w:szCs w:val="8"/>
                <w:color w:val="auto"/>
              </w:rPr>
            </w:pPr>
          </w:p>
        </w:tc>
        <w:tc>
          <w:tcPr>
            <w:tcW w:w="1220" w:type="dxa"/>
            <w:vAlign w:val="bottom"/>
            <w:shd w:val="clear" w:color="auto" w:fill="BF2115"/>
          </w:tcPr>
          <w:p>
            <w:pPr>
              <w:spacing w:after="0"/>
              <w:rPr>
                <w:sz w:val="8"/>
                <w:szCs w:val="8"/>
                <w:color w:val="auto"/>
              </w:rPr>
            </w:pPr>
          </w:p>
        </w:tc>
        <w:tc>
          <w:tcPr>
            <w:tcW w:w="840" w:type="dxa"/>
            <w:vAlign w:val="bottom"/>
            <w:shd w:val="clear" w:color="auto" w:fill="BF2115"/>
          </w:tcPr>
          <w:p>
            <w:pPr>
              <w:spacing w:after="0"/>
              <w:rPr>
                <w:sz w:val="8"/>
                <w:szCs w:val="8"/>
                <w:color w:val="auto"/>
              </w:rPr>
            </w:pPr>
          </w:p>
        </w:tc>
        <w:tc>
          <w:tcPr>
            <w:tcW w:w="1120" w:type="dxa"/>
            <w:vAlign w:val="bottom"/>
            <w:shd w:val="clear" w:color="auto" w:fill="BF2115"/>
          </w:tcPr>
          <w:p>
            <w:pPr>
              <w:spacing w:after="0"/>
              <w:rPr>
                <w:sz w:val="8"/>
                <w:szCs w:val="8"/>
                <w:color w:val="auto"/>
              </w:rPr>
            </w:pPr>
          </w:p>
        </w:tc>
        <w:tc>
          <w:tcPr>
            <w:tcW w:w="1180" w:type="dxa"/>
            <w:vAlign w:val="bottom"/>
            <w:vMerge w:val="continue"/>
            <w:shd w:val="clear" w:color="auto" w:fill="BF2115"/>
          </w:tcPr>
          <w:p>
            <w:pPr>
              <w:spacing w:after="0"/>
              <w:rPr>
                <w:sz w:val="8"/>
                <w:szCs w:val="8"/>
                <w:color w:val="auto"/>
              </w:rPr>
            </w:pPr>
          </w:p>
        </w:tc>
        <w:tc>
          <w:tcPr>
            <w:tcW w:w="1100" w:type="dxa"/>
            <w:vAlign w:val="bottom"/>
            <w:vMerge w:val="restart"/>
            <w:shd w:val="clear" w:color="auto" w:fill="BF2115"/>
          </w:tcPr>
          <w:p>
            <w:pPr>
              <w:jc w:val="center"/>
              <w:ind w:right="25"/>
              <w:spacing w:after="0"/>
              <w:rPr>
                <w:sz w:val="20"/>
                <w:szCs w:val="20"/>
                <w:color w:val="auto"/>
              </w:rPr>
            </w:pPr>
            <w:r>
              <w:rPr>
                <w:rFonts w:ascii="Arial" w:cs="Arial" w:eastAsia="Arial" w:hAnsi="Arial"/>
                <w:sz w:val="11"/>
                <w:szCs w:val="11"/>
                <w:b w:val="1"/>
                <w:bCs w:val="1"/>
                <w:color w:val="FFFFFF"/>
                <w:w w:val="96"/>
              </w:rPr>
              <w:t>Incentive</w:t>
            </w:r>
          </w:p>
        </w:tc>
        <w:tc>
          <w:tcPr>
            <w:tcW w:w="0" w:type="dxa"/>
            <w:vAlign w:val="bottom"/>
          </w:tcPr>
          <w:p>
            <w:pPr>
              <w:spacing w:after="0"/>
              <w:rPr>
                <w:sz w:val="1"/>
                <w:szCs w:val="1"/>
                <w:color w:val="auto"/>
              </w:rPr>
            </w:pPr>
          </w:p>
        </w:tc>
      </w:tr>
      <w:tr>
        <w:trPr>
          <w:trHeight w:val="41"/>
        </w:trPr>
        <w:tc>
          <w:tcPr>
            <w:tcW w:w="2220" w:type="dxa"/>
            <w:vAlign w:val="bottom"/>
            <w:shd w:val="clear" w:color="auto" w:fill="BF2115"/>
          </w:tcPr>
          <w:p>
            <w:pPr>
              <w:spacing w:after="0"/>
              <w:rPr>
                <w:sz w:val="3"/>
                <w:szCs w:val="3"/>
                <w:color w:val="auto"/>
              </w:rPr>
            </w:pPr>
          </w:p>
        </w:tc>
        <w:tc>
          <w:tcPr>
            <w:tcW w:w="1140" w:type="dxa"/>
            <w:vAlign w:val="bottom"/>
            <w:shd w:val="clear" w:color="auto" w:fill="BF2115"/>
          </w:tcPr>
          <w:p>
            <w:pPr>
              <w:spacing w:after="0"/>
              <w:rPr>
                <w:sz w:val="3"/>
                <w:szCs w:val="3"/>
                <w:color w:val="auto"/>
              </w:rPr>
            </w:pPr>
          </w:p>
        </w:tc>
        <w:tc>
          <w:tcPr>
            <w:tcW w:w="4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1200" w:type="dxa"/>
            <w:vAlign w:val="bottom"/>
            <w:shd w:val="clear" w:color="auto" w:fill="BF2115"/>
          </w:tcPr>
          <w:p>
            <w:pPr>
              <w:spacing w:after="0"/>
              <w:rPr>
                <w:sz w:val="3"/>
                <w:szCs w:val="3"/>
                <w:color w:val="auto"/>
              </w:rPr>
            </w:pPr>
          </w:p>
        </w:tc>
        <w:tc>
          <w:tcPr>
            <w:tcW w:w="1220" w:type="dxa"/>
            <w:vAlign w:val="bottom"/>
            <w:shd w:val="clear" w:color="auto" w:fill="BF2115"/>
          </w:tcPr>
          <w:p>
            <w:pPr>
              <w:spacing w:after="0"/>
              <w:rPr>
                <w:sz w:val="3"/>
                <w:szCs w:val="3"/>
                <w:color w:val="auto"/>
              </w:rPr>
            </w:pPr>
          </w:p>
        </w:tc>
        <w:tc>
          <w:tcPr>
            <w:tcW w:w="840" w:type="dxa"/>
            <w:vAlign w:val="bottom"/>
            <w:shd w:val="clear" w:color="auto" w:fill="BF2115"/>
          </w:tcPr>
          <w:p>
            <w:pPr>
              <w:spacing w:after="0"/>
              <w:rPr>
                <w:sz w:val="3"/>
                <w:szCs w:val="3"/>
                <w:color w:val="auto"/>
              </w:rPr>
            </w:pPr>
          </w:p>
        </w:tc>
        <w:tc>
          <w:tcPr>
            <w:tcW w:w="1120" w:type="dxa"/>
            <w:vAlign w:val="bottom"/>
            <w:shd w:val="clear" w:color="auto" w:fill="BF2115"/>
          </w:tcPr>
          <w:p>
            <w:pPr>
              <w:spacing w:after="0"/>
              <w:rPr>
                <w:sz w:val="3"/>
                <w:szCs w:val="3"/>
                <w:color w:val="auto"/>
              </w:rPr>
            </w:pPr>
          </w:p>
        </w:tc>
        <w:tc>
          <w:tcPr>
            <w:tcW w:w="1180" w:type="dxa"/>
            <w:vAlign w:val="bottom"/>
            <w:vMerge w:val="restart"/>
            <w:shd w:val="clear" w:color="auto" w:fill="BF2115"/>
          </w:tcPr>
          <w:p>
            <w:pPr>
              <w:jc w:val="center"/>
              <w:ind w:right="123"/>
              <w:spacing w:after="0"/>
              <w:rPr>
                <w:sz w:val="20"/>
                <w:szCs w:val="20"/>
                <w:color w:val="auto"/>
              </w:rPr>
            </w:pPr>
            <w:r>
              <w:rPr>
                <w:rFonts w:ascii="Arial" w:cs="Arial" w:eastAsia="Arial" w:hAnsi="Arial"/>
                <w:sz w:val="11"/>
                <w:szCs w:val="11"/>
                <w:b w:val="1"/>
                <w:bCs w:val="1"/>
                <w:color w:val="FFFFFF"/>
              </w:rPr>
              <w:t>Incentive</w:t>
            </w:r>
          </w:p>
        </w:tc>
        <w:tc>
          <w:tcPr>
            <w:tcW w:w="110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2220" w:type="dxa"/>
            <w:vAlign w:val="bottom"/>
            <w:shd w:val="clear" w:color="auto" w:fill="BF2115"/>
          </w:tcPr>
          <w:p>
            <w:pPr>
              <w:spacing w:after="0"/>
              <w:rPr>
                <w:sz w:val="8"/>
                <w:szCs w:val="8"/>
                <w:color w:val="auto"/>
              </w:rPr>
            </w:pPr>
          </w:p>
        </w:tc>
        <w:tc>
          <w:tcPr>
            <w:tcW w:w="1140" w:type="dxa"/>
            <w:vAlign w:val="bottom"/>
            <w:shd w:val="clear" w:color="auto" w:fill="BF2115"/>
          </w:tcPr>
          <w:p>
            <w:pPr>
              <w:spacing w:after="0"/>
              <w:rPr>
                <w:sz w:val="8"/>
                <w:szCs w:val="8"/>
                <w:color w:val="auto"/>
              </w:rPr>
            </w:pPr>
          </w:p>
        </w:tc>
        <w:tc>
          <w:tcPr>
            <w:tcW w:w="4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200" w:type="dxa"/>
            <w:vAlign w:val="bottom"/>
            <w:shd w:val="clear" w:color="auto" w:fill="BF2115"/>
          </w:tcPr>
          <w:p>
            <w:pPr>
              <w:spacing w:after="0"/>
              <w:rPr>
                <w:sz w:val="8"/>
                <w:szCs w:val="8"/>
                <w:color w:val="auto"/>
              </w:rPr>
            </w:pPr>
          </w:p>
        </w:tc>
        <w:tc>
          <w:tcPr>
            <w:tcW w:w="1220" w:type="dxa"/>
            <w:vAlign w:val="bottom"/>
            <w:shd w:val="clear" w:color="auto" w:fill="BF2115"/>
          </w:tcPr>
          <w:p>
            <w:pPr>
              <w:spacing w:after="0"/>
              <w:rPr>
                <w:sz w:val="8"/>
                <w:szCs w:val="8"/>
                <w:color w:val="auto"/>
              </w:rPr>
            </w:pPr>
          </w:p>
        </w:tc>
        <w:tc>
          <w:tcPr>
            <w:tcW w:w="840" w:type="dxa"/>
            <w:vAlign w:val="bottom"/>
            <w:shd w:val="clear" w:color="auto" w:fill="BF2115"/>
          </w:tcPr>
          <w:p>
            <w:pPr>
              <w:spacing w:after="0"/>
              <w:rPr>
                <w:sz w:val="8"/>
                <w:szCs w:val="8"/>
                <w:color w:val="auto"/>
              </w:rPr>
            </w:pPr>
          </w:p>
        </w:tc>
        <w:tc>
          <w:tcPr>
            <w:tcW w:w="1120" w:type="dxa"/>
            <w:vAlign w:val="bottom"/>
            <w:vMerge w:val="restart"/>
            <w:shd w:val="clear" w:color="auto" w:fill="BF2115"/>
          </w:tcPr>
          <w:p>
            <w:pPr>
              <w:jc w:val="center"/>
              <w:ind w:right="204"/>
              <w:spacing w:after="0"/>
              <w:rPr>
                <w:sz w:val="20"/>
                <w:szCs w:val="20"/>
                <w:color w:val="auto"/>
              </w:rPr>
            </w:pPr>
            <w:r>
              <w:rPr>
                <w:rFonts w:ascii="Arial" w:cs="Arial" w:eastAsia="Arial" w:hAnsi="Arial"/>
                <w:sz w:val="11"/>
                <w:szCs w:val="11"/>
                <w:b w:val="1"/>
                <w:bCs w:val="1"/>
                <w:color w:val="FFFFFF"/>
                <w:w w:val="95"/>
              </w:rPr>
              <w:t>Market</w:t>
            </w:r>
          </w:p>
        </w:tc>
        <w:tc>
          <w:tcPr>
            <w:tcW w:w="1180" w:type="dxa"/>
            <w:vAlign w:val="bottom"/>
            <w:vMerge w:val="continue"/>
            <w:shd w:val="clear" w:color="auto" w:fill="BF2115"/>
          </w:tcPr>
          <w:p>
            <w:pPr>
              <w:spacing w:after="0"/>
              <w:rPr>
                <w:sz w:val="8"/>
                <w:szCs w:val="8"/>
                <w:color w:val="auto"/>
              </w:rPr>
            </w:pPr>
          </w:p>
        </w:tc>
        <w:tc>
          <w:tcPr>
            <w:tcW w:w="1100" w:type="dxa"/>
            <w:vAlign w:val="bottom"/>
            <w:vMerge w:val="restart"/>
            <w:shd w:val="clear" w:color="auto" w:fill="BF2115"/>
          </w:tcPr>
          <w:p>
            <w:pPr>
              <w:jc w:val="center"/>
              <w:ind w:right="45"/>
              <w:spacing w:after="0"/>
              <w:rPr>
                <w:sz w:val="20"/>
                <w:szCs w:val="20"/>
                <w:color w:val="auto"/>
              </w:rPr>
            </w:pPr>
            <w:r>
              <w:rPr>
                <w:rFonts w:ascii="Arial" w:cs="Arial" w:eastAsia="Arial" w:hAnsi="Arial"/>
                <w:sz w:val="11"/>
                <w:szCs w:val="11"/>
                <w:b w:val="1"/>
                <w:bCs w:val="1"/>
                <w:color w:val="FFFFFF"/>
                <w:w w:val="97"/>
              </w:rPr>
              <w:t>Plan Awards:</w:t>
            </w:r>
          </w:p>
        </w:tc>
        <w:tc>
          <w:tcPr>
            <w:tcW w:w="0" w:type="dxa"/>
            <w:vAlign w:val="bottom"/>
          </w:tcPr>
          <w:p>
            <w:pPr>
              <w:spacing w:after="0"/>
              <w:rPr>
                <w:sz w:val="1"/>
                <w:szCs w:val="1"/>
                <w:color w:val="auto"/>
              </w:rPr>
            </w:pPr>
          </w:p>
        </w:tc>
      </w:tr>
      <w:tr>
        <w:trPr>
          <w:trHeight w:val="41"/>
        </w:trPr>
        <w:tc>
          <w:tcPr>
            <w:tcW w:w="2220" w:type="dxa"/>
            <w:vAlign w:val="bottom"/>
            <w:shd w:val="clear" w:color="auto" w:fill="BF2115"/>
          </w:tcPr>
          <w:p>
            <w:pPr>
              <w:spacing w:after="0"/>
              <w:rPr>
                <w:sz w:val="3"/>
                <w:szCs w:val="3"/>
                <w:color w:val="auto"/>
              </w:rPr>
            </w:pPr>
          </w:p>
        </w:tc>
        <w:tc>
          <w:tcPr>
            <w:tcW w:w="1140" w:type="dxa"/>
            <w:vAlign w:val="bottom"/>
            <w:shd w:val="clear" w:color="auto" w:fill="BF2115"/>
          </w:tcPr>
          <w:p>
            <w:pPr>
              <w:spacing w:after="0"/>
              <w:rPr>
                <w:sz w:val="3"/>
                <w:szCs w:val="3"/>
                <w:color w:val="auto"/>
              </w:rPr>
            </w:pPr>
          </w:p>
        </w:tc>
        <w:tc>
          <w:tcPr>
            <w:tcW w:w="4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1200" w:type="dxa"/>
            <w:vAlign w:val="bottom"/>
            <w:shd w:val="clear" w:color="auto" w:fill="BF2115"/>
          </w:tcPr>
          <w:p>
            <w:pPr>
              <w:spacing w:after="0"/>
              <w:rPr>
                <w:sz w:val="3"/>
                <w:szCs w:val="3"/>
                <w:color w:val="auto"/>
              </w:rPr>
            </w:pPr>
          </w:p>
        </w:tc>
        <w:tc>
          <w:tcPr>
            <w:tcW w:w="1220" w:type="dxa"/>
            <w:vAlign w:val="bottom"/>
            <w:shd w:val="clear" w:color="auto" w:fill="BF2115"/>
          </w:tcPr>
          <w:p>
            <w:pPr>
              <w:spacing w:after="0"/>
              <w:rPr>
                <w:sz w:val="3"/>
                <w:szCs w:val="3"/>
                <w:color w:val="auto"/>
              </w:rPr>
            </w:pPr>
          </w:p>
        </w:tc>
        <w:tc>
          <w:tcPr>
            <w:tcW w:w="840" w:type="dxa"/>
            <w:vAlign w:val="bottom"/>
            <w:shd w:val="clear" w:color="auto" w:fill="BF2115"/>
          </w:tcPr>
          <w:p>
            <w:pPr>
              <w:spacing w:after="0"/>
              <w:rPr>
                <w:sz w:val="3"/>
                <w:szCs w:val="3"/>
                <w:color w:val="auto"/>
              </w:rPr>
            </w:pPr>
          </w:p>
        </w:tc>
        <w:tc>
          <w:tcPr>
            <w:tcW w:w="1120" w:type="dxa"/>
            <w:vAlign w:val="bottom"/>
            <w:vMerge w:val="continue"/>
            <w:shd w:val="clear" w:color="auto" w:fill="BF2115"/>
          </w:tcPr>
          <w:p>
            <w:pPr>
              <w:spacing w:after="0"/>
              <w:rPr>
                <w:sz w:val="3"/>
                <w:szCs w:val="3"/>
                <w:color w:val="auto"/>
              </w:rPr>
            </w:pPr>
          </w:p>
        </w:tc>
        <w:tc>
          <w:tcPr>
            <w:tcW w:w="1180" w:type="dxa"/>
            <w:vAlign w:val="bottom"/>
            <w:vMerge w:val="restart"/>
            <w:shd w:val="clear" w:color="auto" w:fill="BF2115"/>
          </w:tcPr>
          <w:p>
            <w:pPr>
              <w:jc w:val="center"/>
              <w:ind w:right="123"/>
              <w:spacing w:after="0"/>
              <w:rPr>
                <w:sz w:val="20"/>
                <w:szCs w:val="20"/>
                <w:color w:val="auto"/>
              </w:rPr>
            </w:pPr>
            <w:r>
              <w:rPr>
                <w:rFonts w:ascii="Arial" w:cs="Arial" w:eastAsia="Arial" w:hAnsi="Arial"/>
                <w:sz w:val="11"/>
                <w:szCs w:val="11"/>
                <w:b w:val="1"/>
                <w:bCs w:val="1"/>
                <w:color w:val="FFFFFF"/>
                <w:w w:val="97"/>
              </w:rPr>
              <w:t>Plan Awards:</w:t>
            </w:r>
          </w:p>
        </w:tc>
        <w:tc>
          <w:tcPr>
            <w:tcW w:w="110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2220" w:type="dxa"/>
            <w:vAlign w:val="bottom"/>
            <w:shd w:val="clear" w:color="auto" w:fill="BF2115"/>
          </w:tcPr>
          <w:p>
            <w:pPr>
              <w:spacing w:after="0"/>
              <w:rPr>
                <w:sz w:val="8"/>
                <w:szCs w:val="8"/>
                <w:color w:val="auto"/>
              </w:rPr>
            </w:pPr>
          </w:p>
        </w:tc>
        <w:tc>
          <w:tcPr>
            <w:tcW w:w="1140" w:type="dxa"/>
            <w:vAlign w:val="bottom"/>
            <w:shd w:val="clear" w:color="auto" w:fill="BF2115"/>
          </w:tcPr>
          <w:p>
            <w:pPr>
              <w:spacing w:after="0"/>
              <w:rPr>
                <w:sz w:val="8"/>
                <w:szCs w:val="8"/>
                <w:color w:val="auto"/>
              </w:rPr>
            </w:pPr>
          </w:p>
        </w:tc>
        <w:tc>
          <w:tcPr>
            <w:tcW w:w="4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200" w:type="dxa"/>
            <w:vAlign w:val="bottom"/>
            <w:shd w:val="clear" w:color="auto" w:fill="BF2115"/>
          </w:tcPr>
          <w:p>
            <w:pPr>
              <w:spacing w:after="0"/>
              <w:rPr>
                <w:sz w:val="8"/>
                <w:szCs w:val="8"/>
                <w:color w:val="auto"/>
              </w:rPr>
            </w:pPr>
          </w:p>
        </w:tc>
        <w:tc>
          <w:tcPr>
            <w:tcW w:w="1220" w:type="dxa"/>
            <w:vAlign w:val="bottom"/>
            <w:shd w:val="clear" w:color="auto" w:fill="BF2115"/>
          </w:tcPr>
          <w:p>
            <w:pPr>
              <w:spacing w:after="0"/>
              <w:rPr>
                <w:sz w:val="8"/>
                <w:szCs w:val="8"/>
                <w:color w:val="auto"/>
              </w:rPr>
            </w:pPr>
          </w:p>
        </w:tc>
        <w:tc>
          <w:tcPr>
            <w:tcW w:w="840" w:type="dxa"/>
            <w:vAlign w:val="bottom"/>
            <w:shd w:val="clear" w:color="auto" w:fill="BF2115"/>
          </w:tcPr>
          <w:p>
            <w:pPr>
              <w:spacing w:after="0"/>
              <w:rPr>
                <w:sz w:val="8"/>
                <w:szCs w:val="8"/>
                <w:color w:val="auto"/>
              </w:rPr>
            </w:pPr>
          </w:p>
        </w:tc>
        <w:tc>
          <w:tcPr>
            <w:tcW w:w="1120" w:type="dxa"/>
            <w:vAlign w:val="bottom"/>
            <w:vMerge w:val="continue"/>
            <w:shd w:val="clear" w:color="auto" w:fill="BF2115"/>
          </w:tcPr>
          <w:p>
            <w:pPr>
              <w:spacing w:after="0"/>
              <w:rPr>
                <w:sz w:val="8"/>
                <w:szCs w:val="8"/>
                <w:color w:val="auto"/>
              </w:rPr>
            </w:pPr>
          </w:p>
        </w:tc>
        <w:tc>
          <w:tcPr>
            <w:tcW w:w="1180" w:type="dxa"/>
            <w:vAlign w:val="bottom"/>
            <w:vMerge w:val="continue"/>
            <w:shd w:val="clear" w:color="auto" w:fill="BF2115"/>
          </w:tcPr>
          <w:p>
            <w:pPr>
              <w:spacing w:after="0"/>
              <w:rPr>
                <w:sz w:val="8"/>
                <w:szCs w:val="8"/>
                <w:color w:val="auto"/>
              </w:rPr>
            </w:pPr>
          </w:p>
        </w:tc>
        <w:tc>
          <w:tcPr>
            <w:tcW w:w="1100" w:type="dxa"/>
            <w:vAlign w:val="bottom"/>
            <w:vMerge w:val="restart"/>
            <w:shd w:val="clear" w:color="auto" w:fill="BF2115"/>
          </w:tcPr>
          <w:p>
            <w:pPr>
              <w:jc w:val="center"/>
              <w:ind w:right="45"/>
              <w:spacing w:after="0"/>
              <w:rPr>
                <w:sz w:val="20"/>
                <w:szCs w:val="20"/>
                <w:color w:val="auto"/>
              </w:rPr>
            </w:pPr>
            <w:r>
              <w:rPr>
                <w:rFonts w:ascii="Arial" w:cs="Arial" w:eastAsia="Arial" w:hAnsi="Arial"/>
                <w:sz w:val="11"/>
                <w:szCs w:val="11"/>
                <w:b w:val="1"/>
                <w:bCs w:val="1"/>
                <w:color w:val="FFFFFF"/>
                <w:w w:val="96"/>
              </w:rPr>
              <w:t>Market or</w:t>
            </w:r>
          </w:p>
        </w:tc>
        <w:tc>
          <w:tcPr>
            <w:tcW w:w="0" w:type="dxa"/>
            <w:vAlign w:val="bottom"/>
          </w:tcPr>
          <w:p>
            <w:pPr>
              <w:spacing w:after="0"/>
              <w:rPr>
                <w:sz w:val="1"/>
                <w:szCs w:val="1"/>
                <w:color w:val="auto"/>
              </w:rPr>
            </w:pPr>
          </w:p>
        </w:tc>
      </w:tr>
      <w:tr>
        <w:trPr>
          <w:trHeight w:val="41"/>
        </w:trPr>
        <w:tc>
          <w:tcPr>
            <w:tcW w:w="2220" w:type="dxa"/>
            <w:vAlign w:val="bottom"/>
            <w:shd w:val="clear" w:color="auto" w:fill="BF2115"/>
          </w:tcPr>
          <w:p>
            <w:pPr>
              <w:spacing w:after="0"/>
              <w:rPr>
                <w:sz w:val="3"/>
                <w:szCs w:val="3"/>
                <w:color w:val="auto"/>
              </w:rPr>
            </w:pPr>
          </w:p>
        </w:tc>
        <w:tc>
          <w:tcPr>
            <w:tcW w:w="1180" w:type="dxa"/>
            <w:vAlign w:val="bottom"/>
            <w:gridSpan w:val="2"/>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Number of</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Number of</w:t>
            </w:r>
          </w:p>
        </w:tc>
        <w:tc>
          <w:tcPr>
            <w:tcW w:w="1200" w:type="dxa"/>
            <w:vAlign w:val="bottom"/>
            <w:shd w:val="clear" w:color="auto" w:fill="BF2115"/>
          </w:tcPr>
          <w:p>
            <w:pPr>
              <w:spacing w:after="0"/>
              <w:rPr>
                <w:sz w:val="3"/>
                <w:szCs w:val="3"/>
                <w:color w:val="auto"/>
              </w:rPr>
            </w:pPr>
          </w:p>
        </w:tc>
        <w:tc>
          <w:tcPr>
            <w:tcW w:w="1220" w:type="dxa"/>
            <w:vAlign w:val="bottom"/>
            <w:shd w:val="clear" w:color="auto" w:fill="BF2115"/>
          </w:tcPr>
          <w:p>
            <w:pPr>
              <w:spacing w:after="0"/>
              <w:rPr>
                <w:sz w:val="3"/>
                <w:szCs w:val="3"/>
                <w:color w:val="auto"/>
              </w:rPr>
            </w:pPr>
          </w:p>
        </w:tc>
        <w:tc>
          <w:tcPr>
            <w:tcW w:w="840" w:type="dxa"/>
            <w:vAlign w:val="bottom"/>
            <w:shd w:val="clear" w:color="auto" w:fill="BF2115"/>
          </w:tcPr>
          <w:p>
            <w:pPr>
              <w:spacing w:after="0"/>
              <w:rPr>
                <w:sz w:val="3"/>
                <w:szCs w:val="3"/>
                <w:color w:val="auto"/>
              </w:rPr>
            </w:pPr>
          </w:p>
        </w:tc>
        <w:tc>
          <w:tcPr>
            <w:tcW w:w="1120" w:type="dxa"/>
            <w:vAlign w:val="bottom"/>
            <w:vMerge w:val="restart"/>
            <w:shd w:val="clear" w:color="auto" w:fill="BF2115"/>
          </w:tcPr>
          <w:p>
            <w:pPr>
              <w:jc w:val="center"/>
              <w:ind w:right="204"/>
              <w:spacing w:after="0"/>
              <w:rPr>
                <w:sz w:val="20"/>
                <w:szCs w:val="20"/>
                <w:color w:val="auto"/>
              </w:rPr>
            </w:pPr>
            <w:r>
              <w:rPr>
                <w:rFonts w:ascii="Arial" w:cs="Arial" w:eastAsia="Arial" w:hAnsi="Arial"/>
                <w:sz w:val="11"/>
                <w:szCs w:val="11"/>
                <w:b w:val="1"/>
                <w:bCs w:val="1"/>
                <w:color w:val="FFFFFF"/>
                <w:w w:val="98"/>
              </w:rPr>
              <w:t>Value of</w:t>
            </w:r>
          </w:p>
        </w:tc>
        <w:tc>
          <w:tcPr>
            <w:tcW w:w="1180" w:type="dxa"/>
            <w:vAlign w:val="bottom"/>
            <w:vMerge w:val="restart"/>
            <w:shd w:val="clear" w:color="auto" w:fill="BF2115"/>
          </w:tcPr>
          <w:p>
            <w:pPr>
              <w:jc w:val="center"/>
              <w:ind w:right="143"/>
              <w:spacing w:after="0"/>
              <w:rPr>
                <w:sz w:val="20"/>
                <w:szCs w:val="20"/>
                <w:color w:val="auto"/>
              </w:rPr>
            </w:pPr>
            <w:r>
              <w:rPr>
                <w:rFonts w:ascii="Arial" w:cs="Arial" w:eastAsia="Arial" w:hAnsi="Arial"/>
                <w:sz w:val="11"/>
                <w:szCs w:val="11"/>
                <w:b w:val="1"/>
                <w:bCs w:val="1"/>
                <w:color w:val="FFFFFF"/>
                <w:w w:val="98"/>
              </w:rPr>
              <w:t>Number of</w:t>
            </w:r>
          </w:p>
        </w:tc>
        <w:tc>
          <w:tcPr>
            <w:tcW w:w="110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2220" w:type="dxa"/>
            <w:vAlign w:val="bottom"/>
            <w:shd w:val="clear" w:color="auto" w:fill="BF2115"/>
          </w:tcPr>
          <w:p>
            <w:pPr>
              <w:spacing w:after="0"/>
              <w:rPr>
                <w:sz w:val="8"/>
                <w:szCs w:val="8"/>
                <w:color w:val="auto"/>
              </w:rPr>
            </w:pPr>
          </w:p>
        </w:tc>
        <w:tc>
          <w:tcPr>
            <w:tcW w:w="1180" w:type="dxa"/>
            <w:vAlign w:val="bottom"/>
            <w:gridSpan w:val="2"/>
            <w:vMerge w:val="continue"/>
            <w:shd w:val="clear" w:color="auto" w:fill="BF2115"/>
          </w:tcPr>
          <w:p>
            <w:pPr>
              <w:spacing w:after="0"/>
              <w:rPr>
                <w:sz w:val="8"/>
                <w:szCs w:val="8"/>
                <w:color w:val="auto"/>
              </w:rPr>
            </w:pPr>
          </w:p>
        </w:tc>
        <w:tc>
          <w:tcPr>
            <w:tcW w:w="1180" w:type="dxa"/>
            <w:vAlign w:val="bottom"/>
            <w:vMerge w:val="continue"/>
            <w:shd w:val="clear" w:color="auto" w:fill="BF2115"/>
          </w:tcPr>
          <w:p>
            <w:pPr>
              <w:spacing w:after="0"/>
              <w:rPr>
                <w:sz w:val="8"/>
                <w:szCs w:val="8"/>
                <w:color w:val="auto"/>
              </w:rPr>
            </w:pPr>
          </w:p>
        </w:tc>
        <w:tc>
          <w:tcPr>
            <w:tcW w:w="1200" w:type="dxa"/>
            <w:vAlign w:val="bottom"/>
            <w:shd w:val="clear" w:color="auto" w:fill="BF2115"/>
          </w:tcPr>
          <w:p>
            <w:pPr>
              <w:spacing w:after="0"/>
              <w:rPr>
                <w:sz w:val="8"/>
                <w:szCs w:val="8"/>
                <w:color w:val="auto"/>
              </w:rPr>
            </w:pPr>
          </w:p>
        </w:tc>
        <w:tc>
          <w:tcPr>
            <w:tcW w:w="1220" w:type="dxa"/>
            <w:vAlign w:val="bottom"/>
            <w:shd w:val="clear" w:color="auto" w:fill="BF2115"/>
          </w:tcPr>
          <w:p>
            <w:pPr>
              <w:spacing w:after="0"/>
              <w:rPr>
                <w:sz w:val="8"/>
                <w:szCs w:val="8"/>
                <w:color w:val="auto"/>
              </w:rPr>
            </w:pPr>
          </w:p>
        </w:tc>
        <w:tc>
          <w:tcPr>
            <w:tcW w:w="840" w:type="dxa"/>
            <w:vAlign w:val="bottom"/>
            <w:shd w:val="clear" w:color="auto" w:fill="BF2115"/>
          </w:tcPr>
          <w:p>
            <w:pPr>
              <w:spacing w:after="0"/>
              <w:rPr>
                <w:sz w:val="8"/>
                <w:szCs w:val="8"/>
                <w:color w:val="auto"/>
              </w:rPr>
            </w:pPr>
          </w:p>
        </w:tc>
        <w:tc>
          <w:tcPr>
            <w:tcW w:w="1120" w:type="dxa"/>
            <w:vAlign w:val="bottom"/>
            <w:vMerge w:val="continue"/>
            <w:shd w:val="clear" w:color="auto" w:fill="BF2115"/>
          </w:tcPr>
          <w:p>
            <w:pPr>
              <w:spacing w:after="0"/>
              <w:rPr>
                <w:sz w:val="8"/>
                <w:szCs w:val="8"/>
                <w:color w:val="auto"/>
              </w:rPr>
            </w:pPr>
          </w:p>
        </w:tc>
        <w:tc>
          <w:tcPr>
            <w:tcW w:w="1180" w:type="dxa"/>
            <w:vAlign w:val="bottom"/>
            <w:vMerge w:val="continue"/>
            <w:shd w:val="clear" w:color="auto" w:fill="BF2115"/>
          </w:tcPr>
          <w:p>
            <w:pPr>
              <w:spacing w:after="0"/>
              <w:rPr>
                <w:sz w:val="8"/>
                <w:szCs w:val="8"/>
                <w:color w:val="auto"/>
              </w:rPr>
            </w:pPr>
          </w:p>
        </w:tc>
        <w:tc>
          <w:tcPr>
            <w:tcW w:w="1100" w:type="dxa"/>
            <w:vAlign w:val="bottom"/>
            <w:vMerge w:val="restart"/>
            <w:shd w:val="clear" w:color="auto" w:fill="BF2115"/>
          </w:tcPr>
          <w:p>
            <w:pPr>
              <w:jc w:val="center"/>
              <w:ind w:right="45"/>
              <w:spacing w:after="0"/>
              <w:rPr>
                <w:sz w:val="20"/>
                <w:szCs w:val="20"/>
                <w:color w:val="auto"/>
              </w:rPr>
            </w:pPr>
            <w:r>
              <w:rPr>
                <w:rFonts w:ascii="Arial" w:cs="Arial" w:eastAsia="Arial" w:hAnsi="Arial"/>
                <w:sz w:val="11"/>
                <w:szCs w:val="11"/>
                <w:b w:val="1"/>
                <w:bCs w:val="1"/>
                <w:color w:val="FFFFFF"/>
                <w:w w:val="98"/>
              </w:rPr>
              <w:t>Payout Value</w:t>
            </w:r>
          </w:p>
        </w:tc>
        <w:tc>
          <w:tcPr>
            <w:tcW w:w="0" w:type="dxa"/>
            <w:vAlign w:val="bottom"/>
          </w:tcPr>
          <w:p>
            <w:pPr>
              <w:spacing w:after="0"/>
              <w:rPr>
                <w:sz w:val="1"/>
                <w:szCs w:val="1"/>
                <w:color w:val="auto"/>
              </w:rPr>
            </w:pPr>
          </w:p>
        </w:tc>
      </w:tr>
      <w:tr>
        <w:trPr>
          <w:trHeight w:val="41"/>
        </w:trPr>
        <w:tc>
          <w:tcPr>
            <w:tcW w:w="2220" w:type="dxa"/>
            <w:vAlign w:val="bottom"/>
            <w:shd w:val="clear" w:color="auto" w:fill="BF2115"/>
          </w:tcPr>
          <w:p>
            <w:pPr>
              <w:spacing w:after="0"/>
              <w:rPr>
                <w:sz w:val="3"/>
                <w:szCs w:val="3"/>
                <w:color w:val="auto"/>
              </w:rPr>
            </w:pPr>
          </w:p>
        </w:tc>
        <w:tc>
          <w:tcPr>
            <w:tcW w:w="1180" w:type="dxa"/>
            <w:vAlign w:val="bottom"/>
            <w:gridSpan w:val="2"/>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Securities</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Securities</w:t>
            </w:r>
          </w:p>
        </w:tc>
        <w:tc>
          <w:tcPr>
            <w:tcW w:w="1200" w:type="dxa"/>
            <w:vAlign w:val="bottom"/>
            <w:shd w:val="clear" w:color="auto" w:fill="BF2115"/>
          </w:tcPr>
          <w:p>
            <w:pPr>
              <w:spacing w:after="0"/>
              <w:rPr>
                <w:sz w:val="3"/>
                <w:szCs w:val="3"/>
                <w:color w:val="auto"/>
              </w:rPr>
            </w:pPr>
          </w:p>
        </w:tc>
        <w:tc>
          <w:tcPr>
            <w:tcW w:w="1220" w:type="dxa"/>
            <w:vAlign w:val="bottom"/>
            <w:shd w:val="clear" w:color="auto" w:fill="BF2115"/>
          </w:tcPr>
          <w:p>
            <w:pPr>
              <w:spacing w:after="0"/>
              <w:rPr>
                <w:sz w:val="3"/>
                <w:szCs w:val="3"/>
                <w:color w:val="auto"/>
              </w:rPr>
            </w:pPr>
          </w:p>
        </w:tc>
        <w:tc>
          <w:tcPr>
            <w:tcW w:w="840" w:type="dxa"/>
            <w:vAlign w:val="bottom"/>
            <w:vMerge w:val="restart"/>
            <w:shd w:val="clear" w:color="auto" w:fill="BF2115"/>
          </w:tcPr>
          <w:p>
            <w:pPr>
              <w:jc w:val="center"/>
              <w:ind w:right="164"/>
              <w:spacing w:after="0"/>
              <w:rPr>
                <w:sz w:val="20"/>
                <w:szCs w:val="20"/>
                <w:color w:val="auto"/>
              </w:rPr>
            </w:pPr>
            <w:r>
              <w:rPr>
                <w:rFonts w:ascii="Arial" w:cs="Arial" w:eastAsia="Arial" w:hAnsi="Arial"/>
                <w:sz w:val="11"/>
                <w:szCs w:val="11"/>
                <w:b w:val="1"/>
                <w:bCs w:val="1"/>
                <w:color w:val="FFFFFF"/>
                <w:w w:val="98"/>
              </w:rPr>
              <w:t>Number of</w:t>
            </w:r>
          </w:p>
        </w:tc>
        <w:tc>
          <w:tcPr>
            <w:tcW w:w="1120" w:type="dxa"/>
            <w:vAlign w:val="bottom"/>
            <w:vMerge w:val="restart"/>
            <w:shd w:val="clear" w:color="auto" w:fill="BF2115"/>
          </w:tcPr>
          <w:p>
            <w:pPr>
              <w:jc w:val="center"/>
              <w:ind w:right="204"/>
              <w:spacing w:after="0"/>
              <w:rPr>
                <w:sz w:val="20"/>
                <w:szCs w:val="20"/>
                <w:color w:val="auto"/>
              </w:rPr>
            </w:pPr>
            <w:r>
              <w:rPr>
                <w:rFonts w:ascii="Arial" w:cs="Arial" w:eastAsia="Arial" w:hAnsi="Arial"/>
                <w:sz w:val="11"/>
                <w:szCs w:val="11"/>
                <w:b w:val="1"/>
                <w:bCs w:val="1"/>
                <w:color w:val="FFFFFF"/>
                <w:w w:val="98"/>
              </w:rPr>
              <w:t>Shares or</w:t>
            </w:r>
          </w:p>
        </w:tc>
        <w:tc>
          <w:tcPr>
            <w:tcW w:w="1180" w:type="dxa"/>
            <w:vAlign w:val="bottom"/>
            <w:vMerge w:val="restart"/>
            <w:shd w:val="clear" w:color="auto" w:fill="BF2115"/>
          </w:tcPr>
          <w:p>
            <w:pPr>
              <w:jc w:val="center"/>
              <w:ind w:right="143"/>
              <w:spacing w:after="0"/>
              <w:rPr>
                <w:sz w:val="20"/>
                <w:szCs w:val="20"/>
                <w:color w:val="auto"/>
              </w:rPr>
            </w:pPr>
            <w:r>
              <w:rPr>
                <w:rFonts w:ascii="Arial" w:cs="Arial" w:eastAsia="Arial" w:hAnsi="Arial"/>
                <w:sz w:val="11"/>
                <w:szCs w:val="11"/>
                <w:b w:val="1"/>
                <w:bCs w:val="1"/>
                <w:color w:val="FFFFFF"/>
                <w:w w:val="98"/>
              </w:rPr>
              <w:t>Unearned</w:t>
            </w:r>
          </w:p>
        </w:tc>
        <w:tc>
          <w:tcPr>
            <w:tcW w:w="110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2220" w:type="dxa"/>
            <w:vAlign w:val="bottom"/>
            <w:shd w:val="clear" w:color="auto" w:fill="BF2115"/>
          </w:tcPr>
          <w:p>
            <w:pPr>
              <w:spacing w:after="0"/>
              <w:rPr>
                <w:sz w:val="9"/>
                <w:szCs w:val="9"/>
                <w:color w:val="auto"/>
              </w:rPr>
            </w:pPr>
          </w:p>
        </w:tc>
        <w:tc>
          <w:tcPr>
            <w:tcW w:w="1180" w:type="dxa"/>
            <w:vAlign w:val="bottom"/>
            <w:gridSpan w:val="2"/>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1200" w:type="dxa"/>
            <w:vAlign w:val="bottom"/>
            <w:shd w:val="clear" w:color="auto" w:fill="BF2115"/>
          </w:tcPr>
          <w:p>
            <w:pPr>
              <w:spacing w:after="0"/>
              <w:rPr>
                <w:sz w:val="9"/>
                <w:szCs w:val="9"/>
                <w:color w:val="auto"/>
              </w:rPr>
            </w:pPr>
          </w:p>
        </w:tc>
        <w:tc>
          <w:tcPr>
            <w:tcW w:w="1220" w:type="dxa"/>
            <w:vAlign w:val="bottom"/>
            <w:shd w:val="clear" w:color="auto" w:fill="BF2115"/>
          </w:tcPr>
          <w:p>
            <w:pPr>
              <w:spacing w:after="0"/>
              <w:rPr>
                <w:sz w:val="9"/>
                <w:szCs w:val="9"/>
                <w:color w:val="auto"/>
              </w:rPr>
            </w:pPr>
          </w:p>
        </w:tc>
        <w:tc>
          <w:tcPr>
            <w:tcW w:w="840" w:type="dxa"/>
            <w:vAlign w:val="bottom"/>
            <w:vMerge w:val="continue"/>
            <w:shd w:val="clear" w:color="auto" w:fill="BF2115"/>
          </w:tcPr>
          <w:p>
            <w:pPr>
              <w:spacing w:after="0"/>
              <w:rPr>
                <w:sz w:val="9"/>
                <w:szCs w:val="9"/>
                <w:color w:val="auto"/>
              </w:rPr>
            </w:pPr>
          </w:p>
        </w:tc>
        <w:tc>
          <w:tcPr>
            <w:tcW w:w="112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1100" w:type="dxa"/>
            <w:vAlign w:val="bottom"/>
            <w:shd w:val="clear" w:color="auto" w:fill="BF2115"/>
          </w:tcPr>
          <w:p>
            <w:pPr>
              <w:jc w:val="center"/>
              <w:ind w:right="25"/>
              <w:spacing w:after="0" w:line="108" w:lineRule="exact"/>
              <w:rPr>
                <w:sz w:val="20"/>
                <w:szCs w:val="20"/>
                <w:color w:val="auto"/>
              </w:rPr>
            </w:pPr>
            <w:r>
              <w:rPr>
                <w:rFonts w:ascii="Arial" w:cs="Arial" w:eastAsia="Arial" w:hAnsi="Arial"/>
                <w:sz w:val="11"/>
                <w:szCs w:val="11"/>
                <w:b w:val="1"/>
                <w:bCs w:val="1"/>
                <w:color w:val="FFFFFF"/>
                <w:w w:val="96"/>
              </w:rPr>
              <w:t>of Unearned</w:t>
            </w:r>
          </w:p>
        </w:tc>
        <w:tc>
          <w:tcPr>
            <w:tcW w:w="0" w:type="dxa"/>
            <w:vAlign w:val="bottom"/>
          </w:tcPr>
          <w:p>
            <w:pPr>
              <w:spacing w:after="0"/>
              <w:rPr>
                <w:sz w:val="1"/>
                <w:szCs w:val="1"/>
                <w:color w:val="auto"/>
              </w:rPr>
            </w:pPr>
          </w:p>
        </w:tc>
      </w:tr>
      <w:tr>
        <w:trPr>
          <w:trHeight w:val="122"/>
        </w:trPr>
        <w:tc>
          <w:tcPr>
            <w:tcW w:w="2220" w:type="dxa"/>
            <w:vAlign w:val="bottom"/>
            <w:shd w:val="clear" w:color="auto" w:fill="BF2115"/>
          </w:tcPr>
          <w:p>
            <w:pPr>
              <w:spacing w:after="0"/>
              <w:rPr>
                <w:sz w:val="10"/>
                <w:szCs w:val="10"/>
                <w:color w:val="auto"/>
              </w:rPr>
            </w:pPr>
          </w:p>
        </w:tc>
        <w:tc>
          <w:tcPr>
            <w:tcW w:w="1180" w:type="dxa"/>
            <w:vAlign w:val="bottom"/>
            <w:gridSpan w:val="2"/>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rPr>
              <w:t>Underlying</w:t>
            </w:r>
          </w:p>
        </w:tc>
        <w:tc>
          <w:tcPr>
            <w:tcW w:w="118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rPr>
              <w:t>Underlying</w:t>
            </w:r>
          </w:p>
        </w:tc>
        <w:tc>
          <w:tcPr>
            <w:tcW w:w="1200" w:type="dxa"/>
            <w:vAlign w:val="bottom"/>
            <w:shd w:val="clear" w:color="auto" w:fill="BF2115"/>
          </w:tcPr>
          <w:p>
            <w:pPr>
              <w:spacing w:after="0"/>
              <w:rPr>
                <w:sz w:val="10"/>
                <w:szCs w:val="10"/>
                <w:color w:val="auto"/>
              </w:rPr>
            </w:pPr>
          </w:p>
        </w:tc>
        <w:tc>
          <w:tcPr>
            <w:tcW w:w="1220" w:type="dxa"/>
            <w:vAlign w:val="bottom"/>
            <w:shd w:val="clear" w:color="auto" w:fill="BF2115"/>
          </w:tcPr>
          <w:p>
            <w:pPr>
              <w:spacing w:after="0"/>
              <w:rPr>
                <w:sz w:val="10"/>
                <w:szCs w:val="10"/>
                <w:color w:val="auto"/>
              </w:rPr>
            </w:pPr>
          </w:p>
        </w:tc>
        <w:tc>
          <w:tcPr>
            <w:tcW w:w="840" w:type="dxa"/>
            <w:vAlign w:val="bottom"/>
            <w:shd w:val="clear" w:color="auto" w:fill="BF2115"/>
          </w:tcPr>
          <w:p>
            <w:pPr>
              <w:jc w:val="center"/>
              <w:ind w:right="164"/>
              <w:spacing w:after="0" w:line="122" w:lineRule="exact"/>
              <w:rPr>
                <w:sz w:val="20"/>
                <w:szCs w:val="20"/>
                <w:color w:val="auto"/>
              </w:rPr>
            </w:pPr>
            <w:r>
              <w:rPr>
                <w:rFonts w:ascii="Arial" w:cs="Arial" w:eastAsia="Arial" w:hAnsi="Arial"/>
                <w:sz w:val="11"/>
                <w:szCs w:val="11"/>
                <w:b w:val="1"/>
                <w:bCs w:val="1"/>
                <w:color w:val="FFFFFF"/>
                <w:w w:val="98"/>
              </w:rPr>
              <w:t>Shares or</w:t>
            </w:r>
          </w:p>
        </w:tc>
        <w:tc>
          <w:tcPr>
            <w:tcW w:w="1120" w:type="dxa"/>
            <w:vAlign w:val="bottom"/>
            <w:shd w:val="clear" w:color="auto" w:fill="BF2115"/>
          </w:tcPr>
          <w:p>
            <w:pPr>
              <w:jc w:val="center"/>
              <w:ind w:right="204"/>
              <w:spacing w:after="0" w:line="122" w:lineRule="exact"/>
              <w:rPr>
                <w:sz w:val="20"/>
                <w:szCs w:val="20"/>
                <w:color w:val="auto"/>
              </w:rPr>
            </w:pPr>
            <w:r>
              <w:rPr>
                <w:rFonts w:ascii="Arial" w:cs="Arial" w:eastAsia="Arial" w:hAnsi="Arial"/>
                <w:sz w:val="11"/>
                <w:szCs w:val="11"/>
                <w:b w:val="1"/>
                <w:bCs w:val="1"/>
                <w:color w:val="FFFFFF"/>
              </w:rPr>
              <w:t>Units of</w:t>
            </w:r>
          </w:p>
        </w:tc>
        <w:tc>
          <w:tcPr>
            <w:tcW w:w="1180" w:type="dxa"/>
            <w:vAlign w:val="bottom"/>
            <w:shd w:val="clear" w:color="auto" w:fill="BF2115"/>
          </w:tcPr>
          <w:p>
            <w:pPr>
              <w:jc w:val="center"/>
              <w:ind w:right="123"/>
              <w:spacing w:after="0" w:line="122" w:lineRule="exact"/>
              <w:rPr>
                <w:sz w:val="20"/>
                <w:szCs w:val="20"/>
                <w:color w:val="auto"/>
              </w:rPr>
            </w:pPr>
            <w:r>
              <w:rPr>
                <w:rFonts w:ascii="Arial" w:cs="Arial" w:eastAsia="Arial" w:hAnsi="Arial"/>
                <w:sz w:val="11"/>
                <w:szCs w:val="11"/>
                <w:b w:val="1"/>
                <w:bCs w:val="1"/>
                <w:color w:val="FFFFFF"/>
                <w:w w:val="96"/>
              </w:rPr>
              <w:t>Shares, Units</w:t>
            </w:r>
          </w:p>
        </w:tc>
        <w:tc>
          <w:tcPr>
            <w:tcW w:w="1100" w:type="dxa"/>
            <w:vAlign w:val="bottom"/>
            <w:vMerge w:val="restart"/>
            <w:shd w:val="clear" w:color="auto" w:fill="BF2115"/>
          </w:tcPr>
          <w:p>
            <w:pPr>
              <w:jc w:val="center"/>
              <w:ind w:right="25"/>
              <w:spacing w:after="0"/>
              <w:rPr>
                <w:sz w:val="20"/>
                <w:szCs w:val="20"/>
                <w:color w:val="auto"/>
              </w:rPr>
            </w:pPr>
            <w:r>
              <w:rPr>
                <w:rFonts w:ascii="Arial" w:cs="Arial" w:eastAsia="Arial" w:hAnsi="Arial"/>
                <w:sz w:val="11"/>
                <w:szCs w:val="11"/>
                <w:b w:val="1"/>
                <w:bCs w:val="1"/>
                <w:color w:val="FFFFFF"/>
                <w:w w:val="99"/>
              </w:rPr>
              <w:t>Shares, Units</w:t>
            </w:r>
          </w:p>
        </w:tc>
        <w:tc>
          <w:tcPr>
            <w:tcW w:w="0" w:type="dxa"/>
            <w:vAlign w:val="bottom"/>
          </w:tcPr>
          <w:p>
            <w:pPr>
              <w:spacing w:after="0"/>
              <w:rPr>
                <w:sz w:val="1"/>
                <w:szCs w:val="1"/>
                <w:color w:val="auto"/>
              </w:rPr>
            </w:pPr>
          </w:p>
        </w:tc>
      </w:tr>
      <w:tr>
        <w:trPr>
          <w:trHeight w:val="54"/>
        </w:trPr>
        <w:tc>
          <w:tcPr>
            <w:tcW w:w="2220" w:type="dxa"/>
            <w:vAlign w:val="bottom"/>
            <w:shd w:val="clear" w:color="auto" w:fill="BF2115"/>
          </w:tcPr>
          <w:p>
            <w:pPr>
              <w:spacing w:after="0"/>
              <w:rPr>
                <w:sz w:val="4"/>
                <w:szCs w:val="4"/>
                <w:color w:val="auto"/>
              </w:rPr>
            </w:pPr>
          </w:p>
        </w:tc>
        <w:tc>
          <w:tcPr>
            <w:tcW w:w="1180" w:type="dxa"/>
            <w:vAlign w:val="bottom"/>
            <w:gridSpan w:val="2"/>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Unexercised</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Unexercised</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Option</w:t>
            </w:r>
          </w:p>
        </w:tc>
        <w:tc>
          <w:tcPr>
            <w:tcW w:w="1220" w:type="dxa"/>
            <w:vAlign w:val="bottom"/>
            <w:shd w:val="clear" w:color="auto" w:fill="BF2115"/>
          </w:tcPr>
          <w:p>
            <w:pPr>
              <w:spacing w:after="0"/>
              <w:rPr>
                <w:sz w:val="4"/>
                <w:szCs w:val="4"/>
                <w:color w:val="auto"/>
              </w:rPr>
            </w:pPr>
          </w:p>
        </w:tc>
        <w:tc>
          <w:tcPr>
            <w:tcW w:w="840" w:type="dxa"/>
            <w:vAlign w:val="bottom"/>
            <w:vMerge w:val="restart"/>
            <w:shd w:val="clear" w:color="auto" w:fill="BF2115"/>
          </w:tcPr>
          <w:p>
            <w:pPr>
              <w:jc w:val="center"/>
              <w:ind w:right="164"/>
              <w:spacing w:after="0"/>
              <w:rPr>
                <w:sz w:val="20"/>
                <w:szCs w:val="20"/>
                <w:color w:val="auto"/>
              </w:rPr>
            </w:pPr>
            <w:r>
              <w:rPr>
                <w:rFonts w:ascii="Arial" w:cs="Arial" w:eastAsia="Arial" w:hAnsi="Arial"/>
                <w:sz w:val="11"/>
                <w:szCs w:val="11"/>
                <w:b w:val="1"/>
                <w:bCs w:val="1"/>
                <w:color w:val="FFFFFF"/>
                <w:w w:val="98"/>
              </w:rPr>
              <w:t>Units that</w:t>
            </w:r>
          </w:p>
        </w:tc>
        <w:tc>
          <w:tcPr>
            <w:tcW w:w="1120" w:type="dxa"/>
            <w:vAlign w:val="bottom"/>
            <w:vMerge w:val="restart"/>
            <w:shd w:val="clear" w:color="auto" w:fill="BF2115"/>
          </w:tcPr>
          <w:p>
            <w:pPr>
              <w:jc w:val="center"/>
              <w:ind w:right="204"/>
              <w:spacing w:after="0"/>
              <w:rPr>
                <w:sz w:val="20"/>
                <w:szCs w:val="20"/>
                <w:color w:val="auto"/>
              </w:rPr>
            </w:pPr>
            <w:r>
              <w:rPr>
                <w:rFonts w:ascii="Arial" w:cs="Arial" w:eastAsia="Arial" w:hAnsi="Arial"/>
                <w:sz w:val="11"/>
                <w:szCs w:val="11"/>
                <w:b w:val="1"/>
                <w:bCs w:val="1"/>
                <w:color w:val="FFFFFF"/>
              </w:rPr>
              <w:t>Stock that</w:t>
            </w:r>
          </w:p>
        </w:tc>
        <w:tc>
          <w:tcPr>
            <w:tcW w:w="1180" w:type="dxa"/>
            <w:vAlign w:val="bottom"/>
            <w:vMerge w:val="restart"/>
            <w:shd w:val="clear" w:color="auto" w:fill="BF2115"/>
          </w:tcPr>
          <w:p>
            <w:pPr>
              <w:jc w:val="center"/>
              <w:ind w:right="123"/>
              <w:spacing w:after="0"/>
              <w:rPr>
                <w:sz w:val="20"/>
                <w:szCs w:val="20"/>
                <w:color w:val="auto"/>
              </w:rPr>
            </w:pPr>
            <w:r>
              <w:rPr>
                <w:rFonts w:ascii="Arial" w:cs="Arial" w:eastAsia="Arial" w:hAnsi="Arial"/>
                <w:sz w:val="11"/>
                <w:szCs w:val="11"/>
                <w:b w:val="1"/>
                <w:bCs w:val="1"/>
                <w:color w:val="FFFFFF"/>
                <w:w w:val="99"/>
              </w:rPr>
              <w:t>or Other Rights</w:t>
            </w:r>
          </w:p>
        </w:tc>
        <w:tc>
          <w:tcPr>
            <w:tcW w:w="1100" w:type="dxa"/>
            <w:vAlign w:val="bottom"/>
            <w:vMerge w:val="continue"/>
            <w:shd w:val="clear" w:color="auto" w:fill="BF2115"/>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220" w:type="dxa"/>
            <w:vAlign w:val="bottom"/>
            <w:shd w:val="clear" w:color="auto" w:fill="BF2115"/>
          </w:tcPr>
          <w:p>
            <w:pPr>
              <w:spacing w:after="0"/>
              <w:rPr>
                <w:sz w:val="7"/>
                <w:szCs w:val="7"/>
                <w:color w:val="auto"/>
              </w:rPr>
            </w:pPr>
          </w:p>
        </w:tc>
        <w:tc>
          <w:tcPr>
            <w:tcW w:w="1180" w:type="dxa"/>
            <w:vAlign w:val="bottom"/>
            <w:gridSpan w:val="2"/>
            <w:vMerge w:val="continue"/>
            <w:shd w:val="clear" w:color="auto" w:fill="BF2115"/>
          </w:tcPr>
          <w:p>
            <w:pPr>
              <w:spacing w:after="0"/>
              <w:rPr>
                <w:sz w:val="7"/>
                <w:szCs w:val="7"/>
                <w:color w:val="auto"/>
              </w:rPr>
            </w:pPr>
          </w:p>
        </w:tc>
        <w:tc>
          <w:tcPr>
            <w:tcW w:w="1180" w:type="dxa"/>
            <w:vAlign w:val="bottom"/>
            <w:vMerge w:val="continue"/>
            <w:shd w:val="clear" w:color="auto" w:fill="BF2115"/>
          </w:tcPr>
          <w:p>
            <w:pPr>
              <w:spacing w:after="0"/>
              <w:rPr>
                <w:sz w:val="7"/>
                <w:szCs w:val="7"/>
                <w:color w:val="auto"/>
              </w:rPr>
            </w:pPr>
          </w:p>
        </w:tc>
        <w:tc>
          <w:tcPr>
            <w:tcW w:w="1200" w:type="dxa"/>
            <w:vAlign w:val="bottom"/>
            <w:vMerge w:val="continue"/>
            <w:shd w:val="clear" w:color="auto" w:fill="BF2115"/>
          </w:tcPr>
          <w:p>
            <w:pPr>
              <w:spacing w:after="0"/>
              <w:rPr>
                <w:sz w:val="7"/>
                <w:szCs w:val="7"/>
                <w:color w:val="auto"/>
              </w:rPr>
            </w:pPr>
          </w:p>
        </w:tc>
        <w:tc>
          <w:tcPr>
            <w:tcW w:w="1220" w:type="dxa"/>
            <w:vAlign w:val="bottom"/>
            <w:shd w:val="clear" w:color="auto" w:fill="BF2115"/>
          </w:tcPr>
          <w:p>
            <w:pPr>
              <w:spacing w:after="0"/>
              <w:rPr>
                <w:sz w:val="7"/>
                <w:szCs w:val="7"/>
                <w:color w:val="auto"/>
              </w:rPr>
            </w:pPr>
          </w:p>
        </w:tc>
        <w:tc>
          <w:tcPr>
            <w:tcW w:w="840" w:type="dxa"/>
            <w:vAlign w:val="bottom"/>
            <w:vMerge w:val="continue"/>
            <w:shd w:val="clear" w:color="auto" w:fill="BF2115"/>
          </w:tcPr>
          <w:p>
            <w:pPr>
              <w:spacing w:after="0"/>
              <w:rPr>
                <w:sz w:val="7"/>
                <w:szCs w:val="7"/>
                <w:color w:val="auto"/>
              </w:rPr>
            </w:pPr>
          </w:p>
        </w:tc>
        <w:tc>
          <w:tcPr>
            <w:tcW w:w="1120" w:type="dxa"/>
            <w:vAlign w:val="bottom"/>
            <w:vMerge w:val="continue"/>
            <w:shd w:val="clear" w:color="auto" w:fill="BF2115"/>
          </w:tcPr>
          <w:p>
            <w:pPr>
              <w:spacing w:after="0"/>
              <w:rPr>
                <w:sz w:val="7"/>
                <w:szCs w:val="7"/>
                <w:color w:val="auto"/>
              </w:rPr>
            </w:pPr>
          </w:p>
        </w:tc>
        <w:tc>
          <w:tcPr>
            <w:tcW w:w="1180" w:type="dxa"/>
            <w:vAlign w:val="bottom"/>
            <w:vMerge w:val="continue"/>
            <w:shd w:val="clear" w:color="auto" w:fill="BF2115"/>
          </w:tcPr>
          <w:p>
            <w:pPr>
              <w:spacing w:after="0"/>
              <w:rPr>
                <w:sz w:val="7"/>
                <w:szCs w:val="7"/>
                <w:color w:val="auto"/>
              </w:rPr>
            </w:pPr>
          </w:p>
        </w:tc>
        <w:tc>
          <w:tcPr>
            <w:tcW w:w="1100" w:type="dxa"/>
            <w:vAlign w:val="bottom"/>
            <w:vMerge w:val="restart"/>
            <w:shd w:val="clear" w:color="auto" w:fill="BF2115"/>
          </w:tcPr>
          <w:p>
            <w:pPr>
              <w:jc w:val="center"/>
              <w:ind w:right="25"/>
              <w:spacing w:after="0"/>
              <w:rPr>
                <w:sz w:val="20"/>
                <w:szCs w:val="20"/>
                <w:color w:val="auto"/>
              </w:rPr>
            </w:pPr>
            <w:r>
              <w:rPr>
                <w:rFonts w:ascii="Arial" w:cs="Arial" w:eastAsia="Arial" w:hAnsi="Arial"/>
                <w:sz w:val="11"/>
                <w:szCs w:val="11"/>
                <w:b w:val="1"/>
                <w:bCs w:val="1"/>
                <w:color w:val="FFFFFF"/>
                <w:w w:val="96"/>
              </w:rPr>
              <w:t>or Other Rights</w:t>
            </w:r>
          </w:p>
        </w:tc>
        <w:tc>
          <w:tcPr>
            <w:tcW w:w="0" w:type="dxa"/>
            <w:vAlign w:val="bottom"/>
          </w:tcPr>
          <w:p>
            <w:pPr>
              <w:spacing w:after="0"/>
              <w:rPr>
                <w:sz w:val="1"/>
                <w:szCs w:val="1"/>
                <w:color w:val="auto"/>
              </w:rPr>
            </w:pPr>
          </w:p>
        </w:tc>
      </w:tr>
      <w:tr>
        <w:trPr>
          <w:trHeight w:val="54"/>
        </w:trPr>
        <w:tc>
          <w:tcPr>
            <w:tcW w:w="2220" w:type="dxa"/>
            <w:vAlign w:val="bottom"/>
            <w:shd w:val="clear" w:color="auto" w:fill="BF2115"/>
          </w:tcPr>
          <w:p>
            <w:pPr>
              <w:spacing w:after="0"/>
              <w:rPr>
                <w:sz w:val="4"/>
                <w:szCs w:val="4"/>
                <w:color w:val="auto"/>
              </w:rPr>
            </w:pPr>
          </w:p>
        </w:tc>
        <w:tc>
          <w:tcPr>
            <w:tcW w:w="1180" w:type="dxa"/>
            <w:vAlign w:val="bottom"/>
            <w:gridSpan w:val="2"/>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Options</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Options</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Exercise</w:t>
            </w:r>
          </w:p>
        </w:tc>
        <w:tc>
          <w:tcPr>
            <w:tcW w:w="12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Option</w:t>
            </w:r>
          </w:p>
        </w:tc>
        <w:tc>
          <w:tcPr>
            <w:tcW w:w="840" w:type="dxa"/>
            <w:vAlign w:val="bottom"/>
            <w:vMerge w:val="restart"/>
            <w:shd w:val="clear" w:color="auto" w:fill="BF2115"/>
          </w:tcPr>
          <w:p>
            <w:pPr>
              <w:jc w:val="center"/>
              <w:ind w:right="144"/>
              <w:spacing w:after="0"/>
              <w:rPr>
                <w:sz w:val="20"/>
                <w:szCs w:val="20"/>
                <w:color w:val="auto"/>
              </w:rPr>
            </w:pPr>
            <w:r>
              <w:rPr>
                <w:rFonts w:ascii="Arial" w:cs="Arial" w:eastAsia="Arial" w:hAnsi="Arial"/>
                <w:sz w:val="11"/>
                <w:szCs w:val="11"/>
                <w:b w:val="1"/>
                <w:bCs w:val="1"/>
                <w:color w:val="FFFFFF"/>
              </w:rPr>
              <w:t>Have Not</w:t>
            </w:r>
          </w:p>
        </w:tc>
        <w:tc>
          <w:tcPr>
            <w:tcW w:w="1120" w:type="dxa"/>
            <w:vAlign w:val="bottom"/>
            <w:vMerge w:val="restart"/>
            <w:shd w:val="clear" w:color="auto" w:fill="BF2115"/>
          </w:tcPr>
          <w:p>
            <w:pPr>
              <w:jc w:val="center"/>
              <w:ind w:right="204"/>
              <w:spacing w:after="0"/>
              <w:rPr>
                <w:sz w:val="20"/>
                <w:szCs w:val="20"/>
                <w:color w:val="auto"/>
              </w:rPr>
            </w:pPr>
            <w:r>
              <w:rPr>
                <w:rFonts w:ascii="Arial" w:cs="Arial" w:eastAsia="Arial" w:hAnsi="Arial"/>
                <w:sz w:val="11"/>
                <w:szCs w:val="11"/>
                <w:b w:val="1"/>
                <w:bCs w:val="1"/>
                <w:color w:val="FFFFFF"/>
                <w:w w:val="96"/>
              </w:rPr>
              <w:t>Have Not</w:t>
            </w:r>
          </w:p>
        </w:tc>
        <w:tc>
          <w:tcPr>
            <w:tcW w:w="1180" w:type="dxa"/>
            <w:vAlign w:val="bottom"/>
            <w:vMerge w:val="restart"/>
            <w:shd w:val="clear" w:color="auto" w:fill="BF2115"/>
          </w:tcPr>
          <w:p>
            <w:pPr>
              <w:jc w:val="center"/>
              <w:ind w:right="123"/>
              <w:spacing w:after="0"/>
              <w:rPr>
                <w:sz w:val="20"/>
                <w:szCs w:val="20"/>
                <w:color w:val="auto"/>
              </w:rPr>
            </w:pPr>
            <w:r>
              <w:rPr>
                <w:rFonts w:ascii="Arial" w:cs="Arial" w:eastAsia="Arial" w:hAnsi="Arial"/>
                <w:sz w:val="11"/>
                <w:szCs w:val="11"/>
                <w:b w:val="1"/>
                <w:bCs w:val="1"/>
                <w:color w:val="FFFFFF"/>
                <w:w w:val="98"/>
              </w:rPr>
              <w:t>That Have</w:t>
            </w:r>
          </w:p>
        </w:tc>
        <w:tc>
          <w:tcPr>
            <w:tcW w:w="1100" w:type="dxa"/>
            <w:vAlign w:val="bottom"/>
            <w:vMerge w:val="continue"/>
            <w:shd w:val="clear" w:color="auto" w:fill="BF2115"/>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220" w:type="dxa"/>
            <w:vAlign w:val="bottom"/>
            <w:shd w:val="clear" w:color="auto" w:fill="BF2115"/>
          </w:tcPr>
          <w:p>
            <w:pPr>
              <w:spacing w:after="0"/>
              <w:rPr>
                <w:sz w:val="8"/>
                <w:szCs w:val="8"/>
                <w:color w:val="auto"/>
              </w:rPr>
            </w:pPr>
          </w:p>
        </w:tc>
        <w:tc>
          <w:tcPr>
            <w:tcW w:w="1180" w:type="dxa"/>
            <w:vAlign w:val="bottom"/>
            <w:gridSpan w:val="2"/>
            <w:vMerge w:val="continue"/>
            <w:shd w:val="clear" w:color="auto" w:fill="BF2115"/>
          </w:tcPr>
          <w:p>
            <w:pPr>
              <w:spacing w:after="0"/>
              <w:rPr>
                <w:sz w:val="8"/>
                <w:szCs w:val="8"/>
                <w:color w:val="auto"/>
              </w:rPr>
            </w:pPr>
          </w:p>
        </w:tc>
        <w:tc>
          <w:tcPr>
            <w:tcW w:w="1180" w:type="dxa"/>
            <w:vAlign w:val="bottom"/>
            <w:vMerge w:val="continue"/>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220" w:type="dxa"/>
            <w:vAlign w:val="bottom"/>
            <w:vMerge w:val="continue"/>
            <w:shd w:val="clear" w:color="auto" w:fill="BF2115"/>
          </w:tcPr>
          <w:p>
            <w:pPr>
              <w:spacing w:after="0"/>
              <w:rPr>
                <w:sz w:val="8"/>
                <w:szCs w:val="8"/>
                <w:color w:val="auto"/>
              </w:rPr>
            </w:pPr>
          </w:p>
        </w:tc>
        <w:tc>
          <w:tcPr>
            <w:tcW w:w="840" w:type="dxa"/>
            <w:vAlign w:val="bottom"/>
            <w:vMerge w:val="continue"/>
            <w:shd w:val="clear" w:color="auto" w:fill="BF2115"/>
          </w:tcPr>
          <w:p>
            <w:pPr>
              <w:spacing w:after="0"/>
              <w:rPr>
                <w:sz w:val="8"/>
                <w:szCs w:val="8"/>
                <w:color w:val="auto"/>
              </w:rPr>
            </w:pPr>
          </w:p>
        </w:tc>
        <w:tc>
          <w:tcPr>
            <w:tcW w:w="1120" w:type="dxa"/>
            <w:vAlign w:val="bottom"/>
            <w:vMerge w:val="continue"/>
            <w:shd w:val="clear" w:color="auto" w:fill="BF2115"/>
          </w:tcPr>
          <w:p>
            <w:pPr>
              <w:spacing w:after="0"/>
              <w:rPr>
                <w:sz w:val="8"/>
                <w:szCs w:val="8"/>
                <w:color w:val="auto"/>
              </w:rPr>
            </w:pPr>
          </w:p>
        </w:tc>
        <w:tc>
          <w:tcPr>
            <w:tcW w:w="1180" w:type="dxa"/>
            <w:vAlign w:val="bottom"/>
            <w:vMerge w:val="continue"/>
            <w:shd w:val="clear" w:color="auto" w:fill="BF2115"/>
          </w:tcPr>
          <w:p>
            <w:pPr>
              <w:spacing w:after="0"/>
              <w:rPr>
                <w:sz w:val="8"/>
                <w:szCs w:val="8"/>
                <w:color w:val="auto"/>
              </w:rPr>
            </w:pPr>
          </w:p>
        </w:tc>
        <w:tc>
          <w:tcPr>
            <w:tcW w:w="1100" w:type="dxa"/>
            <w:vAlign w:val="bottom"/>
            <w:vMerge w:val="restart"/>
            <w:shd w:val="clear" w:color="auto" w:fill="BF2115"/>
          </w:tcPr>
          <w:p>
            <w:pPr>
              <w:jc w:val="center"/>
              <w:ind w:right="45"/>
              <w:spacing w:after="0"/>
              <w:rPr>
                <w:sz w:val="20"/>
                <w:szCs w:val="20"/>
                <w:color w:val="auto"/>
              </w:rPr>
            </w:pPr>
            <w:r>
              <w:rPr>
                <w:rFonts w:ascii="Arial" w:cs="Arial" w:eastAsia="Arial" w:hAnsi="Arial"/>
                <w:sz w:val="11"/>
                <w:szCs w:val="11"/>
                <w:b w:val="1"/>
                <w:bCs w:val="1"/>
                <w:color w:val="FFFFFF"/>
                <w:w w:val="98"/>
              </w:rPr>
              <w:t>That Have</w:t>
            </w:r>
          </w:p>
        </w:tc>
        <w:tc>
          <w:tcPr>
            <w:tcW w:w="0" w:type="dxa"/>
            <w:vAlign w:val="bottom"/>
          </w:tcPr>
          <w:p>
            <w:pPr>
              <w:spacing w:after="0"/>
              <w:rPr>
                <w:sz w:val="1"/>
                <w:szCs w:val="1"/>
                <w:color w:val="auto"/>
              </w:rPr>
            </w:pPr>
          </w:p>
        </w:tc>
      </w:tr>
      <w:tr>
        <w:trPr>
          <w:trHeight w:val="40"/>
        </w:trPr>
        <w:tc>
          <w:tcPr>
            <w:tcW w:w="2220" w:type="dxa"/>
            <w:vAlign w:val="bottom"/>
            <w:shd w:val="clear" w:color="auto" w:fill="BF2115"/>
          </w:tcPr>
          <w:p>
            <w:pPr>
              <w:spacing w:after="0"/>
              <w:rPr>
                <w:sz w:val="3"/>
                <w:szCs w:val="3"/>
                <w:color w:val="auto"/>
              </w:rPr>
            </w:pPr>
          </w:p>
        </w:tc>
        <w:tc>
          <w:tcPr>
            <w:tcW w:w="1180" w:type="dxa"/>
            <w:vAlign w:val="bottom"/>
            <w:gridSpan w:val="2"/>
            <w:vMerge w:val="restart"/>
            <w:shd w:val="clear" w:color="auto" w:fill="BF2115"/>
          </w:tcPr>
          <w:p>
            <w:pPr>
              <w:jc w:val="center"/>
              <w:ind w:right="20"/>
              <w:spacing w:after="0"/>
              <w:rPr>
                <w:sz w:val="20"/>
                <w:szCs w:val="20"/>
                <w:color w:val="auto"/>
              </w:rPr>
            </w:pPr>
            <w:r>
              <w:rPr>
                <w:rFonts w:ascii="Arial" w:cs="Arial" w:eastAsia="Arial" w:hAnsi="Arial"/>
                <w:sz w:val="11"/>
                <w:szCs w:val="11"/>
                <w:b w:val="1"/>
                <w:bCs w:val="1"/>
                <w:color w:val="FFFFFF"/>
                <w:w w:val="98"/>
              </w:rPr>
              <w:t>Exercisable</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9"/>
              </w:rPr>
              <w:t>Unexercisable</w:t>
            </w:r>
            <w:r>
              <w:rPr>
                <w:rFonts w:ascii="Arial" w:cs="Arial" w:eastAsia="Arial" w:hAnsi="Arial"/>
                <w:sz w:val="7"/>
                <w:szCs w:val="7"/>
                <w:b w:val="1"/>
                <w:bCs w:val="1"/>
                <w:color w:val="FFFFFF"/>
                <w:w w:val="99"/>
              </w:rPr>
              <w:t>1</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Price</w:t>
            </w:r>
          </w:p>
        </w:tc>
        <w:tc>
          <w:tcPr>
            <w:tcW w:w="12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Expiration</w:t>
            </w:r>
          </w:p>
        </w:tc>
        <w:tc>
          <w:tcPr>
            <w:tcW w:w="840" w:type="dxa"/>
            <w:vAlign w:val="bottom"/>
            <w:vMerge w:val="restart"/>
            <w:shd w:val="clear" w:color="auto" w:fill="BF2115"/>
          </w:tcPr>
          <w:p>
            <w:pPr>
              <w:jc w:val="center"/>
              <w:ind w:right="144"/>
              <w:spacing w:after="0" w:line="151" w:lineRule="exact"/>
              <w:rPr>
                <w:sz w:val="20"/>
                <w:szCs w:val="20"/>
                <w:color w:val="auto"/>
              </w:rPr>
            </w:pPr>
            <w:r>
              <w:rPr>
                <w:rFonts w:ascii="Arial" w:cs="Arial" w:eastAsia="Arial" w:hAnsi="Arial"/>
                <w:sz w:val="11"/>
                <w:szCs w:val="11"/>
                <w:b w:val="1"/>
                <w:bCs w:val="1"/>
                <w:color w:val="FFFFFF"/>
                <w:w w:val="96"/>
              </w:rPr>
              <w:t>Vested</w:t>
            </w:r>
            <w:r>
              <w:rPr>
                <w:rFonts w:ascii="Arial" w:cs="Arial" w:eastAsia="Arial" w:hAnsi="Arial"/>
                <w:sz w:val="14"/>
                <w:szCs w:val="14"/>
                <w:b w:val="1"/>
                <w:bCs w:val="1"/>
                <w:color w:val="FFFFFF"/>
                <w:w w:val="96"/>
                <w:vertAlign w:val="superscript"/>
              </w:rPr>
              <w:t>2</w:t>
            </w:r>
          </w:p>
        </w:tc>
        <w:tc>
          <w:tcPr>
            <w:tcW w:w="1120" w:type="dxa"/>
            <w:vAlign w:val="bottom"/>
            <w:vMerge w:val="restart"/>
            <w:shd w:val="clear" w:color="auto" w:fill="BF2115"/>
          </w:tcPr>
          <w:p>
            <w:pPr>
              <w:jc w:val="center"/>
              <w:ind w:right="204"/>
              <w:spacing w:after="0" w:line="151" w:lineRule="exact"/>
              <w:rPr>
                <w:sz w:val="20"/>
                <w:szCs w:val="20"/>
                <w:color w:val="auto"/>
              </w:rPr>
            </w:pPr>
            <w:r>
              <w:rPr>
                <w:rFonts w:ascii="Arial" w:cs="Arial" w:eastAsia="Arial" w:hAnsi="Arial"/>
                <w:sz w:val="11"/>
                <w:szCs w:val="11"/>
                <w:b w:val="1"/>
                <w:bCs w:val="1"/>
                <w:color w:val="FFFFFF"/>
                <w:w w:val="91"/>
              </w:rPr>
              <w:t>Vested</w:t>
            </w:r>
            <w:r>
              <w:rPr>
                <w:rFonts w:ascii="Arial" w:cs="Arial" w:eastAsia="Arial" w:hAnsi="Arial"/>
                <w:sz w:val="14"/>
                <w:szCs w:val="14"/>
                <w:b w:val="1"/>
                <w:bCs w:val="1"/>
                <w:color w:val="FFFFFF"/>
                <w:w w:val="91"/>
                <w:vertAlign w:val="superscript"/>
              </w:rPr>
              <w:t>3</w:t>
            </w:r>
          </w:p>
        </w:tc>
        <w:tc>
          <w:tcPr>
            <w:tcW w:w="1180" w:type="dxa"/>
            <w:vAlign w:val="bottom"/>
            <w:vMerge w:val="restart"/>
            <w:shd w:val="clear" w:color="auto" w:fill="BF2115"/>
          </w:tcPr>
          <w:p>
            <w:pPr>
              <w:jc w:val="center"/>
              <w:ind w:right="123"/>
              <w:spacing w:after="0" w:line="151" w:lineRule="exact"/>
              <w:rPr>
                <w:sz w:val="20"/>
                <w:szCs w:val="20"/>
                <w:color w:val="auto"/>
              </w:rPr>
            </w:pPr>
            <w:r>
              <w:rPr>
                <w:rFonts w:ascii="Arial" w:cs="Arial" w:eastAsia="Arial" w:hAnsi="Arial"/>
                <w:sz w:val="11"/>
                <w:szCs w:val="11"/>
                <w:b w:val="1"/>
                <w:bCs w:val="1"/>
                <w:color w:val="FFFFFF"/>
                <w:w w:val="95"/>
              </w:rPr>
              <w:t>Not Vested</w:t>
            </w:r>
            <w:r>
              <w:rPr>
                <w:rFonts w:ascii="Arial" w:cs="Arial" w:eastAsia="Arial" w:hAnsi="Arial"/>
                <w:sz w:val="14"/>
                <w:szCs w:val="14"/>
                <w:b w:val="1"/>
                <w:bCs w:val="1"/>
                <w:color w:val="FFFFFF"/>
                <w:w w:val="95"/>
                <w:vertAlign w:val="superscript"/>
              </w:rPr>
              <w:t>4</w:t>
            </w:r>
          </w:p>
        </w:tc>
        <w:tc>
          <w:tcPr>
            <w:tcW w:w="110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2220" w:type="dxa"/>
            <w:vAlign w:val="bottom"/>
            <w:shd w:val="clear" w:color="auto" w:fill="BF2115"/>
          </w:tcPr>
          <w:p>
            <w:pPr>
              <w:spacing w:after="0"/>
              <w:rPr>
                <w:sz w:val="9"/>
                <w:szCs w:val="9"/>
                <w:color w:val="auto"/>
              </w:rPr>
            </w:pPr>
          </w:p>
        </w:tc>
        <w:tc>
          <w:tcPr>
            <w:tcW w:w="1180" w:type="dxa"/>
            <w:vAlign w:val="bottom"/>
            <w:gridSpan w:val="2"/>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220" w:type="dxa"/>
            <w:vAlign w:val="bottom"/>
            <w:vMerge w:val="continue"/>
            <w:shd w:val="clear" w:color="auto" w:fill="BF2115"/>
          </w:tcPr>
          <w:p>
            <w:pPr>
              <w:spacing w:after="0"/>
              <w:rPr>
                <w:sz w:val="9"/>
                <w:szCs w:val="9"/>
                <w:color w:val="auto"/>
              </w:rPr>
            </w:pPr>
          </w:p>
        </w:tc>
        <w:tc>
          <w:tcPr>
            <w:tcW w:w="840" w:type="dxa"/>
            <w:vAlign w:val="bottom"/>
            <w:vMerge w:val="continue"/>
            <w:shd w:val="clear" w:color="auto" w:fill="BF2115"/>
          </w:tcPr>
          <w:p>
            <w:pPr>
              <w:spacing w:after="0"/>
              <w:rPr>
                <w:sz w:val="9"/>
                <w:szCs w:val="9"/>
                <w:color w:val="auto"/>
              </w:rPr>
            </w:pPr>
          </w:p>
        </w:tc>
        <w:tc>
          <w:tcPr>
            <w:tcW w:w="112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1100" w:type="dxa"/>
            <w:vAlign w:val="bottom"/>
            <w:shd w:val="clear" w:color="auto" w:fill="BF2115"/>
          </w:tcPr>
          <w:p>
            <w:pPr>
              <w:jc w:val="center"/>
              <w:ind w:right="45"/>
              <w:spacing w:after="0" w:line="110" w:lineRule="exact"/>
              <w:rPr>
                <w:sz w:val="20"/>
                <w:szCs w:val="20"/>
                <w:color w:val="auto"/>
              </w:rPr>
            </w:pPr>
            <w:r>
              <w:rPr>
                <w:rFonts w:ascii="Arial" w:cs="Arial" w:eastAsia="Arial" w:hAnsi="Arial"/>
                <w:sz w:val="9"/>
                <w:szCs w:val="9"/>
                <w:b w:val="1"/>
                <w:bCs w:val="1"/>
                <w:color w:val="FFFFFF"/>
              </w:rPr>
              <w:t>Not Vested</w:t>
            </w:r>
            <w:r>
              <w:rPr>
                <w:rFonts w:ascii="Arial" w:cs="Arial" w:eastAsia="Arial" w:hAnsi="Arial"/>
                <w:sz w:val="12"/>
                <w:szCs w:val="12"/>
                <w:b w:val="1"/>
                <w:bCs w:val="1"/>
                <w:color w:val="FFFFFF"/>
                <w:vertAlign w:val="superscript"/>
              </w:rPr>
              <w:t>5</w:t>
            </w:r>
          </w:p>
        </w:tc>
        <w:tc>
          <w:tcPr>
            <w:tcW w:w="0" w:type="dxa"/>
            <w:vAlign w:val="bottom"/>
          </w:tcPr>
          <w:p>
            <w:pPr>
              <w:spacing w:after="0"/>
              <w:rPr>
                <w:sz w:val="1"/>
                <w:szCs w:val="1"/>
                <w:color w:val="auto"/>
              </w:rPr>
            </w:pPr>
          </w:p>
        </w:tc>
      </w:tr>
      <w:tr>
        <w:trPr>
          <w:trHeight w:val="129"/>
        </w:trPr>
        <w:tc>
          <w:tcPr>
            <w:tcW w:w="2220" w:type="dxa"/>
            <w:vAlign w:val="bottom"/>
            <w:tcBorders>
              <w:bottom w:val="single" w:sz="8" w:color="BF2115"/>
            </w:tcBorders>
            <w:shd w:val="clear" w:color="auto" w:fill="BF2115"/>
          </w:tcPr>
          <w:p>
            <w:pPr>
              <w:ind w:left="20"/>
              <w:spacing w:after="0"/>
              <w:rPr>
                <w:sz w:val="20"/>
                <w:szCs w:val="20"/>
                <w:color w:val="auto"/>
              </w:rPr>
            </w:pPr>
            <w:r>
              <w:rPr>
                <w:rFonts w:ascii="Arial" w:cs="Arial" w:eastAsia="Arial" w:hAnsi="Arial"/>
                <w:sz w:val="11"/>
                <w:szCs w:val="11"/>
                <w:b w:val="1"/>
                <w:bCs w:val="1"/>
                <w:color w:val="FFFFFF"/>
              </w:rPr>
              <w:t>Name</w:t>
            </w:r>
          </w:p>
        </w:tc>
        <w:tc>
          <w:tcPr>
            <w:tcW w:w="114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1"/>
                <w:szCs w:val="11"/>
                <w:b w:val="1"/>
                <w:bCs w:val="1"/>
                <w:color w:val="FFFFFF"/>
              </w:rPr>
              <w:t>(#)</w:t>
            </w:r>
          </w:p>
        </w:tc>
        <w:tc>
          <w:tcPr>
            <w:tcW w:w="40" w:type="dxa"/>
            <w:vAlign w:val="bottom"/>
            <w:tcBorders>
              <w:bottom w:val="single" w:sz="8" w:color="BF2115"/>
            </w:tcBorders>
            <w:shd w:val="clear" w:color="auto" w:fill="BF2115"/>
          </w:tcPr>
          <w:p>
            <w:pPr>
              <w:spacing w:after="0"/>
              <w:rPr>
                <w:sz w:val="11"/>
                <w:szCs w:val="11"/>
                <w:color w:val="auto"/>
              </w:rPr>
            </w:pPr>
          </w:p>
        </w:tc>
        <w:tc>
          <w:tcPr>
            <w:tcW w:w="118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1"/>
                <w:szCs w:val="11"/>
                <w:b w:val="1"/>
                <w:bCs w:val="1"/>
                <w:color w:val="FFFFFF"/>
              </w:rPr>
              <w:t>(#)</w:t>
            </w:r>
          </w:p>
        </w:tc>
        <w:tc>
          <w:tcPr>
            <w:tcW w:w="120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1"/>
                <w:szCs w:val="11"/>
                <w:b w:val="1"/>
                <w:bCs w:val="1"/>
                <w:color w:val="FFFFFF"/>
                <w:w w:val="88"/>
              </w:rPr>
              <w:t>($)</w:t>
            </w:r>
          </w:p>
        </w:tc>
        <w:tc>
          <w:tcPr>
            <w:tcW w:w="122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1"/>
                <w:szCs w:val="11"/>
                <w:b w:val="1"/>
                <w:bCs w:val="1"/>
                <w:color w:val="FFFFFF"/>
              </w:rPr>
              <w:t>Date</w:t>
            </w:r>
          </w:p>
        </w:tc>
        <w:tc>
          <w:tcPr>
            <w:tcW w:w="840" w:type="dxa"/>
            <w:vAlign w:val="bottom"/>
            <w:tcBorders>
              <w:bottom w:val="single" w:sz="8" w:color="BF2115"/>
            </w:tcBorders>
            <w:shd w:val="clear" w:color="auto" w:fill="BF2115"/>
          </w:tcPr>
          <w:p>
            <w:pPr>
              <w:jc w:val="center"/>
              <w:ind w:right="144"/>
              <w:spacing w:after="0"/>
              <w:rPr>
                <w:sz w:val="20"/>
                <w:szCs w:val="20"/>
                <w:color w:val="auto"/>
              </w:rPr>
            </w:pPr>
            <w:r>
              <w:rPr>
                <w:rFonts w:ascii="Arial" w:cs="Arial" w:eastAsia="Arial" w:hAnsi="Arial"/>
                <w:sz w:val="11"/>
                <w:szCs w:val="11"/>
                <w:b w:val="1"/>
                <w:bCs w:val="1"/>
                <w:color w:val="FFFFFF"/>
                <w:w w:val="88"/>
              </w:rPr>
              <w:t>(#)</w:t>
            </w:r>
          </w:p>
        </w:tc>
        <w:tc>
          <w:tcPr>
            <w:tcW w:w="1120" w:type="dxa"/>
            <w:vAlign w:val="bottom"/>
            <w:tcBorders>
              <w:bottom w:val="single" w:sz="8" w:color="BF2115"/>
            </w:tcBorders>
            <w:shd w:val="clear" w:color="auto" w:fill="BF2115"/>
          </w:tcPr>
          <w:p>
            <w:pPr>
              <w:jc w:val="center"/>
              <w:ind w:right="204"/>
              <w:spacing w:after="0"/>
              <w:rPr>
                <w:sz w:val="20"/>
                <w:szCs w:val="20"/>
                <w:color w:val="auto"/>
              </w:rPr>
            </w:pPr>
            <w:r>
              <w:rPr>
                <w:rFonts w:ascii="Arial" w:cs="Arial" w:eastAsia="Arial" w:hAnsi="Arial"/>
                <w:sz w:val="11"/>
                <w:szCs w:val="11"/>
                <w:b w:val="1"/>
                <w:bCs w:val="1"/>
                <w:color w:val="FFFFFF"/>
              </w:rPr>
              <w:t>($)</w:t>
            </w:r>
          </w:p>
        </w:tc>
        <w:tc>
          <w:tcPr>
            <w:tcW w:w="1180" w:type="dxa"/>
            <w:vAlign w:val="bottom"/>
            <w:tcBorders>
              <w:bottom w:val="single" w:sz="8" w:color="BF2115"/>
            </w:tcBorders>
            <w:shd w:val="clear" w:color="auto" w:fill="BF2115"/>
          </w:tcPr>
          <w:p>
            <w:pPr>
              <w:jc w:val="center"/>
              <w:ind w:right="123"/>
              <w:spacing w:after="0"/>
              <w:rPr>
                <w:sz w:val="20"/>
                <w:szCs w:val="20"/>
                <w:color w:val="auto"/>
              </w:rPr>
            </w:pPr>
            <w:r>
              <w:rPr>
                <w:rFonts w:ascii="Arial" w:cs="Arial" w:eastAsia="Arial" w:hAnsi="Arial"/>
                <w:sz w:val="11"/>
                <w:szCs w:val="11"/>
                <w:b w:val="1"/>
                <w:bCs w:val="1"/>
                <w:color w:val="FFFFFF"/>
                <w:w w:val="88"/>
              </w:rPr>
              <w:t>(#)</w:t>
            </w:r>
          </w:p>
        </w:tc>
        <w:tc>
          <w:tcPr>
            <w:tcW w:w="1100" w:type="dxa"/>
            <w:vAlign w:val="bottom"/>
            <w:tcBorders>
              <w:bottom w:val="single" w:sz="8" w:color="BF2115"/>
            </w:tcBorders>
            <w:shd w:val="clear" w:color="auto" w:fill="BF2115"/>
          </w:tcPr>
          <w:p>
            <w:pPr>
              <w:jc w:val="center"/>
              <w:ind w:right="45"/>
              <w:spacing w:after="0"/>
              <w:rPr>
                <w:sz w:val="20"/>
                <w:szCs w:val="20"/>
                <w:color w:val="auto"/>
              </w:rPr>
            </w:pPr>
            <w:r>
              <w:rPr>
                <w:rFonts w:ascii="Arial" w:cs="Arial" w:eastAsia="Arial" w:hAnsi="Arial"/>
                <w:sz w:val="7"/>
                <w:szCs w:val="7"/>
                <w:b w:val="1"/>
                <w:bCs w:val="1"/>
                <w:color w:val="FFFFFF"/>
                <w:w w:val="92"/>
              </w:rPr>
              <w:t>($)</w:t>
            </w: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rPr>
                <w:sz w:val="20"/>
                <w:szCs w:val="20"/>
                <w:color w:val="auto"/>
              </w:rPr>
            </w:pPr>
            <w:r>
              <w:rPr>
                <w:rFonts w:ascii="Arial" w:cs="Arial" w:eastAsia="Arial" w:hAnsi="Arial"/>
                <w:sz w:val="13"/>
                <w:szCs w:val="13"/>
                <w:color w:val="auto"/>
              </w:rPr>
              <w:t>Richard M. Olson</w:t>
            </w: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20,000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31.3750</w:t>
            </w:r>
          </w:p>
        </w:tc>
        <w:tc>
          <w:tcPr>
            <w:tcW w:w="1220" w:type="dxa"/>
            <w:vAlign w:val="bottom"/>
          </w:tcPr>
          <w:p>
            <w:pPr>
              <w:jc w:val="right"/>
              <w:spacing w:after="0"/>
              <w:rPr>
                <w:sz w:val="20"/>
                <w:szCs w:val="20"/>
                <w:color w:val="auto"/>
              </w:rPr>
            </w:pPr>
            <w:r>
              <w:rPr>
                <w:rFonts w:ascii="Arial" w:cs="Arial" w:eastAsia="Arial" w:hAnsi="Arial"/>
                <w:sz w:val="13"/>
                <w:szCs w:val="13"/>
                <w:color w:val="auto"/>
              </w:rPr>
              <w:t>12/05/2024</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2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44,400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38.8200</w:t>
            </w:r>
          </w:p>
        </w:tc>
        <w:tc>
          <w:tcPr>
            <w:tcW w:w="1220" w:type="dxa"/>
            <w:vAlign w:val="bottom"/>
          </w:tcPr>
          <w:p>
            <w:pPr>
              <w:jc w:val="right"/>
              <w:spacing w:after="0"/>
              <w:rPr>
                <w:sz w:val="20"/>
                <w:szCs w:val="20"/>
                <w:color w:val="auto"/>
              </w:rPr>
            </w:pPr>
            <w:r>
              <w:rPr>
                <w:rFonts w:ascii="Arial" w:cs="Arial" w:eastAsia="Arial" w:hAnsi="Arial"/>
                <w:sz w:val="13"/>
                <w:szCs w:val="13"/>
                <w:color w:val="auto"/>
              </w:rPr>
              <w:t>12/04/2025</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119,400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56.5400</w:t>
            </w:r>
          </w:p>
        </w:tc>
        <w:tc>
          <w:tcPr>
            <w:tcW w:w="1220" w:type="dxa"/>
            <w:vAlign w:val="bottom"/>
          </w:tcPr>
          <w:p>
            <w:pPr>
              <w:jc w:val="right"/>
              <w:spacing w:after="0"/>
              <w:rPr>
                <w:sz w:val="20"/>
                <w:szCs w:val="20"/>
                <w:color w:val="auto"/>
              </w:rPr>
            </w:pPr>
            <w:r>
              <w:rPr>
                <w:rFonts w:ascii="Arial" w:cs="Arial" w:eastAsia="Arial" w:hAnsi="Arial"/>
                <w:sz w:val="13"/>
                <w:szCs w:val="13"/>
                <w:color w:val="auto"/>
              </w:rPr>
              <w:t>12/09/2026</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102,400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65.9300</w:t>
            </w:r>
          </w:p>
        </w:tc>
        <w:tc>
          <w:tcPr>
            <w:tcW w:w="1220" w:type="dxa"/>
            <w:vAlign w:val="bottom"/>
          </w:tcPr>
          <w:p>
            <w:pPr>
              <w:jc w:val="right"/>
              <w:spacing w:after="0"/>
              <w:rPr>
                <w:sz w:val="20"/>
                <w:szCs w:val="20"/>
                <w:color w:val="auto"/>
              </w:rPr>
            </w:pPr>
            <w:r>
              <w:rPr>
                <w:rFonts w:ascii="Arial" w:cs="Arial" w:eastAsia="Arial" w:hAnsi="Arial"/>
                <w:sz w:val="13"/>
                <w:szCs w:val="13"/>
                <w:color w:val="auto"/>
              </w:rPr>
              <w:t>12/08/2027</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137,100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58.5300</w:t>
            </w:r>
          </w:p>
        </w:tc>
        <w:tc>
          <w:tcPr>
            <w:tcW w:w="1220" w:type="dxa"/>
            <w:vAlign w:val="bottom"/>
          </w:tcPr>
          <w:p>
            <w:pPr>
              <w:jc w:val="right"/>
              <w:spacing w:after="0"/>
              <w:rPr>
                <w:sz w:val="20"/>
                <w:szCs w:val="20"/>
                <w:color w:val="auto"/>
              </w:rPr>
            </w:pPr>
            <w:r>
              <w:rPr>
                <w:rFonts w:ascii="Arial" w:cs="Arial" w:eastAsia="Arial" w:hAnsi="Arial"/>
                <w:sz w:val="13"/>
                <w:szCs w:val="13"/>
                <w:color w:val="auto"/>
              </w:rPr>
              <w:t>12/07/2028</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152,900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76.5300</w:t>
            </w:r>
          </w:p>
        </w:tc>
        <w:tc>
          <w:tcPr>
            <w:tcW w:w="1220" w:type="dxa"/>
            <w:vAlign w:val="bottom"/>
          </w:tcPr>
          <w:p>
            <w:pPr>
              <w:jc w:val="right"/>
              <w:spacing w:after="0"/>
              <w:rPr>
                <w:sz w:val="20"/>
                <w:szCs w:val="20"/>
                <w:color w:val="auto"/>
              </w:rPr>
            </w:pPr>
            <w:r>
              <w:rPr>
                <w:rFonts w:ascii="Arial" w:cs="Arial" w:eastAsia="Arial" w:hAnsi="Arial"/>
                <w:sz w:val="13"/>
                <w:szCs w:val="13"/>
                <w:color w:val="auto"/>
              </w:rPr>
              <w:t>12/19/2029</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89,534</w:t>
            </w:r>
          </w:p>
        </w:tc>
        <w:tc>
          <w:tcPr>
            <w:tcW w:w="1180" w:type="dxa"/>
            <w:vAlign w:val="bottom"/>
          </w:tcPr>
          <w:p>
            <w:pPr>
              <w:jc w:val="right"/>
              <w:spacing w:after="0"/>
              <w:rPr>
                <w:sz w:val="20"/>
                <w:szCs w:val="20"/>
                <w:color w:val="auto"/>
              </w:rPr>
            </w:pPr>
            <w:r>
              <w:rPr>
                <w:rFonts w:ascii="Arial" w:cs="Arial" w:eastAsia="Arial" w:hAnsi="Arial"/>
                <w:sz w:val="13"/>
                <w:szCs w:val="13"/>
                <w:color w:val="auto"/>
              </w:rPr>
              <w:t>44,767</w:t>
            </w:r>
          </w:p>
        </w:tc>
        <w:tc>
          <w:tcPr>
            <w:tcW w:w="1200" w:type="dxa"/>
            <w:vAlign w:val="bottom"/>
          </w:tcPr>
          <w:p>
            <w:pPr>
              <w:jc w:val="right"/>
              <w:spacing w:after="0"/>
              <w:rPr>
                <w:sz w:val="20"/>
                <w:szCs w:val="20"/>
                <w:color w:val="auto"/>
              </w:rPr>
            </w:pPr>
            <w:r>
              <w:rPr>
                <w:rFonts w:ascii="Arial" w:cs="Arial" w:eastAsia="Arial" w:hAnsi="Arial"/>
                <w:sz w:val="13"/>
                <w:szCs w:val="13"/>
                <w:color w:val="auto"/>
              </w:rPr>
              <w:t>93.3300</w:t>
            </w:r>
          </w:p>
        </w:tc>
        <w:tc>
          <w:tcPr>
            <w:tcW w:w="1220" w:type="dxa"/>
            <w:vAlign w:val="bottom"/>
          </w:tcPr>
          <w:p>
            <w:pPr>
              <w:jc w:val="right"/>
              <w:spacing w:after="0"/>
              <w:rPr>
                <w:sz w:val="20"/>
                <w:szCs w:val="20"/>
                <w:color w:val="auto"/>
              </w:rPr>
            </w:pPr>
            <w:r>
              <w:rPr>
                <w:rFonts w:ascii="Arial" w:cs="Arial" w:eastAsia="Arial" w:hAnsi="Arial"/>
                <w:sz w:val="13"/>
                <w:szCs w:val="13"/>
                <w:color w:val="auto"/>
              </w:rPr>
              <w:t>12/17/2030</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36,366</w:t>
            </w:r>
          </w:p>
        </w:tc>
        <w:tc>
          <w:tcPr>
            <w:tcW w:w="1180" w:type="dxa"/>
            <w:vAlign w:val="bottom"/>
          </w:tcPr>
          <w:p>
            <w:pPr>
              <w:jc w:val="right"/>
              <w:spacing w:after="0"/>
              <w:rPr>
                <w:sz w:val="20"/>
                <w:szCs w:val="20"/>
                <w:color w:val="auto"/>
              </w:rPr>
            </w:pPr>
            <w:r>
              <w:rPr>
                <w:rFonts w:ascii="Arial" w:cs="Arial" w:eastAsia="Arial" w:hAnsi="Arial"/>
                <w:sz w:val="13"/>
                <w:szCs w:val="13"/>
                <w:color w:val="auto"/>
              </w:rPr>
              <w:t>72,734</w:t>
            </w:r>
          </w:p>
        </w:tc>
        <w:tc>
          <w:tcPr>
            <w:tcW w:w="1200" w:type="dxa"/>
            <w:vAlign w:val="bottom"/>
          </w:tcPr>
          <w:p>
            <w:pPr>
              <w:jc w:val="right"/>
              <w:spacing w:after="0"/>
              <w:rPr>
                <w:sz w:val="20"/>
                <w:szCs w:val="20"/>
                <w:color w:val="auto"/>
              </w:rPr>
            </w:pPr>
            <w:r>
              <w:rPr>
                <w:rFonts w:ascii="Arial" w:cs="Arial" w:eastAsia="Arial" w:hAnsi="Arial"/>
                <w:sz w:val="13"/>
                <w:szCs w:val="13"/>
                <w:color w:val="auto"/>
              </w:rPr>
              <w:t>99.3400</w:t>
            </w:r>
          </w:p>
        </w:tc>
        <w:tc>
          <w:tcPr>
            <w:tcW w:w="1220" w:type="dxa"/>
            <w:vAlign w:val="bottom"/>
          </w:tcPr>
          <w:p>
            <w:pPr>
              <w:jc w:val="right"/>
              <w:spacing w:after="0"/>
              <w:rPr>
                <w:sz w:val="20"/>
                <w:szCs w:val="20"/>
                <w:color w:val="auto"/>
              </w:rPr>
            </w:pPr>
            <w:r>
              <w:rPr>
                <w:rFonts w:ascii="Arial" w:cs="Arial" w:eastAsia="Arial" w:hAnsi="Arial"/>
                <w:sz w:val="13"/>
                <w:szCs w:val="13"/>
                <w:color w:val="auto"/>
              </w:rPr>
              <w:t>12/16/2031</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0</w:t>
            </w:r>
          </w:p>
        </w:tc>
        <w:tc>
          <w:tcPr>
            <w:tcW w:w="1180" w:type="dxa"/>
            <w:vAlign w:val="bottom"/>
          </w:tcPr>
          <w:p>
            <w:pPr>
              <w:jc w:val="right"/>
              <w:spacing w:after="0"/>
              <w:rPr>
                <w:sz w:val="20"/>
                <w:szCs w:val="20"/>
                <w:color w:val="auto"/>
              </w:rPr>
            </w:pPr>
            <w:r>
              <w:rPr>
                <w:rFonts w:ascii="Arial" w:cs="Arial" w:eastAsia="Arial" w:hAnsi="Arial"/>
                <w:sz w:val="13"/>
                <w:szCs w:val="13"/>
                <w:color w:val="auto"/>
              </w:rPr>
              <w:t>109,200</w:t>
            </w:r>
          </w:p>
        </w:tc>
        <w:tc>
          <w:tcPr>
            <w:tcW w:w="1200" w:type="dxa"/>
            <w:vAlign w:val="bottom"/>
          </w:tcPr>
          <w:p>
            <w:pPr>
              <w:jc w:val="right"/>
              <w:spacing w:after="0"/>
              <w:rPr>
                <w:sz w:val="20"/>
                <w:szCs w:val="20"/>
                <w:color w:val="auto"/>
              </w:rPr>
            </w:pPr>
            <w:r>
              <w:rPr>
                <w:rFonts w:ascii="Arial" w:cs="Arial" w:eastAsia="Arial" w:hAnsi="Arial"/>
                <w:sz w:val="13"/>
                <w:szCs w:val="13"/>
                <w:color w:val="auto"/>
              </w:rPr>
              <w:t>111.1500</w:t>
            </w:r>
          </w:p>
        </w:tc>
        <w:tc>
          <w:tcPr>
            <w:tcW w:w="1220" w:type="dxa"/>
            <w:vAlign w:val="bottom"/>
          </w:tcPr>
          <w:p>
            <w:pPr>
              <w:jc w:val="right"/>
              <w:spacing w:after="0"/>
              <w:rPr>
                <w:sz w:val="20"/>
                <w:szCs w:val="20"/>
                <w:color w:val="auto"/>
              </w:rPr>
            </w:pPr>
            <w:r>
              <w:rPr>
                <w:rFonts w:ascii="Arial" w:cs="Arial" w:eastAsia="Arial" w:hAnsi="Arial"/>
                <w:sz w:val="13"/>
                <w:szCs w:val="13"/>
                <w:color w:val="auto"/>
              </w:rPr>
              <w:t>12/22/2032</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100"/>
              <w:spacing w:after="0"/>
              <w:rPr>
                <w:sz w:val="20"/>
                <w:szCs w:val="20"/>
                <w:color w:val="auto"/>
              </w:rPr>
            </w:pPr>
            <w:r>
              <w:rPr>
                <w:rFonts w:ascii="Arial" w:cs="Arial" w:eastAsia="Arial" w:hAnsi="Arial"/>
                <w:sz w:val="13"/>
                <w:szCs w:val="13"/>
                <w:color w:val="auto"/>
              </w:rPr>
              <w:t>F22-F24 Performance Shares</w:t>
            </w: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jc w:val="right"/>
              <w:ind w:right="43"/>
              <w:spacing w:after="0"/>
              <w:rPr>
                <w:sz w:val="20"/>
                <w:szCs w:val="20"/>
                <w:color w:val="auto"/>
              </w:rPr>
            </w:pPr>
            <w:r>
              <w:rPr>
                <w:rFonts w:ascii="Arial" w:cs="Arial" w:eastAsia="Arial" w:hAnsi="Arial"/>
                <w:sz w:val="13"/>
                <w:szCs w:val="13"/>
                <w:color w:val="auto"/>
              </w:rPr>
              <w:t>20,999</w:t>
            </w:r>
          </w:p>
        </w:tc>
        <w:tc>
          <w:tcPr>
            <w:tcW w:w="1100" w:type="dxa"/>
            <w:vAlign w:val="bottom"/>
          </w:tcPr>
          <w:p>
            <w:pPr>
              <w:jc w:val="right"/>
              <w:spacing w:after="0"/>
              <w:rPr>
                <w:sz w:val="20"/>
                <w:szCs w:val="20"/>
                <w:color w:val="auto"/>
              </w:rPr>
            </w:pPr>
            <w:r>
              <w:rPr>
                <w:rFonts w:ascii="Arial" w:cs="Arial" w:eastAsia="Arial" w:hAnsi="Arial"/>
                <w:sz w:val="13"/>
                <w:szCs w:val="13"/>
                <w:color w:val="auto"/>
              </w:rPr>
              <w:t>1,697,559</w:t>
            </w:r>
          </w:p>
        </w:tc>
        <w:tc>
          <w:tcPr>
            <w:tcW w:w="0" w:type="dxa"/>
            <w:vAlign w:val="bottom"/>
          </w:tcPr>
          <w:p>
            <w:pPr>
              <w:spacing w:after="0"/>
              <w:rPr>
                <w:sz w:val="1"/>
                <w:szCs w:val="1"/>
                <w:color w:val="auto"/>
              </w:rPr>
            </w:pPr>
          </w:p>
        </w:tc>
      </w:tr>
      <w:tr>
        <w:trPr>
          <w:trHeight w:val="203"/>
        </w:trPr>
        <w:tc>
          <w:tcPr>
            <w:tcW w:w="2220" w:type="dxa"/>
            <w:vAlign w:val="bottom"/>
          </w:tcPr>
          <w:p>
            <w:pPr>
              <w:ind w:left="100"/>
              <w:spacing w:after="0"/>
              <w:rPr>
                <w:sz w:val="20"/>
                <w:szCs w:val="20"/>
                <w:color w:val="auto"/>
              </w:rPr>
            </w:pPr>
            <w:r>
              <w:rPr>
                <w:rFonts w:ascii="Arial" w:cs="Arial" w:eastAsia="Arial" w:hAnsi="Arial"/>
                <w:sz w:val="13"/>
                <w:szCs w:val="13"/>
                <w:color w:val="auto"/>
              </w:rPr>
              <w:t>F23-F25 Performance Shares</w:t>
            </w: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jc w:val="right"/>
              <w:ind w:right="43"/>
              <w:spacing w:after="0"/>
              <w:rPr>
                <w:sz w:val="20"/>
                <w:szCs w:val="20"/>
                <w:color w:val="auto"/>
              </w:rPr>
            </w:pPr>
            <w:r>
              <w:rPr>
                <w:rFonts w:ascii="Arial" w:cs="Arial" w:eastAsia="Arial" w:hAnsi="Arial"/>
                <w:sz w:val="13"/>
                <w:szCs w:val="13"/>
                <w:color w:val="auto"/>
              </w:rPr>
              <w:t>16,371</w:t>
            </w:r>
          </w:p>
        </w:tc>
        <w:tc>
          <w:tcPr>
            <w:tcW w:w="1100" w:type="dxa"/>
            <w:vAlign w:val="bottom"/>
          </w:tcPr>
          <w:p>
            <w:pPr>
              <w:jc w:val="right"/>
              <w:spacing w:after="0"/>
              <w:rPr>
                <w:sz w:val="20"/>
                <w:szCs w:val="20"/>
                <w:color w:val="auto"/>
              </w:rPr>
            </w:pPr>
            <w:r>
              <w:rPr>
                <w:rFonts w:ascii="Arial" w:cs="Arial" w:eastAsia="Arial" w:hAnsi="Arial"/>
                <w:sz w:val="13"/>
                <w:szCs w:val="13"/>
                <w:color w:val="auto"/>
              </w:rPr>
              <w:t>1,323,432</w:t>
            </w:r>
          </w:p>
        </w:tc>
        <w:tc>
          <w:tcPr>
            <w:tcW w:w="0" w:type="dxa"/>
            <w:vAlign w:val="bottom"/>
          </w:tcPr>
          <w:p>
            <w:pPr>
              <w:spacing w:after="0"/>
              <w:rPr>
                <w:sz w:val="1"/>
                <w:szCs w:val="1"/>
                <w:color w:val="auto"/>
              </w:rPr>
            </w:pPr>
          </w:p>
        </w:tc>
      </w:tr>
      <w:tr>
        <w:trPr>
          <w:trHeight w:val="28"/>
        </w:trPr>
        <w:tc>
          <w:tcPr>
            <w:tcW w:w="2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2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Angela C. Drake</w:t>
            </w:r>
          </w:p>
        </w:tc>
        <w:tc>
          <w:tcPr>
            <w:tcW w:w="114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ind w:left="100"/>
              <w:spacing w:after="0"/>
              <w:rPr>
                <w:sz w:val="20"/>
                <w:szCs w:val="20"/>
                <w:color w:val="auto"/>
              </w:rPr>
            </w:pPr>
            <w:r>
              <w:rPr>
                <w:rFonts w:ascii="Arial" w:cs="Arial" w:eastAsia="Arial" w:hAnsi="Arial"/>
                <w:sz w:val="13"/>
                <w:szCs w:val="13"/>
                <w:color w:val="auto"/>
              </w:rPr>
              <w:t>Stock Options</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1,634</w:t>
            </w:r>
          </w:p>
        </w:tc>
        <w:tc>
          <w:tcPr>
            <w:tcW w:w="4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76.5300</w:t>
            </w: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12/19/2029</w:t>
            </w:r>
          </w:p>
        </w:tc>
        <w:tc>
          <w:tcPr>
            <w:tcW w:w="84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5,000</w:t>
            </w:r>
          </w:p>
        </w:tc>
        <w:tc>
          <w:tcPr>
            <w:tcW w:w="40" w:type="dxa"/>
            <w:vAlign w:val="bottom"/>
            <w:shd w:val="clear" w:color="auto" w:fill="DBDBDB"/>
          </w:tcPr>
          <w:p>
            <w:pPr>
              <w:spacing w:after="0"/>
              <w:rPr>
                <w:sz w:val="17"/>
                <w:szCs w:val="17"/>
                <w:color w:val="auto"/>
              </w:rPr>
            </w:pPr>
          </w:p>
        </w:tc>
        <w:tc>
          <w:tcPr>
            <w:tcW w:w="1180" w:type="dxa"/>
            <w:vAlign w:val="bottom"/>
            <w:shd w:val="clear" w:color="auto" w:fill="DBDBDB"/>
          </w:tcPr>
          <w:p>
            <w:pPr>
              <w:ind w:left="800"/>
              <w:spacing w:after="0"/>
              <w:rPr>
                <w:sz w:val="20"/>
                <w:szCs w:val="20"/>
                <w:color w:val="auto"/>
              </w:rPr>
            </w:pPr>
            <w:r>
              <w:rPr>
                <w:rFonts w:ascii="Arial" w:cs="Arial" w:eastAsia="Arial" w:hAnsi="Arial"/>
                <w:sz w:val="13"/>
                <w:szCs w:val="13"/>
                <w:color w:val="auto"/>
              </w:rPr>
              <w:t>2,500</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93.3300</w:t>
            </w: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12/17/2030</w:t>
            </w:r>
          </w:p>
        </w:tc>
        <w:tc>
          <w:tcPr>
            <w:tcW w:w="84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1,900</w:t>
            </w:r>
          </w:p>
        </w:tc>
        <w:tc>
          <w:tcPr>
            <w:tcW w:w="40" w:type="dxa"/>
            <w:vAlign w:val="bottom"/>
            <w:shd w:val="clear" w:color="auto" w:fill="DBDBDB"/>
          </w:tcPr>
          <w:p>
            <w:pPr>
              <w:spacing w:after="0"/>
              <w:rPr>
                <w:sz w:val="17"/>
                <w:szCs w:val="17"/>
                <w:color w:val="auto"/>
              </w:rPr>
            </w:pPr>
          </w:p>
        </w:tc>
        <w:tc>
          <w:tcPr>
            <w:tcW w:w="1180" w:type="dxa"/>
            <w:vAlign w:val="bottom"/>
            <w:shd w:val="clear" w:color="auto" w:fill="DBDBDB"/>
          </w:tcPr>
          <w:p>
            <w:pPr>
              <w:ind w:left="800"/>
              <w:spacing w:after="0"/>
              <w:rPr>
                <w:sz w:val="20"/>
                <w:szCs w:val="20"/>
                <w:color w:val="auto"/>
              </w:rPr>
            </w:pPr>
            <w:r>
              <w:rPr>
                <w:rFonts w:ascii="Arial" w:cs="Arial" w:eastAsia="Arial" w:hAnsi="Arial"/>
                <w:sz w:val="13"/>
                <w:szCs w:val="13"/>
                <w:color w:val="auto"/>
              </w:rPr>
              <w:t>3,800</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99.3400</w:t>
            </w: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12/16/2031</w:t>
            </w:r>
          </w:p>
        </w:tc>
        <w:tc>
          <w:tcPr>
            <w:tcW w:w="84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20" w:type="dxa"/>
            <w:vAlign w:val="bottom"/>
            <w:shd w:val="clear" w:color="auto" w:fill="DBDBDB"/>
          </w:tcPr>
          <w:p>
            <w:pPr>
              <w:spacing w:after="0"/>
              <w:rPr>
                <w:sz w:val="17"/>
                <w:szCs w:val="17"/>
                <w:color w:val="auto"/>
              </w:rPr>
            </w:pPr>
          </w:p>
        </w:tc>
        <w:tc>
          <w:tcPr>
            <w:tcW w:w="1180" w:type="dxa"/>
            <w:vAlign w:val="bottom"/>
            <w:gridSpan w:val="2"/>
            <w:shd w:val="clear" w:color="auto" w:fill="DBDBDB"/>
          </w:tcPr>
          <w:p>
            <w:pPr>
              <w:jc w:val="right"/>
              <w:ind w:right="20"/>
              <w:spacing w:after="0"/>
              <w:rPr>
                <w:sz w:val="20"/>
                <w:szCs w:val="20"/>
                <w:color w:val="auto"/>
              </w:rPr>
            </w:pPr>
            <w:r>
              <w:rPr>
                <w:rFonts w:ascii="Arial" w:cs="Arial" w:eastAsia="Arial" w:hAnsi="Arial"/>
                <w:sz w:val="13"/>
                <w:szCs w:val="13"/>
                <w:color w:val="auto"/>
              </w:rPr>
              <w:t>0</w:t>
            </w:r>
          </w:p>
        </w:tc>
        <w:tc>
          <w:tcPr>
            <w:tcW w:w="1180" w:type="dxa"/>
            <w:vAlign w:val="bottom"/>
            <w:shd w:val="clear" w:color="auto" w:fill="DBDBDB"/>
          </w:tcPr>
          <w:p>
            <w:pPr>
              <w:ind w:left="800"/>
              <w:spacing w:after="0"/>
              <w:rPr>
                <w:sz w:val="20"/>
                <w:szCs w:val="20"/>
                <w:color w:val="auto"/>
              </w:rPr>
            </w:pPr>
            <w:r>
              <w:rPr>
                <w:rFonts w:ascii="Arial" w:cs="Arial" w:eastAsia="Arial" w:hAnsi="Arial"/>
                <w:sz w:val="13"/>
                <w:szCs w:val="13"/>
                <w:color w:val="auto"/>
              </w:rPr>
              <w:t>6,600</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111.1500</w:t>
            </w: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12/22/2032</w:t>
            </w:r>
          </w:p>
        </w:tc>
        <w:tc>
          <w:tcPr>
            <w:tcW w:w="84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ind w:left="100"/>
              <w:spacing w:after="0"/>
              <w:rPr>
                <w:sz w:val="20"/>
                <w:szCs w:val="20"/>
                <w:color w:val="auto"/>
              </w:rPr>
            </w:pPr>
            <w:r>
              <w:rPr>
                <w:rFonts w:ascii="Arial" w:cs="Arial" w:eastAsia="Arial" w:hAnsi="Arial"/>
                <w:sz w:val="13"/>
                <w:szCs w:val="13"/>
                <w:color w:val="auto"/>
              </w:rPr>
              <w:t>Restricted Stock Units</w:t>
            </w:r>
          </w:p>
        </w:tc>
        <w:tc>
          <w:tcPr>
            <w:tcW w:w="114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124"/>
              <w:spacing w:after="0"/>
              <w:rPr>
                <w:sz w:val="20"/>
                <w:szCs w:val="20"/>
                <w:color w:val="auto"/>
              </w:rPr>
            </w:pPr>
            <w:r>
              <w:rPr>
                <w:rFonts w:ascii="Arial" w:cs="Arial" w:eastAsia="Arial" w:hAnsi="Arial"/>
                <w:sz w:val="13"/>
                <w:szCs w:val="13"/>
                <w:color w:val="auto"/>
              </w:rPr>
              <w:t>7,859</w:t>
            </w:r>
          </w:p>
        </w:tc>
        <w:tc>
          <w:tcPr>
            <w:tcW w:w="1120" w:type="dxa"/>
            <w:vAlign w:val="bottom"/>
            <w:shd w:val="clear" w:color="auto" w:fill="DBDBDB"/>
          </w:tcPr>
          <w:p>
            <w:pPr>
              <w:jc w:val="right"/>
              <w:ind w:right="64"/>
              <w:spacing w:after="0"/>
              <w:rPr>
                <w:sz w:val="20"/>
                <w:szCs w:val="20"/>
                <w:color w:val="auto"/>
              </w:rPr>
            </w:pPr>
            <w:r>
              <w:rPr>
                <w:rFonts w:ascii="Arial" w:cs="Arial" w:eastAsia="Arial" w:hAnsi="Arial"/>
                <w:sz w:val="13"/>
                <w:szCs w:val="13"/>
                <w:color w:val="auto"/>
              </w:rPr>
              <w:t>635,322</w:t>
            </w:r>
          </w:p>
        </w:tc>
        <w:tc>
          <w:tcPr>
            <w:tcW w:w="11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ind w:left="100"/>
              <w:spacing w:after="0"/>
              <w:rPr>
                <w:sz w:val="20"/>
                <w:szCs w:val="20"/>
                <w:color w:val="auto"/>
              </w:rPr>
            </w:pPr>
            <w:r>
              <w:rPr>
                <w:rFonts w:ascii="Arial" w:cs="Arial" w:eastAsia="Arial" w:hAnsi="Arial"/>
                <w:sz w:val="13"/>
                <w:szCs w:val="13"/>
                <w:color w:val="auto"/>
              </w:rPr>
              <w:t>F22-F24 Performance Shares</w:t>
            </w:r>
          </w:p>
        </w:tc>
        <w:tc>
          <w:tcPr>
            <w:tcW w:w="114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43"/>
              <w:spacing w:after="0"/>
              <w:rPr>
                <w:sz w:val="20"/>
                <w:szCs w:val="20"/>
                <w:color w:val="auto"/>
              </w:rPr>
            </w:pPr>
            <w:r>
              <w:rPr>
                <w:rFonts w:ascii="Arial" w:cs="Arial" w:eastAsia="Arial" w:hAnsi="Arial"/>
                <w:sz w:val="13"/>
                <w:szCs w:val="13"/>
                <w:color w:val="auto"/>
              </w:rPr>
              <w:t>1,079</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87,226</w:t>
            </w:r>
          </w:p>
        </w:tc>
        <w:tc>
          <w:tcPr>
            <w:tcW w:w="0" w:type="dxa"/>
            <w:vAlign w:val="bottom"/>
          </w:tcPr>
          <w:p>
            <w:pPr>
              <w:spacing w:after="0"/>
              <w:rPr>
                <w:sz w:val="1"/>
                <w:szCs w:val="1"/>
                <w:color w:val="auto"/>
              </w:rPr>
            </w:pPr>
          </w:p>
        </w:tc>
      </w:tr>
      <w:tr>
        <w:trPr>
          <w:trHeight w:val="210"/>
        </w:trPr>
        <w:tc>
          <w:tcPr>
            <w:tcW w:w="22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F23-F25 Performance Shares</w:t>
            </w:r>
          </w:p>
        </w:tc>
        <w:tc>
          <w:tcPr>
            <w:tcW w:w="114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43"/>
              <w:spacing w:after="0"/>
              <w:rPr>
                <w:sz w:val="20"/>
                <w:szCs w:val="20"/>
                <w:color w:val="auto"/>
              </w:rPr>
            </w:pPr>
            <w:r>
              <w:rPr>
                <w:rFonts w:ascii="Arial" w:cs="Arial" w:eastAsia="Arial" w:hAnsi="Arial"/>
                <w:sz w:val="13"/>
                <w:szCs w:val="13"/>
                <w:color w:val="auto"/>
              </w:rPr>
              <w:t>969</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78,334</w:t>
            </w: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rPr>
                <w:sz w:val="20"/>
                <w:szCs w:val="20"/>
                <w:color w:val="auto"/>
              </w:rPr>
            </w:pPr>
            <w:r>
              <w:rPr>
                <w:rFonts w:ascii="Arial" w:cs="Arial" w:eastAsia="Arial" w:hAnsi="Arial"/>
                <w:sz w:val="13"/>
                <w:szCs w:val="13"/>
                <w:color w:val="auto"/>
              </w:rPr>
              <w:t>Renee J. Peterson</w:t>
            </w: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24,200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56.5400</w:t>
            </w:r>
          </w:p>
        </w:tc>
        <w:tc>
          <w:tcPr>
            <w:tcW w:w="1220" w:type="dxa"/>
            <w:vAlign w:val="bottom"/>
          </w:tcPr>
          <w:p>
            <w:pPr>
              <w:jc w:val="right"/>
              <w:spacing w:after="0"/>
              <w:rPr>
                <w:sz w:val="20"/>
                <w:szCs w:val="20"/>
                <w:color w:val="auto"/>
              </w:rPr>
            </w:pPr>
            <w:r>
              <w:rPr>
                <w:rFonts w:ascii="Arial" w:cs="Arial" w:eastAsia="Arial" w:hAnsi="Arial"/>
                <w:sz w:val="13"/>
                <w:szCs w:val="13"/>
                <w:color w:val="auto"/>
              </w:rPr>
              <w:t>12/09/2026</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28,400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65.9300</w:t>
            </w:r>
          </w:p>
        </w:tc>
        <w:tc>
          <w:tcPr>
            <w:tcW w:w="1220" w:type="dxa"/>
            <w:vAlign w:val="bottom"/>
          </w:tcPr>
          <w:p>
            <w:pPr>
              <w:jc w:val="right"/>
              <w:spacing w:after="0"/>
              <w:rPr>
                <w:sz w:val="20"/>
                <w:szCs w:val="20"/>
                <w:color w:val="auto"/>
              </w:rPr>
            </w:pPr>
            <w:r>
              <w:rPr>
                <w:rFonts w:ascii="Arial" w:cs="Arial" w:eastAsia="Arial" w:hAnsi="Arial"/>
                <w:sz w:val="13"/>
                <w:szCs w:val="13"/>
                <w:color w:val="auto"/>
              </w:rPr>
              <w:t>12/08/2027</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33,400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58.5300</w:t>
            </w:r>
          </w:p>
        </w:tc>
        <w:tc>
          <w:tcPr>
            <w:tcW w:w="1220" w:type="dxa"/>
            <w:vAlign w:val="bottom"/>
          </w:tcPr>
          <w:p>
            <w:pPr>
              <w:jc w:val="right"/>
              <w:spacing w:after="0"/>
              <w:rPr>
                <w:sz w:val="20"/>
                <w:szCs w:val="20"/>
                <w:color w:val="auto"/>
              </w:rPr>
            </w:pPr>
            <w:r>
              <w:rPr>
                <w:rFonts w:ascii="Arial" w:cs="Arial" w:eastAsia="Arial" w:hAnsi="Arial"/>
                <w:sz w:val="13"/>
                <w:szCs w:val="13"/>
                <w:color w:val="auto"/>
              </w:rPr>
              <w:t>12/07/2028</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33,900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76.5300</w:t>
            </w:r>
          </w:p>
        </w:tc>
        <w:tc>
          <w:tcPr>
            <w:tcW w:w="1220" w:type="dxa"/>
            <w:vAlign w:val="bottom"/>
          </w:tcPr>
          <w:p>
            <w:pPr>
              <w:jc w:val="right"/>
              <w:spacing w:after="0"/>
              <w:rPr>
                <w:sz w:val="20"/>
                <w:szCs w:val="20"/>
                <w:color w:val="auto"/>
              </w:rPr>
            </w:pPr>
            <w:r>
              <w:rPr>
                <w:rFonts w:ascii="Arial" w:cs="Arial" w:eastAsia="Arial" w:hAnsi="Arial"/>
                <w:sz w:val="13"/>
                <w:szCs w:val="13"/>
                <w:color w:val="auto"/>
              </w:rPr>
              <w:t>12/19/2029</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22,400</w:t>
            </w:r>
          </w:p>
        </w:tc>
        <w:tc>
          <w:tcPr>
            <w:tcW w:w="1180" w:type="dxa"/>
            <w:vAlign w:val="bottom"/>
          </w:tcPr>
          <w:p>
            <w:pPr>
              <w:jc w:val="right"/>
              <w:spacing w:after="0"/>
              <w:rPr>
                <w:sz w:val="20"/>
                <w:szCs w:val="20"/>
                <w:color w:val="auto"/>
              </w:rPr>
            </w:pPr>
            <w:r>
              <w:rPr>
                <w:rFonts w:ascii="Arial" w:cs="Arial" w:eastAsia="Arial" w:hAnsi="Arial"/>
                <w:sz w:val="13"/>
                <w:szCs w:val="13"/>
                <w:color w:val="auto"/>
              </w:rPr>
              <w:t>11,200</w:t>
            </w:r>
          </w:p>
        </w:tc>
        <w:tc>
          <w:tcPr>
            <w:tcW w:w="1200" w:type="dxa"/>
            <w:vAlign w:val="bottom"/>
          </w:tcPr>
          <w:p>
            <w:pPr>
              <w:jc w:val="right"/>
              <w:spacing w:after="0"/>
              <w:rPr>
                <w:sz w:val="20"/>
                <w:szCs w:val="20"/>
                <w:color w:val="auto"/>
              </w:rPr>
            </w:pPr>
            <w:r>
              <w:rPr>
                <w:rFonts w:ascii="Arial" w:cs="Arial" w:eastAsia="Arial" w:hAnsi="Arial"/>
                <w:sz w:val="13"/>
                <w:szCs w:val="13"/>
                <w:color w:val="auto"/>
              </w:rPr>
              <w:t>93.3300</w:t>
            </w:r>
          </w:p>
        </w:tc>
        <w:tc>
          <w:tcPr>
            <w:tcW w:w="1220" w:type="dxa"/>
            <w:vAlign w:val="bottom"/>
          </w:tcPr>
          <w:p>
            <w:pPr>
              <w:jc w:val="right"/>
              <w:spacing w:after="0"/>
              <w:rPr>
                <w:sz w:val="20"/>
                <w:szCs w:val="20"/>
                <w:color w:val="auto"/>
              </w:rPr>
            </w:pPr>
            <w:r>
              <w:rPr>
                <w:rFonts w:ascii="Arial" w:cs="Arial" w:eastAsia="Arial" w:hAnsi="Arial"/>
                <w:sz w:val="13"/>
                <w:szCs w:val="13"/>
                <w:color w:val="auto"/>
              </w:rPr>
              <w:t>12/17/2030</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9,600</w:t>
            </w:r>
          </w:p>
        </w:tc>
        <w:tc>
          <w:tcPr>
            <w:tcW w:w="1180" w:type="dxa"/>
            <w:vAlign w:val="bottom"/>
          </w:tcPr>
          <w:p>
            <w:pPr>
              <w:jc w:val="right"/>
              <w:spacing w:after="0"/>
              <w:rPr>
                <w:sz w:val="20"/>
                <w:szCs w:val="20"/>
                <w:color w:val="auto"/>
              </w:rPr>
            </w:pPr>
            <w:r>
              <w:rPr>
                <w:rFonts w:ascii="Arial" w:cs="Arial" w:eastAsia="Arial" w:hAnsi="Arial"/>
                <w:sz w:val="13"/>
                <w:szCs w:val="13"/>
                <w:color w:val="auto"/>
              </w:rPr>
              <w:t>19,200</w:t>
            </w:r>
          </w:p>
        </w:tc>
        <w:tc>
          <w:tcPr>
            <w:tcW w:w="1200" w:type="dxa"/>
            <w:vAlign w:val="bottom"/>
          </w:tcPr>
          <w:p>
            <w:pPr>
              <w:jc w:val="right"/>
              <w:spacing w:after="0"/>
              <w:rPr>
                <w:sz w:val="20"/>
                <w:szCs w:val="20"/>
                <w:color w:val="auto"/>
              </w:rPr>
            </w:pPr>
            <w:r>
              <w:rPr>
                <w:rFonts w:ascii="Arial" w:cs="Arial" w:eastAsia="Arial" w:hAnsi="Arial"/>
                <w:sz w:val="13"/>
                <w:szCs w:val="13"/>
                <w:color w:val="auto"/>
              </w:rPr>
              <w:t>99.3400</w:t>
            </w:r>
          </w:p>
        </w:tc>
        <w:tc>
          <w:tcPr>
            <w:tcW w:w="1220" w:type="dxa"/>
            <w:vAlign w:val="bottom"/>
          </w:tcPr>
          <w:p>
            <w:pPr>
              <w:jc w:val="right"/>
              <w:spacing w:after="0"/>
              <w:rPr>
                <w:sz w:val="20"/>
                <w:szCs w:val="20"/>
                <w:color w:val="auto"/>
              </w:rPr>
            </w:pPr>
            <w:r>
              <w:rPr>
                <w:rFonts w:ascii="Arial" w:cs="Arial" w:eastAsia="Arial" w:hAnsi="Arial"/>
                <w:sz w:val="13"/>
                <w:szCs w:val="13"/>
                <w:color w:val="auto"/>
              </w:rPr>
              <w:t>12/16/2031</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100"/>
              <w:spacing w:after="0"/>
              <w:rPr>
                <w:sz w:val="20"/>
                <w:szCs w:val="20"/>
                <w:color w:val="auto"/>
              </w:rPr>
            </w:pPr>
            <w:r>
              <w:rPr>
                <w:rFonts w:ascii="Arial" w:cs="Arial" w:eastAsia="Arial" w:hAnsi="Arial"/>
                <w:sz w:val="13"/>
                <w:szCs w:val="13"/>
                <w:color w:val="auto"/>
              </w:rPr>
              <w:t>F22-F24 Performance Shares</w:t>
            </w: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jc w:val="right"/>
              <w:ind w:right="43"/>
              <w:spacing w:after="0"/>
              <w:rPr>
                <w:sz w:val="20"/>
                <w:szCs w:val="20"/>
                <w:color w:val="auto"/>
              </w:rPr>
            </w:pPr>
            <w:r>
              <w:rPr>
                <w:rFonts w:ascii="Arial" w:cs="Arial" w:eastAsia="Arial" w:hAnsi="Arial"/>
                <w:sz w:val="13"/>
                <w:szCs w:val="13"/>
                <w:color w:val="auto"/>
              </w:rPr>
              <w:t>3,089</w:t>
            </w:r>
          </w:p>
        </w:tc>
        <w:tc>
          <w:tcPr>
            <w:tcW w:w="1100" w:type="dxa"/>
            <w:vAlign w:val="bottom"/>
          </w:tcPr>
          <w:p>
            <w:pPr>
              <w:jc w:val="right"/>
              <w:spacing w:after="0"/>
              <w:rPr>
                <w:sz w:val="20"/>
                <w:szCs w:val="20"/>
                <w:color w:val="auto"/>
              </w:rPr>
            </w:pPr>
            <w:r>
              <w:rPr>
                <w:rFonts w:ascii="Arial" w:cs="Arial" w:eastAsia="Arial" w:hAnsi="Arial"/>
                <w:sz w:val="13"/>
                <w:szCs w:val="13"/>
                <w:color w:val="auto"/>
              </w:rPr>
              <w:t>249,715</w:t>
            </w:r>
          </w:p>
        </w:tc>
        <w:tc>
          <w:tcPr>
            <w:tcW w:w="0" w:type="dxa"/>
            <w:vAlign w:val="bottom"/>
          </w:tcPr>
          <w:p>
            <w:pPr>
              <w:spacing w:after="0"/>
              <w:rPr>
                <w:sz w:val="1"/>
                <w:szCs w:val="1"/>
                <w:color w:val="auto"/>
              </w:rPr>
            </w:pPr>
          </w:p>
        </w:tc>
      </w:tr>
      <w:tr>
        <w:trPr>
          <w:trHeight w:val="28"/>
        </w:trPr>
        <w:tc>
          <w:tcPr>
            <w:tcW w:w="2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220" w:type="dxa"/>
            <w:vAlign w:val="bottom"/>
            <w:shd w:val="clear" w:color="auto" w:fill="DBDBDB"/>
          </w:tcPr>
          <w:p>
            <w:pPr>
              <w:ind w:left="20"/>
              <w:spacing w:after="0"/>
              <w:rPr>
                <w:sz w:val="20"/>
                <w:szCs w:val="20"/>
                <w:color w:val="auto"/>
              </w:rPr>
            </w:pPr>
            <w:r>
              <w:rPr>
                <w:rFonts w:ascii="Arial" w:cs="Arial" w:eastAsia="Arial" w:hAnsi="Arial"/>
                <w:sz w:val="13"/>
                <w:szCs w:val="13"/>
                <w:color w:val="auto"/>
              </w:rPr>
              <w:t>Joanna M. Totsky</w:t>
            </w:r>
          </w:p>
        </w:tc>
        <w:tc>
          <w:tcPr>
            <w:tcW w:w="114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ind w:left="100"/>
              <w:spacing w:after="0"/>
              <w:rPr>
                <w:sz w:val="20"/>
                <w:szCs w:val="20"/>
                <w:color w:val="auto"/>
              </w:rPr>
            </w:pPr>
            <w:r>
              <w:rPr>
                <w:rFonts w:ascii="Arial" w:cs="Arial" w:eastAsia="Arial" w:hAnsi="Arial"/>
                <w:sz w:val="13"/>
                <w:szCs w:val="13"/>
                <w:color w:val="auto"/>
              </w:rPr>
              <w:t>Restricted Stock Units</w:t>
            </w:r>
          </w:p>
        </w:tc>
        <w:tc>
          <w:tcPr>
            <w:tcW w:w="114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164"/>
              <w:spacing w:after="0"/>
              <w:rPr>
                <w:sz w:val="20"/>
                <w:szCs w:val="20"/>
                <w:color w:val="auto"/>
              </w:rPr>
            </w:pPr>
            <w:r>
              <w:rPr>
                <w:rFonts w:ascii="Arial" w:cs="Arial" w:eastAsia="Arial" w:hAnsi="Arial"/>
                <w:sz w:val="13"/>
                <w:szCs w:val="13"/>
                <w:color w:val="auto"/>
              </w:rPr>
              <w:t>13,933</w:t>
            </w:r>
          </w:p>
        </w:tc>
        <w:tc>
          <w:tcPr>
            <w:tcW w:w="1120" w:type="dxa"/>
            <w:vAlign w:val="bottom"/>
            <w:shd w:val="clear" w:color="auto" w:fill="DBDBDB"/>
          </w:tcPr>
          <w:p>
            <w:pPr>
              <w:jc w:val="right"/>
              <w:ind w:right="104"/>
              <w:spacing w:after="0"/>
              <w:rPr>
                <w:sz w:val="20"/>
                <w:szCs w:val="20"/>
                <w:color w:val="auto"/>
              </w:rPr>
            </w:pPr>
            <w:r>
              <w:rPr>
                <w:rFonts w:ascii="Arial" w:cs="Arial" w:eastAsia="Arial" w:hAnsi="Arial"/>
                <w:sz w:val="13"/>
                <w:szCs w:val="13"/>
                <w:color w:val="auto"/>
              </w:rPr>
              <w:t>1,126,344</w:t>
            </w:r>
          </w:p>
        </w:tc>
        <w:tc>
          <w:tcPr>
            <w:tcW w:w="11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220" w:type="dxa"/>
            <w:vAlign w:val="bottom"/>
            <w:shd w:val="clear" w:color="auto" w:fill="DBDBDB"/>
          </w:tcPr>
          <w:p>
            <w:pPr>
              <w:spacing w:after="0"/>
              <w:rPr>
                <w:sz w:val="2"/>
                <w:szCs w:val="2"/>
                <w:color w:val="auto"/>
              </w:rPr>
            </w:pPr>
          </w:p>
        </w:tc>
        <w:tc>
          <w:tcPr>
            <w:tcW w:w="114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1200" w:type="dxa"/>
            <w:vAlign w:val="bottom"/>
            <w:shd w:val="clear" w:color="auto" w:fill="DBDBDB"/>
          </w:tcPr>
          <w:p>
            <w:pPr>
              <w:spacing w:after="0"/>
              <w:rPr>
                <w:sz w:val="2"/>
                <w:szCs w:val="2"/>
                <w:color w:val="auto"/>
              </w:rPr>
            </w:pPr>
          </w:p>
        </w:tc>
        <w:tc>
          <w:tcPr>
            <w:tcW w:w="122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112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11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-4834255</wp:posOffset>
            </wp:positionV>
            <wp:extent cx="57264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68"/>
        </w:trPr>
        <w:tc>
          <w:tcPr>
            <w:tcW w:w="2220" w:type="dxa"/>
            <w:vAlign w:val="bottom"/>
            <w:shd w:val="clear" w:color="auto" w:fill="BF2115"/>
          </w:tcPr>
          <w:p>
            <w:pPr>
              <w:spacing w:after="0"/>
              <w:rPr>
                <w:sz w:val="14"/>
                <w:szCs w:val="14"/>
                <w:color w:val="auto"/>
              </w:rPr>
            </w:pPr>
          </w:p>
        </w:tc>
        <w:tc>
          <w:tcPr>
            <w:tcW w:w="1180" w:type="dxa"/>
            <w:vAlign w:val="bottom"/>
            <w:shd w:val="clear" w:color="auto" w:fill="BF2115"/>
          </w:tcPr>
          <w:p>
            <w:pPr>
              <w:spacing w:after="0"/>
              <w:rPr>
                <w:sz w:val="14"/>
                <w:szCs w:val="14"/>
                <w:color w:val="auto"/>
              </w:rPr>
            </w:pPr>
          </w:p>
        </w:tc>
        <w:tc>
          <w:tcPr>
            <w:tcW w:w="2380" w:type="dxa"/>
            <w:vAlign w:val="bottom"/>
            <w:gridSpan w:val="2"/>
            <w:shd w:val="clear" w:color="auto" w:fill="BF2115"/>
          </w:tcPr>
          <w:p>
            <w:pPr>
              <w:jc w:val="right"/>
              <w:ind w:right="739"/>
              <w:spacing w:after="0"/>
              <w:rPr>
                <w:sz w:val="20"/>
                <w:szCs w:val="20"/>
                <w:color w:val="auto"/>
              </w:rPr>
            </w:pPr>
            <w:r>
              <w:rPr>
                <w:rFonts w:ascii="Arial" w:cs="Arial" w:eastAsia="Arial" w:hAnsi="Arial"/>
                <w:sz w:val="11"/>
                <w:szCs w:val="11"/>
                <w:b w:val="1"/>
                <w:bCs w:val="1"/>
                <w:color w:val="FFFFFF"/>
              </w:rPr>
              <w:t>Option Awards</w:t>
            </w:r>
          </w:p>
        </w:tc>
        <w:tc>
          <w:tcPr>
            <w:tcW w:w="1180" w:type="dxa"/>
            <w:vAlign w:val="bottom"/>
            <w:shd w:val="clear" w:color="auto" w:fill="BF2115"/>
          </w:tcPr>
          <w:p>
            <w:pPr>
              <w:spacing w:after="0"/>
              <w:rPr>
                <w:sz w:val="14"/>
                <w:szCs w:val="14"/>
                <w:color w:val="auto"/>
              </w:rPr>
            </w:pPr>
          </w:p>
        </w:tc>
        <w:tc>
          <w:tcPr>
            <w:tcW w:w="720" w:type="dxa"/>
            <w:vAlign w:val="bottom"/>
            <w:shd w:val="clear" w:color="auto" w:fill="BF2115"/>
          </w:tcPr>
          <w:p>
            <w:pPr>
              <w:spacing w:after="0"/>
              <w:rPr>
                <w:sz w:val="14"/>
                <w:szCs w:val="14"/>
                <w:color w:val="auto"/>
              </w:rPr>
            </w:pPr>
          </w:p>
        </w:tc>
        <w:tc>
          <w:tcPr>
            <w:tcW w:w="960" w:type="dxa"/>
            <w:vAlign w:val="bottom"/>
            <w:shd w:val="clear" w:color="auto" w:fill="BF2115"/>
          </w:tcPr>
          <w:p>
            <w:pPr>
              <w:spacing w:after="0"/>
              <w:rPr>
                <w:sz w:val="14"/>
                <w:szCs w:val="14"/>
                <w:color w:val="auto"/>
              </w:rPr>
            </w:pPr>
          </w:p>
        </w:tc>
        <w:tc>
          <w:tcPr>
            <w:tcW w:w="1420" w:type="dxa"/>
            <w:vAlign w:val="bottom"/>
            <w:gridSpan w:val="2"/>
            <w:shd w:val="clear" w:color="auto" w:fill="BF2115"/>
          </w:tcPr>
          <w:p>
            <w:pPr>
              <w:jc w:val="right"/>
              <w:ind w:right="544"/>
              <w:spacing w:after="0"/>
              <w:rPr>
                <w:sz w:val="20"/>
                <w:szCs w:val="20"/>
                <w:color w:val="auto"/>
              </w:rPr>
            </w:pPr>
            <w:r>
              <w:rPr>
                <w:rFonts w:ascii="Arial" w:cs="Arial" w:eastAsia="Arial" w:hAnsi="Arial"/>
                <w:sz w:val="11"/>
                <w:szCs w:val="11"/>
                <w:b w:val="1"/>
                <w:bCs w:val="1"/>
                <w:color w:val="FFFFFF"/>
              </w:rPr>
              <w:t>Stock Awards</w:t>
            </w:r>
          </w:p>
        </w:tc>
        <w:tc>
          <w:tcPr>
            <w:tcW w:w="1180" w:type="dxa"/>
            <w:vAlign w:val="bottom"/>
            <w:shd w:val="clear" w:color="auto" w:fill="BF2115"/>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BF2115"/>
          </w:tcPr>
          <w:p>
            <w:pPr>
              <w:spacing w:after="0"/>
              <w:rPr>
                <w:sz w:val="15"/>
                <w:szCs w:val="15"/>
                <w:color w:val="auto"/>
              </w:rPr>
            </w:pPr>
          </w:p>
        </w:tc>
        <w:tc>
          <w:tcPr>
            <w:tcW w:w="1180" w:type="dxa"/>
            <w:vAlign w:val="bottom"/>
            <w:shd w:val="clear" w:color="auto" w:fill="BF2115"/>
          </w:tcPr>
          <w:p>
            <w:pPr>
              <w:spacing w:after="0"/>
              <w:rPr>
                <w:sz w:val="15"/>
                <w:szCs w:val="15"/>
                <w:color w:val="auto"/>
              </w:rPr>
            </w:pPr>
          </w:p>
        </w:tc>
        <w:tc>
          <w:tcPr>
            <w:tcW w:w="1180" w:type="dxa"/>
            <w:vAlign w:val="bottom"/>
            <w:shd w:val="clear" w:color="auto" w:fill="BF2115"/>
          </w:tcPr>
          <w:p>
            <w:pPr>
              <w:spacing w:after="0"/>
              <w:rPr>
                <w:sz w:val="15"/>
                <w:szCs w:val="15"/>
                <w:color w:val="auto"/>
              </w:rPr>
            </w:pPr>
          </w:p>
        </w:tc>
        <w:tc>
          <w:tcPr>
            <w:tcW w:w="1200" w:type="dxa"/>
            <w:vAlign w:val="bottom"/>
            <w:shd w:val="clear" w:color="auto" w:fill="BF2115"/>
          </w:tcPr>
          <w:p>
            <w:pPr>
              <w:spacing w:after="0"/>
              <w:rPr>
                <w:sz w:val="15"/>
                <w:szCs w:val="15"/>
                <w:color w:val="auto"/>
              </w:rPr>
            </w:pPr>
          </w:p>
        </w:tc>
        <w:tc>
          <w:tcPr>
            <w:tcW w:w="1180" w:type="dxa"/>
            <w:vAlign w:val="bottom"/>
            <w:shd w:val="clear" w:color="auto" w:fill="BF2115"/>
          </w:tcPr>
          <w:p>
            <w:pPr>
              <w:spacing w:after="0"/>
              <w:rPr>
                <w:sz w:val="15"/>
                <w:szCs w:val="15"/>
                <w:color w:val="auto"/>
              </w:rPr>
            </w:pPr>
          </w:p>
        </w:tc>
        <w:tc>
          <w:tcPr>
            <w:tcW w:w="720" w:type="dxa"/>
            <w:vAlign w:val="bottom"/>
            <w:shd w:val="clear" w:color="auto" w:fill="BF2115"/>
          </w:tcPr>
          <w:p>
            <w:pPr>
              <w:spacing w:after="0"/>
              <w:rPr>
                <w:sz w:val="15"/>
                <w:szCs w:val="15"/>
                <w:color w:val="auto"/>
              </w:rPr>
            </w:pPr>
          </w:p>
        </w:tc>
        <w:tc>
          <w:tcPr>
            <w:tcW w:w="960" w:type="dxa"/>
            <w:vAlign w:val="bottom"/>
            <w:shd w:val="clear" w:color="auto" w:fill="BF2115"/>
          </w:tcPr>
          <w:p>
            <w:pPr>
              <w:spacing w:after="0"/>
              <w:rPr>
                <w:sz w:val="15"/>
                <w:szCs w:val="15"/>
                <w:color w:val="auto"/>
              </w:rPr>
            </w:pPr>
          </w:p>
        </w:tc>
        <w:tc>
          <w:tcPr>
            <w:tcW w:w="220" w:type="dxa"/>
            <w:vAlign w:val="bottom"/>
            <w:shd w:val="clear" w:color="auto" w:fill="BF2115"/>
          </w:tcPr>
          <w:p>
            <w:pPr>
              <w:spacing w:after="0"/>
              <w:rPr>
                <w:sz w:val="15"/>
                <w:szCs w:val="15"/>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Equity</w:t>
            </w:r>
          </w:p>
        </w:tc>
        <w:tc>
          <w:tcPr>
            <w:tcW w:w="118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rPr>
              <w:t>Equity</w:t>
            </w:r>
          </w:p>
        </w:tc>
        <w:tc>
          <w:tcPr>
            <w:tcW w:w="0" w:type="dxa"/>
            <w:vAlign w:val="bottom"/>
          </w:tcPr>
          <w:p>
            <w:pPr>
              <w:spacing w:after="0"/>
              <w:rPr>
                <w:sz w:val="1"/>
                <w:szCs w:val="1"/>
                <w:color w:val="auto"/>
              </w:rPr>
            </w:pPr>
          </w:p>
        </w:tc>
      </w:tr>
      <w:tr>
        <w:trPr>
          <w:trHeight w:val="95"/>
        </w:trPr>
        <w:tc>
          <w:tcPr>
            <w:tcW w:w="222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20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shd w:val="clear" w:color="auto" w:fill="BF2115"/>
          </w:tcPr>
          <w:p>
            <w:pPr>
              <w:spacing w:after="0"/>
              <w:rPr>
                <w:sz w:val="8"/>
                <w:szCs w:val="8"/>
                <w:color w:val="auto"/>
              </w:rPr>
            </w:pPr>
          </w:p>
        </w:tc>
        <w:tc>
          <w:tcPr>
            <w:tcW w:w="960" w:type="dxa"/>
            <w:vAlign w:val="bottom"/>
            <w:shd w:val="clear" w:color="auto" w:fill="BF2115"/>
          </w:tcPr>
          <w:p>
            <w:pPr>
              <w:spacing w:after="0"/>
              <w:rPr>
                <w:sz w:val="8"/>
                <w:szCs w:val="8"/>
                <w:color w:val="auto"/>
              </w:rPr>
            </w:pPr>
          </w:p>
        </w:tc>
        <w:tc>
          <w:tcPr>
            <w:tcW w:w="220" w:type="dxa"/>
            <w:vAlign w:val="bottom"/>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Incentive</w:t>
            </w:r>
          </w:p>
        </w:tc>
        <w:tc>
          <w:tcPr>
            <w:tcW w:w="0" w:type="dxa"/>
            <w:vAlign w:val="bottom"/>
          </w:tcPr>
          <w:p>
            <w:pPr>
              <w:spacing w:after="0"/>
              <w:rPr>
                <w:sz w:val="1"/>
                <w:szCs w:val="1"/>
                <w:color w:val="auto"/>
              </w:rPr>
            </w:pPr>
          </w:p>
        </w:tc>
      </w:tr>
      <w:tr>
        <w:trPr>
          <w:trHeight w:val="40"/>
        </w:trPr>
        <w:tc>
          <w:tcPr>
            <w:tcW w:w="222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120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720" w:type="dxa"/>
            <w:vAlign w:val="bottom"/>
            <w:shd w:val="clear" w:color="auto" w:fill="BF2115"/>
          </w:tcPr>
          <w:p>
            <w:pPr>
              <w:spacing w:after="0"/>
              <w:rPr>
                <w:sz w:val="3"/>
                <w:szCs w:val="3"/>
                <w:color w:val="auto"/>
              </w:rPr>
            </w:pPr>
          </w:p>
        </w:tc>
        <w:tc>
          <w:tcPr>
            <w:tcW w:w="960" w:type="dxa"/>
            <w:vAlign w:val="bottom"/>
            <w:shd w:val="clear" w:color="auto" w:fill="BF2115"/>
          </w:tcPr>
          <w:p>
            <w:pPr>
              <w:spacing w:after="0"/>
              <w:rPr>
                <w:sz w:val="3"/>
                <w:szCs w:val="3"/>
                <w:color w:val="auto"/>
              </w:rPr>
            </w:pPr>
          </w:p>
        </w:tc>
        <w:tc>
          <w:tcPr>
            <w:tcW w:w="220" w:type="dxa"/>
            <w:vAlign w:val="bottom"/>
            <w:shd w:val="clear" w:color="auto" w:fill="BF2115"/>
          </w:tcPr>
          <w:p>
            <w:pPr>
              <w:spacing w:after="0"/>
              <w:rPr>
                <w:sz w:val="3"/>
                <w:szCs w:val="3"/>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Incentive</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222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20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shd w:val="clear" w:color="auto" w:fill="BF2115"/>
          </w:tcPr>
          <w:p>
            <w:pPr>
              <w:spacing w:after="0"/>
              <w:rPr>
                <w:sz w:val="8"/>
                <w:szCs w:val="8"/>
                <w:color w:val="auto"/>
              </w:rPr>
            </w:pPr>
          </w:p>
        </w:tc>
        <w:tc>
          <w:tcPr>
            <w:tcW w:w="960" w:type="dxa"/>
            <w:vAlign w:val="bottom"/>
            <w:shd w:val="clear" w:color="auto" w:fill="BF2115"/>
          </w:tcPr>
          <w:p>
            <w:pPr>
              <w:spacing w:after="0"/>
              <w:rPr>
                <w:sz w:val="8"/>
                <w:szCs w:val="8"/>
                <w:color w:val="auto"/>
              </w:rPr>
            </w:pPr>
          </w:p>
        </w:tc>
        <w:tc>
          <w:tcPr>
            <w:tcW w:w="220" w:type="dxa"/>
            <w:vAlign w:val="bottom"/>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Plan Awards:</w:t>
            </w:r>
          </w:p>
        </w:tc>
        <w:tc>
          <w:tcPr>
            <w:tcW w:w="0" w:type="dxa"/>
            <w:vAlign w:val="bottom"/>
          </w:tcPr>
          <w:p>
            <w:pPr>
              <w:spacing w:after="0"/>
              <w:rPr>
                <w:sz w:val="1"/>
                <w:szCs w:val="1"/>
                <w:color w:val="auto"/>
              </w:rPr>
            </w:pPr>
          </w:p>
        </w:tc>
      </w:tr>
      <w:tr>
        <w:trPr>
          <w:trHeight w:val="53"/>
        </w:trPr>
        <w:tc>
          <w:tcPr>
            <w:tcW w:w="2220" w:type="dxa"/>
            <w:vAlign w:val="bottom"/>
            <w:shd w:val="clear" w:color="auto" w:fill="BF2115"/>
          </w:tcPr>
          <w:p>
            <w:pPr>
              <w:spacing w:after="0"/>
              <w:rPr>
                <w:sz w:val="4"/>
                <w:szCs w:val="4"/>
                <w:color w:val="auto"/>
              </w:rPr>
            </w:pPr>
          </w:p>
        </w:tc>
        <w:tc>
          <w:tcPr>
            <w:tcW w:w="1180" w:type="dxa"/>
            <w:vAlign w:val="bottom"/>
            <w:shd w:val="clear" w:color="auto" w:fill="BF2115"/>
          </w:tcPr>
          <w:p>
            <w:pPr>
              <w:spacing w:after="0"/>
              <w:rPr>
                <w:sz w:val="4"/>
                <w:szCs w:val="4"/>
                <w:color w:val="auto"/>
              </w:rPr>
            </w:pPr>
          </w:p>
        </w:tc>
        <w:tc>
          <w:tcPr>
            <w:tcW w:w="1180" w:type="dxa"/>
            <w:vAlign w:val="bottom"/>
            <w:shd w:val="clear" w:color="auto" w:fill="BF2115"/>
          </w:tcPr>
          <w:p>
            <w:pPr>
              <w:spacing w:after="0"/>
              <w:rPr>
                <w:sz w:val="4"/>
                <w:szCs w:val="4"/>
                <w:color w:val="auto"/>
              </w:rPr>
            </w:pPr>
          </w:p>
        </w:tc>
        <w:tc>
          <w:tcPr>
            <w:tcW w:w="1200" w:type="dxa"/>
            <w:vAlign w:val="bottom"/>
            <w:shd w:val="clear" w:color="auto" w:fill="BF2115"/>
          </w:tcPr>
          <w:p>
            <w:pPr>
              <w:spacing w:after="0"/>
              <w:rPr>
                <w:sz w:val="4"/>
                <w:szCs w:val="4"/>
                <w:color w:val="auto"/>
              </w:rPr>
            </w:pPr>
          </w:p>
        </w:tc>
        <w:tc>
          <w:tcPr>
            <w:tcW w:w="1180" w:type="dxa"/>
            <w:vAlign w:val="bottom"/>
            <w:shd w:val="clear" w:color="auto" w:fill="BF2115"/>
          </w:tcPr>
          <w:p>
            <w:pPr>
              <w:spacing w:after="0"/>
              <w:rPr>
                <w:sz w:val="4"/>
                <w:szCs w:val="4"/>
                <w:color w:val="auto"/>
              </w:rPr>
            </w:pPr>
          </w:p>
        </w:tc>
        <w:tc>
          <w:tcPr>
            <w:tcW w:w="720" w:type="dxa"/>
            <w:vAlign w:val="bottom"/>
            <w:shd w:val="clear" w:color="auto" w:fill="BF2115"/>
          </w:tcPr>
          <w:p>
            <w:pPr>
              <w:spacing w:after="0"/>
              <w:rPr>
                <w:sz w:val="4"/>
                <w:szCs w:val="4"/>
                <w:color w:val="auto"/>
              </w:rPr>
            </w:pPr>
          </w:p>
        </w:tc>
        <w:tc>
          <w:tcPr>
            <w:tcW w:w="960" w:type="dxa"/>
            <w:vAlign w:val="bottom"/>
            <w:vMerge w:val="restart"/>
            <w:shd w:val="clear" w:color="auto" w:fill="BF2115"/>
          </w:tcPr>
          <w:p>
            <w:pPr>
              <w:jc w:val="center"/>
              <w:ind w:left="167"/>
              <w:spacing w:after="0"/>
              <w:rPr>
                <w:sz w:val="20"/>
                <w:szCs w:val="20"/>
                <w:color w:val="auto"/>
              </w:rPr>
            </w:pPr>
            <w:r>
              <w:rPr>
                <w:rFonts w:ascii="Arial" w:cs="Arial" w:eastAsia="Arial" w:hAnsi="Arial"/>
                <w:sz w:val="11"/>
                <w:szCs w:val="11"/>
                <w:b w:val="1"/>
                <w:bCs w:val="1"/>
                <w:color w:val="FFFFFF"/>
                <w:w w:val="95"/>
              </w:rPr>
              <w:t>Market</w:t>
            </w:r>
          </w:p>
        </w:tc>
        <w:tc>
          <w:tcPr>
            <w:tcW w:w="220" w:type="dxa"/>
            <w:vAlign w:val="bottom"/>
            <w:shd w:val="clear" w:color="auto" w:fill="BF2115"/>
          </w:tcPr>
          <w:p>
            <w:pPr>
              <w:spacing w:after="0"/>
              <w:rPr>
                <w:sz w:val="4"/>
                <w:szCs w:val="4"/>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Plan Awards:</w:t>
            </w:r>
          </w:p>
        </w:tc>
        <w:tc>
          <w:tcPr>
            <w:tcW w:w="1180" w:type="dxa"/>
            <w:vAlign w:val="bottom"/>
            <w:vMerge w:val="continue"/>
            <w:shd w:val="clear" w:color="auto" w:fill="BF2115"/>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2220" w:type="dxa"/>
            <w:vAlign w:val="bottom"/>
            <w:shd w:val="clear" w:color="auto" w:fill="BF2115"/>
          </w:tcPr>
          <w:p>
            <w:pPr>
              <w:spacing w:after="0"/>
              <w:rPr>
                <w:sz w:val="7"/>
                <w:szCs w:val="7"/>
                <w:color w:val="auto"/>
              </w:rPr>
            </w:pPr>
          </w:p>
        </w:tc>
        <w:tc>
          <w:tcPr>
            <w:tcW w:w="1180" w:type="dxa"/>
            <w:vAlign w:val="bottom"/>
            <w:shd w:val="clear" w:color="auto" w:fill="BF2115"/>
          </w:tcPr>
          <w:p>
            <w:pPr>
              <w:spacing w:after="0"/>
              <w:rPr>
                <w:sz w:val="7"/>
                <w:szCs w:val="7"/>
                <w:color w:val="auto"/>
              </w:rPr>
            </w:pPr>
          </w:p>
        </w:tc>
        <w:tc>
          <w:tcPr>
            <w:tcW w:w="1180" w:type="dxa"/>
            <w:vAlign w:val="bottom"/>
            <w:shd w:val="clear" w:color="auto" w:fill="BF2115"/>
          </w:tcPr>
          <w:p>
            <w:pPr>
              <w:spacing w:after="0"/>
              <w:rPr>
                <w:sz w:val="7"/>
                <w:szCs w:val="7"/>
                <w:color w:val="auto"/>
              </w:rPr>
            </w:pPr>
          </w:p>
        </w:tc>
        <w:tc>
          <w:tcPr>
            <w:tcW w:w="1200" w:type="dxa"/>
            <w:vAlign w:val="bottom"/>
            <w:shd w:val="clear" w:color="auto" w:fill="BF2115"/>
          </w:tcPr>
          <w:p>
            <w:pPr>
              <w:spacing w:after="0"/>
              <w:rPr>
                <w:sz w:val="7"/>
                <w:szCs w:val="7"/>
                <w:color w:val="auto"/>
              </w:rPr>
            </w:pPr>
          </w:p>
        </w:tc>
        <w:tc>
          <w:tcPr>
            <w:tcW w:w="1180" w:type="dxa"/>
            <w:vAlign w:val="bottom"/>
            <w:shd w:val="clear" w:color="auto" w:fill="BF2115"/>
          </w:tcPr>
          <w:p>
            <w:pPr>
              <w:spacing w:after="0"/>
              <w:rPr>
                <w:sz w:val="7"/>
                <w:szCs w:val="7"/>
                <w:color w:val="auto"/>
              </w:rPr>
            </w:pPr>
          </w:p>
        </w:tc>
        <w:tc>
          <w:tcPr>
            <w:tcW w:w="720" w:type="dxa"/>
            <w:vAlign w:val="bottom"/>
            <w:shd w:val="clear" w:color="auto" w:fill="BF2115"/>
          </w:tcPr>
          <w:p>
            <w:pPr>
              <w:spacing w:after="0"/>
              <w:rPr>
                <w:sz w:val="7"/>
                <w:szCs w:val="7"/>
                <w:color w:val="auto"/>
              </w:rPr>
            </w:pPr>
          </w:p>
        </w:tc>
        <w:tc>
          <w:tcPr>
            <w:tcW w:w="960" w:type="dxa"/>
            <w:vAlign w:val="bottom"/>
            <w:vMerge w:val="continue"/>
            <w:shd w:val="clear" w:color="auto" w:fill="BF2115"/>
          </w:tcPr>
          <w:p>
            <w:pPr>
              <w:spacing w:after="0"/>
              <w:rPr>
                <w:sz w:val="7"/>
                <w:szCs w:val="7"/>
                <w:color w:val="auto"/>
              </w:rPr>
            </w:pPr>
          </w:p>
        </w:tc>
        <w:tc>
          <w:tcPr>
            <w:tcW w:w="220" w:type="dxa"/>
            <w:vAlign w:val="bottom"/>
            <w:shd w:val="clear" w:color="auto" w:fill="BF2115"/>
          </w:tcPr>
          <w:p>
            <w:pPr>
              <w:spacing w:after="0"/>
              <w:rPr>
                <w:sz w:val="7"/>
                <w:szCs w:val="7"/>
                <w:color w:val="auto"/>
              </w:rPr>
            </w:pPr>
          </w:p>
        </w:tc>
        <w:tc>
          <w:tcPr>
            <w:tcW w:w="1200" w:type="dxa"/>
            <w:vAlign w:val="bottom"/>
            <w:vMerge w:val="continue"/>
            <w:shd w:val="clear" w:color="auto" w:fill="BF2115"/>
          </w:tcPr>
          <w:p>
            <w:pPr>
              <w:spacing w:after="0"/>
              <w:rPr>
                <w:sz w:val="7"/>
                <w:szCs w:val="7"/>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Market or</w:t>
            </w:r>
          </w:p>
        </w:tc>
        <w:tc>
          <w:tcPr>
            <w:tcW w:w="0" w:type="dxa"/>
            <w:vAlign w:val="bottom"/>
          </w:tcPr>
          <w:p>
            <w:pPr>
              <w:spacing w:after="0"/>
              <w:rPr>
                <w:sz w:val="1"/>
                <w:szCs w:val="1"/>
                <w:color w:val="auto"/>
              </w:rPr>
            </w:pPr>
          </w:p>
        </w:tc>
      </w:tr>
      <w:tr>
        <w:trPr>
          <w:trHeight w:val="54"/>
        </w:trPr>
        <w:tc>
          <w:tcPr>
            <w:tcW w:w="2220" w:type="dxa"/>
            <w:vAlign w:val="bottom"/>
            <w:shd w:val="clear" w:color="auto" w:fill="BF2115"/>
          </w:tcPr>
          <w:p>
            <w:pPr>
              <w:spacing w:after="0"/>
              <w:rPr>
                <w:sz w:val="4"/>
                <w:szCs w:val="4"/>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Number of</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Number of</w:t>
            </w:r>
          </w:p>
        </w:tc>
        <w:tc>
          <w:tcPr>
            <w:tcW w:w="1200" w:type="dxa"/>
            <w:vAlign w:val="bottom"/>
            <w:shd w:val="clear" w:color="auto" w:fill="BF2115"/>
          </w:tcPr>
          <w:p>
            <w:pPr>
              <w:spacing w:after="0"/>
              <w:rPr>
                <w:sz w:val="4"/>
                <w:szCs w:val="4"/>
                <w:color w:val="auto"/>
              </w:rPr>
            </w:pPr>
          </w:p>
        </w:tc>
        <w:tc>
          <w:tcPr>
            <w:tcW w:w="1180" w:type="dxa"/>
            <w:vAlign w:val="bottom"/>
            <w:shd w:val="clear" w:color="auto" w:fill="BF2115"/>
          </w:tcPr>
          <w:p>
            <w:pPr>
              <w:spacing w:after="0"/>
              <w:rPr>
                <w:sz w:val="4"/>
                <w:szCs w:val="4"/>
                <w:color w:val="auto"/>
              </w:rPr>
            </w:pPr>
          </w:p>
        </w:tc>
        <w:tc>
          <w:tcPr>
            <w:tcW w:w="720" w:type="dxa"/>
            <w:vAlign w:val="bottom"/>
            <w:shd w:val="clear" w:color="auto" w:fill="BF2115"/>
          </w:tcPr>
          <w:p>
            <w:pPr>
              <w:spacing w:after="0"/>
              <w:rPr>
                <w:sz w:val="4"/>
                <w:szCs w:val="4"/>
                <w:color w:val="auto"/>
              </w:rPr>
            </w:pPr>
          </w:p>
        </w:tc>
        <w:tc>
          <w:tcPr>
            <w:tcW w:w="960" w:type="dxa"/>
            <w:vAlign w:val="bottom"/>
            <w:vMerge w:val="restart"/>
            <w:shd w:val="clear" w:color="auto" w:fill="BF2115"/>
          </w:tcPr>
          <w:p>
            <w:pPr>
              <w:jc w:val="center"/>
              <w:ind w:left="167"/>
              <w:spacing w:after="0"/>
              <w:rPr>
                <w:sz w:val="20"/>
                <w:szCs w:val="20"/>
                <w:color w:val="auto"/>
              </w:rPr>
            </w:pPr>
            <w:r>
              <w:rPr>
                <w:rFonts w:ascii="Arial" w:cs="Arial" w:eastAsia="Arial" w:hAnsi="Arial"/>
                <w:sz w:val="11"/>
                <w:szCs w:val="11"/>
                <w:b w:val="1"/>
                <w:bCs w:val="1"/>
                <w:color w:val="FFFFFF"/>
                <w:w w:val="98"/>
              </w:rPr>
              <w:t>Value of</w:t>
            </w:r>
          </w:p>
        </w:tc>
        <w:tc>
          <w:tcPr>
            <w:tcW w:w="220" w:type="dxa"/>
            <w:vAlign w:val="bottom"/>
            <w:shd w:val="clear" w:color="auto" w:fill="BF2115"/>
          </w:tcPr>
          <w:p>
            <w:pPr>
              <w:spacing w:after="0"/>
              <w:rPr>
                <w:sz w:val="4"/>
                <w:szCs w:val="4"/>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Number of</w:t>
            </w:r>
          </w:p>
        </w:tc>
        <w:tc>
          <w:tcPr>
            <w:tcW w:w="1180" w:type="dxa"/>
            <w:vAlign w:val="bottom"/>
            <w:vMerge w:val="continue"/>
            <w:shd w:val="clear" w:color="auto" w:fill="BF2115"/>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220" w:type="dxa"/>
            <w:vAlign w:val="bottom"/>
            <w:shd w:val="clear" w:color="auto" w:fill="BF2115"/>
          </w:tcPr>
          <w:p>
            <w:pPr>
              <w:spacing w:after="0"/>
              <w:rPr>
                <w:sz w:val="7"/>
                <w:szCs w:val="7"/>
                <w:color w:val="auto"/>
              </w:rPr>
            </w:pPr>
          </w:p>
        </w:tc>
        <w:tc>
          <w:tcPr>
            <w:tcW w:w="1180" w:type="dxa"/>
            <w:vAlign w:val="bottom"/>
            <w:vMerge w:val="continue"/>
            <w:shd w:val="clear" w:color="auto" w:fill="BF2115"/>
          </w:tcPr>
          <w:p>
            <w:pPr>
              <w:spacing w:after="0"/>
              <w:rPr>
                <w:sz w:val="7"/>
                <w:szCs w:val="7"/>
                <w:color w:val="auto"/>
              </w:rPr>
            </w:pPr>
          </w:p>
        </w:tc>
        <w:tc>
          <w:tcPr>
            <w:tcW w:w="1180" w:type="dxa"/>
            <w:vAlign w:val="bottom"/>
            <w:vMerge w:val="continue"/>
            <w:shd w:val="clear" w:color="auto" w:fill="BF2115"/>
          </w:tcPr>
          <w:p>
            <w:pPr>
              <w:spacing w:after="0"/>
              <w:rPr>
                <w:sz w:val="7"/>
                <w:szCs w:val="7"/>
                <w:color w:val="auto"/>
              </w:rPr>
            </w:pPr>
          </w:p>
        </w:tc>
        <w:tc>
          <w:tcPr>
            <w:tcW w:w="1200" w:type="dxa"/>
            <w:vAlign w:val="bottom"/>
            <w:shd w:val="clear" w:color="auto" w:fill="BF2115"/>
          </w:tcPr>
          <w:p>
            <w:pPr>
              <w:spacing w:after="0"/>
              <w:rPr>
                <w:sz w:val="7"/>
                <w:szCs w:val="7"/>
                <w:color w:val="auto"/>
              </w:rPr>
            </w:pPr>
          </w:p>
        </w:tc>
        <w:tc>
          <w:tcPr>
            <w:tcW w:w="1180" w:type="dxa"/>
            <w:vAlign w:val="bottom"/>
            <w:shd w:val="clear" w:color="auto" w:fill="BF2115"/>
          </w:tcPr>
          <w:p>
            <w:pPr>
              <w:spacing w:after="0"/>
              <w:rPr>
                <w:sz w:val="7"/>
                <w:szCs w:val="7"/>
                <w:color w:val="auto"/>
              </w:rPr>
            </w:pPr>
          </w:p>
        </w:tc>
        <w:tc>
          <w:tcPr>
            <w:tcW w:w="720" w:type="dxa"/>
            <w:vAlign w:val="bottom"/>
            <w:shd w:val="clear" w:color="auto" w:fill="BF2115"/>
          </w:tcPr>
          <w:p>
            <w:pPr>
              <w:spacing w:after="0"/>
              <w:rPr>
                <w:sz w:val="7"/>
                <w:szCs w:val="7"/>
                <w:color w:val="auto"/>
              </w:rPr>
            </w:pPr>
          </w:p>
        </w:tc>
        <w:tc>
          <w:tcPr>
            <w:tcW w:w="960" w:type="dxa"/>
            <w:vAlign w:val="bottom"/>
            <w:vMerge w:val="continue"/>
            <w:shd w:val="clear" w:color="auto" w:fill="BF2115"/>
          </w:tcPr>
          <w:p>
            <w:pPr>
              <w:spacing w:after="0"/>
              <w:rPr>
                <w:sz w:val="7"/>
                <w:szCs w:val="7"/>
                <w:color w:val="auto"/>
              </w:rPr>
            </w:pPr>
          </w:p>
        </w:tc>
        <w:tc>
          <w:tcPr>
            <w:tcW w:w="220" w:type="dxa"/>
            <w:vAlign w:val="bottom"/>
            <w:shd w:val="clear" w:color="auto" w:fill="BF2115"/>
          </w:tcPr>
          <w:p>
            <w:pPr>
              <w:spacing w:after="0"/>
              <w:rPr>
                <w:sz w:val="7"/>
                <w:szCs w:val="7"/>
                <w:color w:val="auto"/>
              </w:rPr>
            </w:pPr>
          </w:p>
        </w:tc>
        <w:tc>
          <w:tcPr>
            <w:tcW w:w="1200" w:type="dxa"/>
            <w:vAlign w:val="bottom"/>
            <w:vMerge w:val="continue"/>
            <w:shd w:val="clear" w:color="auto" w:fill="BF2115"/>
          </w:tcPr>
          <w:p>
            <w:pPr>
              <w:spacing w:after="0"/>
              <w:rPr>
                <w:sz w:val="7"/>
                <w:szCs w:val="7"/>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Payout Value</w:t>
            </w:r>
          </w:p>
        </w:tc>
        <w:tc>
          <w:tcPr>
            <w:tcW w:w="0" w:type="dxa"/>
            <w:vAlign w:val="bottom"/>
          </w:tcPr>
          <w:p>
            <w:pPr>
              <w:spacing w:after="0"/>
              <w:rPr>
                <w:sz w:val="1"/>
                <w:szCs w:val="1"/>
                <w:color w:val="auto"/>
              </w:rPr>
            </w:pPr>
          </w:p>
        </w:tc>
      </w:tr>
      <w:tr>
        <w:trPr>
          <w:trHeight w:val="54"/>
        </w:trPr>
        <w:tc>
          <w:tcPr>
            <w:tcW w:w="2220" w:type="dxa"/>
            <w:vAlign w:val="bottom"/>
            <w:shd w:val="clear" w:color="auto" w:fill="BF2115"/>
          </w:tcPr>
          <w:p>
            <w:pPr>
              <w:spacing w:after="0"/>
              <w:rPr>
                <w:sz w:val="4"/>
                <w:szCs w:val="4"/>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Securities</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Securities</w:t>
            </w:r>
          </w:p>
        </w:tc>
        <w:tc>
          <w:tcPr>
            <w:tcW w:w="1200" w:type="dxa"/>
            <w:vAlign w:val="bottom"/>
            <w:shd w:val="clear" w:color="auto" w:fill="BF2115"/>
          </w:tcPr>
          <w:p>
            <w:pPr>
              <w:spacing w:after="0"/>
              <w:rPr>
                <w:sz w:val="4"/>
                <w:szCs w:val="4"/>
                <w:color w:val="auto"/>
              </w:rPr>
            </w:pPr>
          </w:p>
        </w:tc>
        <w:tc>
          <w:tcPr>
            <w:tcW w:w="1180" w:type="dxa"/>
            <w:vAlign w:val="bottom"/>
            <w:shd w:val="clear" w:color="auto" w:fill="BF2115"/>
          </w:tcPr>
          <w:p>
            <w:pPr>
              <w:spacing w:after="0"/>
              <w:rPr>
                <w:sz w:val="4"/>
                <w:szCs w:val="4"/>
                <w:color w:val="auto"/>
              </w:rPr>
            </w:pP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Number of</w:t>
            </w:r>
          </w:p>
        </w:tc>
        <w:tc>
          <w:tcPr>
            <w:tcW w:w="960" w:type="dxa"/>
            <w:vAlign w:val="bottom"/>
            <w:vMerge w:val="restart"/>
            <w:shd w:val="clear" w:color="auto" w:fill="BF2115"/>
          </w:tcPr>
          <w:p>
            <w:pPr>
              <w:jc w:val="center"/>
              <w:ind w:left="167"/>
              <w:spacing w:after="0"/>
              <w:rPr>
                <w:sz w:val="20"/>
                <w:szCs w:val="20"/>
                <w:color w:val="auto"/>
              </w:rPr>
            </w:pPr>
            <w:r>
              <w:rPr>
                <w:rFonts w:ascii="Arial" w:cs="Arial" w:eastAsia="Arial" w:hAnsi="Arial"/>
                <w:sz w:val="11"/>
                <w:szCs w:val="11"/>
                <w:b w:val="1"/>
                <w:bCs w:val="1"/>
                <w:color w:val="FFFFFF"/>
                <w:w w:val="98"/>
              </w:rPr>
              <w:t>Shares or</w:t>
            </w:r>
          </w:p>
        </w:tc>
        <w:tc>
          <w:tcPr>
            <w:tcW w:w="220" w:type="dxa"/>
            <w:vAlign w:val="bottom"/>
            <w:shd w:val="clear" w:color="auto" w:fill="BF2115"/>
          </w:tcPr>
          <w:p>
            <w:pPr>
              <w:spacing w:after="0"/>
              <w:rPr>
                <w:sz w:val="4"/>
                <w:szCs w:val="4"/>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Unearned</w:t>
            </w:r>
          </w:p>
        </w:tc>
        <w:tc>
          <w:tcPr>
            <w:tcW w:w="1180" w:type="dxa"/>
            <w:vAlign w:val="bottom"/>
            <w:vMerge w:val="continue"/>
            <w:shd w:val="clear" w:color="auto" w:fill="BF2115"/>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220" w:type="dxa"/>
            <w:vAlign w:val="bottom"/>
            <w:shd w:val="clear" w:color="auto" w:fill="BF2115"/>
          </w:tcPr>
          <w:p>
            <w:pPr>
              <w:spacing w:after="0"/>
              <w:rPr>
                <w:sz w:val="8"/>
                <w:szCs w:val="8"/>
                <w:color w:val="auto"/>
              </w:rPr>
            </w:pPr>
          </w:p>
        </w:tc>
        <w:tc>
          <w:tcPr>
            <w:tcW w:w="1180" w:type="dxa"/>
            <w:vAlign w:val="bottom"/>
            <w:vMerge w:val="continue"/>
            <w:shd w:val="clear" w:color="auto" w:fill="BF2115"/>
          </w:tcPr>
          <w:p>
            <w:pPr>
              <w:spacing w:after="0"/>
              <w:rPr>
                <w:sz w:val="8"/>
                <w:szCs w:val="8"/>
                <w:color w:val="auto"/>
              </w:rPr>
            </w:pPr>
          </w:p>
        </w:tc>
        <w:tc>
          <w:tcPr>
            <w:tcW w:w="1180" w:type="dxa"/>
            <w:vAlign w:val="bottom"/>
            <w:vMerge w:val="continue"/>
            <w:shd w:val="clear" w:color="auto" w:fill="BF2115"/>
          </w:tcPr>
          <w:p>
            <w:pPr>
              <w:spacing w:after="0"/>
              <w:rPr>
                <w:sz w:val="8"/>
                <w:szCs w:val="8"/>
                <w:color w:val="auto"/>
              </w:rPr>
            </w:pPr>
          </w:p>
        </w:tc>
        <w:tc>
          <w:tcPr>
            <w:tcW w:w="120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vMerge w:val="continue"/>
            <w:shd w:val="clear" w:color="auto" w:fill="BF2115"/>
          </w:tcPr>
          <w:p>
            <w:pPr>
              <w:spacing w:after="0"/>
              <w:rPr>
                <w:sz w:val="8"/>
                <w:szCs w:val="8"/>
                <w:color w:val="auto"/>
              </w:rPr>
            </w:pPr>
          </w:p>
        </w:tc>
        <w:tc>
          <w:tcPr>
            <w:tcW w:w="960" w:type="dxa"/>
            <w:vAlign w:val="bottom"/>
            <w:vMerge w:val="continue"/>
            <w:shd w:val="clear" w:color="auto" w:fill="BF2115"/>
          </w:tcPr>
          <w:p>
            <w:pPr>
              <w:spacing w:after="0"/>
              <w:rPr>
                <w:sz w:val="8"/>
                <w:szCs w:val="8"/>
                <w:color w:val="auto"/>
              </w:rPr>
            </w:pPr>
          </w:p>
        </w:tc>
        <w:tc>
          <w:tcPr>
            <w:tcW w:w="220" w:type="dxa"/>
            <w:vAlign w:val="bottom"/>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of Unearned</w:t>
            </w:r>
          </w:p>
        </w:tc>
        <w:tc>
          <w:tcPr>
            <w:tcW w:w="0" w:type="dxa"/>
            <w:vAlign w:val="bottom"/>
          </w:tcPr>
          <w:p>
            <w:pPr>
              <w:spacing w:after="0"/>
              <w:rPr>
                <w:sz w:val="1"/>
                <w:szCs w:val="1"/>
                <w:color w:val="auto"/>
              </w:rPr>
            </w:pPr>
          </w:p>
        </w:tc>
      </w:tr>
      <w:tr>
        <w:trPr>
          <w:trHeight w:val="40"/>
        </w:trPr>
        <w:tc>
          <w:tcPr>
            <w:tcW w:w="2220" w:type="dxa"/>
            <w:vAlign w:val="bottom"/>
            <w:shd w:val="clear" w:color="auto" w:fill="BF2115"/>
          </w:tcPr>
          <w:p>
            <w:pPr>
              <w:spacing w:after="0"/>
              <w:rPr>
                <w:sz w:val="3"/>
                <w:szCs w:val="3"/>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Underlying</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Underlying</w:t>
            </w:r>
          </w:p>
        </w:tc>
        <w:tc>
          <w:tcPr>
            <w:tcW w:w="120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Shares or</w:t>
            </w:r>
          </w:p>
        </w:tc>
        <w:tc>
          <w:tcPr>
            <w:tcW w:w="960" w:type="dxa"/>
            <w:vAlign w:val="bottom"/>
            <w:vMerge w:val="restart"/>
            <w:shd w:val="clear" w:color="auto" w:fill="BF2115"/>
          </w:tcPr>
          <w:p>
            <w:pPr>
              <w:jc w:val="center"/>
              <w:ind w:left="167"/>
              <w:spacing w:after="0"/>
              <w:rPr>
                <w:sz w:val="20"/>
                <w:szCs w:val="20"/>
                <w:color w:val="auto"/>
              </w:rPr>
            </w:pPr>
            <w:r>
              <w:rPr>
                <w:rFonts w:ascii="Arial" w:cs="Arial" w:eastAsia="Arial" w:hAnsi="Arial"/>
                <w:sz w:val="11"/>
                <w:szCs w:val="11"/>
                <w:b w:val="1"/>
                <w:bCs w:val="1"/>
                <w:color w:val="FFFFFF"/>
              </w:rPr>
              <w:t>Units of</w:t>
            </w:r>
          </w:p>
        </w:tc>
        <w:tc>
          <w:tcPr>
            <w:tcW w:w="220" w:type="dxa"/>
            <w:vAlign w:val="bottom"/>
            <w:shd w:val="clear" w:color="auto" w:fill="BF2115"/>
          </w:tcPr>
          <w:p>
            <w:pPr>
              <w:spacing w:after="0"/>
              <w:rPr>
                <w:sz w:val="3"/>
                <w:szCs w:val="3"/>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Shares, Units</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2220" w:type="dxa"/>
            <w:vAlign w:val="bottom"/>
            <w:shd w:val="clear" w:color="auto" w:fill="BF2115"/>
          </w:tcPr>
          <w:p>
            <w:pPr>
              <w:spacing w:after="0"/>
              <w:rPr>
                <w:sz w:val="8"/>
                <w:szCs w:val="8"/>
                <w:color w:val="auto"/>
              </w:rPr>
            </w:pPr>
          </w:p>
        </w:tc>
        <w:tc>
          <w:tcPr>
            <w:tcW w:w="1180" w:type="dxa"/>
            <w:vAlign w:val="bottom"/>
            <w:vMerge w:val="continue"/>
            <w:shd w:val="clear" w:color="auto" w:fill="BF2115"/>
          </w:tcPr>
          <w:p>
            <w:pPr>
              <w:spacing w:after="0"/>
              <w:rPr>
                <w:sz w:val="8"/>
                <w:szCs w:val="8"/>
                <w:color w:val="auto"/>
              </w:rPr>
            </w:pPr>
          </w:p>
        </w:tc>
        <w:tc>
          <w:tcPr>
            <w:tcW w:w="1180" w:type="dxa"/>
            <w:vAlign w:val="bottom"/>
            <w:vMerge w:val="continue"/>
            <w:shd w:val="clear" w:color="auto" w:fill="BF2115"/>
          </w:tcPr>
          <w:p>
            <w:pPr>
              <w:spacing w:after="0"/>
              <w:rPr>
                <w:sz w:val="8"/>
                <w:szCs w:val="8"/>
                <w:color w:val="auto"/>
              </w:rPr>
            </w:pPr>
          </w:p>
        </w:tc>
        <w:tc>
          <w:tcPr>
            <w:tcW w:w="120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vMerge w:val="continue"/>
            <w:shd w:val="clear" w:color="auto" w:fill="BF2115"/>
          </w:tcPr>
          <w:p>
            <w:pPr>
              <w:spacing w:after="0"/>
              <w:rPr>
                <w:sz w:val="8"/>
                <w:szCs w:val="8"/>
                <w:color w:val="auto"/>
              </w:rPr>
            </w:pPr>
          </w:p>
        </w:tc>
        <w:tc>
          <w:tcPr>
            <w:tcW w:w="960" w:type="dxa"/>
            <w:vAlign w:val="bottom"/>
            <w:vMerge w:val="continue"/>
            <w:shd w:val="clear" w:color="auto" w:fill="BF2115"/>
          </w:tcPr>
          <w:p>
            <w:pPr>
              <w:spacing w:after="0"/>
              <w:rPr>
                <w:sz w:val="8"/>
                <w:szCs w:val="8"/>
                <w:color w:val="auto"/>
              </w:rPr>
            </w:pPr>
          </w:p>
        </w:tc>
        <w:tc>
          <w:tcPr>
            <w:tcW w:w="220" w:type="dxa"/>
            <w:vAlign w:val="bottom"/>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9"/>
              </w:rPr>
              <w:t>Shares, Units</w:t>
            </w:r>
          </w:p>
        </w:tc>
        <w:tc>
          <w:tcPr>
            <w:tcW w:w="0" w:type="dxa"/>
            <w:vAlign w:val="bottom"/>
          </w:tcPr>
          <w:p>
            <w:pPr>
              <w:spacing w:after="0"/>
              <w:rPr>
                <w:sz w:val="1"/>
                <w:szCs w:val="1"/>
                <w:color w:val="auto"/>
              </w:rPr>
            </w:pPr>
          </w:p>
        </w:tc>
      </w:tr>
      <w:tr>
        <w:trPr>
          <w:trHeight w:val="40"/>
        </w:trPr>
        <w:tc>
          <w:tcPr>
            <w:tcW w:w="2220" w:type="dxa"/>
            <w:vAlign w:val="bottom"/>
            <w:shd w:val="clear" w:color="auto" w:fill="BF2115"/>
          </w:tcPr>
          <w:p>
            <w:pPr>
              <w:spacing w:after="0"/>
              <w:rPr>
                <w:sz w:val="3"/>
                <w:szCs w:val="3"/>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Unexercised</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Unexercised</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Option</w:t>
            </w:r>
          </w:p>
        </w:tc>
        <w:tc>
          <w:tcPr>
            <w:tcW w:w="1180" w:type="dxa"/>
            <w:vAlign w:val="bottom"/>
            <w:shd w:val="clear" w:color="auto" w:fill="BF2115"/>
          </w:tcPr>
          <w:p>
            <w:pPr>
              <w:spacing w:after="0"/>
              <w:rPr>
                <w:sz w:val="3"/>
                <w:szCs w:val="3"/>
                <w:color w:val="auto"/>
              </w:rPr>
            </w:pP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Units that</w:t>
            </w:r>
          </w:p>
        </w:tc>
        <w:tc>
          <w:tcPr>
            <w:tcW w:w="960" w:type="dxa"/>
            <w:vAlign w:val="bottom"/>
            <w:vMerge w:val="restart"/>
            <w:shd w:val="clear" w:color="auto" w:fill="BF2115"/>
          </w:tcPr>
          <w:p>
            <w:pPr>
              <w:jc w:val="center"/>
              <w:ind w:left="167"/>
              <w:spacing w:after="0"/>
              <w:rPr>
                <w:sz w:val="20"/>
                <w:szCs w:val="20"/>
                <w:color w:val="auto"/>
              </w:rPr>
            </w:pPr>
            <w:r>
              <w:rPr>
                <w:rFonts w:ascii="Arial" w:cs="Arial" w:eastAsia="Arial" w:hAnsi="Arial"/>
                <w:sz w:val="11"/>
                <w:szCs w:val="11"/>
                <w:b w:val="1"/>
                <w:bCs w:val="1"/>
                <w:color w:val="FFFFFF"/>
              </w:rPr>
              <w:t>Stock that</w:t>
            </w:r>
          </w:p>
        </w:tc>
        <w:tc>
          <w:tcPr>
            <w:tcW w:w="220" w:type="dxa"/>
            <w:vAlign w:val="bottom"/>
            <w:shd w:val="clear" w:color="auto" w:fill="BF2115"/>
          </w:tcPr>
          <w:p>
            <w:pPr>
              <w:spacing w:after="0"/>
              <w:rPr>
                <w:sz w:val="3"/>
                <w:szCs w:val="3"/>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9"/>
              </w:rPr>
              <w:t>or Other Rights</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2220" w:type="dxa"/>
            <w:vAlign w:val="bottom"/>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Option</w:t>
            </w:r>
          </w:p>
        </w:tc>
        <w:tc>
          <w:tcPr>
            <w:tcW w:w="720" w:type="dxa"/>
            <w:vAlign w:val="bottom"/>
            <w:vMerge w:val="continue"/>
            <w:shd w:val="clear" w:color="auto" w:fill="BF2115"/>
          </w:tcPr>
          <w:p>
            <w:pPr>
              <w:spacing w:after="0"/>
              <w:rPr>
                <w:sz w:val="9"/>
                <w:szCs w:val="9"/>
                <w:color w:val="auto"/>
              </w:rPr>
            </w:pPr>
          </w:p>
        </w:tc>
        <w:tc>
          <w:tcPr>
            <w:tcW w:w="960" w:type="dxa"/>
            <w:vAlign w:val="bottom"/>
            <w:vMerge w:val="continue"/>
            <w:shd w:val="clear" w:color="auto" w:fill="BF2115"/>
          </w:tcPr>
          <w:p>
            <w:pPr>
              <w:spacing w:after="0"/>
              <w:rPr>
                <w:sz w:val="9"/>
                <w:szCs w:val="9"/>
                <w:color w:val="auto"/>
              </w:rPr>
            </w:pPr>
          </w:p>
        </w:tc>
        <w:tc>
          <w:tcPr>
            <w:tcW w:w="220" w:type="dxa"/>
            <w:vAlign w:val="bottom"/>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shd w:val="clear" w:color="auto" w:fill="BF2115"/>
          </w:tcPr>
          <w:p>
            <w:pPr>
              <w:jc w:val="center"/>
              <w:spacing w:after="0" w:line="108" w:lineRule="exact"/>
              <w:rPr>
                <w:sz w:val="20"/>
                <w:szCs w:val="20"/>
                <w:color w:val="auto"/>
              </w:rPr>
            </w:pPr>
            <w:r>
              <w:rPr>
                <w:rFonts w:ascii="Arial" w:cs="Arial" w:eastAsia="Arial" w:hAnsi="Arial"/>
                <w:sz w:val="11"/>
                <w:szCs w:val="11"/>
                <w:b w:val="1"/>
                <w:bCs w:val="1"/>
                <w:color w:val="FFFFFF"/>
                <w:w w:val="96"/>
              </w:rPr>
              <w:t>or Other Rights</w:t>
            </w:r>
          </w:p>
        </w:tc>
        <w:tc>
          <w:tcPr>
            <w:tcW w:w="0" w:type="dxa"/>
            <w:vAlign w:val="bottom"/>
          </w:tcPr>
          <w:p>
            <w:pPr>
              <w:spacing w:after="0"/>
              <w:rPr>
                <w:sz w:val="1"/>
                <w:szCs w:val="1"/>
                <w:color w:val="auto"/>
              </w:rPr>
            </w:pPr>
          </w:p>
        </w:tc>
      </w:tr>
      <w:tr>
        <w:trPr>
          <w:trHeight w:val="119"/>
        </w:trPr>
        <w:tc>
          <w:tcPr>
            <w:tcW w:w="2220" w:type="dxa"/>
            <w:vAlign w:val="bottom"/>
            <w:shd w:val="clear" w:color="auto" w:fill="BF2115"/>
          </w:tcPr>
          <w:p>
            <w:pPr>
              <w:spacing w:after="0"/>
              <w:rPr>
                <w:sz w:val="10"/>
                <w:szCs w:val="10"/>
                <w:color w:val="auto"/>
              </w:rPr>
            </w:pPr>
          </w:p>
        </w:tc>
        <w:tc>
          <w:tcPr>
            <w:tcW w:w="1180" w:type="dxa"/>
            <w:vAlign w:val="bottom"/>
            <w:shd w:val="clear" w:color="auto" w:fill="BF2115"/>
          </w:tcPr>
          <w:p>
            <w:pPr>
              <w:jc w:val="center"/>
              <w:spacing w:after="0" w:line="120" w:lineRule="exact"/>
              <w:rPr>
                <w:sz w:val="20"/>
                <w:szCs w:val="20"/>
                <w:color w:val="auto"/>
              </w:rPr>
            </w:pPr>
            <w:r>
              <w:rPr>
                <w:rFonts w:ascii="Arial" w:cs="Arial" w:eastAsia="Arial" w:hAnsi="Arial"/>
                <w:sz w:val="11"/>
                <w:szCs w:val="11"/>
                <w:b w:val="1"/>
                <w:bCs w:val="1"/>
                <w:color w:val="FFFFFF"/>
              </w:rPr>
              <w:t>Options</w:t>
            </w:r>
          </w:p>
        </w:tc>
        <w:tc>
          <w:tcPr>
            <w:tcW w:w="1180" w:type="dxa"/>
            <w:vAlign w:val="bottom"/>
            <w:shd w:val="clear" w:color="auto" w:fill="BF2115"/>
          </w:tcPr>
          <w:p>
            <w:pPr>
              <w:jc w:val="center"/>
              <w:spacing w:after="0" w:line="120" w:lineRule="exact"/>
              <w:rPr>
                <w:sz w:val="20"/>
                <w:szCs w:val="20"/>
                <w:color w:val="auto"/>
              </w:rPr>
            </w:pPr>
            <w:r>
              <w:rPr>
                <w:rFonts w:ascii="Arial" w:cs="Arial" w:eastAsia="Arial" w:hAnsi="Arial"/>
                <w:sz w:val="11"/>
                <w:szCs w:val="11"/>
                <w:b w:val="1"/>
                <w:bCs w:val="1"/>
                <w:color w:val="FFFFFF"/>
              </w:rPr>
              <w:t>Options</w:t>
            </w:r>
          </w:p>
        </w:tc>
        <w:tc>
          <w:tcPr>
            <w:tcW w:w="1200" w:type="dxa"/>
            <w:vAlign w:val="bottom"/>
            <w:shd w:val="clear" w:color="auto" w:fill="BF2115"/>
          </w:tcPr>
          <w:p>
            <w:pPr>
              <w:jc w:val="center"/>
              <w:spacing w:after="0" w:line="120" w:lineRule="exact"/>
              <w:rPr>
                <w:sz w:val="20"/>
                <w:szCs w:val="20"/>
                <w:color w:val="auto"/>
              </w:rPr>
            </w:pPr>
            <w:r>
              <w:rPr>
                <w:rFonts w:ascii="Arial" w:cs="Arial" w:eastAsia="Arial" w:hAnsi="Arial"/>
                <w:sz w:val="11"/>
                <w:szCs w:val="11"/>
                <w:b w:val="1"/>
                <w:bCs w:val="1"/>
                <w:color w:val="FFFFFF"/>
                <w:w w:val="97"/>
              </w:rPr>
              <w:t>Exercise</w:t>
            </w:r>
          </w:p>
        </w:tc>
        <w:tc>
          <w:tcPr>
            <w:tcW w:w="1180" w:type="dxa"/>
            <w:vAlign w:val="bottom"/>
            <w:vMerge w:val="continue"/>
            <w:shd w:val="clear" w:color="auto" w:fill="BF2115"/>
          </w:tcPr>
          <w:p>
            <w:pPr>
              <w:spacing w:after="0"/>
              <w:rPr>
                <w:sz w:val="10"/>
                <w:szCs w:val="10"/>
                <w:color w:val="auto"/>
              </w:rPr>
            </w:pPr>
          </w:p>
        </w:tc>
        <w:tc>
          <w:tcPr>
            <w:tcW w:w="720" w:type="dxa"/>
            <w:vAlign w:val="bottom"/>
            <w:shd w:val="clear" w:color="auto" w:fill="BF2115"/>
          </w:tcPr>
          <w:p>
            <w:pPr>
              <w:jc w:val="center"/>
              <w:spacing w:after="0" w:line="120" w:lineRule="exact"/>
              <w:rPr>
                <w:sz w:val="20"/>
                <w:szCs w:val="20"/>
                <w:color w:val="auto"/>
              </w:rPr>
            </w:pPr>
            <w:r>
              <w:rPr>
                <w:rFonts w:ascii="Arial" w:cs="Arial" w:eastAsia="Arial" w:hAnsi="Arial"/>
                <w:sz w:val="11"/>
                <w:szCs w:val="11"/>
                <w:b w:val="1"/>
                <w:bCs w:val="1"/>
                <w:color w:val="FFFFFF"/>
              </w:rPr>
              <w:t>Have Not</w:t>
            </w:r>
          </w:p>
        </w:tc>
        <w:tc>
          <w:tcPr>
            <w:tcW w:w="960" w:type="dxa"/>
            <w:vAlign w:val="bottom"/>
            <w:shd w:val="clear" w:color="auto" w:fill="BF2115"/>
          </w:tcPr>
          <w:p>
            <w:pPr>
              <w:jc w:val="center"/>
              <w:ind w:left="167"/>
              <w:spacing w:after="0" w:line="120" w:lineRule="exact"/>
              <w:rPr>
                <w:sz w:val="20"/>
                <w:szCs w:val="20"/>
                <w:color w:val="auto"/>
              </w:rPr>
            </w:pPr>
            <w:r>
              <w:rPr>
                <w:rFonts w:ascii="Arial" w:cs="Arial" w:eastAsia="Arial" w:hAnsi="Arial"/>
                <w:sz w:val="11"/>
                <w:szCs w:val="11"/>
                <w:b w:val="1"/>
                <w:bCs w:val="1"/>
                <w:color w:val="FFFFFF"/>
                <w:w w:val="96"/>
              </w:rPr>
              <w:t>Have Not</w:t>
            </w:r>
          </w:p>
        </w:tc>
        <w:tc>
          <w:tcPr>
            <w:tcW w:w="220" w:type="dxa"/>
            <w:vAlign w:val="bottom"/>
            <w:shd w:val="clear" w:color="auto" w:fill="BF2115"/>
          </w:tcPr>
          <w:p>
            <w:pPr>
              <w:spacing w:after="0"/>
              <w:rPr>
                <w:sz w:val="10"/>
                <w:szCs w:val="10"/>
                <w:color w:val="auto"/>
              </w:rPr>
            </w:pPr>
          </w:p>
        </w:tc>
        <w:tc>
          <w:tcPr>
            <w:tcW w:w="1200" w:type="dxa"/>
            <w:vAlign w:val="bottom"/>
            <w:shd w:val="clear" w:color="auto" w:fill="BF2115"/>
          </w:tcPr>
          <w:p>
            <w:pPr>
              <w:jc w:val="center"/>
              <w:spacing w:after="0" w:line="120" w:lineRule="exact"/>
              <w:rPr>
                <w:sz w:val="20"/>
                <w:szCs w:val="20"/>
                <w:color w:val="auto"/>
              </w:rPr>
            </w:pPr>
            <w:r>
              <w:rPr>
                <w:rFonts w:ascii="Arial" w:cs="Arial" w:eastAsia="Arial" w:hAnsi="Arial"/>
                <w:sz w:val="11"/>
                <w:szCs w:val="11"/>
                <w:b w:val="1"/>
                <w:bCs w:val="1"/>
                <w:color w:val="FFFFFF"/>
                <w:w w:val="98"/>
              </w:rPr>
              <w:t>That Have</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That Have</w:t>
            </w:r>
          </w:p>
        </w:tc>
        <w:tc>
          <w:tcPr>
            <w:tcW w:w="0" w:type="dxa"/>
            <w:vAlign w:val="bottom"/>
          </w:tcPr>
          <w:p>
            <w:pPr>
              <w:spacing w:after="0"/>
              <w:rPr>
                <w:sz w:val="1"/>
                <w:szCs w:val="1"/>
                <w:color w:val="auto"/>
              </w:rPr>
            </w:pPr>
          </w:p>
        </w:tc>
      </w:tr>
      <w:tr>
        <w:trPr>
          <w:trHeight w:val="54"/>
        </w:trPr>
        <w:tc>
          <w:tcPr>
            <w:tcW w:w="2220" w:type="dxa"/>
            <w:vAlign w:val="bottom"/>
            <w:shd w:val="clear" w:color="auto" w:fill="BF2115"/>
          </w:tcPr>
          <w:p>
            <w:pPr>
              <w:spacing w:after="0"/>
              <w:rPr>
                <w:sz w:val="4"/>
                <w:szCs w:val="4"/>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Exercisable</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Unexercisable</w:t>
            </w:r>
            <w:r>
              <w:rPr>
                <w:rFonts w:ascii="Arial" w:cs="Arial" w:eastAsia="Arial" w:hAnsi="Arial"/>
                <w:sz w:val="14"/>
                <w:szCs w:val="14"/>
                <w:b w:val="1"/>
                <w:bCs w:val="1"/>
                <w:color w:val="FFFFFF"/>
                <w:w w:val="97"/>
                <w:vertAlign w:val="superscript"/>
              </w:rPr>
              <w:t>1</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Price</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Expiration</w:t>
            </w: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Vested</w:t>
            </w:r>
            <w:r>
              <w:rPr>
                <w:rFonts w:ascii="Arial" w:cs="Arial" w:eastAsia="Arial" w:hAnsi="Arial"/>
                <w:sz w:val="14"/>
                <w:szCs w:val="14"/>
                <w:b w:val="1"/>
                <w:bCs w:val="1"/>
                <w:color w:val="FFFFFF"/>
                <w:w w:val="96"/>
                <w:vertAlign w:val="superscript"/>
              </w:rPr>
              <w:t>2</w:t>
            </w:r>
          </w:p>
        </w:tc>
        <w:tc>
          <w:tcPr>
            <w:tcW w:w="960" w:type="dxa"/>
            <w:vAlign w:val="bottom"/>
            <w:vMerge w:val="restart"/>
            <w:shd w:val="clear" w:color="auto" w:fill="BF2115"/>
          </w:tcPr>
          <w:p>
            <w:pPr>
              <w:jc w:val="center"/>
              <w:ind w:left="167"/>
              <w:spacing w:after="0"/>
              <w:rPr>
                <w:sz w:val="20"/>
                <w:szCs w:val="20"/>
                <w:color w:val="auto"/>
              </w:rPr>
            </w:pPr>
            <w:r>
              <w:rPr>
                <w:rFonts w:ascii="Arial" w:cs="Arial" w:eastAsia="Arial" w:hAnsi="Arial"/>
                <w:sz w:val="11"/>
                <w:szCs w:val="11"/>
                <w:b w:val="1"/>
                <w:bCs w:val="1"/>
                <w:color w:val="FFFFFF"/>
                <w:w w:val="91"/>
              </w:rPr>
              <w:t>Vested</w:t>
            </w:r>
            <w:r>
              <w:rPr>
                <w:rFonts w:ascii="Arial" w:cs="Arial" w:eastAsia="Arial" w:hAnsi="Arial"/>
                <w:sz w:val="14"/>
                <w:szCs w:val="14"/>
                <w:b w:val="1"/>
                <w:bCs w:val="1"/>
                <w:color w:val="FFFFFF"/>
                <w:w w:val="91"/>
                <w:vertAlign w:val="superscript"/>
              </w:rPr>
              <w:t>3</w:t>
            </w:r>
          </w:p>
        </w:tc>
        <w:tc>
          <w:tcPr>
            <w:tcW w:w="220" w:type="dxa"/>
            <w:vAlign w:val="bottom"/>
            <w:shd w:val="clear" w:color="auto" w:fill="BF2115"/>
          </w:tcPr>
          <w:p>
            <w:pPr>
              <w:spacing w:after="0"/>
              <w:rPr>
                <w:sz w:val="4"/>
                <w:szCs w:val="4"/>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Not Vested</w:t>
            </w:r>
            <w:r>
              <w:rPr>
                <w:rFonts w:ascii="Arial" w:cs="Arial" w:eastAsia="Arial" w:hAnsi="Arial"/>
                <w:sz w:val="14"/>
                <w:szCs w:val="14"/>
                <w:b w:val="1"/>
                <w:bCs w:val="1"/>
                <w:color w:val="FFFFFF"/>
                <w:w w:val="95"/>
                <w:vertAlign w:val="superscript"/>
              </w:rPr>
              <w:t>4</w:t>
            </w:r>
          </w:p>
        </w:tc>
        <w:tc>
          <w:tcPr>
            <w:tcW w:w="1180" w:type="dxa"/>
            <w:vAlign w:val="bottom"/>
            <w:vMerge w:val="continue"/>
            <w:shd w:val="clear" w:color="auto" w:fill="BF2115"/>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220" w:type="dxa"/>
            <w:vAlign w:val="bottom"/>
            <w:vMerge w:val="restart"/>
            <w:shd w:val="clear" w:color="auto" w:fill="BF2115"/>
          </w:tcPr>
          <w:p>
            <w:pPr>
              <w:ind w:left="20"/>
              <w:spacing w:after="0"/>
              <w:rPr>
                <w:sz w:val="20"/>
                <w:szCs w:val="20"/>
                <w:color w:val="auto"/>
              </w:rPr>
            </w:pPr>
            <w:r>
              <w:rPr>
                <w:rFonts w:ascii="Arial" w:cs="Arial" w:eastAsia="Arial" w:hAnsi="Arial"/>
                <w:sz w:val="11"/>
                <w:szCs w:val="11"/>
                <w:b w:val="1"/>
                <w:bCs w:val="1"/>
                <w:color w:val="FFFFFF"/>
              </w:rPr>
              <w:t>Name</w:t>
            </w:r>
          </w:p>
        </w:tc>
        <w:tc>
          <w:tcPr>
            <w:tcW w:w="118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720" w:type="dxa"/>
            <w:vAlign w:val="bottom"/>
            <w:vMerge w:val="continue"/>
            <w:shd w:val="clear" w:color="auto" w:fill="BF2115"/>
          </w:tcPr>
          <w:p>
            <w:pPr>
              <w:spacing w:after="0"/>
              <w:rPr>
                <w:sz w:val="9"/>
                <w:szCs w:val="9"/>
                <w:color w:val="auto"/>
              </w:rPr>
            </w:pPr>
          </w:p>
        </w:tc>
        <w:tc>
          <w:tcPr>
            <w:tcW w:w="960" w:type="dxa"/>
            <w:vAlign w:val="bottom"/>
            <w:vMerge w:val="continue"/>
            <w:shd w:val="clear" w:color="auto" w:fill="BF2115"/>
          </w:tcPr>
          <w:p>
            <w:pPr>
              <w:spacing w:after="0"/>
              <w:rPr>
                <w:sz w:val="9"/>
                <w:szCs w:val="9"/>
                <w:color w:val="auto"/>
              </w:rPr>
            </w:pPr>
          </w:p>
        </w:tc>
        <w:tc>
          <w:tcPr>
            <w:tcW w:w="220" w:type="dxa"/>
            <w:vAlign w:val="bottom"/>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shd w:val="clear" w:color="auto" w:fill="BF2115"/>
          </w:tcPr>
          <w:p>
            <w:pPr>
              <w:jc w:val="center"/>
              <w:spacing w:after="0" w:line="110" w:lineRule="exact"/>
              <w:rPr>
                <w:sz w:val="20"/>
                <w:szCs w:val="20"/>
                <w:color w:val="auto"/>
              </w:rPr>
            </w:pPr>
            <w:r>
              <w:rPr>
                <w:rFonts w:ascii="Arial" w:cs="Arial" w:eastAsia="Arial" w:hAnsi="Arial"/>
                <w:sz w:val="9"/>
                <w:szCs w:val="9"/>
                <w:b w:val="1"/>
                <w:bCs w:val="1"/>
                <w:color w:val="FFFFFF"/>
              </w:rPr>
              <w:t>Not Vested</w:t>
            </w:r>
            <w:r>
              <w:rPr>
                <w:rFonts w:ascii="Arial" w:cs="Arial" w:eastAsia="Arial" w:hAnsi="Arial"/>
                <w:sz w:val="12"/>
                <w:szCs w:val="12"/>
                <w:b w:val="1"/>
                <w:bCs w:val="1"/>
                <w:color w:val="FFFFFF"/>
                <w:vertAlign w:val="superscript"/>
              </w:rPr>
              <w:t>5</w:t>
            </w:r>
          </w:p>
        </w:tc>
        <w:tc>
          <w:tcPr>
            <w:tcW w:w="0" w:type="dxa"/>
            <w:vAlign w:val="bottom"/>
          </w:tcPr>
          <w:p>
            <w:pPr>
              <w:spacing w:after="0"/>
              <w:rPr>
                <w:sz w:val="1"/>
                <w:szCs w:val="1"/>
                <w:color w:val="auto"/>
              </w:rPr>
            </w:pPr>
          </w:p>
        </w:tc>
      </w:tr>
      <w:tr>
        <w:trPr>
          <w:trHeight w:val="54"/>
        </w:trPr>
        <w:tc>
          <w:tcPr>
            <w:tcW w:w="2220" w:type="dxa"/>
            <w:vAlign w:val="bottom"/>
            <w:vMerge w:val="continue"/>
            <w:shd w:val="clear" w:color="auto" w:fill="BF2115"/>
          </w:tcPr>
          <w:p>
            <w:pPr>
              <w:spacing w:after="0"/>
              <w:rPr>
                <w:sz w:val="4"/>
                <w:szCs w:val="4"/>
                <w:color w:val="auto"/>
              </w:rPr>
            </w:pPr>
          </w:p>
        </w:tc>
        <w:tc>
          <w:tcPr>
            <w:tcW w:w="118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w:t>
            </w:r>
          </w:p>
        </w:tc>
        <w:tc>
          <w:tcPr>
            <w:tcW w:w="118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w:t>
            </w:r>
          </w:p>
        </w:tc>
        <w:tc>
          <w:tcPr>
            <w:tcW w:w="120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w:t>
            </w:r>
          </w:p>
        </w:tc>
        <w:tc>
          <w:tcPr>
            <w:tcW w:w="118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Date</w:t>
            </w:r>
          </w:p>
        </w:tc>
        <w:tc>
          <w:tcPr>
            <w:tcW w:w="72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w:t>
            </w:r>
          </w:p>
        </w:tc>
        <w:tc>
          <w:tcPr>
            <w:tcW w:w="960" w:type="dxa"/>
            <w:vAlign w:val="bottom"/>
            <w:shd w:val="clear" w:color="auto" w:fill="BF2115"/>
          </w:tcPr>
          <w:p>
            <w:pPr>
              <w:jc w:val="center"/>
              <w:ind w:left="167"/>
              <w:spacing w:after="0" w:line="54" w:lineRule="exact"/>
              <w:rPr>
                <w:sz w:val="20"/>
                <w:szCs w:val="20"/>
                <w:color w:val="auto"/>
              </w:rPr>
            </w:pPr>
            <w:r>
              <w:rPr>
                <w:rFonts w:ascii="Arial" w:cs="Arial" w:eastAsia="Arial" w:hAnsi="Arial"/>
                <w:sz w:val="6"/>
                <w:szCs w:val="6"/>
                <w:b w:val="1"/>
                <w:bCs w:val="1"/>
                <w:color w:val="FFFFFF"/>
              </w:rPr>
              <w:t>($)</w:t>
            </w:r>
          </w:p>
        </w:tc>
        <w:tc>
          <w:tcPr>
            <w:tcW w:w="1420" w:type="dxa"/>
            <w:vAlign w:val="bottom"/>
            <w:gridSpan w:val="2"/>
            <w:shd w:val="clear" w:color="auto" w:fill="BF2115"/>
          </w:tcPr>
          <w:p>
            <w:pPr>
              <w:jc w:val="center"/>
              <w:ind w:left="165"/>
              <w:spacing w:after="0" w:line="54" w:lineRule="exact"/>
              <w:rPr>
                <w:sz w:val="20"/>
                <w:szCs w:val="20"/>
                <w:color w:val="auto"/>
              </w:rPr>
            </w:pPr>
            <w:r>
              <w:rPr>
                <w:rFonts w:ascii="Arial" w:cs="Arial" w:eastAsia="Arial" w:hAnsi="Arial"/>
                <w:sz w:val="6"/>
                <w:szCs w:val="6"/>
                <w:b w:val="1"/>
                <w:bCs w:val="1"/>
                <w:color w:val="FFFFFF"/>
              </w:rPr>
              <w:t>(#)</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7"/>
                <w:szCs w:val="7"/>
                <w:b w:val="1"/>
                <w:bCs w:val="1"/>
                <w:color w:val="FFFFFF"/>
                <w:w w:val="92"/>
              </w:rPr>
              <w:t>($)</w:t>
            </w:r>
          </w:p>
        </w:tc>
        <w:tc>
          <w:tcPr>
            <w:tcW w:w="0" w:type="dxa"/>
            <w:vAlign w:val="bottom"/>
          </w:tcPr>
          <w:p>
            <w:pPr>
              <w:spacing w:after="0"/>
              <w:rPr>
                <w:sz w:val="1"/>
                <w:szCs w:val="1"/>
                <w:color w:val="auto"/>
              </w:rPr>
            </w:pPr>
          </w:p>
        </w:tc>
      </w:tr>
      <w:tr>
        <w:trPr>
          <w:trHeight w:val="74"/>
        </w:trPr>
        <w:tc>
          <w:tcPr>
            <w:tcW w:w="2220" w:type="dxa"/>
            <w:vAlign w:val="bottom"/>
            <w:tcBorders>
              <w:bottom w:val="single" w:sz="8" w:color="BF2115"/>
            </w:tcBorders>
            <w:shd w:val="clear" w:color="auto" w:fill="BF2115"/>
          </w:tcPr>
          <w:p>
            <w:pPr>
              <w:spacing w:after="0"/>
              <w:rPr>
                <w:sz w:val="6"/>
                <w:szCs w:val="6"/>
                <w:color w:val="auto"/>
              </w:rPr>
            </w:pPr>
          </w:p>
        </w:tc>
        <w:tc>
          <w:tcPr>
            <w:tcW w:w="1180" w:type="dxa"/>
            <w:vAlign w:val="bottom"/>
            <w:tcBorders>
              <w:bottom w:val="single" w:sz="8" w:color="BF2115"/>
            </w:tcBorders>
            <w:shd w:val="clear" w:color="auto" w:fill="BF2115"/>
          </w:tcPr>
          <w:p>
            <w:pPr>
              <w:spacing w:after="0"/>
              <w:rPr>
                <w:sz w:val="6"/>
                <w:szCs w:val="6"/>
                <w:color w:val="auto"/>
              </w:rPr>
            </w:pPr>
          </w:p>
        </w:tc>
        <w:tc>
          <w:tcPr>
            <w:tcW w:w="1180" w:type="dxa"/>
            <w:vAlign w:val="bottom"/>
            <w:tcBorders>
              <w:bottom w:val="single" w:sz="8" w:color="BF2115"/>
            </w:tcBorders>
            <w:shd w:val="clear" w:color="auto" w:fill="BF2115"/>
          </w:tcPr>
          <w:p>
            <w:pPr>
              <w:spacing w:after="0"/>
              <w:rPr>
                <w:sz w:val="6"/>
                <w:szCs w:val="6"/>
                <w:color w:val="auto"/>
              </w:rPr>
            </w:pPr>
          </w:p>
        </w:tc>
        <w:tc>
          <w:tcPr>
            <w:tcW w:w="1200" w:type="dxa"/>
            <w:vAlign w:val="bottom"/>
            <w:tcBorders>
              <w:bottom w:val="single" w:sz="8" w:color="BF2115"/>
            </w:tcBorders>
            <w:shd w:val="clear" w:color="auto" w:fill="BF2115"/>
          </w:tcPr>
          <w:p>
            <w:pPr>
              <w:spacing w:after="0"/>
              <w:rPr>
                <w:sz w:val="6"/>
                <w:szCs w:val="6"/>
                <w:color w:val="auto"/>
              </w:rPr>
            </w:pPr>
          </w:p>
        </w:tc>
        <w:tc>
          <w:tcPr>
            <w:tcW w:w="1180" w:type="dxa"/>
            <w:vAlign w:val="bottom"/>
            <w:tcBorders>
              <w:bottom w:val="single" w:sz="8" w:color="BF2115"/>
            </w:tcBorders>
            <w:shd w:val="clear" w:color="auto" w:fill="BF2115"/>
          </w:tcPr>
          <w:p>
            <w:pPr>
              <w:spacing w:after="0"/>
              <w:rPr>
                <w:sz w:val="6"/>
                <w:szCs w:val="6"/>
                <w:color w:val="auto"/>
              </w:rPr>
            </w:pPr>
          </w:p>
        </w:tc>
        <w:tc>
          <w:tcPr>
            <w:tcW w:w="720" w:type="dxa"/>
            <w:vAlign w:val="bottom"/>
            <w:tcBorders>
              <w:bottom w:val="single" w:sz="8" w:color="BF2115"/>
            </w:tcBorders>
            <w:shd w:val="clear" w:color="auto" w:fill="BF2115"/>
          </w:tcPr>
          <w:p>
            <w:pPr>
              <w:spacing w:after="0"/>
              <w:rPr>
                <w:sz w:val="6"/>
                <w:szCs w:val="6"/>
                <w:color w:val="auto"/>
              </w:rPr>
            </w:pPr>
          </w:p>
        </w:tc>
        <w:tc>
          <w:tcPr>
            <w:tcW w:w="960" w:type="dxa"/>
            <w:vAlign w:val="bottom"/>
            <w:tcBorders>
              <w:bottom w:val="single" w:sz="8" w:color="BF2115"/>
            </w:tcBorders>
            <w:shd w:val="clear" w:color="auto" w:fill="BF2115"/>
          </w:tcPr>
          <w:p>
            <w:pPr>
              <w:spacing w:after="0"/>
              <w:rPr>
                <w:sz w:val="6"/>
                <w:szCs w:val="6"/>
                <w:color w:val="auto"/>
              </w:rPr>
            </w:pPr>
          </w:p>
        </w:tc>
        <w:tc>
          <w:tcPr>
            <w:tcW w:w="220" w:type="dxa"/>
            <w:vAlign w:val="bottom"/>
            <w:tcBorders>
              <w:bottom w:val="single" w:sz="8" w:color="BF2115"/>
            </w:tcBorders>
            <w:shd w:val="clear" w:color="auto" w:fill="BF2115"/>
          </w:tcPr>
          <w:p>
            <w:pPr>
              <w:spacing w:after="0"/>
              <w:rPr>
                <w:sz w:val="6"/>
                <w:szCs w:val="6"/>
                <w:color w:val="auto"/>
              </w:rPr>
            </w:pPr>
          </w:p>
        </w:tc>
        <w:tc>
          <w:tcPr>
            <w:tcW w:w="1200" w:type="dxa"/>
            <w:vAlign w:val="bottom"/>
            <w:tcBorders>
              <w:bottom w:val="single" w:sz="8" w:color="BF2115"/>
            </w:tcBorders>
            <w:shd w:val="clear" w:color="auto" w:fill="BF2115"/>
          </w:tcPr>
          <w:p>
            <w:pPr>
              <w:spacing w:after="0"/>
              <w:rPr>
                <w:sz w:val="6"/>
                <w:szCs w:val="6"/>
                <w:color w:val="auto"/>
              </w:rPr>
            </w:pPr>
          </w:p>
        </w:tc>
        <w:tc>
          <w:tcPr>
            <w:tcW w:w="1180" w:type="dxa"/>
            <w:vAlign w:val="bottom"/>
            <w:tcBorders>
              <w:bottom w:val="single" w:sz="8" w:color="BF2115"/>
            </w:tcBorders>
            <w:vMerge w:val="continue"/>
            <w:shd w:val="clear" w:color="auto" w:fill="BF2115"/>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rPr>
                <w:sz w:val="20"/>
                <w:szCs w:val="20"/>
                <w:color w:val="auto"/>
              </w:rPr>
            </w:pPr>
            <w:r>
              <w:rPr>
                <w:rFonts w:ascii="Arial" w:cs="Arial" w:eastAsia="Arial" w:hAnsi="Arial"/>
                <w:sz w:val="13"/>
                <w:szCs w:val="13"/>
                <w:color w:val="auto"/>
              </w:rPr>
              <w:t>Amy E. Dahl</w:t>
            </w: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1180" w:type="dxa"/>
            <w:vAlign w:val="bottom"/>
          </w:tcPr>
          <w:p>
            <w:pPr>
              <w:jc w:val="right"/>
              <w:spacing w:after="0"/>
              <w:rPr>
                <w:sz w:val="20"/>
                <w:szCs w:val="20"/>
                <w:color w:val="auto"/>
              </w:rPr>
            </w:pPr>
            <w:r>
              <w:rPr>
                <w:rFonts w:ascii="Arial" w:cs="Arial" w:eastAsia="Arial" w:hAnsi="Arial"/>
                <w:sz w:val="13"/>
                <w:szCs w:val="13"/>
                <w:color w:val="auto"/>
              </w:rPr>
              <w:t>2,230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31.3750</w:t>
            </w:r>
          </w:p>
        </w:tc>
        <w:tc>
          <w:tcPr>
            <w:tcW w:w="1180" w:type="dxa"/>
            <w:vAlign w:val="bottom"/>
          </w:tcPr>
          <w:p>
            <w:pPr>
              <w:jc w:val="right"/>
              <w:spacing w:after="0"/>
              <w:rPr>
                <w:sz w:val="20"/>
                <w:szCs w:val="20"/>
                <w:color w:val="auto"/>
              </w:rPr>
            </w:pPr>
            <w:r>
              <w:rPr>
                <w:rFonts w:ascii="Arial" w:cs="Arial" w:eastAsia="Arial" w:hAnsi="Arial"/>
                <w:sz w:val="13"/>
                <w:szCs w:val="13"/>
                <w:color w:val="auto"/>
              </w:rPr>
              <w:t>12/05/2024</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2,230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31.3750</w:t>
            </w:r>
          </w:p>
        </w:tc>
        <w:tc>
          <w:tcPr>
            <w:tcW w:w="1180" w:type="dxa"/>
            <w:vAlign w:val="bottom"/>
          </w:tcPr>
          <w:p>
            <w:pPr>
              <w:jc w:val="right"/>
              <w:spacing w:after="0"/>
              <w:rPr>
                <w:sz w:val="20"/>
                <w:szCs w:val="20"/>
                <w:color w:val="auto"/>
              </w:rPr>
            </w:pPr>
            <w:r>
              <w:rPr>
                <w:rFonts w:ascii="Arial" w:cs="Arial" w:eastAsia="Arial" w:hAnsi="Arial"/>
                <w:sz w:val="13"/>
                <w:szCs w:val="13"/>
                <w:color w:val="auto"/>
              </w:rPr>
              <w:t>12/05/2024</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17,200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38.8200</w:t>
            </w:r>
          </w:p>
        </w:tc>
        <w:tc>
          <w:tcPr>
            <w:tcW w:w="1180" w:type="dxa"/>
            <w:vAlign w:val="bottom"/>
          </w:tcPr>
          <w:p>
            <w:pPr>
              <w:jc w:val="right"/>
              <w:spacing w:after="0"/>
              <w:rPr>
                <w:sz w:val="20"/>
                <w:szCs w:val="20"/>
                <w:color w:val="auto"/>
              </w:rPr>
            </w:pPr>
            <w:r>
              <w:rPr>
                <w:rFonts w:ascii="Arial" w:cs="Arial" w:eastAsia="Arial" w:hAnsi="Arial"/>
                <w:sz w:val="13"/>
                <w:szCs w:val="13"/>
                <w:color w:val="auto"/>
              </w:rPr>
              <w:t>12/04/2025</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16,600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56.5400</w:t>
            </w:r>
          </w:p>
        </w:tc>
        <w:tc>
          <w:tcPr>
            <w:tcW w:w="1180" w:type="dxa"/>
            <w:vAlign w:val="bottom"/>
          </w:tcPr>
          <w:p>
            <w:pPr>
              <w:jc w:val="right"/>
              <w:spacing w:after="0"/>
              <w:rPr>
                <w:sz w:val="20"/>
                <w:szCs w:val="20"/>
                <w:color w:val="auto"/>
              </w:rPr>
            </w:pPr>
            <w:r>
              <w:rPr>
                <w:rFonts w:ascii="Arial" w:cs="Arial" w:eastAsia="Arial" w:hAnsi="Arial"/>
                <w:sz w:val="13"/>
                <w:szCs w:val="13"/>
                <w:color w:val="auto"/>
              </w:rPr>
              <w:t>12/09/2026</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13,200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65.9300</w:t>
            </w:r>
          </w:p>
        </w:tc>
        <w:tc>
          <w:tcPr>
            <w:tcW w:w="1180" w:type="dxa"/>
            <w:vAlign w:val="bottom"/>
          </w:tcPr>
          <w:p>
            <w:pPr>
              <w:jc w:val="right"/>
              <w:spacing w:after="0"/>
              <w:rPr>
                <w:sz w:val="20"/>
                <w:szCs w:val="20"/>
                <w:color w:val="auto"/>
              </w:rPr>
            </w:pPr>
            <w:r>
              <w:rPr>
                <w:rFonts w:ascii="Arial" w:cs="Arial" w:eastAsia="Arial" w:hAnsi="Arial"/>
                <w:sz w:val="13"/>
                <w:szCs w:val="13"/>
                <w:color w:val="auto"/>
              </w:rPr>
              <w:t>12/08/2027</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16,200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58.5300</w:t>
            </w:r>
          </w:p>
        </w:tc>
        <w:tc>
          <w:tcPr>
            <w:tcW w:w="1180" w:type="dxa"/>
            <w:vAlign w:val="bottom"/>
          </w:tcPr>
          <w:p>
            <w:pPr>
              <w:jc w:val="right"/>
              <w:spacing w:after="0"/>
              <w:rPr>
                <w:sz w:val="20"/>
                <w:szCs w:val="20"/>
                <w:color w:val="auto"/>
              </w:rPr>
            </w:pPr>
            <w:r>
              <w:rPr>
                <w:rFonts w:ascii="Arial" w:cs="Arial" w:eastAsia="Arial" w:hAnsi="Arial"/>
                <w:sz w:val="13"/>
                <w:szCs w:val="13"/>
                <w:color w:val="auto"/>
              </w:rPr>
              <w:t>12/07/2028</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20,800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76.5300</w:t>
            </w:r>
          </w:p>
        </w:tc>
        <w:tc>
          <w:tcPr>
            <w:tcW w:w="1180" w:type="dxa"/>
            <w:vAlign w:val="bottom"/>
          </w:tcPr>
          <w:p>
            <w:pPr>
              <w:jc w:val="right"/>
              <w:spacing w:after="0"/>
              <w:rPr>
                <w:sz w:val="20"/>
                <w:szCs w:val="20"/>
                <w:color w:val="auto"/>
              </w:rPr>
            </w:pPr>
            <w:r>
              <w:rPr>
                <w:rFonts w:ascii="Arial" w:cs="Arial" w:eastAsia="Arial" w:hAnsi="Arial"/>
                <w:sz w:val="13"/>
                <w:szCs w:val="13"/>
                <w:color w:val="auto"/>
              </w:rPr>
              <w:t>12/19/2029</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14,200</w:t>
            </w:r>
          </w:p>
        </w:tc>
        <w:tc>
          <w:tcPr>
            <w:tcW w:w="1180" w:type="dxa"/>
            <w:vAlign w:val="bottom"/>
          </w:tcPr>
          <w:p>
            <w:pPr>
              <w:jc w:val="right"/>
              <w:spacing w:after="0"/>
              <w:rPr>
                <w:sz w:val="20"/>
                <w:szCs w:val="20"/>
                <w:color w:val="auto"/>
              </w:rPr>
            </w:pPr>
            <w:r>
              <w:rPr>
                <w:rFonts w:ascii="Arial" w:cs="Arial" w:eastAsia="Arial" w:hAnsi="Arial"/>
                <w:sz w:val="13"/>
                <w:szCs w:val="13"/>
                <w:color w:val="auto"/>
              </w:rPr>
              <w:t>7,100</w:t>
            </w:r>
          </w:p>
        </w:tc>
        <w:tc>
          <w:tcPr>
            <w:tcW w:w="1200" w:type="dxa"/>
            <w:vAlign w:val="bottom"/>
          </w:tcPr>
          <w:p>
            <w:pPr>
              <w:jc w:val="right"/>
              <w:spacing w:after="0"/>
              <w:rPr>
                <w:sz w:val="20"/>
                <w:szCs w:val="20"/>
                <w:color w:val="auto"/>
              </w:rPr>
            </w:pPr>
            <w:r>
              <w:rPr>
                <w:rFonts w:ascii="Arial" w:cs="Arial" w:eastAsia="Arial" w:hAnsi="Arial"/>
                <w:sz w:val="13"/>
                <w:szCs w:val="13"/>
                <w:color w:val="auto"/>
              </w:rPr>
              <w:t>93.3300</w:t>
            </w:r>
          </w:p>
        </w:tc>
        <w:tc>
          <w:tcPr>
            <w:tcW w:w="1180" w:type="dxa"/>
            <w:vAlign w:val="bottom"/>
          </w:tcPr>
          <w:p>
            <w:pPr>
              <w:jc w:val="right"/>
              <w:spacing w:after="0"/>
              <w:rPr>
                <w:sz w:val="20"/>
                <w:szCs w:val="20"/>
                <w:color w:val="auto"/>
              </w:rPr>
            </w:pPr>
            <w:r>
              <w:rPr>
                <w:rFonts w:ascii="Arial" w:cs="Arial" w:eastAsia="Arial" w:hAnsi="Arial"/>
                <w:sz w:val="13"/>
                <w:szCs w:val="13"/>
                <w:color w:val="auto"/>
              </w:rPr>
              <w:t>12/17/2030</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5,633</w:t>
            </w:r>
          </w:p>
        </w:tc>
        <w:tc>
          <w:tcPr>
            <w:tcW w:w="1180" w:type="dxa"/>
            <w:vAlign w:val="bottom"/>
          </w:tcPr>
          <w:p>
            <w:pPr>
              <w:jc w:val="right"/>
              <w:spacing w:after="0"/>
              <w:rPr>
                <w:sz w:val="20"/>
                <w:szCs w:val="20"/>
                <w:color w:val="auto"/>
              </w:rPr>
            </w:pPr>
            <w:r>
              <w:rPr>
                <w:rFonts w:ascii="Arial" w:cs="Arial" w:eastAsia="Arial" w:hAnsi="Arial"/>
                <w:sz w:val="13"/>
                <w:szCs w:val="13"/>
                <w:color w:val="auto"/>
              </w:rPr>
              <w:t>11,267</w:t>
            </w:r>
          </w:p>
        </w:tc>
        <w:tc>
          <w:tcPr>
            <w:tcW w:w="1200" w:type="dxa"/>
            <w:vAlign w:val="bottom"/>
          </w:tcPr>
          <w:p>
            <w:pPr>
              <w:jc w:val="right"/>
              <w:spacing w:after="0"/>
              <w:rPr>
                <w:sz w:val="20"/>
                <w:szCs w:val="20"/>
                <w:color w:val="auto"/>
              </w:rPr>
            </w:pPr>
            <w:r>
              <w:rPr>
                <w:rFonts w:ascii="Arial" w:cs="Arial" w:eastAsia="Arial" w:hAnsi="Arial"/>
                <w:sz w:val="13"/>
                <w:szCs w:val="13"/>
                <w:color w:val="auto"/>
              </w:rPr>
              <w:t>99.3400</w:t>
            </w:r>
          </w:p>
        </w:tc>
        <w:tc>
          <w:tcPr>
            <w:tcW w:w="1180" w:type="dxa"/>
            <w:vAlign w:val="bottom"/>
          </w:tcPr>
          <w:p>
            <w:pPr>
              <w:jc w:val="right"/>
              <w:spacing w:after="0"/>
              <w:rPr>
                <w:sz w:val="20"/>
                <w:szCs w:val="20"/>
                <w:color w:val="auto"/>
              </w:rPr>
            </w:pPr>
            <w:r>
              <w:rPr>
                <w:rFonts w:ascii="Arial" w:cs="Arial" w:eastAsia="Arial" w:hAnsi="Arial"/>
                <w:sz w:val="13"/>
                <w:szCs w:val="13"/>
                <w:color w:val="auto"/>
              </w:rPr>
              <w:t>12/16/2031</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180" w:type="dxa"/>
            <w:vAlign w:val="bottom"/>
          </w:tcPr>
          <w:p>
            <w:pPr>
              <w:jc w:val="right"/>
              <w:spacing w:after="0"/>
              <w:rPr>
                <w:sz w:val="20"/>
                <w:szCs w:val="20"/>
                <w:color w:val="auto"/>
              </w:rPr>
            </w:pPr>
            <w:r>
              <w:rPr>
                <w:rFonts w:ascii="Arial" w:cs="Arial" w:eastAsia="Arial" w:hAnsi="Arial"/>
                <w:sz w:val="13"/>
                <w:szCs w:val="13"/>
                <w:color w:val="auto"/>
              </w:rPr>
              <w:t>15,400</w:t>
            </w:r>
          </w:p>
        </w:tc>
        <w:tc>
          <w:tcPr>
            <w:tcW w:w="1200" w:type="dxa"/>
            <w:vAlign w:val="bottom"/>
          </w:tcPr>
          <w:p>
            <w:pPr>
              <w:jc w:val="right"/>
              <w:spacing w:after="0"/>
              <w:rPr>
                <w:sz w:val="20"/>
                <w:szCs w:val="20"/>
                <w:color w:val="auto"/>
              </w:rPr>
            </w:pPr>
            <w:r>
              <w:rPr>
                <w:rFonts w:ascii="Arial" w:cs="Arial" w:eastAsia="Arial" w:hAnsi="Arial"/>
                <w:sz w:val="13"/>
                <w:szCs w:val="13"/>
                <w:color w:val="auto"/>
              </w:rPr>
              <w:t>111.1500</w:t>
            </w:r>
          </w:p>
        </w:tc>
        <w:tc>
          <w:tcPr>
            <w:tcW w:w="1180" w:type="dxa"/>
            <w:vAlign w:val="bottom"/>
          </w:tcPr>
          <w:p>
            <w:pPr>
              <w:jc w:val="right"/>
              <w:spacing w:after="0"/>
              <w:rPr>
                <w:sz w:val="20"/>
                <w:szCs w:val="20"/>
                <w:color w:val="auto"/>
              </w:rPr>
            </w:pPr>
            <w:r>
              <w:rPr>
                <w:rFonts w:ascii="Arial" w:cs="Arial" w:eastAsia="Arial" w:hAnsi="Arial"/>
                <w:sz w:val="13"/>
                <w:szCs w:val="13"/>
                <w:color w:val="auto"/>
              </w:rPr>
              <w:t>12/22/2032</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100"/>
              <w:spacing w:after="0"/>
              <w:rPr>
                <w:sz w:val="20"/>
                <w:szCs w:val="20"/>
                <w:color w:val="auto"/>
              </w:rPr>
            </w:pPr>
            <w:r>
              <w:rPr>
                <w:rFonts w:ascii="Arial" w:cs="Arial" w:eastAsia="Arial" w:hAnsi="Arial"/>
                <w:sz w:val="13"/>
                <w:szCs w:val="13"/>
                <w:color w:val="auto"/>
              </w:rPr>
              <w:t>F22-F24 Performance Shares</w:t>
            </w: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3,237</w:t>
            </w:r>
          </w:p>
        </w:tc>
        <w:tc>
          <w:tcPr>
            <w:tcW w:w="1180" w:type="dxa"/>
            <w:vAlign w:val="bottom"/>
          </w:tcPr>
          <w:p>
            <w:pPr>
              <w:jc w:val="right"/>
              <w:spacing w:after="0"/>
              <w:rPr>
                <w:sz w:val="20"/>
                <w:szCs w:val="20"/>
                <w:color w:val="auto"/>
              </w:rPr>
            </w:pPr>
            <w:r>
              <w:rPr>
                <w:rFonts w:ascii="Arial" w:cs="Arial" w:eastAsia="Arial" w:hAnsi="Arial"/>
                <w:sz w:val="13"/>
                <w:szCs w:val="13"/>
                <w:color w:val="auto"/>
              </w:rPr>
              <w:t>261,679</w:t>
            </w:r>
          </w:p>
        </w:tc>
        <w:tc>
          <w:tcPr>
            <w:tcW w:w="0" w:type="dxa"/>
            <w:vAlign w:val="bottom"/>
          </w:tcPr>
          <w:p>
            <w:pPr>
              <w:spacing w:after="0"/>
              <w:rPr>
                <w:sz w:val="1"/>
                <w:szCs w:val="1"/>
                <w:color w:val="auto"/>
              </w:rPr>
            </w:pPr>
          </w:p>
        </w:tc>
      </w:tr>
      <w:tr>
        <w:trPr>
          <w:trHeight w:val="203"/>
        </w:trPr>
        <w:tc>
          <w:tcPr>
            <w:tcW w:w="2220" w:type="dxa"/>
            <w:vAlign w:val="bottom"/>
          </w:tcPr>
          <w:p>
            <w:pPr>
              <w:ind w:left="100"/>
              <w:spacing w:after="0"/>
              <w:rPr>
                <w:sz w:val="20"/>
                <w:szCs w:val="20"/>
                <w:color w:val="auto"/>
              </w:rPr>
            </w:pPr>
            <w:r>
              <w:rPr>
                <w:rFonts w:ascii="Arial" w:cs="Arial" w:eastAsia="Arial" w:hAnsi="Arial"/>
                <w:sz w:val="13"/>
                <w:szCs w:val="13"/>
                <w:color w:val="auto"/>
              </w:rPr>
              <w:t>F23-F25 Performance Shares</w:t>
            </w: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2,295</w:t>
            </w:r>
          </w:p>
        </w:tc>
        <w:tc>
          <w:tcPr>
            <w:tcW w:w="1180" w:type="dxa"/>
            <w:vAlign w:val="bottom"/>
          </w:tcPr>
          <w:p>
            <w:pPr>
              <w:jc w:val="right"/>
              <w:spacing w:after="0"/>
              <w:rPr>
                <w:sz w:val="20"/>
                <w:szCs w:val="20"/>
                <w:color w:val="auto"/>
              </w:rPr>
            </w:pPr>
            <w:r>
              <w:rPr>
                <w:rFonts w:ascii="Arial" w:cs="Arial" w:eastAsia="Arial" w:hAnsi="Arial"/>
                <w:sz w:val="13"/>
                <w:szCs w:val="13"/>
                <w:color w:val="auto"/>
              </w:rPr>
              <w:t>185,528</w:t>
            </w:r>
          </w:p>
        </w:tc>
        <w:tc>
          <w:tcPr>
            <w:tcW w:w="0" w:type="dxa"/>
            <w:vAlign w:val="bottom"/>
          </w:tcPr>
          <w:p>
            <w:pPr>
              <w:spacing w:after="0"/>
              <w:rPr>
                <w:sz w:val="1"/>
                <w:szCs w:val="1"/>
                <w:color w:val="auto"/>
              </w:rPr>
            </w:pPr>
          </w:p>
        </w:tc>
      </w:tr>
      <w:tr>
        <w:trPr>
          <w:trHeight w:val="28"/>
        </w:trPr>
        <w:tc>
          <w:tcPr>
            <w:tcW w:w="2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220" w:type="dxa"/>
            <w:vAlign w:val="bottom"/>
            <w:shd w:val="clear" w:color="auto" w:fill="DBDBDB"/>
          </w:tcPr>
          <w:p>
            <w:pPr>
              <w:ind w:left="20"/>
              <w:spacing w:after="0"/>
              <w:rPr>
                <w:sz w:val="20"/>
                <w:szCs w:val="20"/>
                <w:color w:val="auto"/>
              </w:rPr>
            </w:pPr>
            <w:r>
              <w:rPr>
                <w:rFonts w:ascii="Arial" w:cs="Arial" w:eastAsia="Arial" w:hAnsi="Arial"/>
                <w:sz w:val="13"/>
                <w:szCs w:val="13"/>
                <w:color w:val="auto"/>
              </w:rPr>
              <w:t>Gregory S. Janey</w:t>
            </w:r>
          </w:p>
        </w:tc>
        <w:tc>
          <w:tcPr>
            <w:tcW w:w="118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ind w:left="100"/>
              <w:spacing w:after="0"/>
              <w:rPr>
                <w:sz w:val="20"/>
                <w:szCs w:val="20"/>
                <w:color w:val="auto"/>
              </w:rPr>
            </w:pPr>
            <w:r>
              <w:rPr>
                <w:rFonts w:ascii="Arial" w:cs="Arial" w:eastAsia="Arial" w:hAnsi="Arial"/>
                <w:sz w:val="13"/>
                <w:szCs w:val="13"/>
                <w:color w:val="auto"/>
              </w:rPr>
              <w:t>Stock Options</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1,630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31.3750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12/05/2024</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1,630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31.3750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12/05/2024</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1,940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38.8200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12/04/2025</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1,940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38.8200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12/04/2025</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1,750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56.5400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12/09/2026</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1,750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56.5400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12/09/2026</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6,600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65.9300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12/08/2027</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8,100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58.5300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12/07/2028</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8,700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76.5300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12/19/2029</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6,000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3,000</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93.3300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12/17/2030</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2,733</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5,467</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99.3400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12/16/2031</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11,300</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111.1500</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12/22/2032</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ind w:left="100"/>
              <w:spacing w:after="0"/>
              <w:rPr>
                <w:sz w:val="20"/>
                <w:szCs w:val="20"/>
                <w:color w:val="auto"/>
              </w:rPr>
            </w:pPr>
            <w:r>
              <w:rPr>
                <w:rFonts w:ascii="Arial" w:cs="Arial" w:eastAsia="Arial" w:hAnsi="Arial"/>
                <w:sz w:val="13"/>
                <w:szCs w:val="13"/>
                <w:color w:val="auto"/>
              </w:rPr>
              <w:t>Restricted Stock Units</w:t>
            </w:r>
          </w:p>
        </w:tc>
        <w:tc>
          <w:tcPr>
            <w:tcW w:w="11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2,229</w:t>
            </w:r>
          </w:p>
        </w:tc>
        <w:tc>
          <w:tcPr>
            <w:tcW w:w="1180" w:type="dxa"/>
            <w:vAlign w:val="bottom"/>
            <w:gridSpan w:val="2"/>
            <w:shd w:val="clear" w:color="auto" w:fill="DBDBDB"/>
          </w:tcPr>
          <w:p>
            <w:pPr>
              <w:jc w:val="right"/>
              <w:ind w:right="5"/>
              <w:spacing w:after="0"/>
              <w:rPr>
                <w:sz w:val="20"/>
                <w:szCs w:val="20"/>
                <w:color w:val="auto"/>
              </w:rPr>
            </w:pPr>
            <w:r>
              <w:rPr>
                <w:rFonts w:ascii="Arial" w:cs="Arial" w:eastAsia="Arial" w:hAnsi="Arial"/>
                <w:sz w:val="13"/>
                <w:szCs w:val="13"/>
                <w:color w:val="auto"/>
              </w:rPr>
              <w:t>180,192</w:t>
            </w: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ind w:left="100"/>
              <w:spacing w:after="0"/>
              <w:rPr>
                <w:sz w:val="20"/>
                <w:szCs w:val="20"/>
                <w:color w:val="auto"/>
              </w:rPr>
            </w:pPr>
            <w:r>
              <w:rPr>
                <w:rFonts w:ascii="Arial" w:cs="Arial" w:eastAsia="Arial" w:hAnsi="Arial"/>
                <w:sz w:val="13"/>
                <w:szCs w:val="13"/>
                <w:color w:val="auto"/>
              </w:rPr>
              <w:t>F22-F24 Performance Shares</w:t>
            </w:r>
          </w:p>
        </w:tc>
        <w:tc>
          <w:tcPr>
            <w:tcW w:w="11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1,577</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127,485</w:t>
            </w:r>
          </w:p>
        </w:tc>
        <w:tc>
          <w:tcPr>
            <w:tcW w:w="0" w:type="dxa"/>
            <w:vAlign w:val="bottom"/>
          </w:tcPr>
          <w:p>
            <w:pPr>
              <w:spacing w:after="0"/>
              <w:rPr>
                <w:sz w:val="1"/>
                <w:szCs w:val="1"/>
                <w:color w:val="auto"/>
              </w:rPr>
            </w:pPr>
          </w:p>
        </w:tc>
      </w:tr>
      <w:tr>
        <w:trPr>
          <w:trHeight w:val="210"/>
        </w:trPr>
        <w:tc>
          <w:tcPr>
            <w:tcW w:w="22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F23-F25 Performance Shares</w:t>
            </w:r>
          </w:p>
        </w:tc>
        <w:tc>
          <w:tcPr>
            <w:tcW w:w="11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1,683</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136,054</w:t>
            </w: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rPr>
                <w:sz w:val="20"/>
                <w:szCs w:val="20"/>
                <w:color w:val="auto"/>
              </w:rPr>
            </w:pPr>
            <w:r>
              <w:rPr>
                <w:rFonts w:ascii="Arial" w:cs="Arial" w:eastAsia="Arial" w:hAnsi="Arial"/>
                <w:sz w:val="13"/>
                <w:szCs w:val="13"/>
                <w:color w:val="auto"/>
              </w:rPr>
              <w:t>Richard W. Rodier</w:t>
            </w: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1180" w:type="dxa"/>
            <w:vAlign w:val="bottom"/>
          </w:tcPr>
          <w:p>
            <w:pPr>
              <w:jc w:val="right"/>
              <w:spacing w:after="0"/>
              <w:rPr>
                <w:sz w:val="20"/>
                <w:szCs w:val="20"/>
                <w:color w:val="auto"/>
              </w:rPr>
            </w:pPr>
            <w:r>
              <w:rPr>
                <w:rFonts w:ascii="Arial" w:cs="Arial" w:eastAsia="Arial" w:hAnsi="Arial"/>
                <w:sz w:val="13"/>
                <w:szCs w:val="13"/>
                <w:color w:val="auto"/>
              </w:rPr>
              <w:t>5,800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38.8200</w:t>
            </w:r>
          </w:p>
        </w:tc>
        <w:tc>
          <w:tcPr>
            <w:tcW w:w="1180" w:type="dxa"/>
            <w:vAlign w:val="bottom"/>
          </w:tcPr>
          <w:p>
            <w:pPr>
              <w:jc w:val="right"/>
              <w:spacing w:after="0"/>
              <w:rPr>
                <w:sz w:val="20"/>
                <w:szCs w:val="20"/>
                <w:color w:val="auto"/>
              </w:rPr>
            </w:pPr>
            <w:r>
              <w:rPr>
                <w:rFonts w:ascii="Arial" w:cs="Arial" w:eastAsia="Arial" w:hAnsi="Arial"/>
                <w:sz w:val="13"/>
                <w:szCs w:val="13"/>
                <w:color w:val="auto"/>
              </w:rPr>
              <w:t>12/04/2025</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6,400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56.5400</w:t>
            </w:r>
          </w:p>
        </w:tc>
        <w:tc>
          <w:tcPr>
            <w:tcW w:w="1180" w:type="dxa"/>
            <w:vAlign w:val="bottom"/>
          </w:tcPr>
          <w:p>
            <w:pPr>
              <w:jc w:val="right"/>
              <w:spacing w:after="0"/>
              <w:rPr>
                <w:sz w:val="20"/>
                <w:szCs w:val="20"/>
                <w:color w:val="auto"/>
              </w:rPr>
            </w:pPr>
            <w:r>
              <w:rPr>
                <w:rFonts w:ascii="Arial" w:cs="Arial" w:eastAsia="Arial" w:hAnsi="Arial"/>
                <w:sz w:val="13"/>
                <w:szCs w:val="13"/>
                <w:color w:val="auto"/>
              </w:rPr>
              <w:t>12/09/2026</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6,600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65.9300</w:t>
            </w:r>
          </w:p>
        </w:tc>
        <w:tc>
          <w:tcPr>
            <w:tcW w:w="1180" w:type="dxa"/>
            <w:vAlign w:val="bottom"/>
          </w:tcPr>
          <w:p>
            <w:pPr>
              <w:jc w:val="right"/>
              <w:spacing w:after="0"/>
              <w:rPr>
                <w:sz w:val="20"/>
                <w:szCs w:val="20"/>
                <w:color w:val="auto"/>
              </w:rPr>
            </w:pPr>
            <w:r>
              <w:rPr>
                <w:rFonts w:ascii="Arial" w:cs="Arial" w:eastAsia="Arial" w:hAnsi="Arial"/>
                <w:sz w:val="13"/>
                <w:szCs w:val="13"/>
                <w:color w:val="auto"/>
              </w:rPr>
              <w:t>12/08/2027</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9,000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58.5300</w:t>
            </w:r>
          </w:p>
        </w:tc>
        <w:tc>
          <w:tcPr>
            <w:tcW w:w="1180" w:type="dxa"/>
            <w:vAlign w:val="bottom"/>
          </w:tcPr>
          <w:p>
            <w:pPr>
              <w:jc w:val="right"/>
              <w:spacing w:after="0"/>
              <w:rPr>
                <w:sz w:val="20"/>
                <w:szCs w:val="20"/>
                <w:color w:val="auto"/>
              </w:rPr>
            </w:pPr>
            <w:r>
              <w:rPr>
                <w:rFonts w:ascii="Arial" w:cs="Arial" w:eastAsia="Arial" w:hAnsi="Arial"/>
                <w:sz w:val="13"/>
                <w:szCs w:val="13"/>
                <w:color w:val="auto"/>
              </w:rPr>
              <w:t>12/07/2028</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18,200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76.5300</w:t>
            </w:r>
          </w:p>
        </w:tc>
        <w:tc>
          <w:tcPr>
            <w:tcW w:w="1180" w:type="dxa"/>
            <w:vAlign w:val="bottom"/>
          </w:tcPr>
          <w:p>
            <w:pPr>
              <w:jc w:val="right"/>
              <w:spacing w:after="0"/>
              <w:rPr>
                <w:sz w:val="20"/>
                <w:szCs w:val="20"/>
                <w:color w:val="auto"/>
              </w:rPr>
            </w:pPr>
            <w:r>
              <w:rPr>
                <w:rFonts w:ascii="Arial" w:cs="Arial" w:eastAsia="Arial" w:hAnsi="Arial"/>
                <w:sz w:val="13"/>
                <w:szCs w:val="13"/>
                <w:color w:val="auto"/>
              </w:rPr>
              <w:t>12/19/2029</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25,300</w:t>
            </w:r>
          </w:p>
        </w:tc>
        <w:tc>
          <w:tcPr>
            <w:tcW w:w="1180" w:type="dxa"/>
            <w:vAlign w:val="bottom"/>
          </w:tcPr>
          <w:p>
            <w:pPr>
              <w:jc w:val="right"/>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65.7700</w:t>
            </w:r>
          </w:p>
        </w:tc>
        <w:tc>
          <w:tcPr>
            <w:tcW w:w="1180" w:type="dxa"/>
            <w:vAlign w:val="bottom"/>
          </w:tcPr>
          <w:p>
            <w:pPr>
              <w:jc w:val="right"/>
              <w:spacing w:after="0"/>
              <w:rPr>
                <w:sz w:val="20"/>
                <w:szCs w:val="20"/>
                <w:color w:val="auto"/>
              </w:rPr>
            </w:pPr>
            <w:r>
              <w:rPr>
                <w:rFonts w:ascii="Arial" w:cs="Arial" w:eastAsia="Arial" w:hAnsi="Arial"/>
                <w:sz w:val="13"/>
                <w:szCs w:val="13"/>
                <w:color w:val="auto"/>
              </w:rPr>
              <w:t>05/19/2030</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19,733</w:t>
            </w:r>
          </w:p>
        </w:tc>
        <w:tc>
          <w:tcPr>
            <w:tcW w:w="1180" w:type="dxa"/>
            <w:vAlign w:val="bottom"/>
          </w:tcPr>
          <w:p>
            <w:pPr>
              <w:jc w:val="right"/>
              <w:spacing w:after="0"/>
              <w:rPr>
                <w:sz w:val="20"/>
                <w:szCs w:val="20"/>
                <w:color w:val="auto"/>
              </w:rPr>
            </w:pPr>
            <w:r>
              <w:rPr>
                <w:rFonts w:ascii="Arial" w:cs="Arial" w:eastAsia="Arial" w:hAnsi="Arial"/>
                <w:sz w:val="13"/>
                <w:szCs w:val="13"/>
                <w:color w:val="auto"/>
              </w:rPr>
              <w:t>9,867</w:t>
            </w:r>
          </w:p>
        </w:tc>
        <w:tc>
          <w:tcPr>
            <w:tcW w:w="1200" w:type="dxa"/>
            <w:vAlign w:val="bottom"/>
          </w:tcPr>
          <w:p>
            <w:pPr>
              <w:jc w:val="right"/>
              <w:spacing w:after="0"/>
              <w:rPr>
                <w:sz w:val="20"/>
                <w:szCs w:val="20"/>
                <w:color w:val="auto"/>
              </w:rPr>
            </w:pPr>
            <w:r>
              <w:rPr>
                <w:rFonts w:ascii="Arial" w:cs="Arial" w:eastAsia="Arial" w:hAnsi="Arial"/>
                <w:sz w:val="13"/>
                <w:szCs w:val="13"/>
                <w:color w:val="auto"/>
              </w:rPr>
              <w:t>93.3300</w:t>
            </w:r>
          </w:p>
        </w:tc>
        <w:tc>
          <w:tcPr>
            <w:tcW w:w="1180" w:type="dxa"/>
            <w:vAlign w:val="bottom"/>
          </w:tcPr>
          <w:p>
            <w:pPr>
              <w:jc w:val="right"/>
              <w:spacing w:after="0"/>
              <w:rPr>
                <w:sz w:val="20"/>
                <w:szCs w:val="20"/>
                <w:color w:val="auto"/>
              </w:rPr>
            </w:pPr>
            <w:r>
              <w:rPr>
                <w:rFonts w:ascii="Arial" w:cs="Arial" w:eastAsia="Arial" w:hAnsi="Arial"/>
                <w:sz w:val="13"/>
                <w:szCs w:val="13"/>
                <w:color w:val="auto"/>
              </w:rPr>
              <w:t>12/17/2030</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6,866</w:t>
            </w:r>
          </w:p>
        </w:tc>
        <w:tc>
          <w:tcPr>
            <w:tcW w:w="1180" w:type="dxa"/>
            <w:vAlign w:val="bottom"/>
          </w:tcPr>
          <w:p>
            <w:pPr>
              <w:jc w:val="right"/>
              <w:spacing w:after="0"/>
              <w:rPr>
                <w:sz w:val="20"/>
                <w:szCs w:val="20"/>
                <w:color w:val="auto"/>
              </w:rPr>
            </w:pPr>
            <w:r>
              <w:rPr>
                <w:rFonts w:ascii="Arial" w:cs="Arial" w:eastAsia="Arial" w:hAnsi="Arial"/>
                <w:sz w:val="13"/>
                <w:szCs w:val="13"/>
                <w:color w:val="auto"/>
              </w:rPr>
              <w:t>13,734</w:t>
            </w:r>
          </w:p>
        </w:tc>
        <w:tc>
          <w:tcPr>
            <w:tcW w:w="1200" w:type="dxa"/>
            <w:vAlign w:val="bottom"/>
          </w:tcPr>
          <w:p>
            <w:pPr>
              <w:jc w:val="right"/>
              <w:spacing w:after="0"/>
              <w:rPr>
                <w:sz w:val="20"/>
                <w:szCs w:val="20"/>
                <w:color w:val="auto"/>
              </w:rPr>
            </w:pPr>
            <w:r>
              <w:rPr>
                <w:rFonts w:ascii="Arial" w:cs="Arial" w:eastAsia="Arial" w:hAnsi="Arial"/>
                <w:sz w:val="13"/>
                <w:szCs w:val="13"/>
                <w:color w:val="auto"/>
              </w:rPr>
              <w:t>99.3400</w:t>
            </w:r>
          </w:p>
        </w:tc>
        <w:tc>
          <w:tcPr>
            <w:tcW w:w="1180" w:type="dxa"/>
            <w:vAlign w:val="bottom"/>
          </w:tcPr>
          <w:p>
            <w:pPr>
              <w:jc w:val="right"/>
              <w:spacing w:after="0"/>
              <w:rPr>
                <w:sz w:val="20"/>
                <w:szCs w:val="20"/>
                <w:color w:val="auto"/>
              </w:rPr>
            </w:pPr>
            <w:r>
              <w:rPr>
                <w:rFonts w:ascii="Arial" w:cs="Arial" w:eastAsia="Arial" w:hAnsi="Arial"/>
                <w:sz w:val="13"/>
                <w:szCs w:val="13"/>
                <w:color w:val="auto"/>
              </w:rPr>
              <w:t>12/16/2031</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100"/>
              <w:spacing w:after="0"/>
              <w:rPr>
                <w:sz w:val="20"/>
                <w:szCs w:val="20"/>
                <w:color w:val="auto"/>
              </w:rPr>
            </w:pPr>
            <w:r>
              <w:rPr>
                <w:rFonts w:ascii="Arial" w:cs="Arial" w:eastAsia="Arial" w:hAnsi="Arial"/>
                <w:sz w:val="13"/>
                <w:szCs w:val="13"/>
                <w:color w:val="auto"/>
              </w:rPr>
              <w:t>F22-F24 Performance Shares</w:t>
            </w: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1,881</w:t>
            </w:r>
          </w:p>
        </w:tc>
        <w:tc>
          <w:tcPr>
            <w:tcW w:w="1180" w:type="dxa"/>
            <w:vAlign w:val="bottom"/>
          </w:tcPr>
          <w:p>
            <w:pPr>
              <w:jc w:val="right"/>
              <w:spacing w:after="0"/>
              <w:rPr>
                <w:sz w:val="20"/>
                <w:szCs w:val="20"/>
                <w:color w:val="auto"/>
              </w:rPr>
            </w:pPr>
            <w:r>
              <w:rPr>
                <w:rFonts w:ascii="Arial" w:cs="Arial" w:eastAsia="Arial" w:hAnsi="Arial"/>
                <w:sz w:val="13"/>
                <w:szCs w:val="13"/>
                <w:color w:val="auto"/>
              </w:rPr>
              <w:t>152,060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-5974080</wp:posOffset>
            </wp:positionV>
            <wp:extent cx="57264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26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19888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99" w:lineRule="exact"/>
        <w:rPr>
          <w:sz w:val="20"/>
          <w:szCs w:val="20"/>
          <w:color w:val="auto"/>
        </w:rPr>
      </w:pPr>
    </w:p>
    <w:p>
      <w:pPr>
        <w:ind w:left="340" w:right="220" w:hanging="332"/>
        <w:spacing w:after="0" w:line="270" w:lineRule="auto"/>
        <w:tabs>
          <w:tab w:leader="none" w:pos="385"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Stock options have a ten-year term and vest in three equal installments on each of the first, second and third year anniversaries of the grant date. The vesting schedule for options unexercisable as of October 31, 2023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sectPr>
      </w:pPr>
    </w:p>
    <w:bookmarkStart w:id="64" w:name="page65"/>
    <w:bookmarkEnd w:id="64"/>
    <w:tbl>
      <w:tblPr>
        <w:tblLayout w:type="fixed"/>
        <w:tblInd w:w="420" w:type="dxa"/>
        <w:tblCellMar>
          <w:top w:w="0" w:type="dxa"/>
          <w:left w:w="0" w:type="dxa"/>
          <w:bottom w:w="0" w:type="dxa"/>
          <w:right w:w="0" w:type="dxa"/>
        </w:tblCellMar>
      </w:tblPr>
      <w:tr>
        <w:trPr>
          <w:trHeight w:val="216"/>
        </w:trPr>
        <w:tc>
          <w:tcPr>
            <w:tcW w:w="11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080" w:type="dxa"/>
            <w:vAlign w:val="bottom"/>
            <w:shd w:val="clear" w:color="auto" w:fill="BF2115"/>
          </w:tcPr>
          <w:p>
            <w:pPr>
              <w:jc w:val="right"/>
              <w:ind w:right="108"/>
              <w:spacing w:after="0"/>
              <w:rPr>
                <w:sz w:val="20"/>
                <w:szCs w:val="20"/>
                <w:color w:val="auto"/>
              </w:rPr>
            </w:pPr>
            <w:r>
              <w:rPr>
                <w:rFonts w:ascii="Arial" w:cs="Arial" w:eastAsia="Arial" w:hAnsi="Arial"/>
                <w:sz w:val="14"/>
                <w:szCs w:val="14"/>
                <w:b w:val="1"/>
                <w:bCs w:val="1"/>
                <w:color w:val="FFFFFF"/>
              </w:rPr>
              <w:t>Grant Date</w:t>
            </w:r>
          </w:p>
        </w:tc>
        <w:tc>
          <w:tcPr>
            <w:tcW w:w="1200" w:type="dxa"/>
            <w:vAlign w:val="bottom"/>
            <w:shd w:val="clear" w:color="auto" w:fill="BF2115"/>
          </w:tcPr>
          <w:p>
            <w:pPr>
              <w:jc w:val="right"/>
              <w:ind w:right="308"/>
              <w:spacing w:after="0"/>
              <w:rPr>
                <w:sz w:val="20"/>
                <w:szCs w:val="20"/>
                <w:color w:val="auto"/>
              </w:rPr>
            </w:pPr>
            <w:r>
              <w:rPr>
                <w:rFonts w:ascii="Arial" w:cs="Arial" w:eastAsia="Arial" w:hAnsi="Arial"/>
                <w:sz w:val="14"/>
                <w:szCs w:val="14"/>
                <w:b w:val="1"/>
                <w:bCs w:val="1"/>
                <w:color w:val="FFFFFF"/>
              </w:rPr>
              <w:t>12/16/23</w:t>
            </w:r>
          </w:p>
        </w:tc>
        <w:tc>
          <w:tcPr>
            <w:tcW w:w="1080" w:type="dxa"/>
            <w:vAlign w:val="bottom"/>
            <w:shd w:val="clear" w:color="auto" w:fill="BF2115"/>
          </w:tcPr>
          <w:p>
            <w:pPr>
              <w:jc w:val="right"/>
              <w:ind w:right="308"/>
              <w:spacing w:after="0"/>
              <w:rPr>
                <w:sz w:val="20"/>
                <w:szCs w:val="20"/>
                <w:color w:val="auto"/>
              </w:rPr>
            </w:pPr>
            <w:r>
              <w:rPr>
                <w:rFonts w:ascii="Arial" w:cs="Arial" w:eastAsia="Arial" w:hAnsi="Arial"/>
                <w:sz w:val="14"/>
                <w:szCs w:val="14"/>
                <w:b w:val="1"/>
                <w:bCs w:val="1"/>
                <w:color w:val="FFFFFF"/>
              </w:rPr>
              <w:t>12/17/23</w:t>
            </w:r>
          </w:p>
        </w:tc>
        <w:tc>
          <w:tcPr>
            <w:tcW w:w="1080" w:type="dxa"/>
            <w:vAlign w:val="bottom"/>
            <w:shd w:val="clear" w:color="auto" w:fill="BF2115"/>
          </w:tcPr>
          <w:p>
            <w:pPr>
              <w:jc w:val="right"/>
              <w:ind w:right="308"/>
              <w:spacing w:after="0"/>
              <w:rPr>
                <w:sz w:val="20"/>
                <w:szCs w:val="20"/>
                <w:color w:val="auto"/>
              </w:rPr>
            </w:pPr>
            <w:r>
              <w:rPr>
                <w:rFonts w:ascii="Arial" w:cs="Arial" w:eastAsia="Arial" w:hAnsi="Arial"/>
                <w:sz w:val="14"/>
                <w:szCs w:val="14"/>
                <w:b w:val="1"/>
                <w:bCs w:val="1"/>
                <w:color w:val="FFFFFF"/>
              </w:rPr>
              <w:t>12/22/23</w:t>
            </w:r>
          </w:p>
        </w:tc>
        <w:tc>
          <w:tcPr>
            <w:tcW w:w="1080" w:type="dxa"/>
            <w:vAlign w:val="bottom"/>
            <w:shd w:val="clear" w:color="auto" w:fill="BF2115"/>
          </w:tcPr>
          <w:p>
            <w:pPr>
              <w:jc w:val="right"/>
              <w:ind w:right="308"/>
              <w:spacing w:after="0"/>
              <w:rPr>
                <w:sz w:val="20"/>
                <w:szCs w:val="20"/>
                <w:color w:val="auto"/>
              </w:rPr>
            </w:pPr>
            <w:r>
              <w:rPr>
                <w:rFonts w:ascii="Arial" w:cs="Arial" w:eastAsia="Arial" w:hAnsi="Arial"/>
                <w:sz w:val="14"/>
                <w:szCs w:val="14"/>
                <w:b w:val="1"/>
                <w:bCs w:val="1"/>
                <w:color w:val="FFFFFF"/>
              </w:rPr>
              <w:t>12/16/24</w:t>
            </w:r>
          </w:p>
        </w:tc>
        <w:tc>
          <w:tcPr>
            <w:tcW w:w="1080" w:type="dxa"/>
            <w:vAlign w:val="bottom"/>
            <w:shd w:val="clear" w:color="auto" w:fill="BF2115"/>
          </w:tcPr>
          <w:p>
            <w:pPr>
              <w:jc w:val="right"/>
              <w:ind w:right="308"/>
              <w:spacing w:after="0"/>
              <w:rPr>
                <w:sz w:val="20"/>
                <w:szCs w:val="20"/>
                <w:color w:val="auto"/>
              </w:rPr>
            </w:pPr>
            <w:r>
              <w:rPr>
                <w:rFonts w:ascii="Arial" w:cs="Arial" w:eastAsia="Arial" w:hAnsi="Arial"/>
                <w:sz w:val="14"/>
                <w:szCs w:val="14"/>
                <w:b w:val="1"/>
                <w:bCs w:val="1"/>
                <w:color w:val="FFFFFF"/>
              </w:rPr>
              <w:t>12/22/24</w:t>
            </w:r>
          </w:p>
        </w:tc>
        <w:tc>
          <w:tcPr>
            <w:tcW w:w="1200" w:type="dxa"/>
            <w:vAlign w:val="bottom"/>
            <w:shd w:val="clear" w:color="auto" w:fill="BF2115"/>
          </w:tcPr>
          <w:p>
            <w:pPr>
              <w:jc w:val="right"/>
              <w:ind w:right="428"/>
              <w:spacing w:after="0"/>
              <w:rPr>
                <w:sz w:val="20"/>
                <w:szCs w:val="20"/>
                <w:color w:val="auto"/>
              </w:rPr>
            </w:pPr>
            <w:r>
              <w:rPr>
                <w:rFonts w:ascii="Arial" w:cs="Arial" w:eastAsia="Arial" w:hAnsi="Arial"/>
                <w:sz w:val="14"/>
                <w:szCs w:val="14"/>
                <w:b w:val="1"/>
                <w:bCs w:val="1"/>
                <w:color w:val="FFFFFF"/>
              </w:rPr>
              <w:t>12/22/25</w:t>
            </w:r>
          </w:p>
        </w:tc>
        <w:tc>
          <w:tcPr>
            <w:tcW w:w="840" w:type="dxa"/>
            <w:vAlign w:val="bottom"/>
            <w:shd w:val="clear" w:color="auto" w:fill="BF2115"/>
          </w:tcPr>
          <w:p>
            <w:pPr>
              <w:spacing w:after="0"/>
              <w:rPr>
                <w:sz w:val="18"/>
                <w:szCs w:val="18"/>
                <w:color w:val="auto"/>
              </w:rPr>
            </w:pPr>
          </w:p>
        </w:tc>
      </w:tr>
      <w:tr>
        <w:trPr>
          <w:trHeight w:val="208"/>
        </w:trPr>
        <w:tc>
          <w:tcPr>
            <w:tcW w:w="1140" w:type="dxa"/>
            <w:vAlign w:val="bottom"/>
          </w:tcPr>
          <w:p>
            <w:pPr>
              <w:ind w:left="20"/>
              <w:spacing w:after="0"/>
              <w:rPr>
                <w:sz w:val="20"/>
                <w:szCs w:val="20"/>
                <w:color w:val="auto"/>
              </w:rPr>
            </w:pPr>
            <w:r>
              <w:rPr>
                <w:rFonts w:ascii="Arial" w:cs="Arial" w:eastAsia="Arial" w:hAnsi="Arial"/>
                <w:sz w:val="14"/>
                <w:szCs w:val="14"/>
                <w:color w:val="auto"/>
              </w:rPr>
              <w:t>Mr. Olson</w:t>
            </w:r>
          </w:p>
        </w:tc>
        <w:tc>
          <w:tcPr>
            <w:tcW w:w="1080" w:type="dxa"/>
            <w:vAlign w:val="bottom"/>
          </w:tcPr>
          <w:p>
            <w:pPr>
              <w:jc w:val="right"/>
              <w:spacing w:after="0"/>
              <w:rPr>
                <w:sz w:val="20"/>
                <w:szCs w:val="20"/>
                <w:color w:val="auto"/>
              </w:rPr>
            </w:pPr>
            <w:r>
              <w:rPr>
                <w:rFonts w:ascii="Arial" w:cs="Arial" w:eastAsia="Arial" w:hAnsi="Arial"/>
                <w:sz w:val="14"/>
                <w:szCs w:val="14"/>
                <w:color w:val="auto"/>
              </w:rPr>
              <w:t>12/17/20</w:t>
            </w:r>
          </w:p>
        </w:tc>
        <w:tc>
          <w:tcPr>
            <w:tcW w:w="120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44,767</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12/17/30</w:t>
            </w:r>
          </w:p>
        </w:tc>
      </w:tr>
      <w:tr>
        <w:trPr>
          <w:trHeight w:val="216"/>
        </w:trPr>
        <w:tc>
          <w:tcPr>
            <w:tcW w:w="1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12/16/21</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36,367</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36,367</w:t>
            </w: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12/16/31</w:t>
            </w:r>
          </w:p>
        </w:tc>
      </w:tr>
      <w:tr>
        <w:trPr>
          <w:trHeight w:val="220"/>
        </w:trPr>
        <w:tc>
          <w:tcPr>
            <w:tcW w:w="1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12/22/22</w:t>
            </w:r>
          </w:p>
        </w:tc>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36,400</w:t>
            </w:r>
          </w:p>
        </w:tc>
        <w:tc>
          <w:tcPr>
            <w:tcW w:w="1080" w:type="dxa"/>
            <w:vAlign w:val="bottom"/>
          </w:tcPr>
          <w:p>
            <w:pPr>
              <w:spacing w:after="0"/>
              <w:rPr>
                <w:sz w:val="19"/>
                <w:szCs w:val="19"/>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36,400</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36,400</w:t>
            </w:r>
          </w:p>
        </w:tc>
        <w:tc>
          <w:tcPr>
            <w:tcW w:w="840" w:type="dxa"/>
            <w:vAlign w:val="bottom"/>
          </w:tcPr>
          <w:p>
            <w:pPr>
              <w:jc w:val="right"/>
              <w:spacing w:after="0"/>
              <w:rPr>
                <w:sz w:val="20"/>
                <w:szCs w:val="20"/>
                <w:color w:val="auto"/>
              </w:rPr>
            </w:pPr>
            <w:r>
              <w:rPr>
                <w:rFonts w:ascii="Arial" w:cs="Arial" w:eastAsia="Arial" w:hAnsi="Arial"/>
                <w:sz w:val="14"/>
                <w:szCs w:val="14"/>
                <w:color w:val="auto"/>
              </w:rPr>
              <w:t>12/22/32</w:t>
            </w:r>
          </w:p>
        </w:tc>
      </w:tr>
      <w:tr>
        <w:trPr>
          <w:trHeight w:val="212"/>
        </w:trPr>
        <w:tc>
          <w:tcPr>
            <w:tcW w:w="1140" w:type="dxa"/>
            <w:vAlign w:val="bottom"/>
            <w:shd w:val="clear" w:color="auto" w:fill="DBDBDB"/>
          </w:tcPr>
          <w:p>
            <w:pPr>
              <w:ind w:left="20"/>
              <w:spacing w:after="0"/>
              <w:rPr>
                <w:sz w:val="20"/>
                <w:szCs w:val="20"/>
                <w:color w:val="auto"/>
              </w:rPr>
            </w:pPr>
            <w:r>
              <w:rPr>
                <w:rFonts w:ascii="Arial" w:cs="Arial" w:eastAsia="Arial" w:hAnsi="Arial"/>
                <w:sz w:val="14"/>
                <w:szCs w:val="14"/>
                <w:color w:val="auto"/>
              </w:rPr>
              <w:t>Ms. Drake</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12/17/20</w:t>
            </w:r>
          </w:p>
        </w:tc>
        <w:tc>
          <w:tcPr>
            <w:tcW w:w="120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2,500</w:t>
            </w:r>
          </w:p>
        </w:tc>
        <w:tc>
          <w:tcPr>
            <w:tcW w:w="108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12/17/30</w:t>
            </w:r>
          </w:p>
        </w:tc>
      </w:tr>
      <w:tr>
        <w:trPr>
          <w:trHeight w:val="216"/>
        </w:trPr>
        <w:tc>
          <w:tcPr>
            <w:tcW w:w="11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12/16/21</w:t>
            </w:r>
          </w:p>
        </w:tc>
        <w:tc>
          <w:tcPr>
            <w:tcW w:w="12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1,900</w:t>
            </w:r>
          </w:p>
        </w:tc>
        <w:tc>
          <w:tcPr>
            <w:tcW w:w="108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1,900</w:t>
            </w:r>
          </w:p>
        </w:tc>
        <w:tc>
          <w:tcPr>
            <w:tcW w:w="10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12/16/31</w:t>
            </w:r>
          </w:p>
        </w:tc>
      </w:tr>
      <w:tr>
        <w:trPr>
          <w:trHeight w:val="224"/>
        </w:trPr>
        <w:tc>
          <w:tcPr>
            <w:tcW w:w="1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12/22/22</w:t>
            </w:r>
          </w:p>
        </w:tc>
        <w:tc>
          <w:tcPr>
            <w:tcW w:w="12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2,200</w:t>
            </w:r>
          </w:p>
        </w:tc>
        <w:tc>
          <w:tcPr>
            <w:tcW w:w="108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2,200</w:t>
            </w:r>
          </w:p>
        </w:tc>
        <w:tc>
          <w:tcPr>
            <w:tcW w:w="12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auto"/>
              </w:rPr>
              <w:t>2,200</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12/22/32</w:t>
            </w:r>
          </w:p>
        </w:tc>
      </w:tr>
      <w:tr>
        <w:trPr>
          <w:trHeight w:val="208"/>
        </w:trPr>
        <w:tc>
          <w:tcPr>
            <w:tcW w:w="1140" w:type="dxa"/>
            <w:vAlign w:val="bottom"/>
          </w:tcPr>
          <w:p>
            <w:pPr>
              <w:ind w:left="20"/>
              <w:spacing w:after="0"/>
              <w:rPr>
                <w:sz w:val="20"/>
                <w:szCs w:val="20"/>
                <w:color w:val="auto"/>
              </w:rPr>
            </w:pPr>
            <w:r>
              <w:rPr>
                <w:rFonts w:ascii="Arial" w:cs="Arial" w:eastAsia="Arial" w:hAnsi="Arial"/>
                <w:sz w:val="14"/>
                <w:szCs w:val="14"/>
                <w:color w:val="auto"/>
              </w:rPr>
              <w:t>Ms. Peterson</w:t>
            </w:r>
          </w:p>
        </w:tc>
        <w:tc>
          <w:tcPr>
            <w:tcW w:w="1080" w:type="dxa"/>
            <w:vAlign w:val="bottom"/>
          </w:tcPr>
          <w:p>
            <w:pPr>
              <w:jc w:val="right"/>
              <w:spacing w:after="0"/>
              <w:rPr>
                <w:sz w:val="20"/>
                <w:szCs w:val="20"/>
                <w:color w:val="auto"/>
              </w:rPr>
            </w:pPr>
            <w:r>
              <w:rPr>
                <w:rFonts w:ascii="Arial" w:cs="Arial" w:eastAsia="Arial" w:hAnsi="Arial"/>
                <w:sz w:val="14"/>
                <w:szCs w:val="14"/>
                <w:color w:val="auto"/>
              </w:rPr>
              <w:t>12/17/20</w:t>
            </w:r>
          </w:p>
        </w:tc>
        <w:tc>
          <w:tcPr>
            <w:tcW w:w="120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11,200</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12/17/30</w:t>
            </w:r>
          </w:p>
        </w:tc>
      </w:tr>
      <w:tr>
        <w:trPr>
          <w:trHeight w:val="220"/>
        </w:trPr>
        <w:tc>
          <w:tcPr>
            <w:tcW w:w="1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12/16/21</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9,600</w:t>
            </w: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9,600</w:t>
            </w: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12/16/31</w:t>
            </w:r>
          </w:p>
        </w:tc>
      </w:tr>
      <w:tr>
        <w:trPr>
          <w:trHeight w:val="212"/>
        </w:trPr>
        <w:tc>
          <w:tcPr>
            <w:tcW w:w="1140" w:type="dxa"/>
            <w:vAlign w:val="bottom"/>
            <w:shd w:val="clear" w:color="auto" w:fill="DBDBDB"/>
          </w:tcPr>
          <w:p>
            <w:pPr>
              <w:ind w:left="20"/>
              <w:spacing w:after="0"/>
              <w:rPr>
                <w:sz w:val="20"/>
                <w:szCs w:val="20"/>
                <w:color w:val="auto"/>
              </w:rPr>
            </w:pPr>
            <w:r>
              <w:rPr>
                <w:rFonts w:ascii="Arial" w:cs="Arial" w:eastAsia="Arial" w:hAnsi="Arial"/>
                <w:sz w:val="14"/>
                <w:szCs w:val="14"/>
                <w:color w:val="auto"/>
              </w:rPr>
              <w:t>Ms. Dahl</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12/17/20</w:t>
            </w:r>
          </w:p>
        </w:tc>
        <w:tc>
          <w:tcPr>
            <w:tcW w:w="120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7,100</w:t>
            </w:r>
          </w:p>
        </w:tc>
        <w:tc>
          <w:tcPr>
            <w:tcW w:w="108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12/17/30</w:t>
            </w:r>
          </w:p>
        </w:tc>
      </w:tr>
      <w:tr>
        <w:trPr>
          <w:trHeight w:val="216"/>
        </w:trPr>
        <w:tc>
          <w:tcPr>
            <w:tcW w:w="11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12/16/21</w:t>
            </w:r>
          </w:p>
        </w:tc>
        <w:tc>
          <w:tcPr>
            <w:tcW w:w="120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5,633</w:t>
            </w:r>
          </w:p>
        </w:tc>
        <w:tc>
          <w:tcPr>
            <w:tcW w:w="108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5,634</w:t>
            </w:r>
          </w:p>
        </w:tc>
        <w:tc>
          <w:tcPr>
            <w:tcW w:w="10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12/16/31</w:t>
            </w:r>
          </w:p>
        </w:tc>
      </w:tr>
      <w:tr>
        <w:trPr>
          <w:trHeight w:val="224"/>
        </w:trPr>
        <w:tc>
          <w:tcPr>
            <w:tcW w:w="1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12/22/22</w:t>
            </w:r>
          </w:p>
        </w:tc>
        <w:tc>
          <w:tcPr>
            <w:tcW w:w="12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5,133</w:t>
            </w:r>
          </w:p>
        </w:tc>
        <w:tc>
          <w:tcPr>
            <w:tcW w:w="108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5,133</w:t>
            </w:r>
          </w:p>
        </w:tc>
        <w:tc>
          <w:tcPr>
            <w:tcW w:w="120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5,134</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12/22/32</w:t>
            </w:r>
          </w:p>
        </w:tc>
      </w:tr>
      <w:tr>
        <w:trPr>
          <w:trHeight w:val="208"/>
        </w:trPr>
        <w:tc>
          <w:tcPr>
            <w:tcW w:w="1140" w:type="dxa"/>
            <w:vAlign w:val="bottom"/>
          </w:tcPr>
          <w:p>
            <w:pPr>
              <w:ind w:left="20"/>
              <w:spacing w:after="0"/>
              <w:rPr>
                <w:sz w:val="20"/>
                <w:szCs w:val="20"/>
                <w:color w:val="auto"/>
              </w:rPr>
            </w:pPr>
            <w:r>
              <w:rPr>
                <w:rFonts w:ascii="Arial" w:cs="Arial" w:eastAsia="Arial" w:hAnsi="Arial"/>
                <w:sz w:val="14"/>
                <w:szCs w:val="14"/>
                <w:color w:val="auto"/>
              </w:rPr>
              <w:t>Mr. Janey</w:t>
            </w:r>
          </w:p>
        </w:tc>
        <w:tc>
          <w:tcPr>
            <w:tcW w:w="1080" w:type="dxa"/>
            <w:vAlign w:val="bottom"/>
          </w:tcPr>
          <w:p>
            <w:pPr>
              <w:jc w:val="right"/>
              <w:spacing w:after="0"/>
              <w:rPr>
                <w:sz w:val="20"/>
                <w:szCs w:val="20"/>
                <w:color w:val="auto"/>
              </w:rPr>
            </w:pPr>
            <w:r>
              <w:rPr>
                <w:rFonts w:ascii="Arial" w:cs="Arial" w:eastAsia="Arial" w:hAnsi="Arial"/>
                <w:sz w:val="14"/>
                <w:szCs w:val="14"/>
                <w:color w:val="auto"/>
              </w:rPr>
              <w:t>12/17/20</w:t>
            </w:r>
          </w:p>
        </w:tc>
        <w:tc>
          <w:tcPr>
            <w:tcW w:w="120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3,000</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12/17/30</w:t>
            </w:r>
          </w:p>
        </w:tc>
      </w:tr>
      <w:tr>
        <w:trPr>
          <w:trHeight w:val="216"/>
        </w:trPr>
        <w:tc>
          <w:tcPr>
            <w:tcW w:w="1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12/16/21</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2,733</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2,734</w:t>
            </w: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12/16/31</w:t>
            </w:r>
          </w:p>
        </w:tc>
      </w:tr>
      <w:tr>
        <w:trPr>
          <w:trHeight w:val="220"/>
        </w:trPr>
        <w:tc>
          <w:tcPr>
            <w:tcW w:w="1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12/22/22</w:t>
            </w:r>
          </w:p>
        </w:tc>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3,766</w:t>
            </w:r>
          </w:p>
        </w:tc>
        <w:tc>
          <w:tcPr>
            <w:tcW w:w="1080" w:type="dxa"/>
            <w:vAlign w:val="bottom"/>
          </w:tcPr>
          <w:p>
            <w:pPr>
              <w:spacing w:after="0"/>
              <w:rPr>
                <w:sz w:val="19"/>
                <w:szCs w:val="19"/>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3,767</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3,767</w:t>
            </w:r>
          </w:p>
        </w:tc>
        <w:tc>
          <w:tcPr>
            <w:tcW w:w="840" w:type="dxa"/>
            <w:vAlign w:val="bottom"/>
          </w:tcPr>
          <w:p>
            <w:pPr>
              <w:jc w:val="right"/>
              <w:spacing w:after="0"/>
              <w:rPr>
                <w:sz w:val="20"/>
                <w:szCs w:val="20"/>
                <w:color w:val="auto"/>
              </w:rPr>
            </w:pPr>
            <w:r>
              <w:rPr>
                <w:rFonts w:ascii="Arial" w:cs="Arial" w:eastAsia="Arial" w:hAnsi="Arial"/>
                <w:sz w:val="14"/>
                <w:szCs w:val="14"/>
                <w:color w:val="auto"/>
              </w:rPr>
              <w:t>12/22/32</w:t>
            </w:r>
          </w:p>
        </w:tc>
      </w:tr>
      <w:tr>
        <w:trPr>
          <w:trHeight w:val="212"/>
        </w:trPr>
        <w:tc>
          <w:tcPr>
            <w:tcW w:w="1140" w:type="dxa"/>
            <w:vAlign w:val="bottom"/>
            <w:shd w:val="clear" w:color="auto" w:fill="DBDBDB"/>
          </w:tcPr>
          <w:p>
            <w:pPr>
              <w:ind w:left="20"/>
              <w:spacing w:after="0"/>
              <w:rPr>
                <w:sz w:val="20"/>
                <w:szCs w:val="20"/>
                <w:color w:val="auto"/>
              </w:rPr>
            </w:pPr>
            <w:r>
              <w:rPr>
                <w:rFonts w:ascii="Arial" w:cs="Arial" w:eastAsia="Arial" w:hAnsi="Arial"/>
                <w:sz w:val="14"/>
                <w:szCs w:val="14"/>
                <w:color w:val="auto"/>
              </w:rPr>
              <w:t>Mr. Rodier</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12/17/20</w:t>
            </w:r>
          </w:p>
        </w:tc>
        <w:tc>
          <w:tcPr>
            <w:tcW w:w="120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9,867</w:t>
            </w:r>
          </w:p>
        </w:tc>
        <w:tc>
          <w:tcPr>
            <w:tcW w:w="108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12/17/30</w:t>
            </w:r>
          </w:p>
        </w:tc>
      </w:tr>
      <w:tr>
        <w:trPr>
          <w:trHeight w:val="224"/>
        </w:trPr>
        <w:tc>
          <w:tcPr>
            <w:tcW w:w="1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12/16/21</w:t>
            </w:r>
          </w:p>
        </w:tc>
        <w:tc>
          <w:tcPr>
            <w:tcW w:w="120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6,867</w:t>
            </w:r>
          </w:p>
        </w:tc>
        <w:tc>
          <w:tcPr>
            <w:tcW w:w="10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6,867</w:t>
            </w:r>
          </w:p>
        </w:tc>
        <w:tc>
          <w:tcPr>
            <w:tcW w:w="10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12/16/31</w:t>
            </w:r>
          </w:p>
        </w:tc>
      </w:tr>
    </w:tbl>
    <w:p>
      <w:pPr>
        <w:spacing w:after="0" w:line="22" w:lineRule="exact"/>
        <w:rPr>
          <w:sz w:val="20"/>
          <w:szCs w:val="20"/>
          <w:color w:val="auto"/>
        </w:rPr>
      </w:pPr>
    </w:p>
    <w:p>
      <w:pPr>
        <w:ind w:left="340" w:hanging="332"/>
        <w:spacing w:after="0" w:line="236" w:lineRule="auto"/>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Amounts reported represent the number of unvested restricted stock units held by Ms. Drake and Ms. Totsky, including dividend equivalents earned on those restricted stock units. Ms. Drake's unvested restricted stock units were granted on March 10, 2023 and vest in three approximately equal installments on each anniversary of the grant date. Ms. Totsky's unvested restricted stock units were granted on June 20, 2023 and vest in three approximately equal installments on each anniversary of the grant date. Mr. Janey's unvested restricted stock units were granted on November 1, 2022 and vest in three approximately equal installments on each anniversary of the grant date.</w:t>
      </w:r>
    </w:p>
    <w:p>
      <w:pPr>
        <w:spacing w:after="0" w:line="20" w:lineRule="exact"/>
        <w:rPr>
          <w:rFonts w:ascii="Arial" w:cs="Arial" w:eastAsia="Arial" w:hAnsi="Arial"/>
          <w:sz w:val="18"/>
          <w:szCs w:val="18"/>
          <w:color w:val="auto"/>
        </w:rPr>
      </w:pPr>
    </w:p>
    <w:p>
      <w:pPr>
        <w:ind w:left="340" w:right="120" w:hanging="332"/>
        <w:spacing w:after="0" w:line="258" w:lineRule="auto"/>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Amounts reported represent the value of unvested restricted stock units based on the closing price of our common stock on October 31, 2023 of $80.84 per share.</w:t>
      </w:r>
    </w:p>
    <w:p>
      <w:pPr>
        <w:ind w:left="340" w:right="20" w:hanging="332"/>
        <w:spacing w:after="0" w:line="236" w:lineRule="auto"/>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Amounts reported represent the number of performance share awards that were in progress based on actual levels of performance for fiscal 2022 and fiscal 2023 and financial plan levels of performance for fiscal 2024 and fiscal 2025. The fiscal 2022 to fiscal 2024 performance share awards will vest solely based on the accomplishment of the performance goals established for the three-year performance period, which will end on October 31, 2024. The fiscal 2023 to fiscal 2025 performance share awards will vest solely based on the accomplishment of the performance goals established for the three-year performance period, which will end on October 31, 2025. Amounts for fiscal 2022 to fiscal 2024 for Ms. Peterson and Mr. Rodier have been pro-rated to reflect full fiscal months of employment completed during the 36-month award term. Amounts for fiscal 2023 to fiscal 2025 for Ms. Peterson and Mr. Rodier were fully forfeited as they did not work 12 months or more of the 36-month award term.</w:t>
      </w:r>
    </w:p>
    <w:p>
      <w:pPr>
        <w:spacing w:after="0" w:line="18" w:lineRule="exact"/>
        <w:rPr>
          <w:rFonts w:ascii="Arial" w:cs="Arial" w:eastAsia="Arial" w:hAnsi="Arial"/>
          <w:sz w:val="18"/>
          <w:szCs w:val="18"/>
          <w:color w:val="auto"/>
        </w:rPr>
      </w:pPr>
    </w:p>
    <w:p>
      <w:pPr>
        <w:ind w:left="340" w:right="380" w:hanging="332"/>
        <w:spacing w:after="0" w:line="256" w:lineRule="auto"/>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Amounts reported represent the value of performance share awards that were in progress based on the closing price of our common stock on October 31, 2023 of $80.84 per share.</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Option Exercises and Stock Vested for Fiscal 2023</w:t>
      </w:r>
    </w:p>
    <w:p>
      <w:pPr>
        <w:spacing w:after="0" w:line="58" w:lineRule="exact"/>
        <w:rPr>
          <w:sz w:val="20"/>
          <w:szCs w:val="20"/>
          <w:color w:val="auto"/>
        </w:rPr>
      </w:pPr>
    </w:p>
    <w:p>
      <w:pPr>
        <w:ind w:right="140" w:firstLine="324"/>
        <w:spacing w:after="0" w:line="271" w:lineRule="auto"/>
        <w:rPr>
          <w:sz w:val="20"/>
          <w:szCs w:val="20"/>
          <w:color w:val="auto"/>
        </w:rPr>
      </w:pPr>
      <w:r>
        <w:rPr>
          <w:rFonts w:ascii="Arial" w:cs="Arial" w:eastAsia="Arial" w:hAnsi="Arial"/>
          <w:sz w:val="18"/>
          <w:szCs w:val="18"/>
          <w:color w:val="auto"/>
        </w:rPr>
        <w:t>The following table summarizes all of the stock options exercised during fiscal 2023, restricted stock units vested during fiscal 2023 and performance share awards that were paid out or deferred by our NEOs for the fiscal 2021 to fiscal 2023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sectPr>
      </w:pPr>
    </w:p>
    <w:bookmarkStart w:id="65" w:name="page66"/>
    <w:bookmarkEnd w:id="65"/>
    <w:tbl>
      <w:tblPr>
        <w:tblLayout w:type="fixed"/>
        <w:tblInd w:w="340" w:type="dxa"/>
        <w:tblCellMar>
          <w:top w:w="0" w:type="dxa"/>
          <w:left w:w="0" w:type="dxa"/>
          <w:bottom w:w="0" w:type="dxa"/>
          <w:right w:w="0" w:type="dxa"/>
        </w:tblCellMar>
      </w:tblPr>
      <w:tr>
        <w:trPr>
          <w:trHeight w:val="322"/>
        </w:trPr>
        <w:tc>
          <w:tcPr>
            <w:tcW w:w="3960" w:type="dxa"/>
            <w:vAlign w:val="bottom"/>
            <w:shd w:val="clear" w:color="auto" w:fill="BF2115"/>
          </w:tcPr>
          <w:p>
            <w:pPr>
              <w:spacing w:after="0"/>
              <w:rPr>
                <w:sz w:val="24"/>
                <w:szCs w:val="24"/>
                <w:color w:val="auto"/>
              </w:rPr>
            </w:pPr>
          </w:p>
        </w:tc>
        <w:tc>
          <w:tcPr>
            <w:tcW w:w="3300" w:type="dxa"/>
            <w:vAlign w:val="bottom"/>
            <w:gridSpan w:val="2"/>
            <w:shd w:val="clear" w:color="auto" w:fill="BF2115"/>
          </w:tcPr>
          <w:p>
            <w:pPr>
              <w:jc w:val="right"/>
              <w:ind w:right="1028"/>
              <w:spacing w:after="0"/>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28"/>
                <w:szCs w:val="28"/>
                <w:b w:val="1"/>
                <w:bCs w:val="1"/>
                <w:color w:val="FFFFFF"/>
                <w:vertAlign w:val="superscript"/>
              </w:rPr>
              <w:t>1</w:t>
            </w:r>
          </w:p>
        </w:tc>
        <w:tc>
          <w:tcPr>
            <w:tcW w:w="3320" w:type="dxa"/>
            <w:vAlign w:val="bottom"/>
            <w:gridSpan w:val="2"/>
            <w:shd w:val="clear" w:color="auto" w:fill="BF2115"/>
          </w:tcPr>
          <w:p>
            <w:pPr>
              <w:jc w:val="right"/>
              <w:ind w:right="1088"/>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28"/>
                <w:szCs w:val="28"/>
                <w:b w:val="1"/>
                <w:bCs w:val="1"/>
                <w:color w:val="FFFFFF"/>
                <w:vertAlign w:val="superscript"/>
              </w:rPr>
              <w:t>2</w:t>
            </w:r>
          </w:p>
        </w:tc>
      </w:tr>
      <w:tr>
        <w:trPr>
          <w:trHeight w:val="220"/>
        </w:trPr>
        <w:tc>
          <w:tcPr>
            <w:tcW w:w="3960" w:type="dxa"/>
            <w:vAlign w:val="bottom"/>
            <w:shd w:val="clear" w:color="auto" w:fill="BF2115"/>
          </w:tcPr>
          <w:p>
            <w:pPr>
              <w:spacing w:after="0"/>
              <w:rPr>
                <w:sz w:val="19"/>
                <w:szCs w:val="19"/>
                <w:color w:val="auto"/>
              </w:rPr>
            </w:pPr>
          </w:p>
        </w:tc>
        <w:tc>
          <w:tcPr>
            <w:tcW w:w="1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Number of</w:t>
            </w:r>
          </w:p>
        </w:tc>
        <w:tc>
          <w:tcPr>
            <w:tcW w:w="1660" w:type="dxa"/>
            <w:vAlign w:val="bottom"/>
            <w:shd w:val="clear" w:color="auto" w:fill="BF2115"/>
          </w:tcPr>
          <w:p>
            <w:pPr>
              <w:spacing w:after="0"/>
              <w:rPr>
                <w:sz w:val="19"/>
                <w:szCs w:val="19"/>
                <w:color w:val="auto"/>
              </w:rPr>
            </w:pPr>
          </w:p>
        </w:tc>
        <w:tc>
          <w:tcPr>
            <w:tcW w:w="1860" w:type="dxa"/>
            <w:vAlign w:val="bottom"/>
            <w:shd w:val="clear" w:color="auto" w:fill="BF2115"/>
          </w:tcPr>
          <w:p>
            <w:pPr>
              <w:jc w:val="center"/>
              <w:ind w:right="148"/>
              <w:spacing w:after="0"/>
              <w:rPr>
                <w:sz w:val="20"/>
                <w:szCs w:val="20"/>
                <w:color w:val="auto"/>
              </w:rPr>
            </w:pPr>
            <w:r>
              <w:rPr>
                <w:rFonts w:ascii="Arial" w:cs="Arial" w:eastAsia="Arial" w:hAnsi="Arial"/>
                <w:sz w:val="14"/>
                <w:szCs w:val="14"/>
                <w:b w:val="1"/>
                <w:bCs w:val="1"/>
                <w:color w:val="FFFFFF"/>
              </w:rPr>
              <w:t>Number of</w:t>
            </w:r>
          </w:p>
        </w:tc>
        <w:tc>
          <w:tcPr>
            <w:tcW w:w="1460" w:type="dxa"/>
            <w:vAlign w:val="bottom"/>
            <w:shd w:val="clear" w:color="auto" w:fill="BF2115"/>
          </w:tcPr>
          <w:p>
            <w:pPr>
              <w:spacing w:after="0"/>
              <w:rPr>
                <w:sz w:val="19"/>
                <w:szCs w:val="19"/>
                <w:color w:val="auto"/>
              </w:rPr>
            </w:pPr>
          </w:p>
        </w:tc>
      </w:tr>
      <w:tr>
        <w:trPr>
          <w:trHeight w:val="175"/>
        </w:trPr>
        <w:tc>
          <w:tcPr>
            <w:tcW w:w="3960" w:type="dxa"/>
            <w:vAlign w:val="bottom"/>
            <w:shd w:val="clear" w:color="auto" w:fill="BF2115"/>
          </w:tcPr>
          <w:p>
            <w:pPr>
              <w:spacing w:after="0"/>
              <w:rPr>
                <w:sz w:val="15"/>
                <w:szCs w:val="15"/>
                <w:color w:val="auto"/>
              </w:rPr>
            </w:pPr>
          </w:p>
        </w:tc>
        <w:tc>
          <w:tcPr>
            <w:tcW w:w="1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Shares</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Value</w:t>
            </w:r>
          </w:p>
        </w:tc>
        <w:tc>
          <w:tcPr>
            <w:tcW w:w="1860" w:type="dxa"/>
            <w:vAlign w:val="bottom"/>
            <w:shd w:val="clear" w:color="auto" w:fill="BF2115"/>
          </w:tcPr>
          <w:p>
            <w:pPr>
              <w:jc w:val="center"/>
              <w:ind w:right="148"/>
              <w:spacing w:after="0"/>
              <w:rPr>
                <w:sz w:val="20"/>
                <w:szCs w:val="20"/>
                <w:color w:val="auto"/>
              </w:rPr>
            </w:pPr>
            <w:r>
              <w:rPr>
                <w:rFonts w:ascii="Arial" w:cs="Arial" w:eastAsia="Arial" w:hAnsi="Arial"/>
                <w:sz w:val="14"/>
                <w:szCs w:val="14"/>
                <w:b w:val="1"/>
                <w:bCs w:val="1"/>
                <w:color w:val="FFFFFF"/>
              </w:rPr>
              <w:t>Shares</w:t>
            </w:r>
          </w:p>
        </w:tc>
        <w:tc>
          <w:tcPr>
            <w:tcW w:w="1460" w:type="dxa"/>
            <w:vAlign w:val="bottom"/>
            <w:shd w:val="clear" w:color="auto" w:fill="BF2115"/>
          </w:tcPr>
          <w:p>
            <w:pPr>
              <w:jc w:val="center"/>
              <w:ind w:right="148"/>
              <w:spacing w:after="0"/>
              <w:rPr>
                <w:sz w:val="20"/>
                <w:szCs w:val="20"/>
                <w:color w:val="auto"/>
              </w:rPr>
            </w:pPr>
            <w:r>
              <w:rPr>
                <w:rFonts w:ascii="Arial" w:cs="Arial" w:eastAsia="Arial" w:hAnsi="Arial"/>
                <w:sz w:val="14"/>
                <w:szCs w:val="14"/>
                <w:b w:val="1"/>
                <w:bCs w:val="1"/>
                <w:color w:val="FFFFFF"/>
                <w:w w:val="96"/>
              </w:rPr>
              <w:t>Value</w:t>
            </w:r>
          </w:p>
        </w:tc>
      </w:tr>
      <w:tr>
        <w:trPr>
          <w:trHeight w:val="189"/>
        </w:trPr>
        <w:tc>
          <w:tcPr>
            <w:tcW w:w="3960" w:type="dxa"/>
            <w:vAlign w:val="bottom"/>
            <w:shd w:val="clear" w:color="auto" w:fill="BF2115"/>
          </w:tcPr>
          <w:p>
            <w:pPr>
              <w:spacing w:after="0"/>
              <w:rPr>
                <w:sz w:val="16"/>
                <w:szCs w:val="16"/>
                <w:color w:val="auto"/>
              </w:rPr>
            </w:pPr>
          </w:p>
        </w:tc>
        <w:tc>
          <w:tcPr>
            <w:tcW w:w="1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Acquired</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Realized</w:t>
            </w:r>
          </w:p>
        </w:tc>
        <w:tc>
          <w:tcPr>
            <w:tcW w:w="1860" w:type="dxa"/>
            <w:vAlign w:val="bottom"/>
            <w:shd w:val="clear" w:color="auto" w:fill="BF2115"/>
          </w:tcPr>
          <w:p>
            <w:pPr>
              <w:jc w:val="center"/>
              <w:ind w:right="148"/>
              <w:spacing w:after="0"/>
              <w:rPr>
                <w:sz w:val="20"/>
                <w:szCs w:val="20"/>
                <w:color w:val="auto"/>
              </w:rPr>
            </w:pPr>
            <w:r>
              <w:rPr>
                <w:rFonts w:ascii="Arial" w:cs="Arial" w:eastAsia="Arial" w:hAnsi="Arial"/>
                <w:sz w:val="14"/>
                <w:szCs w:val="14"/>
                <w:b w:val="1"/>
                <w:bCs w:val="1"/>
                <w:color w:val="FFFFFF"/>
              </w:rPr>
              <w:t>Acquired</w:t>
            </w:r>
          </w:p>
        </w:tc>
        <w:tc>
          <w:tcPr>
            <w:tcW w:w="1460" w:type="dxa"/>
            <w:vAlign w:val="bottom"/>
            <w:shd w:val="clear" w:color="auto" w:fill="BF2115"/>
          </w:tcPr>
          <w:p>
            <w:pPr>
              <w:jc w:val="center"/>
              <w:ind w:right="148"/>
              <w:spacing w:after="0"/>
              <w:rPr>
                <w:sz w:val="20"/>
                <w:szCs w:val="20"/>
                <w:color w:val="auto"/>
              </w:rPr>
            </w:pPr>
            <w:r>
              <w:rPr>
                <w:rFonts w:ascii="Arial" w:cs="Arial" w:eastAsia="Arial" w:hAnsi="Arial"/>
                <w:sz w:val="14"/>
                <w:szCs w:val="14"/>
                <w:b w:val="1"/>
                <w:bCs w:val="1"/>
                <w:color w:val="FFFFFF"/>
              </w:rPr>
              <w:t>Realized on</w:t>
            </w:r>
          </w:p>
        </w:tc>
      </w:tr>
      <w:tr>
        <w:trPr>
          <w:trHeight w:val="176"/>
        </w:trPr>
        <w:tc>
          <w:tcPr>
            <w:tcW w:w="3960" w:type="dxa"/>
            <w:vAlign w:val="bottom"/>
            <w:shd w:val="clear" w:color="auto" w:fill="BF2115"/>
          </w:tcPr>
          <w:p>
            <w:pPr>
              <w:spacing w:after="0"/>
              <w:rPr>
                <w:sz w:val="15"/>
                <w:szCs w:val="15"/>
                <w:color w:val="auto"/>
              </w:rPr>
            </w:pPr>
          </w:p>
        </w:tc>
        <w:tc>
          <w:tcPr>
            <w:tcW w:w="1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On Exercise</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On Exercise</w:t>
            </w:r>
          </w:p>
        </w:tc>
        <w:tc>
          <w:tcPr>
            <w:tcW w:w="1860" w:type="dxa"/>
            <w:vAlign w:val="bottom"/>
            <w:shd w:val="clear" w:color="auto" w:fill="BF2115"/>
          </w:tcPr>
          <w:p>
            <w:pPr>
              <w:jc w:val="center"/>
              <w:ind w:right="148"/>
              <w:spacing w:after="0"/>
              <w:rPr>
                <w:sz w:val="20"/>
                <w:szCs w:val="20"/>
                <w:color w:val="auto"/>
              </w:rPr>
            </w:pPr>
            <w:r>
              <w:rPr>
                <w:rFonts w:ascii="Arial" w:cs="Arial" w:eastAsia="Arial" w:hAnsi="Arial"/>
                <w:sz w:val="14"/>
                <w:szCs w:val="14"/>
                <w:b w:val="1"/>
                <w:bCs w:val="1"/>
                <w:color w:val="FFFFFF"/>
              </w:rPr>
              <w:t>on Vesting</w:t>
            </w:r>
          </w:p>
        </w:tc>
        <w:tc>
          <w:tcPr>
            <w:tcW w:w="1460" w:type="dxa"/>
            <w:vAlign w:val="bottom"/>
            <w:shd w:val="clear" w:color="auto" w:fill="BF2115"/>
          </w:tcPr>
          <w:p>
            <w:pPr>
              <w:jc w:val="center"/>
              <w:ind w:right="148"/>
              <w:spacing w:after="0"/>
              <w:rPr>
                <w:sz w:val="20"/>
                <w:szCs w:val="20"/>
                <w:color w:val="auto"/>
              </w:rPr>
            </w:pPr>
            <w:r>
              <w:rPr>
                <w:rFonts w:ascii="Arial" w:cs="Arial" w:eastAsia="Arial" w:hAnsi="Arial"/>
                <w:sz w:val="14"/>
                <w:szCs w:val="14"/>
                <w:b w:val="1"/>
                <w:bCs w:val="1"/>
                <w:color w:val="FFFFFF"/>
              </w:rPr>
              <w:t>Vesting</w:t>
            </w:r>
          </w:p>
        </w:tc>
      </w:tr>
      <w:tr>
        <w:trPr>
          <w:trHeight w:val="198"/>
        </w:trPr>
        <w:tc>
          <w:tcPr>
            <w:tcW w:w="396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1860" w:type="dxa"/>
            <w:vAlign w:val="bottom"/>
            <w:shd w:val="clear" w:color="auto" w:fill="BF2115"/>
          </w:tcPr>
          <w:p>
            <w:pPr>
              <w:jc w:val="center"/>
              <w:ind w:right="148"/>
              <w:spacing w:after="0"/>
              <w:rPr>
                <w:sz w:val="20"/>
                <w:szCs w:val="20"/>
                <w:color w:val="auto"/>
              </w:rPr>
            </w:pPr>
            <w:r>
              <w:rPr>
                <w:rFonts w:ascii="Arial" w:cs="Arial" w:eastAsia="Arial" w:hAnsi="Arial"/>
                <w:sz w:val="14"/>
                <w:szCs w:val="14"/>
                <w:b w:val="1"/>
                <w:bCs w:val="1"/>
                <w:color w:val="FFFFFF"/>
                <w:w w:val="93"/>
              </w:rPr>
              <w:t>(#)</w:t>
            </w:r>
          </w:p>
        </w:tc>
        <w:tc>
          <w:tcPr>
            <w:tcW w:w="1460" w:type="dxa"/>
            <w:vAlign w:val="bottom"/>
            <w:shd w:val="clear" w:color="auto" w:fill="BF2115"/>
          </w:tcPr>
          <w:p>
            <w:pPr>
              <w:jc w:val="center"/>
              <w:ind w:right="148"/>
              <w:spacing w:after="0"/>
              <w:rPr>
                <w:sz w:val="20"/>
                <w:szCs w:val="20"/>
                <w:color w:val="auto"/>
              </w:rPr>
            </w:pPr>
            <w:r>
              <w:rPr>
                <w:rFonts w:ascii="Arial" w:cs="Arial" w:eastAsia="Arial" w:hAnsi="Arial"/>
                <w:sz w:val="14"/>
                <w:szCs w:val="14"/>
                <w:b w:val="1"/>
                <w:bCs w:val="1"/>
                <w:color w:val="FFFFFF"/>
                <w:w w:val="93"/>
              </w:rPr>
              <w:t>($)</w:t>
            </w:r>
          </w:p>
        </w:tc>
      </w:tr>
      <w:tr>
        <w:trPr>
          <w:trHeight w:val="208"/>
        </w:trPr>
        <w:tc>
          <w:tcPr>
            <w:tcW w:w="3960" w:type="dxa"/>
            <w:vAlign w:val="bottom"/>
          </w:tcPr>
          <w:p>
            <w:pPr>
              <w:ind w:left="20"/>
              <w:spacing w:after="0"/>
              <w:rPr>
                <w:sz w:val="20"/>
                <w:szCs w:val="20"/>
                <w:color w:val="auto"/>
              </w:rPr>
            </w:pPr>
            <w:r>
              <w:rPr>
                <w:rFonts w:ascii="Arial" w:cs="Arial" w:eastAsia="Arial" w:hAnsi="Arial"/>
                <w:sz w:val="14"/>
                <w:szCs w:val="14"/>
                <w:color w:val="auto"/>
              </w:rPr>
              <w:t>Richard M. Olson</w:t>
            </w: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3960" w:type="dxa"/>
            <w:vAlign w:val="bottom"/>
          </w:tcPr>
          <w:p>
            <w:pPr>
              <w:ind w:left="200"/>
              <w:spacing w:after="0"/>
              <w:rPr>
                <w:sz w:val="20"/>
                <w:szCs w:val="20"/>
                <w:color w:val="auto"/>
              </w:rPr>
            </w:pPr>
            <w:r>
              <w:rPr>
                <w:rFonts w:ascii="Arial" w:cs="Arial" w:eastAsia="Arial" w:hAnsi="Arial"/>
                <w:sz w:val="14"/>
                <w:szCs w:val="14"/>
                <w:color w:val="auto"/>
              </w:rPr>
              <w:t>Stock Option Exercises</w:t>
            </w:r>
          </w:p>
        </w:tc>
        <w:tc>
          <w:tcPr>
            <w:tcW w:w="1640" w:type="dxa"/>
            <w:vAlign w:val="bottom"/>
          </w:tcPr>
          <w:p>
            <w:pPr>
              <w:jc w:val="right"/>
              <w:spacing w:after="0"/>
              <w:rPr>
                <w:sz w:val="20"/>
                <w:szCs w:val="20"/>
                <w:color w:val="auto"/>
              </w:rPr>
            </w:pPr>
            <w:r>
              <w:rPr>
                <w:rFonts w:ascii="Arial" w:cs="Arial" w:eastAsia="Arial" w:hAnsi="Arial"/>
                <w:sz w:val="14"/>
                <w:szCs w:val="14"/>
                <w:color w:val="auto"/>
              </w:rPr>
              <w:t>12,000</w:t>
            </w:r>
          </w:p>
        </w:tc>
        <w:tc>
          <w:tcPr>
            <w:tcW w:w="1660" w:type="dxa"/>
            <w:vAlign w:val="bottom"/>
          </w:tcPr>
          <w:p>
            <w:pPr>
              <w:jc w:val="right"/>
              <w:spacing w:after="0"/>
              <w:rPr>
                <w:sz w:val="20"/>
                <w:szCs w:val="20"/>
                <w:color w:val="auto"/>
              </w:rPr>
            </w:pPr>
            <w:r>
              <w:rPr>
                <w:rFonts w:ascii="Arial" w:cs="Arial" w:eastAsia="Arial" w:hAnsi="Arial"/>
                <w:sz w:val="14"/>
                <w:szCs w:val="14"/>
                <w:color w:val="auto"/>
              </w:rPr>
              <w:t>955,838</w:t>
            </w:r>
          </w:p>
        </w:tc>
        <w:tc>
          <w:tcPr>
            <w:tcW w:w="18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0"/>
        </w:trPr>
        <w:tc>
          <w:tcPr>
            <w:tcW w:w="3960" w:type="dxa"/>
            <w:vAlign w:val="bottom"/>
          </w:tcPr>
          <w:p>
            <w:pPr>
              <w:ind w:left="200"/>
              <w:spacing w:after="0"/>
              <w:rPr>
                <w:sz w:val="20"/>
                <w:szCs w:val="20"/>
                <w:color w:val="auto"/>
              </w:rPr>
            </w:pPr>
            <w:r>
              <w:rPr>
                <w:rFonts w:ascii="Arial" w:cs="Arial" w:eastAsia="Arial" w:hAnsi="Arial"/>
                <w:sz w:val="14"/>
                <w:szCs w:val="14"/>
                <w:color w:val="auto"/>
              </w:rPr>
              <w:t>F21-F23 Performance Share Award Payout</w:t>
            </w:r>
          </w:p>
        </w:tc>
        <w:tc>
          <w:tcPr>
            <w:tcW w:w="16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60" w:type="dxa"/>
            <w:vAlign w:val="bottom"/>
          </w:tcPr>
          <w:p>
            <w:pPr>
              <w:jc w:val="right"/>
              <w:ind w:right="168"/>
              <w:spacing w:after="0"/>
              <w:rPr>
                <w:sz w:val="20"/>
                <w:szCs w:val="20"/>
                <w:color w:val="auto"/>
              </w:rPr>
            </w:pPr>
            <w:r>
              <w:rPr>
                <w:rFonts w:ascii="Arial" w:cs="Arial" w:eastAsia="Arial" w:hAnsi="Arial"/>
                <w:sz w:val="14"/>
                <w:szCs w:val="14"/>
                <w:color w:val="auto"/>
              </w:rPr>
              <w:t>36,596</w:t>
            </w:r>
          </w:p>
        </w:tc>
        <w:tc>
          <w:tcPr>
            <w:tcW w:w="1460" w:type="dxa"/>
            <w:vAlign w:val="bottom"/>
          </w:tcPr>
          <w:p>
            <w:pPr>
              <w:jc w:val="right"/>
              <w:spacing w:after="0"/>
              <w:rPr>
                <w:sz w:val="20"/>
                <w:szCs w:val="20"/>
                <w:color w:val="auto"/>
              </w:rPr>
            </w:pPr>
            <w:r>
              <w:rPr>
                <w:rFonts w:ascii="Arial" w:cs="Arial" w:eastAsia="Arial" w:hAnsi="Arial"/>
                <w:sz w:val="14"/>
                <w:szCs w:val="14"/>
                <w:color w:val="auto"/>
              </w:rPr>
              <w:t>3,557,497</w:t>
            </w:r>
          </w:p>
        </w:tc>
      </w:tr>
      <w:tr>
        <w:trPr>
          <w:trHeight w:val="212"/>
        </w:trPr>
        <w:tc>
          <w:tcPr>
            <w:tcW w:w="3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Angela C. Drake</w:t>
            </w:r>
          </w:p>
        </w:tc>
        <w:tc>
          <w:tcPr>
            <w:tcW w:w="164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18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r>
      <w:tr>
        <w:trPr>
          <w:trHeight w:val="216"/>
        </w:trPr>
        <w:tc>
          <w:tcPr>
            <w:tcW w:w="3960" w:type="dxa"/>
            <w:vAlign w:val="bottom"/>
            <w:shd w:val="clear" w:color="auto" w:fill="DBDBDB"/>
          </w:tcPr>
          <w:p>
            <w:pPr>
              <w:ind w:left="200"/>
              <w:spacing w:after="0"/>
              <w:rPr>
                <w:sz w:val="20"/>
                <w:szCs w:val="20"/>
                <w:color w:val="auto"/>
              </w:rPr>
            </w:pPr>
            <w:r>
              <w:rPr>
                <w:rFonts w:ascii="Arial" w:cs="Arial" w:eastAsia="Arial" w:hAnsi="Arial"/>
                <w:sz w:val="14"/>
                <w:szCs w:val="14"/>
                <w:color w:val="auto"/>
              </w:rPr>
              <w:t>Stock Option Exercises</w:t>
            </w: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N/A</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N/A</w:t>
            </w:r>
          </w:p>
        </w:tc>
        <w:tc>
          <w:tcPr>
            <w:tcW w:w="18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r>
      <w:tr>
        <w:trPr>
          <w:trHeight w:val="216"/>
        </w:trPr>
        <w:tc>
          <w:tcPr>
            <w:tcW w:w="3960" w:type="dxa"/>
            <w:vAlign w:val="bottom"/>
            <w:shd w:val="clear" w:color="auto" w:fill="DBDBDB"/>
          </w:tcPr>
          <w:p>
            <w:pPr>
              <w:ind w:left="200"/>
              <w:spacing w:after="0"/>
              <w:rPr>
                <w:sz w:val="20"/>
                <w:szCs w:val="20"/>
                <w:color w:val="auto"/>
              </w:rPr>
            </w:pPr>
            <w:r>
              <w:rPr>
                <w:rFonts w:ascii="Arial" w:cs="Arial" w:eastAsia="Arial" w:hAnsi="Arial"/>
                <w:sz w:val="14"/>
                <w:szCs w:val="14"/>
                <w:color w:val="auto"/>
              </w:rPr>
              <w:t>F21-F23 Performance Share Award Payout</w:t>
            </w:r>
          </w:p>
        </w:tc>
        <w:tc>
          <w:tcPr>
            <w:tcW w:w="164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186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2,091</w:t>
            </w:r>
          </w:p>
        </w:tc>
        <w:tc>
          <w:tcPr>
            <w:tcW w:w="14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203,266</w:t>
            </w:r>
          </w:p>
        </w:tc>
      </w:tr>
      <w:tr>
        <w:trPr>
          <w:trHeight w:val="224"/>
        </w:trPr>
        <w:tc>
          <w:tcPr>
            <w:tcW w:w="3960" w:type="dxa"/>
            <w:vAlign w:val="bottom"/>
            <w:shd w:val="clear" w:color="auto" w:fill="DBDBDB"/>
          </w:tcPr>
          <w:p>
            <w:pPr>
              <w:ind w:left="200"/>
              <w:spacing w:after="0"/>
              <w:rPr>
                <w:sz w:val="20"/>
                <w:szCs w:val="20"/>
                <w:color w:val="auto"/>
              </w:rPr>
            </w:pPr>
            <w:r>
              <w:rPr>
                <w:rFonts w:ascii="Arial" w:cs="Arial" w:eastAsia="Arial" w:hAnsi="Arial"/>
                <w:sz w:val="14"/>
                <w:szCs w:val="14"/>
                <w:color w:val="auto"/>
              </w:rPr>
              <w:t>Restricted Stock Units</w:t>
            </w:r>
          </w:p>
        </w:tc>
        <w:tc>
          <w:tcPr>
            <w:tcW w:w="1640" w:type="dxa"/>
            <w:vAlign w:val="bottom"/>
            <w:shd w:val="clear" w:color="auto" w:fill="DBDBDB"/>
          </w:tcPr>
          <w:p>
            <w:pPr>
              <w:spacing w:after="0"/>
              <w:rPr>
                <w:sz w:val="19"/>
                <w:szCs w:val="19"/>
                <w:color w:val="auto"/>
              </w:rPr>
            </w:pPr>
          </w:p>
        </w:tc>
        <w:tc>
          <w:tcPr>
            <w:tcW w:w="1660" w:type="dxa"/>
            <w:vAlign w:val="bottom"/>
            <w:shd w:val="clear" w:color="auto" w:fill="DBDBDB"/>
          </w:tcPr>
          <w:p>
            <w:pPr>
              <w:spacing w:after="0"/>
              <w:rPr>
                <w:sz w:val="19"/>
                <w:szCs w:val="19"/>
                <w:color w:val="auto"/>
              </w:rPr>
            </w:pPr>
          </w:p>
        </w:tc>
        <w:tc>
          <w:tcPr>
            <w:tcW w:w="186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379</w:t>
            </w:r>
          </w:p>
        </w:tc>
        <w:tc>
          <w:tcPr>
            <w:tcW w:w="14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41,624</w:t>
            </w:r>
          </w:p>
        </w:tc>
      </w:tr>
      <w:tr>
        <w:trPr>
          <w:trHeight w:val="208"/>
        </w:trPr>
        <w:tc>
          <w:tcPr>
            <w:tcW w:w="3960" w:type="dxa"/>
            <w:vAlign w:val="bottom"/>
          </w:tcPr>
          <w:p>
            <w:pPr>
              <w:ind w:left="20"/>
              <w:spacing w:after="0"/>
              <w:rPr>
                <w:sz w:val="20"/>
                <w:szCs w:val="20"/>
                <w:color w:val="auto"/>
              </w:rPr>
            </w:pPr>
            <w:r>
              <w:rPr>
                <w:rFonts w:ascii="Arial" w:cs="Arial" w:eastAsia="Arial" w:hAnsi="Arial"/>
                <w:sz w:val="14"/>
                <w:szCs w:val="14"/>
                <w:color w:val="auto"/>
              </w:rPr>
              <w:t>Renee J. Peterson</w:t>
            </w: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3960" w:type="dxa"/>
            <w:vAlign w:val="bottom"/>
          </w:tcPr>
          <w:p>
            <w:pPr>
              <w:ind w:left="200"/>
              <w:spacing w:after="0"/>
              <w:rPr>
                <w:sz w:val="20"/>
                <w:szCs w:val="20"/>
                <w:color w:val="auto"/>
              </w:rPr>
            </w:pPr>
            <w:r>
              <w:rPr>
                <w:rFonts w:ascii="Arial" w:cs="Arial" w:eastAsia="Arial" w:hAnsi="Arial"/>
                <w:sz w:val="14"/>
                <w:szCs w:val="14"/>
                <w:color w:val="auto"/>
              </w:rPr>
              <w:t>Stock Option Exercises</w:t>
            </w:r>
          </w:p>
        </w:tc>
        <w:tc>
          <w:tcPr>
            <w:tcW w:w="1640" w:type="dxa"/>
            <w:vAlign w:val="bottom"/>
          </w:tcPr>
          <w:p>
            <w:pPr>
              <w:jc w:val="right"/>
              <w:spacing w:after="0"/>
              <w:rPr>
                <w:sz w:val="20"/>
                <w:szCs w:val="20"/>
                <w:color w:val="auto"/>
              </w:rPr>
            </w:pPr>
            <w:r>
              <w:rPr>
                <w:rFonts w:ascii="Arial" w:cs="Arial" w:eastAsia="Arial" w:hAnsi="Arial"/>
                <w:sz w:val="14"/>
                <w:szCs w:val="14"/>
                <w:color w:val="auto"/>
              </w:rPr>
              <w:t>51,500</w:t>
            </w:r>
          </w:p>
        </w:tc>
        <w:tc>
          <w:tcPr>
            <w:tcW w:w="1660" w:type="dxa"/>
            <w:vAlign w:val="bottom"/>
          </w:tcPr>
          <w:p>
            <w:pPr>
              <w:jc w:val="right"/>
              <w:spacing w:after="0"/>
              <w:rPr>
                <w:sz w:val="20"/>
                <w:szCs w:val="20"/>
                <w:color w:val="auto"/>
              </w:rPr>
            </w:pPr>
            <w:r>
              <w:rPr>
                <w:rFonts w:ascii="Arial" w:cs="Arial" w:eastAsia="Arial" w:hAnsi="Arial"/>
                <w:sz w:val="14"/>
                <w:szCs w:val="14"/>
                <w:color w:val="auto"/>
              </w:rPr>
              <w:t>3,521,693</w:t>
            </w:r>
          </w:p>
        </w:tc>
        <w:tc>
          <w:tcPr>
            <w:tcW w:w="18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0"/>
        </w:trPr>
        <w:tc>
          <w:tcPr>
            <w:tcW w:w="3960" w:type="dxa"/>
            <w:vAlign w:val="bottom"/>
          </w:tcPr>
          <w:p>
            <w:pPr>
              <w:ind w:left="200"/>
              <w:spacing w:after="0"/>
              <w:rPr>
                <w:sz w:val="20"/>
                <w:szCs w:val="20"/>
                <w:color w:val="auto"/>
              </w:rPr>
            </w:pPr>
            <w:r>
              <w:rPr>
                <w:rFonts w:ascii="Arial" w:cs="Arial" w:eastAsia="Arial" w:hAnsi="Arial"/>
                <w:sz w:val="14"/>
                <w:szCs w:val="14"/>
                <w:color w:val="auto"/>
              </w:rPr>
              <w:t>F21-F23 Performance Share Award Payout</w:t>
            </w:r>
          </w:p>
        </w:tc>
        <w:tc>
          <w:tcPr>
            <w:tcW w:w="16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60" w:type="dxa"/>
            <w:vAlign w:val="bottom"/>
          </w:tcPr>
          <w:p>
            <w:pPr>
              <w:jc w:val="right"/>
              <w:ind w:right="168"/>
              <w:spacing w:after="0"/>
              <w:rPr>
                <w:sz w:val="20"/>
                <w:szCs w:val="20"/>
                <w:color w:val="auto"/>
              </w:rPr>
            </w:pPr>
            <w:r>
              <w:rPr>
                <w:rFonts w:ascii="Arial" w:cs="Arial" w:eastAsia="Arial" w:hAnsi="Arial"/>
                <w:sz w:val="14"/>
                <w:szCs w:val="14"/>
                <w:color w:val="auto"/>
              </w:rPr>
              <w:t>8,132</w:t>
            </w:r>
          </w:p>
        </w:tc>
        <w:tc>
          <w:tcPr>
            <w:tcW w:w="1460" w:type="dxa"/>
            <w:vAlign w:val="bottom"/>
          </w:tcPr>
          <w:p>
            <w:pPr>
              <w:jc w:val="right"/>
              <w:spacing w:after="0"/>
              <w:rPr>
                <w:sz w:val="20"/>
                <w:szCs w:val="20"/>
                <w:color w:val="auto"/>
              </w:rPr>
            </w:pPr>
            <w:r>
              <w:rPr>
                <w:rFonts w:ascii="Arial" w:cs="Arial" w:eastAsia="Arial" w:hAnsi="Arial"/>
                <w:sz w:val="14"/>
                <w:szCs w:val="14"/>
                <w:color w:val="auto"/>
              </w:rPr>
              <w:t>790,512</w:t>
            </w:r>
          </w:p>
        </w:tc>
      </w:tr>
      <w:tr>
        <w:trPr>
          <w:trHeight w:val="212"/>
        </w:trPr>
        <w:tc>
          <w:tcPr>
            <w:tcW w:w="3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Joanna M. Totsky</w:t>
            </w:r>
          </w:p>
        </w:tc>
        <w:tc>
          <w:tcPr>
            <w:tcW w:w="164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18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r>
      <w:tr>
        <w:trPr>
          <w:trHeight w:val="216"/>
        </w:trPr>
        <w:tc>
          <w:tcPr>
            <w:tcW w:w="3960" w:type="dxa"/>
            <w:vAlign w:val="bottom"/>
            <w:shd w:val="clear" w:color="auto" w:fill="DBDBDB"/>
          </w:tcPr>
          <w:p>
            <w:pPr>
              <w:ind w:left="200"/>
              <w:spacing w:after="0"/>
              <w:rPr>
                <w:sz w:val="20"/>
                <w:szCs w:val="20"/>
                <w:color w:val="auto"/>
              </w:rPr>
            </w:pPr>
            <w:r>
              <w:rPr>
                <w:rFonts w:ascii="Arial" w:cs="Arial" w:eastAsia="Arial" w:hAnsi="Arial"/>
                <w:sz w:val="14"/>
                <w:szCs w:val="14"/>
                <w:color w:val="auto"/>
              </w:rPr>
              <w:t>Stock Option Exercises</w:t>
            </w: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N/A</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N/A</w:t>
            </w:r>
          </w:p>
        </w:tc>
        <w:tc>
          <w:tcPr>
            <w:tcW w:w="18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r>
      <w:tr>
        <w:trPr>
          <w:trHeight w:val="224"/>
        </w:trPr>
        <w:tc>
          <w:tcPr>
            <w:tcW w:w="3960" w:type="dxa"/>
            <w:vAlign w:val="bottom"/>
            <w:shd w:val="clear" w:color="auto" w:fill="DBDBDB"/>
          </w:tcPr>
          <w:p>
            <w:pPr>
              <w:ind w:left="200"/>
              <w:spacing w:after="0"/>
              <w:rPr>
                <w:sz w:val="20"/>
                <w:szCs w:val="20"/>
                <w:color w:val="auto"/>
              </w:rPr>
            </w:pPr>
            <w:r>
              <w:rPr>
                <w:rFonts w:ascii="Arial" w:cs="Arial" w:eastAsia="Arial" w:hAnsi="Arial"/>
                <w:sz w:val="14"/>
                <w:szCs w:val="14"/>
                <w:color w:val="auto"/>
              </w:rPr>
              <w:t>F21-F23 Performance Share Award Payout</w:t>
            </w:r>
          </w:p>
        </w:tc>
        <w:tc>
          <w:tcPr>
            <w:tcW w:w="1640" w:type="dxa"/>
            <w:vAlign w:val="bottom"/>
            <w:shd w:val="clear" w:color="auto" w:fill="DBDBDB"/>
          </w:tcPr>
          <w:p>
            <w:pPr>
              <w:spacing w:after="0"/>
              <w:rPr>
                <w:sz w:val="19"/>
                <w:szCs w:val="19"/>
                <w:color w:val="auto"/>
              </w:rPr>
            </w:pPr>
          </w:p>
        </w:tc>
        <w:tc>
          <w:tcPr>
            <w:tcW w:w="1660" w:type="dxa"/>
            <w:vAlign w:val="bottom"/>
            <w:shd w:val="clear" w:color="auto" w:fill="DBDBDB"/>
          </w:tcPr>
          <w:p>
            <w:pPr>
              <w:spacing w:after="0"/>
              <w:rPr>
                <w:sz w:val="19"/>
                <w:szCs w:val="19"/>
                <w:color w:val="auto"/>
              </w:rPr>
            </w:pPr>
          </w:p>
        </w:tc>
        <w:tc>
          <w:tcPr>
            <w:tcW w:w="186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N/A</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N/A</w:t>
            </w:r>
          </w:p>
        </w:tc>
      </w:tr>
      <w:tr>
        <w:trPr>
          <w:trHeight w:val="208"/>
        </w:trPr>
        <w:tc>
          <w:tcPr>
            <w:tcW w:w="3960" w:type="dxa"/>
            <w:vAlign w:val="bottom"/>
          </w:tcPr>
          <w:p>
            <w:pPr>
              <w:ind w:left="20"/>
              <w:spacing w:after="0"/>
              <w:rPr>
                <w:sz w:val="20"/>
                <w:szCs w:val="20"/>
                <w:color w:val="auto"/>
              </w:rPr>
            </w:pPr>
            <w:r>
              <w:rPr>
                <w:rFonts w:ascii="Arial" w:cs="Arial" w:eastAsia="Arial" w:hAnsi="Arial"/>
                <w:sz w:val="14"/>
                <w:szCs w:val="14"/>
                <w:color w:val="auto"/>
              </w:rPr>
              <w:t>Amy E. Dahl</w:t>
            </w: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3960" w:type="dxa"/>
            <w:vAlign w:val="bottom"/>
          </w:tcPr>
          <w:p>
            <w:pPr>
              <w:ind w:left="200"/>
              <w:spacing w:after="0"/>
              <w:rPr>
                <w:sz w:val="20"/>
                <w:szCs w:val="20"/>
                <w:color w:val="auto"/>
              </w:rPr>
            </w:pPr>
            <w:r>
              <w:rPr>
                <w:rFonts w:ascii="Arial" w:cs="Arial" w:eastAsia="Arial" w:hAnsi="Arial"/>
                <w:sz w:val="14"/>
                <w:szCs w:val="14"/>
                <w:color w:val="auto"/>
              </w:rPr>
              <w:t>Stock Option Exercises</w:t>
            </w:r>
          </w:p>
        </w:tc>
        <w:tc>
          <w:tcPr>
            <w:tcW w:w="1640" w:type="dxa"/>
            <w:vAlign w:val="bottom"/>
          </w:tcPr>
          <w:p>
            <w:pPr>
              <w:jc w:val="right"/>
              <w:spacing w:after="0"/>
              <w:rPr>
                <w:sz w:val="20"/>
                <w:szCs w:val="20"/>
                <w:color w:val="auto"/>
              </w:rPr>
            </w:pPr>
            <w:r>
              <w:rPr>
                <w:rFonts w:ascii="Arial" w:cs="Arial" w:eastAsia="Arial" w:hAnsi="Arial"/>
                <w:sz w:val="14"/>
                <w:szCs w:val="14"/>
                <w:color w:val="auto"/>
              </w:rPr>
              <w:t>4,460</w:t>
            </w:r>
          </w:p>
        </w:tc>
        <w:tc>
          <w:tcPr>
            <w:tcW w:w="1660" w:type="dxa"/>
            <w:vAlign w:val="bottom"/>
          </w:tcPr>
          <w:p>
            <w:pPr>
              <w:jc w:val="right"/>
              <w:spacing w:after="0"/>
              <w:rPr>
                <w:sz w:val="20"/>
                <w:szCs w:val="20"/>
                <w:color w:val="auto"/>
              </w:rPr>
            </w:pPr>
            <w:r>
              <w:rPr>
                <w:rFonts w:ascii="Arial" w:cs="Arial" w:eastAsia="Arial" w:hAnsi="Arial"/>
                <w:sz w:val="14"/>
                <w:szCs w:val="14"/>
                <w:color w:val="auto"/>
              </w:rPr>
              <w:t>385,357</w:t>
            </w:r>
          </w:p>
        </w:tc>
        <w:tc>
          <w:tcPr>
            <w:tcW w:w="18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0"/>
        </w:trPr>
        <w:tc>
          <w:tcPr>
            <w:tcW w:w="3960" w:type="dxa"/>
            <w:vAlign w:val="bottom"/>
          </w:tcPr>
          <w:p>
            <w:pPr>
              <w:ind w:left="200"/>
              <w:spacing w:after="0"/>
              <w:rPr>
                <w:sz w:val="20"/>
                <w:szCs w:val="20"/>
                <w:color w:val="auto"/>
              </w:rPr>
            </w:pPr>
            <w:r>
              <w:rPr>
                <w:rFonts w:ascii="Arial" w:cs="Arial" w:eastAsia="Arial" w:hAnsi="Arial"/>
                <w:sz w:val="14"/>
                <w:szCs w:val="14"/>
                <w:color w:val="auto"/>
              </w:rPr>
              <w:t>F21-F23 Performance Share Award Payout</w:t>
            </w:r>
          </w:p>
        </w:tc>
        <w:tc>
          <w:tcPr>
            <w:tcW w:w="16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60" w:type="dxa"/>
            <w:vAlign w:val="bottom"/>
          </w:tcPr>
          <w:p>
            <w:pPr>
              <w:jc w:val="right"/>
              <w:ind w:right="168"/>
              <w:spacing w:after="0"/>
              <w:rPr>
                <w:sz w:val="20"/>
                <w:szCs w:val="20"/>
                <w:color w:val="auto"/>
              </w:rPr>
            </w:pPr>
            <w:r>
              <w:rPr>
                <w:rFonts w:ascii="Arial" w:cs="Arial" w:eastAsia="Arial" w:hAnsi="Arial"/>
                <w:sz w:val="14"/>
                <w:szCs w:val="14"/>
                <w:color w:val="auto"/>
              </w:rPr>
              <w:t>5,750</w:t>
            </w:r>
          </w:p>
        </w:tc>
        <w:tc>
          <w:tcPr>
            <w:tcW w:w="1460" w:type="dxa"/>
            <w:vAlign w:val="bottom"/>
          </w:tcPr>
          <w:p>
            <w:pPr>
              <w:jc w:val="right"/>
              <w:spacing w:after="0"/>
              <w:rPr>
                <w:sz w:val="20"/>
                <w:szCs w:val="20"/>
                <w:color w:val="auto"/>
              </w:rPr>
            </w:pPr>
            <w:r>
              <w:rPr>
                <w:rFonts w:ascii="Arial" w:cs="Arial" w:eastAsia="Arial" w:hAnsi="Arial"/>
                <w:sz w:val="14"/>
                <w:szCs w:val="14"/>
                <w:color w:val="auto"/>
              </w:rPr>
              <w:t>558,958</w:t>
            </w:r>
          </w:p>
        </w:tc>
      </w:tr>
      <w:tr>
        <w:trPr>
          <w:trHeight w:val="212"/>
        </w:trPr>
        <w:tc>
          <w:tcPr>
            <w:tcW w:w="3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Gregory S. Janey</w:t>
            </w:r>
          </w:p>
        </w:tc>
        <w:tc>
          <w:tcPr>
            <w:tcW w:w="164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18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r>
      <w:tr>
        <w:trPr>
          <w:trHeight w:val="216"/>
        </w:trPr>
        <w:tc>
          <w:tcPr>
            <w:tcW w:w="3960" w:type="dxa"/>
            <w:vAlign w:val="bottom"/>
            <w:shd w:val="clear" w:color="auto" w:fill="DBDBDB"/>
          </w:tcPr>
          <w:p>
            <w:pPr>
              <w:ind w:left="200"/>
              <w:spacing w:after="0"/>
              <w:rPr>
                <w:sz w:val="20"/>
                <w:szCs w:val="20"/>
                <w:color w:val="auto"/>
              </w:rPr>
            </w:pPr>
            <w:r>
              <w:rPr>
                <w:rFonts w:ascii="Arial" w:cs="Arial" w:eastAsia="Arial" w:hAnsi="Arial"/>
                <w:sz w:val="14"/>
                <w:szCs w:val="14"/>
                <w:color w:val="auto"/>
              </w:rPr>
              <w:t>Stock Option Exercises</w:t>
            </w: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3,260</w:t>
            </w:r>
          </w:p>
        </w:tc>
        <w:tc>
          <w:tcPr>
            <w:tcW w:w="16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266,625</w:t>
            </w:r>
          </w:p>
        </w:tc>
        <w:tc>
          <w:tcPr>
            <w:tcW w:w="18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r>
      <w:tr>
        <w:trPr>
          <w:trHeight w:val="224"/>
        </w:trPr>
        <w:tc>
          <w:tcPr>
            <w:tcW w:w="3960" w:type="dxa"/>
            <w:vAlign w:val="bottom"/>
            <w:shd w:val="clear" w:color="auto" w:fill="DBDBDB"/>
          </w:tcPr>
          <w:p>
            <w:pPr>
              <w:ind w:left="200"/>
              <w:spacing w:after="0"/>
              <w:rPr>
                <w:sz w:val="20"/>
                <w:szCs w:val="20"/>
                <w:color w:val="auto"/>
              </w:rPr>
            </w:pPr>
            <w:r>
              <w:rPr>
                <w:rFonts w:ascii="Arial" w:cs="Arial" w:eastAsia="Arial" w:hAnsi="Arial"/>
                <w:sz w:val="14"/>
                <w:szCs w:val="14"/>
                <w:color w:val="auto"/>
              </w:rPr>
              <w:t>F21-F23 Performance Share Award Payout</w:t>
            </w:r>
          </w:p>
        </w:tc>
        <w:tc>
          <w:tcPr>
            <w:tcW w:w="1640" w:type="dxa"/>
            <w:vAlign w:val="bottom"/>
            <w:shd w:val="clear" w:color="auto" w:fill="DBDBDB"/>
          </w:tcPr>
          <w:p>
            <w:pPr>
              <w:spacing w:after="0"/>
              <w:rPr>
                <w:sz w:val="19"/>
                <w:szCs w:val="19"/>
                <w:color w:val="auto"/>
              </w:rPr>
            </w:pPr>
          </w:p>
        </w:tc>
        <w:tc>
          <w:tcPr>
            <w:tcW w:w="1660" w:type="dxa"/>
            <w:vAlign w:val="bottom"/>
            <w:shd w:val="clear" w:color="auto" w:fill="DBDBDB"/>
          </w:tcPr>
          <w:p>
            <w:pPr>
              <w:spacing w:after="0"/>
              <w:rPr>
                <w:sz w:val="19"/>
                <w:szCs w:val="19"/>
                <w:color w:val="auto"/>
              </w:rPr>
            </w:pPr>
          </w:p>
        </w:tc>
        <w:tc>
          <w:tcPr>
            <w:tcW w:w="186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2,483</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241,372</w:t>
            </w:r>
          </w:p>
        </w:tc>
      </w:tr>
      <w:tr>
        <w:trPr>
          <w:trHeight w:val="208"/>
        </w:trPr>
        <w:tc>
          <w:tcPr>
            <w:tcW w:w="3960" w:type="dxa"/>
            <w:vAlign w:val="bottom"/>
          </w:tcPr>
          <w:p>
            <w:pPr>
              <w:ind w:left="20"/>
              <w:spacing w:after="0"/>
              <w:rPr>
                <w:sz w:val="20"/>
                <w:szCs w:val="20"/>
                <w:color w:val="auto"/>
              </w:rPr>
            </w:pPr>
            <w:r>
              <w:rPr>
                <w:rFonts w:ascii="Arial" w:cs="Arial" w:eastAsia="Arial" w:hAnsi="Arial"/>
                <w:sz w:val="14"/>
                <w:szCs w:val="14"/>
                <w:color w:val="auto"/>
              </w:rPr>
              <w:t>Richard W. Rodier</w:t>
            </w: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3960" w:type="dxa"/>
            <w:vAlign w:val="bottom"/>
          </w:tcPr>
          <w:p>
            <w:pPr>
              <w:ind w:left="200"/>
              <w:spacing w:after="0"/>
              <w:rPr>
                <w:sz w:val="20"/>
                <w:szCs w:val="20"/>
                <w:color w:val="auto"/>
              </w:rPr>
            </w:pPr>
            <w:r>
              <w:rPr>
                <w:rFonts w:ascii="Arial" w:cs="Arial" w:eastAsia="Arial" w:hAnsi="Arial"/>
                <w:sz w:val="14"/>
                <w:szCs w:val="14"/>
                <w:color w:val="auto"/>
              </w:rPr>
              <w:t>Stock Option Exercises</w:t>
            </w:r>
          </w:p>
        </w:tc>
        <w:tc>
          <w:tcPr>
            <w:tcW w:w="1640" w:type="dxa"/>
            <w:vAlign w:val="bottom"/>
          </w:tcPr>
          <w:p>
            <w:pPr>
              <w:jc w:val="right"/>
              <w:spacing w:after="0"/>
              <w:rPr>
                <w:sz w:val="20"/>
                <w:szCs w:val="20"/>
                <w:color w:val="auto"/>
              </w:rPr>
            </w:pPr>
            <w:r>
              <w:rPr>
                <w:rFonts w:ascii="Arial" w:cs="Arial" w:eastAsia="Arial" w:hAnsi="Arial"/>
                <w:sz w:val="14"/>
                <w:szCs w:val="14"/>
                <w:color w:val="auto"/>
              </w:rPr>
              <w:t>6,000</w:t>
            </w:r>
          </w:p>
        </w:tc>
        <w:tc>
          <w:tcPr>
            <w:tcW w:w="1660" w:type="dxa"/>
            <w:vAlign w:val="bottom"/>
          </w:tcPr>
          <w:p>
            <w:pPr>
              <w:jc w:val="right"/>
              <w:spacing w:after="0"/>
              <w:rPr>
                <w:sz w:val="20"/>
                <w:szCs w:val="20"/>
                <w:color w:val="auto"/>
              </w:rPr>
            </w:pPr>
            <w:r>
              <w:rPr>
                <w:rFonts w:ascii="Arial" w:cs="Arial" w:eastAsia="Arial" w:hAnsi="Arial"/>
                <w:sz w:val="14"/>
                <w:szCs w:val="14"/>
                <w:color w:val="auto"/>
              </w:rPr>
              <w:t>464,438</w:t>
            </w:r>
          </w:p>
        </w:tc>
        <w:tc>
          <w:tcPr>
            <w:tcW w:w="18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3960" w:type="dxa"/>
            <w:vAlign w:val="bottom"/>
          </w:tcPr>
          <w:p>
            <w:pPr>
              <w:ind w:left="200"/>
              <w:spacing w:after="0"/>
              <w:rPr>
                <w:sz w:val="20"/>
                <w:szCs w:val="20"/>
                <w:color w:val="auto"/>
              </w:rPr>
            </w:pPr>
            <w:r>
              <w:rPr>
                <w:rFonts w:ascii="Arial" w:cs="Arial" w:eastAsia="Arial" w:hAnsi="Arial"/>
                <w:sz w:val="14"/>
                <w:szCs w:val="14"/>
                <w:color w:val="auto"/>
              </w:rPr>
              <w:t>F21-F23 Performance Share Award Payout</w:t>
            </w: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jc w:val="right"/>
              <w:ind w:right="168"/>
              <w:spacing w:after="0"/>
              <w:rPr>
                <w:sz w:val="20"/>
                <w:szCs w:val="20"/>
                <w:color w:val="auto"/>
              </w:rPr>
            </w:pPr>
            <w:r>
              <w:rPr>
                <w:rFonts w:ascii="Arial" w:cs="Arial" w:eastAsia="Arial" w:hAnsi="Arial"/>
                <w:sz w:val="14"/>
                <w:szCs w:val="14"/>
                <w:color w:val="auto"/>
              </w:rPr>
              <w:t>6,527</w:t>
            </w:r>
          </w:p>
        </w:tc>
        <w:tc>
          <w:tcPr>
            <w:tcW w:w="1460" w:type="dxa"/>
            <w:vAlign w:val="bottom"/>
          </w:tcPr>
          <w:p>
            <w:pPr>
              <w:jc w:val="right"/>
              <w:spacing w:after="0"/>
              <w:rPr>
                <w:sz w:val="20"/>
                <w:szCs w:val="20"/>
                <w:color w:val="auto"/>
              </w:rPr>
            </w:pPr>
            <w:r>
              <w:rPr>
                <w:rFonts w:ascii="Arial" w:cs="Arial" w:eastAsia="Arial" w:hAnsi="Arial"/>
                <w:sz w:val="14"/>
                <w:szCs w:val="14"/>
                <w:color w:val="auto"/>
              </w:rPr>
              <w:t>634,490</w:t>
            </w:r>
          </w:p>
        </w:tc>
      </w:tr>
      <w:tr>
        <w:trPr>
          <w:trHeight w:val="216"/>
        </w:trPr>
        <w:tc>
          <w:tcPr>
            <w:tcW w:w="3960" w:type="dxa"/>
            <w:vAlign w:val="bottom"/>
          </w:tcPr>
          <w:p>
            <w:pPr>
              <w:ind w:left="200"/>
              <w:spacing w:after="0"/>
              <w:rPr>
                <w:sz w:val="20"/>
                <w:szCs w:val="20"/>
                <w:color w:val="auto"/>
              </w:rPr>
            </w:pPr>
            <w:r>
              <w:rPr>
                <w:rFonts w:ascii="Arial" w:cs="Arial" w:eastAsia="Arial" w:hAnsi="Arial"/>
                <w:sz w:val="14"/>
                <w:szCs w:val="14"/>
                <w:color w:val="auto"/>
              </w:rPr>
              <w:t>Restricted Stock Units</w:t>
            </w: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jc w:val="right"/>
              <w:ind w:right="168"/>
              <w:spacing w:after="0"/>
              <w:rPr>
                <w:sz w:val="20"/>
                <w:szCs w:val="20"/>
                <w:color w:val="auto"/>
              </w:rPr>
            </w:pPr>
            <w:r>
              <w:rPr>
                <w:rFonts w:ascii="Arial" w:cs="Arial" w:eastAsia="Arial" w:hAnsi="Arial"/>
                <w:sz w:val="14"/>
                <w:szCs w:val="14"/>
                <w:color w:val="auto"/>
              </w:rPr>
              <w:t>553</w:t>
            </w:r>
          </w:p>
        </w:tc>
        <w:tc>
          <w:tcPr>
            <w:tcW w:w="1460" w:type="dxa"/>
            <w:vAlign w:val="bottom"/>
          </w:tcPr>
          <w:p>
            <w:pPr>
              <w:jc w:val="right"/>
              <w:spacing w:after="0"/>
              <w:rPr>
                <w:sz w:val="20"/>
                <w:szCs w:val="20"/>
                <w:color w:val="auto"/>
              </w:rPr>
            </w:pPr>
            <w:r>
              <w:rPr>
                <w:rFonts w:ascii="Arial" w:cs="Arial" w:eastAsia="Arial" w:hAnsi="Arial"/>
                <w:sz w:val="14"/>
                <w:szCs w:val="14"/>
                <w:color w:val="auto"/>
              </w:rPr>
              <w:t>57,932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-3757295</wp:posOffset>
            </wp:positionV>
            <wp:extent cx="42005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19888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93" w:lineRule="exact"/>
        <w:rPr>
          <w:sz w:val="20"/>
          <w:szCs w:val="20"/>
          <w:color w:val="auto"/>
        </w:rPr>
      </w:pPr>
    </w:p>
    <w:p>
      <w:pPr>
        <w:jc w:val="both"/>
        <w:ind w:left="340" w:right="20" w:hanging="332"/>
        <w:spacing w:after="0" w:line="265" w:lineRule="auto"/>
        <w:tabs>
          <w:tab w:leader="none" w:pos="328"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number of shares acquired upon exercise reflects the gross number of shares acquired absent any netting for shares surrendered to pay the option exercise price and/or satisfy tax withholding requirements. The value realized on exercise represents the gross number of shares acquired on exercise multiplied by the market price of our common stock on the exercise date, less the per share exercise price.</w:t>
      </w:r>
    </w:p>
    <w:p>
      <w:pPr>
        <w:ind w:left="340" w:hanging="332"/>
        <w:spacing w:after="0" w:line="234" w:lineRule="auto"/>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of shares acquired upon vesting reflects the gross number of shares acquired absent any netting of shares surrendered to satisfy tax withholding requirements. The value realized on vesting for performance share awards represents the gross number of shares acquired multiplied by the closing price of our common stock on December 20, 2023 (the payout date for the fiscal 2021 to fiscal 2023 performance share awards) of $97.21. The value of vested restricted stock units realized for Ms. Drake represents the gross number of shares acquired multiplied by the closing price of our common stock on April 4, 2023 (the vesting and settlement date) of $109.74 The value of vested restricted stock units for Mr. Rodier represents the gross number of shares acquired multiplied by the closing price of our common stock on April 14, 2023 (the vesting and settlement date) of $104.76. Amounts are not reduced to reflect any elections by our NEOs to defer receipt of performance share award payouts. Under the Deferred Plan for Officers, Messrs. Olson and Janey and Ms. Dahl each deferred receipt of 100% of the fiscal 2021 to fiscal 2023 performance share award payouts. The material terms of the Deferred Plan for Officers are described under Nonqualified Deferred Compensation for Fiscal 2023 set forth below.</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Nonqualified Deferred Compensation for Fiscal 2023</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maintain three nonqualified deferred compensation plans in which our NEOs are eligible to participate.</w:t>
      </w:r>
    </w:p>
    <w:p>
      <w:pPr>
        <w:spacing w:after="0" w:line="90" w:lineRule="exact"/>
        <w:rPr>
          <w:sz w:val="20"/>
          <w:szCs w:val="20"/>
          <w:color w:val="auto"/>
        </w:rPr>
      </w:pPr>
    </w:p>
    <w:p>
      <w:pPr>
        <w:ind w:right="60" w:firstLine="324"/>
        <w:spacing w:after="0" w:line="259" w:lineRule="auto"/>
        <w:rPr>
          <w:sz w:val="20"/>
          <w:szCs w:val="20"/>
          <w:color w:val="auto"/>
        </w:rPr>
      </w:pPr>
      <w:r>
        <w:rPr>
          <w:rFonts w:ascii="Arial" w:cs="Arial" w:eastAsia="Arial" w:hAnsi="Arial"/>
          <w:sz w:val="17"/>
          <w:szCs w:val="17"/>
          <w:b w:val="1"/>
          <w:bCs w:val="1"/>
          <w:color w:val="auto"/>
        </w:rPr>
        <w:t xml:space="preserve">The Toro Company Deferred Compensation Plan. </w:t>
      </w:r>
      <w:r>
        <w:rPr>
          <w:rFonts w:ascii="Arial" w:cs="Arial" w:eastAsia="Arial" w:hAnsi="Arial"/>
          <w:sz w:val="17"/>
          <w:szCs w:val="17"/>
          <w:color w:val="auto"/>
        </w:rPr>
        <w:t>This plan allows a select group of management or highly compensated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our executive officers, to defer on a pre-tax basis his or her calendar year base salary and/or fiscal year annual cash incentive</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payout to a date in the future. Participants can defer up to 50% of calendar year base salary and up to 100% of the fiscal year annual cash incentive award payout.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0"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amounts are credited to a participant's account and the participant may elect the deemed investment of such deferred amounts in an array of</w:t>
      </w:r>
    </w:p>
    <w:p>
      <w:pPr>
        <w:spacing w:after="0" w:line="14" w:lineRule="exact"/>
        <w:rPr>
          <w:sz w:val="20"/>
          <w:szCs w:val="20"/>
          <w:color w:val="auto"/>
        </w:rPr>
      </w:pPr>
    </w:p>
    <w:p>
      <w:pPr>
        <w:ind w:right="500"/>
        <w:spacing w:after="0" w:line="226" w:lineRule="auto"/>
        <w:rPr>
          <w:sz w:val="20"/>
          <w:szCs w:val="20"/>
          <w:color w:val="auto"/>
        </w:rPr>
      </w:pPr>
      <w:r>
        <w:rPr>
          <w:rFonts w:ascii="Arial" w:cs="Arial" w:eastAsia="Arial" w:hAnsi="Arial"/>
          <w:sz w:val="18"/>
          <w:szCs w:val="18"/>
          <w:color w:val="auto"/>
        </w:rPr>
        <w:t>funds that are consistent with or comparable to funds provided in the Retirement Plan. Deferral elections are made on an annual basis, before the beginning of the new fiscal year. Participants must elect a distribution date that is at least two years later than the date the</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compensation otherwise would have been received. Participants elect the frequency of payments and the number of payments to receive at the time of distribution. Participants are always 100% vested in their accounts.</w:t>
      </w:r>
    </w:p>
    <w:p>
      <w:pPr>
        <w:spacing w:after="0" w:line="50" w:lineRule="exact"/>
        <w:rPr>
          <w:sz w:val="20"/>
          <w:szCs w:val="20"/>
          <w:color w:val="auto"/>
        </w:rPr>
      </w:pPr>
    </w:p>
    <w:p>
      <w:pPr>
        <w:ind w:right="60" w:firstLine="324"/>
        <w:spacing w:after="0" w:line="245" w:lineRule="auto"/>
        <w:rPr>
          <w:sz w:val="20"/>
          <w:szCs w:val="20"/>
          <w:color w:val="auto"/>
        </w:rPr>
      </w:pPr>
      <w:r>
        <w:rPr>
          <w:rFonts w:ascii="Arial" w:cs="Arial" w:eastAsia="Arial" w:hAnsi="Arial"/>
          <w:sz w:val="18"/>
          <w:szCs w:val="18"/>
          <w:b w:val="1"/>
          <w:bCs w:val="1"/>
          <w:color w:val="auto"/>
        </w:rPr>
        <w:t xml:space="preserve">The Toro Company Deferred Compensation Plan for Officers. </w:t>
      </w:r>
      <w:r>
        <w:rPr>
          <w:rFonts w:ascii="Arial" w:cs="Arial" w:eastAsia="Arial" w:hAnsi="Arial"/>
          <w:sz w:val="18"/>
          <w:szCs w:val="18"/>
          <w:color w:val="auto"/>
        </w:rPr>
        <w:t>This plan allows key employees that receive performance share</w:t>
      </w:r>
      <w:r>
        <w:rPr>
          <w:rFonts w:ascii="Arial" w:cs="Arial" w:eastAsia="Arial" w:hAnsi="Arial"/>
          <w:sz w:val="18"/>
          <w:szCs w:val="18"/>
          <w:b w:val="1"/>
          <w:bCs w:val="1"/>
          <w:color w:val="auto"/>
        </w:rPr>
        <w:t xml:space="preserve"> </w:t>
      </w:r>
      <w:r>
        <w:rPr>
          <w:rFonts w:ascii="Arial" w:cs="Arial" w:eastAsia="Arial" w:hAnsi="Arial"/>
          <w:sz w:val="18"/>
          <w:szCs w:val="18"/>
          <w:color w:val="auto"/>
        </w:rPr>
        <w:t>awards, including our executive officers, an opportunity to defer receipt of shares of our common stock paid out under such awards to a date</w:t>
      </w:r>
    </w:p>
    <w:p>
      <w:pPr>
        <w:ind w:right="380"/>
        <w:spacing w:after="0" w:line="226" w:lineRule="auto"/>
        <w:rPr>
          <w:sz w:val="20"/>
          <w:szCs w:val="20"/>
          <w:color w:val="auto"/>
        </w:rPr>
      </w:pPr>
      <w:r>
        <w:rPr>
          <w:rFonts w:ascii="Arial" w:cs="Arial" w:eastAsia="Arial" w:hAnsi="Arial"/>
          <w:sz w:val="18"/>
          <w:szCs w:val="18"/>
          <w:color w:val="auto"/>
        </w:rPr>
        <w:t>in the future. Participants can defer up to 100% of the common stock payout. Each year, before the third fiscal year of the three-year performance period begins, participants are given the opportunity to elect to defer the receipt of those shares to some point in the future.</w:t>
      </w:r>
    </w:p>
    <w:p>
      <w:pPr>
        <w:spacing w:after="0" w:line="236" w:lineRule="auto"/>
        <w:rPr>
          <w:sz w:val="20"/>
          <w:szCs w:val="20"/>
          <w:color w:val="auto"/>
        </w:rPr>
      </w:pPr>
      <w:r>
        <w:rPr>
          <w:rFonts w:ascii="Arial" w:cs="Arial" w:eastAsia="Arial" w:hAnsi="Arial"/>
          <w:sz w:val="18"/>
          <w:szCs w:val="18"/>
          <w:color w:val="auto"/>
        </w:rPr>
        <w:t>Participants must elect a distribution date that is at least two years later than the date the shares would have been received. Participants</w:t>
      </w:r>
    </w:p>
    <w:p>
      <w:pPr>
        <w:spacing w:after="0" w:line="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elect the frequency of payment and the number of payments to receive at the time of distribution. Participants are always 100% vested in their deferred payout.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The Toro Company Supplemental Benefit Plan. </w:t>
      </w:r>
      <w:r>
        <w:rPr>
          <w:rFonts w:ascii="Arial" w:cs="Arial" w:eastAsia="Arial" w:hAnsi="Arial"/>
          <w:sz w:val="18"/>
          <w:szCs w:val="18"/>
          <w:color w:val="auto"/>
        </w:rPr>
        <w:t>This plan is maintained for the purpose of providing to a select group of management</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or highly compensated employees, including our executive officers, benefits in excess of the limitations on benefits and contributions imposed by Code Sections 401(a)(17) and 415. Our credits under this plan are made on a calendar year basis, usually in the first calendar</w:t>
      </w:r>
    </w:p>
    <w:p>
      <w:pPr>
        <w:spacing w:after="0" w:line="236" w:lineRule="auto"/>
        <w:rPr>
          <w:sz w:val="20"/>
          <w:szCs w:val="20"/>
          <w:color w:val="auto"/>
        </w:rPr>
      </w:pPr>
      <w:r>
        <w:rPr>
          <w:rFonts w:ascii="Arial" w:cs="Arial" w:eastAsia="Arial" w:hAnsi="Arial"/>
          <w:sz w:val="18"/>
          <w:szCs w:val="18"/>
          <w:color w:val="auto"/>
        </w:rPr>
        <w:t>quarter following the end of the prior calendar year. Amounts are credited to the Supplemental Benefit Plan for earnings above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compensation limit for all forms of employer contributions, which may include Company matching, investment savings and ESOP contribution amounts. For calendar year 2023, employer matching contributions and an investment savings contribution were made. Amounts credited</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are placed into a participant's account and the participant may elect the deemed investment of such deferred amounts in an array of funds that are consistent with or comparable to funds provided in the Retirement Plan. Participants elect the funds into which these contributions</w:t>
      </w:r>
    </w:p>
    <w:p>
      <w:pPr>
        <w:spacing w:after="0" w:line="2"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are allocated, as well as the frequency of payments and the number of payments to receive. Participants are always 100% vested in their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67" w:name="page68"/>
    <w:bookmarkEnd w:id="67"/>
    <w:p>
      <w:pPr>
        <w:ind w:right="500" w:firstLine="324"/>
        <w:spacing w:after="0" w:line="271" w:lineRule="auto"/>
        <w:rPr>
          <w:sz w:val="20"/>
          <w:szCs w:val="20"/>
          <w:color w:val="auto"/>
        </w:rPr>
      </w:pPr>
      <w:r>
        <w:rPr>
          <w:rFonts w:ascii="Arial" w:cs="Arial" w:eastAsia="Arial" w:hAnsi="Arial"/>
          <w:sz w:val="18"/>
          <w:szCs w:val="18"/>
          <w:b w:val="1"/>
          <w:bCs w:val="1"/>
          <w:color w:val="auto"/>
        </w:rPr>
        <w:t xml:space="preserve">Nonqualified Deferred Compensation for Fiscal 2023 Table. </w:t>
      </w:r>
      <w:r>
        <w:rPr>
          <w:rFonts w:ascii="Arial" w:cs="Arial" w:eastAsia="Arial" w:hAnsi="Arial"/>
          <w:sz w:val="18"/>
          <w:szCs w:val="18"/>
          <w:color w:val="auto"/>
        </w:rPr>
        <w:t>The following table reflects any NEO contributions and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for fiscal 2023 to our nonqualified deferred compensation plans.</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520" w:type="dxa"/>
            <w:vAlign w:val="bottom"/>
            <w:shd w:val="clear" w:color="auto" w:fill="BF2115"/>
          </w:tcPr>
          <w:p>
            <w:pPr>
              <w:spacing w:after="0"/>
              <w:rPr>
                <w:sz w:val="17"/>
                <w:szCs w:val="17"/>
                <w:color w:val="auto"/>
              </w:rPr>
            </w:pPr>
          </w:p>
        </w:tc>
        <w:tc>
          <w:tcPr>
            <w:tcW w:w="16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Executive</w:t>
            </w:r>
          </w:p>
        </w:tc>
        <w:tc>
          <w:tcPr>
            <w:tcW w:w="18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Registrant</w:t>
            </w:r>
          </w:p>
        </w:tc>
        <w:tc>
          <w:tcPr>
            <w:tcW w:w="1560" w:type="dxa"/>
            <w:vAlign w:val="bottom"/>
            <w:shd w:val="clear" w:color="auto" w:fill="BF2115"/>
          </w:tcPr>
          <w:p>
            <w:pPr>
              <w:jc w:val="center"/>
              <w:ind w:right="88"/>
              <w:spacing w:after="0"/>
              <w:rPr>
                <w:sz w:val="20"/>
                <w:szCs w:val="20"/>
                <w:color w:val="auto"/>
              </w:rPr>
            </w:pPr>
            <w:r>
              <w:rPr>
                <w:rFonts w:ascii="Arial" w:cs="Arial" w:eastAsia="Arial" w:hAnsi="Arial"/>
                <w:sz w:val="14"/>
                <w:szCs w:val="14"/>
                <w:b w:val="1"/>
                <w:bCs w:val="1"/>
                <w:color w:val="FFFFFF"/>
              </w:rPr>
              <w:t>Aggregate</w:t>
            </w:r>
          </w:p>
        </w:tc>
        <w:tc>
          <w:tcPr>
            <w:tcW w:w="1620" w:type="dxa"/>
            <w:vAlign w:val="bottom"/>
            <w:shd w:val="clear" w:color="auto" w:fill="BF2115"/>
          </w:tcPr>
          <w:p>
            <w:pPr>
              <w:jc w:val="center"/>
              <w:ind w:right="308"/>
              <w:spacing w:after="0"/>
              <w:rPr>
                <w:sz w:val="20"/>
                <w:szCs w:val="20"/>
                <w:color w:val="auto"/>
              </w:rPr>
            </w:pPr>
            <w:r>
              <w:rPr>
                <w:rFonts w:ascii="Arial" w:cs="Arial" w:eastAsia="Arial" w:hAnsi="Arial"/>
                <w:sz w:val="14"/>
                <w:szCs w:val="14"/>
                <w:b w:val="1"/>
                <w:bCs w:val="1"/>
                <w:color w:val="FFFFFF"/>
              </w:rPr>
              <w:t>Aggregate</w:t>
            </w:r>
          </w:p>
        </w:tc>
        <w:tc>
          <w:tcPr>
            <w:tcW w:w="1420" w:type="dxa"/>
            <w:vAlign w:val="bottom"/>
            <w:shd w:val="clear" w:color="auto" w:fill="BF2115"/>
          </w:tcPr>
          <w:p>
            <w:pPr>
              <w:jc w:val="center"/>
              <w:ind w:right="148"/>
              <w:spacing w:after="0"/>
              <w:rPr>
                <w:sz w:val="20"/>
                <w:szCs w:val="20"/>
                <w:color w:val="auto"/>
              </w:rPr>
            </w:pPr>
            <w:r>
              <w:rPr>
                <w:rFonts w:ascii="Arial" w:cs="Arial" w:eastAsia="Arial" w:hAnsi="Arial"/>
                <w:sz w:val="14"/>
                <w:szCs w:val="14"/>
                <w:b w:val="1"/>
                <w:bCs w:val="1"/>
                <w:color w:val="FFFFFF"/>
              </w:rPr>
              <w:t>Aggregate</w:t>
            </w:r>
          </w:p>
        </w:tc>
      </w:tr>
      <w:tr>
        <w:trPr>
          <w:trHeight w:val="173"/>
        </w:trPr>
        <w:tc>
          <w:tcPr>
            <w:tcW w:w="2520" w:type="dxa"/>
            <w:vAlign w:val="bottom"/>
            <w:shd w:val="clear" w:color="auto" w:fill="BF2115"/>
          </w:tcPr>
          <w:p>
            <w:pPr>
              <w:spacing w:after="0"/>
              <w:rPr>
                <w:sz w:val="15"/>
                <w:szCs w:val="15"/>
                <w:color w:val="auto"/>
              </w:rPr>
            </w:pPr>
          </w:p>
        </w:tc>
        <w:tc>
          <w:tcPr>
            <w:tcW w:w="16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Contributions</w:t>
            </w:r>
          </w:p>
        </w:tc>
        <w:tc>
          <w:tcPr>
            <w:tcW w:w="18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Contributions</w:t>
            </w:r>
          </w:p>
        </w:tc>
        <w:tc>
          <w:tcPr>
            <w:tcW w:w="1560" w:type="dxa"/>
            <w:vAlign w:val="bottom"/>
            <w:shd w:val="clear" w:color="auto" w:fill="BF2115"/>
          </w:tcPr>
          <w:p>
            <w:pPr>
              <w:jc w:val="center"/>
              <w:ind w:right="108"/>
              <w:spacing w:after="0"/>
              <w:rPr>
                <w:sz w:val="20"/>
                <w:szCs w:val="20"/>
                <w:color w:val="auto"/>
              </w:rPr>
            </w:pPr>
            <w:r>
              <w:rPr>
                <w:rFonts w:ascii="Arial" w:cs="Arial" w:eastAsia="Arial" w:hAnsi="Arial"/>
                <w:sz w:val="14"/>
                <w:szCs w:val="14"/>
                <w:b w:val="1"/>
                <w:bCs w:val="1"/>
                <w:color w:val="FFFFFF"/>
              </w:rPr>
              <w:t>Earnings in</w:t>
            </w:r>
          </w:p>
        </w:tc>
        <w:tc>
          <w:tcPr>
            <w:tcW w:w="1620" w:type="dxa"/>
            <w:vAlign w:val="bottom"/>
            <w:shd w:val="clear" w:color="auto" w:fill="BF2115"/>
          </w:tcPr>
          <w:p>
            <w:pPr>
              <w:jc w:val="center"/>
              <w:ind w:right="308"/>
              <w:spacing w:after="0"/>
              <w:rPr>
                <w:sz w:val="20"/>
                <w:szCs w:val="20"/>
                <w:color w:val="auto"/>
              </w:rPr>
            </w:pPr>
            <w:r>
              <w:rPr>
                <w:rFonts w:ascii="Arial" w:cs="Arial" w:eastAsia="Arial" w:hAnsi="Arial"/>
                <w:sz w:val="14"/>
                <w:szCs w:val="14"/>
                <w:b w:val="1"/>
                <w:bCs w:val="1"/>
                <w:color w:val="FFFFFF"/>
              </w:rPr>
              <w:t>Withdrawals/</w:t>
            </w:r>
          </w:p>
        </w:tc>
        <w:tc>
          <w:tcPr>
            <w:tcW w:w="1420" w:type="dxa"/>
            <w:vAlign w:val="bottom"/>
            <w:shd w:val="clear" w:color="auto" w:fill="BF2115"/>
          </w:tcPr>
          <w:p>
            <w:pPr>
              <w:jc w:val="center"/>
              <w:ind w:right="148"/>
              <w:spacing w:after="0"/>
              <w:rPr>
                <w:sz w:val="20"/>
                <w:szCs w:val="20"/>
                <w:color w:val="auto"/>
              </w:rPr>
            </w:pPr>
            <w:r>
              <w:rPr>
                <w:rFonts w:ascii="Arial" w:cs="Arial" w:eastAsia="Arial" w:hAnsi="Arial"/>
                <w:sz w:val="14"/>
                <w:szCs w:val="14"/>
                <w:b w:val="1"/>
                <w:bCs w:val="1"/>
                <w:color w:val="FFFFFF"/>
              </w:rPr>
              <w:t>Balance at</w:t>
            </w:r>
          </w:p>
        </w:tc>
      </w:tr>
      <w:tr>
        <w:trPr>
          <w:trHeight w:val="178"/>
        </w:trPr>
        <w:tc>
          <w:tcPr>
            <w:tcW w:w="2520" w:type="dxa"/>
            <w:vAlign w:val="bottom"/>
            <w:shd w:val="clear" w:color="auto" w:fill="BF2115"/>
          </w:tcPr>
          <w:p>
            <w:pPr>
              <w:spacing w:after="0"/>
              <w:rPr>
                <w:sz w:val="15"/>
                <w:szCs w:val="15"/>
                <w:color w:val="auto"/>
              </w:rPr>
            </w:pPr>
          </w:p>
        </w:tc>
        <w:tc>
          <w:tcPr>
            <w:tcW w:w="1620" w:type="dxa"/>
            <w:vAlign w:val="bottom"/>
            <w:shd w:val="clear" w:color="auto" w:fill="BF2115"/>
          </w:tcPr>
          <w:p>
            <w:pPr>
              <w:jc w:val="center"/>
              <w:spacing w:after="0" w:line="178" w:lineRule="exact"/>
              <w:rPr>
                <w:sz w:val="20"/>
                <w:szCs w:val="20"/>
                <w:color w:val="auto"/>
              </w:rPr>
            </w:pPr>
            <w:r>
              <w:rPr>
                <w:rFonts w:ascii="Arial" w:cs="Arial" w:eastAsia="Arial" w:hAnsi="Arial"/>
                <w:sz w:val="14"/>
                <w:szCs w:val="14"/>
                <w:b w:val="1"/>
                <w:bCs w:val="1"/>
                <w:color w:val="FFFFFF"/>
              </w:rPr>
              <w:t>in Last FY</w:t>
            </w:r>
            <w:r>
              <w:rPr>
                <w:rFonts w:ascii="Arial" w:cs="Arial" w:eastAsia="Arial" w:hAnsi="Arial"/>
                <w:sz w:val="18"/>
                <w:szCs w:val="18"/>
                <w:b w:val="1"/>
                <w:bCs w:val="1"/>
                <w:color w:val="FFFFFF"/>
                <w:vertAlign w:val="superscript"/>
              </w:rPr>
              <w:t>1</w:t>
            </w:r>
          </w:p>
        </w:tc>
        <w:tc>
          <w:tcPr>
            <w:tcW w:w="1840" w:type="dxa"/>
            <w:vAlign w:val="bottom"/>
            <w:shd w:val="clear" w:color="auto" w:fill="BF2115"/>
          </w:tcPr>
          <w:p>
            <w:pPr>
              <w:jc w:val="center"/>
              <w:spacing w:after="0" w:line="178" w:lineRule="exact"/>
              <w:rPr>
                <w:sz w:val="20"/>
                <w:szCs w:val="20"/>
                <w:color w:val="auto"/>
              </w:rPr>
            </w:pPr>
            <w:r>
              <w:rPr>
                <w:rFonts w:ascii="Arial" w:cs="Arial" w:eastAsia="Arial" w:hAnsi="Arial"/>
                <w:sz w:val="14"/>
                <w:szCs w:val="14"/>
                <w:b w:val="1"/>
                <w:bCs w:val="1"/>
                <w:color w:val="FFFFFF"/>
              </w:rPr>
              <w:t>in Last FY</w:t>
            </w:r>
            <w:r>
              <w:rPr>
                <w:rFonts w:ascii="Arial" w:cs="Arial" w:eastAsia="Arial" w:hAnsi="Arial"/>
                <w:sz w:val="18"/>
                <w:szCs w:val="18"/>
                <w:b w:val="1"/>
                <w:bCs w:val="1"/>
                <w:color w:val="FFFFFF"/>
                <w:vertAlign w:val="superscript"/>
              </w:rPr>
              <w:t>2</w:t>
            </w:r>
          </w:p>
        </w:tc>
        <w:tc>
          <w:tcPr>
            <w:tcW w:w="1560" w:type="dxa"/>
            <w:vAlign w:val="bottom"/>
            <w:shd w:val="clear" w:color="auto" w:fill="BF2115"/>
          </w:tcPr>
          <w:p>
            <w:pPr>
              <w:jc w:val="center"/>
              <w:ind w:right="108"/>
              <w:spacing w:after="0" w:line="178" w:lineRule="exact"/>
              <w:rPr>
                <w:sz w:val="20"/>
                <w:szCs w:val="20"/>
                <w:color w:val="auto"/>
              </w:rPr>
            </w:pPr>
            <w:r>
              <w:rPr>
                <w:rFonts w:ascii="Arial" w:cs="Arial" w:eastAsia="Arial" w:hAnsi="Arial"/>
                <w:sz w:val="14"/>
                <w:szCs w:val="14"/>
                <w:b w:val="1"/>
                <w:bCs w:val="1"/>
                <w:color w:val="FFFFFF"/>
              </w:rPr>
              <w:t>Last FY</w:t>
            </w:r>
            <w:r>
              <w:rPr>
                <w:rFonts w:ascii="Arial" w:cs="Arial" w:eastAsia="Arial" w:hAnsi="Arial"/>
                <w:sz w:val="18"/>
                <w:szCs w:val="18"/>
                <w:b w:val="1"/>
                <w:bCs w:val="1"/>
                <w:color w:val="FFFFFF"/>
                <w:vertAlign w:val="superscript"/>
              </w:rPr>
              <w:t>3</w:t>
            </w:r>
          </w:p>
        </w:tc>
        <w:tc>
          <w:tcPr>
            <w:tcW w:w="1620" w:type="dxa"/>
            <w:vAlign w:val="bottom"/>
            <w:shd w:val="clear" w:color="auto" w:fill="BF2115"/>
          </w:tcPr>
          <w:p>
            <w:pPr>
              <w:jc w:val="center"/>
              <w:ind w:right="308"/>
              <w:spacing w:after="0"/>
              <w:rPr>
                <w:sz w:val="20"/>
                <w:szCs w:val="20"/>
                <w:color w:val="auto"/>
              </w:rPr>
            </w:pPr>
            <w:r>
              <w:rPr>
                <w:rFonts w:ascii="Arial" w:cs="Arial" w:eastAsia="Arial" w:hAnsi="Arial"/>
                <w:sz w:val="14"/>
                <w:szCs w:val="14"/>
                <w:b w:val="1"/>
                <w:bCs w:val="1"/>
                <w:color w:val="FFFFFF"/>
              </w:rPr>
              <w:t>Distributions</w:t>
            </w:r>
          </w:p>
        </w:tc>
        <w:tc>
          <w:tcPr>
            <w:tcW w:w="1420" w:type="dxa"/>
            <w:vAlign w:val="bottom"/>
            <w:shd w:val="clear" w:color="auto" w:fill="BF2115"/>
          </w:tcPr>
          <w:p>
            <w:pPr>
              <w:jc w:val="center"/>
              <w:ind w:right="148"/>
              <w:spacing w:after="0" w:line="178" w:lineRule="exact"/>
              <w:rPr>
                <w:sz w:val="20"/>
                <w:szCs w:val="20"/>
                <w:color w:val="auto"/>
              </w:rPr>
            </w:pPr>
            <w:r>
              <w:rPr>
                <w:rFonts w:ascii="Arial" w:cs="Arial" w:eastAsia="Arial" w:hAnsi="Arial"/>
                <w:sz w:val="14"/>
                <w:szCs w:val="14"/>
                <w:b w:val="1"/>
                <w:bCs w:val="1"/>
                <w:color w:val="FFFFFF"/>
              </w:rPr>
              <w:t>Last FYE</w:t>
            </w:r>
            <w:r>
              <w:rPr>
                <w:rFonts w:ascii="Arial" w:cs="Arial" w:eastAsia="Arial" w:hAnsi="Arial"/>
                <w:sz w:val="18"/>
                <w:szCs w:val="18"/>
                <w:b w:val="1"/>
                <w:bCs w:val="1"/>
                <w:color w:val="FFFFFF"/>
                <w:vertAlign w:val="superscript"/>
              </w:rPr>
              <w:t>4</w:t>
            </w:r>
          </w:p>
        </w:tc>
      </w:tr>
      <w:tr>
        <w:trPr>
          <w:trHeight w:val="212"/>
        </w:trPr>
        <w:tc>
          <w:tcPr>
            <w:tcW w:w="25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6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18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3"/>
              </w:rPr>
              <w:t>($)</w:t>
            </w:r>
          </w:p>
        </w:tc>
        <w:tc>
          <w:tcPr>
            <w:tcW w:w="1560" w:type="dxa"/>
            <w:vAlign w:val="bottom"/>
            <w:shd w:val="clear" w:color="auto" w:fill="BF2115"/>
          </w:tcPr>
          <w:p>
            <w:pPr>
              <w:jc w:val="center"/>
              <w:ind w:right="108"/>
              <w:spacing w:after="0"/>
              <w:rPr>
                <w:sz w:val="20"/>
                <w:szCs w:val="20"/>
                <w:color w:val="auto"/>
              </w:rPr>
            </w:pPr>
            <w:r>
              <w:rPr>
                <w:rFonts w:ascii="Arial" w:cs="Arial" w:eastAsia="Arial" w:hAnsi="Arial"/>
                <w:sz w:val="14"/>
                <w:szCs w:val="14"/>
                <w:b w:val="1"/>
                <w:bCs w:val="1"/>
                <w:color w:val="FFFFFF"/>
              </w:rPr>
              <w:t>($)</w:t>
            </w:r>
          </w:p>
        </w:tc>
        <w:tc>
          <w:tcPr>
            <w:tcW w:w="1620" w:type="dxa"/>
            <w:vAlign w:val="bottom"/>
            <w:shd w:val="clear" w:color="auto" w:fill="BF2115"/>
          </w:tcPr>
          <w:p>
            <w:pPr>
              <w:jc w:val="center"/>
              <w:ind w:right="308"/>
              <w:spacing w:after="0"/>
              <w:rPr>
                <w:sz w:val="20"/>
                <w:szCs w:val="20"/>
                <w:color w:val="auto"/>
              </w:rPr>
            </w:pPr>
            <w:r>
              <w:rPr>
                <w:rFonts w:ascii="Arial" w:cs="Arial" w:eastAsia="Arial" w:hAnsi="Arial"/>
                <w:sz w:val="14"/>
                <w:szCs w:val="14"/>
                <w:b w:val="1"/>
                <w:bCs w:val="1"/>
                <w:color w:val="FFFFFF"/>
                <w:w w:val="93"/>
              </w:rPr>
              <w:t>($)</w:t>
            </w:r>
          </w:p>
        </w:tc>
        <w:tc>
          <w:tcPr>
            <w:tcW w:w="1420" w:type="dxa"/>
            <w:vAlign w:val="bottom"/>
            <w:shd w:val="clear" w:color="auto" w:fill="BF2115"/>
          </w:tcPr>
          <w:p>
            <w:pPr>
              <w:jc w:val="center"/>
              <w:ind w:right="148"/>
              <w:spacing w:after="0"/>
              <w:rPr>
                <w:sz w:val="20"/>
                <w:szCs w:val="20"/>
                <w:color w:val="auto"/>
              </w:rPr>
            </w:pPr>
            <w:r>
              <w:rPr>
                <w:rFonts w:ascii="Arial" w:cs="Arial" w:eastAsia="Arial" w:hAnsi="Arial"/>
                <w:sz w:val="14"/>
                <w:szCs w:val="14"/>
                <w:b w:val="1"/>
                <w:bCs w:val="1"/>
                <w:color w:val="FFFFFF"/>
                <w:w w:val="93"/>
              </w:rPr>
              <w:t>($)</w:t>
            </w:r>
          </w:p>
        </w:tc>
      </w:tr>
      <w:tr>
        <w:trPr>
          <w:trHeight w:val="208"/>
        </w:trPr>
        <w:tc>
          <w:tcPr>
            <w:tcW w:w="2520" w:type="dxa"/>
            <w:vAlign w:val="bottom"/>
          </w:tcPr>
          <w:p>
            <w:pPr>
              <w:ind w:left="20"/>
              <w:spacing w:after="0"/>
              <w:rPr>
                <w:sz w:val="20"/>
                <w:szCs w:val="20"/>
                <w:color w:val="auto"/>
              </w:rPr>
            </w:pPr>
            <w:r>
              <w:rPr>
                <w:rFonts w:ascii="Arial" w:cs="Arial" w:eastAsia="Arial" w:hAnsi="Arial"/>
                <w:sz w:val="14"/>
                <w:szCs w:val="14"/>
                <w:color w:val="auto"/>
              </w:rPr>
              <w:t>Richard M. Olson</w:t>
            </w:r>
          </w:p>
        </w:tc>
        <w:tc>
          <w:tcPr>
            <w:tcW w:w="1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520" w:type="dxa"/>
            <w:vAlign w:val="bottom"/>
          </w:tcPr>
          <w:p>
            <w:pPr>
              <w:ind w:left="220"/>
              <w:spacing w:after="0"/>
              <w:rPr>
                <w:sz w:val="20"/>
                <w:szCs w:val="20"/>
                <w:color w:val="auto"/>
              </w:rPr>
            </w:pPr>
            <w:r>
              <w:rPr>
                <w:rFonts w:ascii="Arial" w:cs="Arial" w:eastAsia="Arial" w:hAnsi="Arial"/>
                <w:sz w:val="14"/>
                <w:szCs w:val="14"/>
                <w:color w:val="auto"/>
              </w:rPr>
              <w:t>Deferred Plan</w:t>
            </w:r>
          </w:p>
        </w:tc>
        <w:tc>
          <w:tcPr>
            <w:tcW w:w="1620" w:type="dxa"/>
            <w:vAlign w:val="bottom"/>
          </w:tcPr>
          <w:p>
            <w:pPr>
              <w:jc w:val="right"/>
              <w:spacing w:after="0"/>
              <w:rPr>
                <w:sz w:val="20"/>
                <w:szCs w:val="20"/>
                <w:color w:val="auto"/>
              </w:rPr>
            </w:pPr>
            <w:r>
              <w:rPr>
                <w:rFonts w:ascii="Arial" w:cs="Arial" w:eastAsia="Arial" w:hAnsi="Arial"/>
                <w:sz w:val="14"/>
                <w:szCs w:val="14"/>
                <w:color w:val="auto"/>
              </w:rPr>
              <w:t>106,315</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75,386</w:t>
            </w:r>
          </w:p>
        </w:tc>
        <w:tc>
          <w:tcPr>
            <w:tcW w:w="162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1,701,209</w:t>
            </w:r>
          </w:p>
        </w:tc>
      </w:tr>
      <w:tr>
        <w:trPr>
          <w:trHeight w:val="216"/>
        </w:trPr>
        <w:tc>
          <w:tcPr>
            <w:tcW w:w="2520" w:type="dxa"/>
            <w:vAlign w:val="bottom"/>
          </w:tcPr>
          <w:p>
            <w:pPr>
              <w:ind w:left="220"/>
              <w:spacing w:after="0"/>
              <w:rPr>
                <w:sz w:val="20"/>
                <w:szCs w:val="20"/>
                <w:color w:val="auto"/>
              </w:rPr>
            </w:pPr>
            <w:r>
              <w:rPr>
                <w:rFonts w:ascii="Arial" w:cs="Arial" w:eastAsia="Arial" w:hAnsi="Arial"/>
                <w:sz w:val="14"/>
                <w:szCs w:val="14"/>
                <w:color w:val="auto"/>
              </w:rPr>
              <w:t>Deferred Plan for Officers</w:t>
            </w:r>
          </w:p>
        </w:tc>
        <w:tc>
          <w:tcPr>
            <w:tcW w:w="1620" w:type="dxa"/>
            <w:vAlign w:val="bottom"/>
          </w:tcPr>
          <w:p>
            <w:pPr>
              <w:jc w:val="right"/>
              <w:spacing w:after="0"/>
              <w:rPr>
                <w:sz w:val="20"/>
                <w:szCs w:val="20"/>
                <w:color w:val="auto"/>
              </w:rPr>
            </w:pPr>
            <w:r>
              <w:rPr>
                <w:rFonts w:ascii="Arial" w:cs="Arial" w:eastAsia="Arial" w:hAnsi="Arial"/>
                <w:sz w:val="14"/>
                <w:szCs w:val="14"/>
                <w:color w:val="auto"/>
              </w:rPr>
              <w:t>3,557,497</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(2,955,460)</w:t>
            </w:r>
          </w:p>
        </w:tc>
        <w:tc>
          <w:tcPr>
            <w:tcW w:w="162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13,856,892</w:t>
            </w:r>
          </w:p>
        </w:tc>
      </w:tr>
      <w:tr>
        <w:trPr>
          <w:trHeight w:val="220"/>
        </w:trPr>
        <w:tc>
          <w:tcPr>
            <w:tcW w:w="2520" w:type="dxa"/>
            <w:vAlign w:val="bottom"/>
          </w:tcPr>
          <w:p>
            <w:pPr>
              <w:ind w:left="220"/>
              <w:spacing w:after="0"/>
              <w:rPr>
                <w:sz w:val="20"/>
                <w:szCs w:val="20"/>
                <w:color w:val="auto"/>
              </w:rPr>
            </w:pPr>
            <w:r>
              <w:rPr>
                <w:rFonts w:ascii="Arial" w:cs="Arial" w:eastAsia="Arial" w:hAnsi="Arial"/>
                <w:sz w:val="14"/>
                <w:szCs w:val="14"/>
                <w:color w:val="auto"/>
              </w:rPr>
              <w:t>Supplemental Benefit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132,056</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52,742</w:t>
            </w:r>
          </w:p>
        </w:tc>
        <w:tc>
          <w:tcPr>
            <w:tcW w:w="162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1,336,424</w:t>
            </w:r>
          </w:p>
        </w:tc>
      </w:tr>
      <w:tr>
        <w:trPr>
          <w:trHeight w:val="212"/>
        </w:trPr>
        <w:tc>
          <w:tcPr>
            <w:tcW w:w="2520" w:type="dxa"/>
            <w:vAlign w:val="bottom"/>
            <w:shd w:val="clear" w:color="auto" w:fill="DBDBDB"/>
          </w:tcPr>
          <w:p>
            <w:pPr>
              <w:ind w:left="20"/>
              <w:spacing w:after="0"/>
              <w:rPr>
                <w:sz w:val="20"/>
                <w:szCs w:val="20"/>
                <w:color w:val="auto"/>
              </w:rPr>
            </w:pPr>
            <w:r>
              <w:rPr>
                <w:rFonts w:ascii="Arial" w:cs="Arial" w:eastAsia="Arial" w:hAnsi="Arial"/>
                <w:sz w:val="14"/>
                <w:szCs w:val="14"/>
                <w:color w:val="auto"/>
              </w:rPr>
              <w:t>Angela C. Drake</w:t>
            </w:r>
          </w:p>
        </w:tc>
        <w:tc>
          <w:tcPr>
            <w:tcW w:w="1620" w:type="dxa"/>
            <w:vAlign w:val="bottom"/>
            <w:shd w:val="clear" w:color="auto" w:fill="DBDBDB"/>
          </w:tcPr>
          <w:p>
            <w:pPr>
              <w:spacing w:after="0"/>
              <w:rPr>
                <w:sz w:val="18"/>
                <w:szCs w:val="18"/>
                <w:color w:val="auto"/>
              </w:rPr>
            </w:pPr>
          </w:p>
        </w:tc>
        <w:tc>
          <w:tcPr>
            <w:tcW w:w="184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162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r>
      <w:tr>
        <w:trPr>
          <w:trHeight w:val="216"/>
        </w:trPr>
        <w:tc>
          <w:tcPr>
            <w:tcW w:w="2520" w:type="dxa"/>
            <w:vAlign w:val="bottom"/>
            <w:shd w:val="clear" w:color="auto" w:fill="DBDBDB"/>
          </w:tcPr>
          <w:p>
            <w:pPr>
              <w:ind w:left="220"/>
              <w:spacing w:after="0"/>
              <w:rPr>
                <w:sz w:val="20"/>
                <w:szCs w:val="20"/>
                <w:color w:val="auto"/>
              </w:rPr>
            </w:pPr>
            <w:r>
              <w:rPr>
                <w:rFonts w:ascii="Arial" w:cs="Arial" w:eastAsia="Arial" w:hAnsi="Arial"/>
                <w:sz w:val="14"/>
                <w:szCs w:val="14"/>
                <w:color w:val="auto"/>
              </w:rPr>
              <w:t>Deferred Plan</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6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25,649</w:t>
            </w:r>
          </w:p>
        </w:tc>
        <w:tc>
          <w:tcPr>
            <w:tcW w:w="1620"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402,301</w:t>
            </w:r>
          </w:p>
        </w:tc>
      </w:tr>
      <w:tr>
        <w:trPr>
          <w:trHeight w:val="216"/>
        </w:trPr>
        <w:tc>
          <w:tcPr>
            <w:tcW w:w="2520" w:type="dxa"/>
            <w:vAlign w:val="bottom"/>
            <w:shd w:val="clear" w:color="auto" w:fill="DBDBDB"/>
          </w:tcPr>
          <w:p>
            <w:pPr>
              <w:ind w:left="220"/>
              <w:spacing w:after="0"/>
              <w:rPr>
                <w:sz w:val="20"/>
                <w:szCs w:val="20"/>
                <w:color w:val="auto"/>
              </w:rPr>
            </w:pPr>
            <w:r>
              <w:rPr>
                <w:rFonts w:ascii="Arial" w:cs="Arial" w:eastAsia="Arial" w:hAnsi="Arial"/>
                <w:sz w:val="14"/>
                <w:szCs w:val="14"/>
                <w:color w:val="auto"/>
              </w:rPr>
              <w:t>Deferred Plan for Officers</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6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(22,454)</w:t>
            </w:r>
          </w:p>
        </w:tc>
        <w:tc>
          <w:tcPr>
            <w:tcW w:w="1620"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58,812</w:t>
            </w:r>
          </w:p>
        </w:tc>
      </w:tr>
      <w:tr>
        <w:trPr>
          <w:trHeight w:val="224"/>
        </w:trPr>
        <w:tc>
          <w:tcPr>
            <w:tcW w:w="2520" w:type="dxa"/>
            <w:vAlign w:val="bottom"/>
            <w:shd w:val="clear" w:color="auto" w:fill="DBDBDB"/>
          </w:tcPr>
          <w:p>
            <w:pPr>
              <w:ind w:left="220"/>
              <w:spacing w:after="0"/>
              <w:rPr>
                <w:sz w:val="20"/>
                <w:szCs w:val="20"/>
                <w:color w:val="auto"/>
              </w:rPr>
            </w:pPr>
            <w:r>
              <w:rPr>
                <w:rFonts w:ascii="Arial" w:cs="Arial" w:eastAsia="Arial" w:hAnsi="Arial"/>
                <w:sz w:val="14"/>
                <w:szCs w:val="14"/>
                <w:color w:val="auto"/>
              </w:rPr>
              <w:t>Supplemental Benefit Plan</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28,392</w:t>
            </w:r>
          </w:p>
        </w:tc>
        <w:tc>
          <w:tcPr>
            <w:tcW w:w="156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2,805</w:t>
            </w:r>
          </w:p>
        </w:tc>
        <w:tc>
          <w:tcPr>
            <w:tcW w:w="1620" w:type="dxa"/>
            <w:vAlign w:val="bottom"/>
            <w:shd w:val="clear" w:color="auto" w:fill="DBDBDB"/>
          </w:tcPr>
          <w:p>
            <w:pPr>
              <w:spacing w:after="0"/>
              <w:rPr>
                <w:sz w:val="19"/>
                <w:szCs w:val="19"/>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90,471</w:t>
            </w:r>
          </w:p>
        </w:tc>
      </w:tr>
      <w:tr>
        <w:trPr>
          <w:trHeight w:val="208"/>
        </w:trPr>
        <w:tc>
          <w:tcPr>
            <w:tcW w:w="2520" w:type="dxa"/>
            <w:vAlign w:val="bottom"/>
          </w:tcPr>
          <w:p>
            <w:pPr>
              <w:ind w:left="20"/>
              <w:spacing w:after="0"/>
              <w:rPr>
                <w:sz w:val="20"/>
                <w:szCs w:val="20"/>
                <w:color w:val="auto"/>
              </w:rPr>
            </w:pPr>
            <w:r>
              <w:rPr>
                <w:rFonts w:ascii="Arial" w:cs="Arial" w:eastAsia="Arial" w:hAnsi="Arial"/>
                <w:sz w:val="14"/>
                <w:szCs w:val="14"/>
                <w:color w:val="auto"/>
              </w:rPr>
              <w:t>Renee J. Peterson</w:t>
            </w:r>
          </w:p>
        </w:tc>
        <w:tc>
          <w:tcPr>
            <w:tcW w:w="1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520" w:type="dxa"/>
            <w:vAlign w:val="bottom"/>
          </w:tcPr>
          <w:p>
            <w:pPr>
              <w:ind w:left="220"/>
              <w:spacing w:after="0"/>
              <w:rPr>
                <w:sz w:val="20"/>
                <w:szCs w:val="20"/>
                <w:color w:val="auto"/>
              </w:rPr>
            </w:pPr>
            <w:r>
              <w:rPr>
                <w:rFonts w:ascii="Arial" w:cs="Arial" w:eastAsia="Arial" w:hAnsi="Arial"/>
                <w:sz w:val="14"/>
                <w:szCs w:val="14"/>
                <w:color w:val="auto"/>
              </w:rPr>
              <w:t>Deferred Plan</w:t>
            </w:r>
          </w:p>
        </w:tc>
        <w:tc>
          <w:tcPr>
            <w:tcW w:w="1620" w:type="dxa"/>
            <w:vAlign w:val="bottom"/>
          </w:tcPr>
          <w:p>
            <w:pPr>
              <w:jc w:val="right"/>
              <w:spacing w:after="0"/>
              <w:rPr>
                <w:sz w:val="20"/>
                <w:szCs w:val="20"/>
                <w:color w:val="auto"/>
              </w:rPr>
            </w:pPr>
            <w:r>
              <w:rPr>
                <w:rFonts w:ascii="Arial" w:cs="Arial" w:eastAsia="Arial" w:hAnsi="Arial"/>
                <w:sz w:val="14"/>
                <w:szCs w:val="14"/>
                <w:color w:val="auto"/>
              </w:rPr>
              <w:t>188,008</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137,423</w:t>
            </w:r>
          </w:p>
        </w:tc>
        <w:tc>
          <w:tcPr>
            <w:tcW w:w="162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4,036,087</w:t>
            </w:r>
          </w:p>
        </w:tc>
      </w:tr>
      <w:tr>
        <w:trPr>
          <w:trHeight w:val="216"/>
        </w:trPr>
        <w:tc>
          <w:tcPr>
            <w:tcW w:w="2520" w:type="dxa"/>
            <w:vAlign w:val="bottom"/>
          </w:tcPr>
          <w:p>
            <w:pPr>
              <w:ind w:left="220"/>
              <w:spacing w:after="0"/>
              <w:rPr>
                <w:sz w:val="20"/>
                <w:szCs w:val="20"/>
                <w:color w:val="auto"/>
              </w:rPr>
            </w:pPr>
            <w:r>
              <w:rPr>
                <w:rFonts w:ascii="Arial" w:cs="Arial" w:eastAsia="Arial" w:hAnsi="Arial"/>
                <w:sz w:val="14"/>
                <w:szCs w:val="14"/>
                <w:color w:val="auto"/>
              </w:rPr>
              <w:t>Deferred Plan for Officers</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(2,045,302)</w:t>
            </w:r>
          </w:p>
        </w:tc>
        <w:tc>
          <w:tcPr>
            <w:tcW w:w="162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7,127,615</w:t>
            </w:r>
          </w:p>
        </w:tc>
      </w:tr>
      <w:tr>
        <w:trPr>
          <w:trHeight w:val="220"/>
        </w:trPr>
        <w:tc>
          <w:tcPr>
            <w:tcW w:w="2520" w:type="dxa"/>
            <w:vAlign w:val="bottom"/>
          </w:tcPr>
          <w:p>
            <w:pPr>
              <w:ind w:left="220"/>
              <w:spacing w:after="0"/>
              <w:rPr>
                <w:sz w:val="20"/>
                <w:szCs w:val="20"/>
                <w:color w:val="auto"/>
              </w:rPr>
            </w:pPr>
            <w:r>
              <w:rPr>
                <w:rFonts w:ascii="Arial" w:cs="Arial" w:eastAsia="Arial" w:hAnsi="Arial"/>
                <w:sz w:val="14"/>
                <w:szCs w:val="14"/>
                <w:color w:val="auto"/>
              </w:rPr>
              <w:t>Supplemental Benefit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24,672</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25,543</w:t>
            </w:r>
          </w:p>
        </w:tc>
        <w:tc>
          <w:tcPr>
            <w:tcW w:w="162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741,678</w:t>
            </w:r>
          </w:p>
        </w:tc>
      </w:tr>
      <w:tr>
        <w:trPr>
          <w:trHeight w:val="212"/>
        </w:trPr>
        <w:tc>
          <w:tcPr>
            <w:tcW w:w="2520" w:type="dxa"/>
            <w:vAlign w:val="bottom"/>
            <w:shd w:val="clear" w:color="auto" w:fill="DBDBDB"/>
          </w:tcPr>
          <w:p>
            <w:pPr>
              <w:ind w:left="20"/>
              <w:spacing w:after="0"/>
              <w:rPr>
                <w:sz w:val="20"/>
                <w:szCs w:val="20"/>
                <w:color w:val="auto"/>
              </w:rPr>
            </w:pPr>
            <w:r>
              <w:rPr>
                <w:rFonts w:ascii="Arial" w:cs="Arial" w:eastAsia="Arial" w:hAnsi="Arial"/>
                <w:sz w:val="14"/>
                <w:szCs w:val="14"/>
                <w:color w:val="auto"/>
              </w:rPr>
              <w:t>Joanna M. Totsky</w:t>
            </w:r>
          </w:p>
        </w:tc>
        <w:tc>
          <w:tcPr>
            <w:tcW w:w="1620" w:type="dxa"/>
            <w:vAlign w:val="bottom"/>
            <w:shd w:val="clear" w:color="auto" w:fill="DBDBDB"/>
          </w:tcPr>
          <w:p>
            <w:pPr>
              <w:spacing w:after="0"/>
              <w:rPr>
                <w:sz w:val="18"/>
                <w:szCs w:val="18"/>
                <w:color w:val="auto"/>
              </w:rPr>
            </w:pPr>
          </w:p>
        </w:tc>
        <w:tc>
          <w:tcPr>
            <w:tcW w:w="184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162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r>
      <w:tr>
        <w:trPr>
          <w:trHeight w:val="216"/>
        </w:trPr>
        <w:tc>
          <w:tcPr>
            <w:tcW w:w="2520" w:type="dxa"/>
            <w:vAlign w:val="bottom"/>
            <w:shd w:val="clear" w:color="auto" w:fill="DBDBDB"/>
          </w:tcPr>
          <w:p>
            <w:pPr>
              <w:ind w:left="180"/>
              <w:spacing w:after="0"/>
              <w:rPr>
                <w:sz w:val="20"/>
                <w:szCs w:val="20"/>
                <w:color w:val="auto"/>
              </w:rPr>
            </w:pPr>
            <w:r>
              <w:rPr>
                <w:rFonts w:ascii="Arial" w:cs="Arial" w:eastAsia="Arial" w:hAnsi="Arial"/>
                <w:sz w:val="14"/>
                <w:szCs w:val="14"/>
                <w:color w:val="auto"/>
              </w:rPr>
              <w:t>Deferred Plan</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0</w:t>
            </w:r>
          </w:p>
        </w:tc>
        <w:tc>
          <w:tcPr>
            <w:tcW w:w="16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r>
      <w:tr>
        <w:trPr>
          <w:trHeight w:val="216"/>
        </w:trPr>
        <w:tc>
          <w:tcPr>
            <w:tcW w:w="2520" w:type="dxa"/>
            <w:vAlign w:val="bottom"/>
            <w:shd w:val="clear" w:color="auto" w:fill="DBDBDB"/>
          </w:tcPr>
          <w:p>
            <w:pPr>
              <w:ind w:left="180"/>
              <w:spacing w:after="0"/>
              <w:rPr>
                <w:sz w:val="20"/>
                <w:szCs w:val="20"/>
                <w:color w:val="auto"/>
              </w:rPr>
            </w:pPr>
            <w:r>
              <w:rPr>
                <w:rFonts w:ascii="Arial" w:cs="Arial" w:eastAsia="Arial" w:hAnsi="Arial"/>
                <w:sz w:val="14"/>
                <w:szCs w:val="14"/>
                <w:color w:val="auto"/>
              </w:rPr>
              <w:t>Deferred Plan for Officers</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0</w:t>
            </w:r>
          </w:p>
        </w:tc>
        <w:tc>
          <w:tcPr>
            <w:tcW w:w="16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r>
      <w:tr>
        <w:trPr>
          <w:trHeight w:val="224"/>
        </w:trPr>
        <w:tc>
          <w:tcPr>
            <w:tcW w:w="2520" w:type="dxa"/>
            <w:vAlign w:val="bottom"/>
            <w:shd w:val="clear" w:color="auto" w:fill="DBDBDB"/>
          </w:tcPr>
          <w:p>
            <w:pPr>
              <w:ind w:left="180"/>
              <w:spacing w:after="0"/>
              <w:rPr>
                <w:sz w:val="20"/>
                <w:szCs w:val="20"/>
                <w:color w:val="auto"/>
              </w:rPr>
            </w:pPr>
            <w:r>
              <w:rPr>
                <w:rFonts w:ascii="Arial" w:cs="Arial" w:eastAsia="Arial" w:hAnsi="Arial"/>
                <w:sz w:val="14"/>
                <w:szCs w:val="14"/>
                <w:color w:val="auto"/>
              </w:rPr>
              <w:t>Supplemental Benefit Plan</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0</w:t>
            </w:r>
          </w:p>
        </w:tc>
        <w:tc>
          <w:tcPr>
            <w:tcW w:w="16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r>
      <w:tr>
        <w:trPr>
          <w:trHeight w:val="208"/>
        </w:trPr>
        <w:tc>
          <w:tcPr>
            <w:tcW w:w="2520" w:type="dxa"/>
            <w:vAlign w:val="bottom"/>
          </w:tcPr>
          <w:p>
            <w:pPr>
              <w:ind w:left="20"/>
              <w:spacing w:after="0"/>
              <w:rPr>
                <w:sz w:val="20"/>
                <w:szCs w:val="20"/>
                <w:color w:val="auto"/>
              </w:rPr>
            </w:pPr>
            <w:r>
              <w:rPr>
                <w:rFonts w:ascii="Arial" w:cs="Arial" w:eastAsia="Arial" w:hAnsi="Arial"/>
                <w:sz w:val="14"/>
                <w:szCs w:val="14"/>
                <w:color w:val="auto"/>
              </w:rPr>
              <w:t>Amy E. Dahl</w:t>
            </w:r>
          </w:p>
        </w:tc>
        <w:tc>
          <w:tcPr>
            <w:tcW w:w="1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520" w:type="dxa"/>
            <w:vAlign w:val="bottom"/>
          </w:tcPr>
          <w:p>
            <w:pPr>
              <w:ind w:left="220"/>
              <w:spacing w:after="0"/>
              <w:rPr>
                <w:sz w:val="20"/>
                <w:szCs w:val="20"/>
                <w:color w:val="auto"/>
              </w:rPr>
            </w:pPr>
            <w:r>
              <w:rPr>
                <w:rFonts w:ascii="Arial" w:cs="Arial" w:eastAsia="Arial" w:hAnsi="Arial"/>
                <w:sz w:val="14"/>
                <w:szCs w:val="14"/>
                <w:color w:val="auto"/>
              </w:rPr>
              <w:t>Deferred Plan</w:t>
            </w:r>
          </w:p>
        </w:tc>
        <w:tc>
          <w:tcPr>
            <w:tcW w:w="1620" w:type="dxa"/>
            <w:vAlign w:val="bottom"/>
          </w:tcPr>
          <w:p>
            <w:pPr>
              <w:jc w:val="right"/>
              <w:spacing w:after="0"/>
              <w:rPr>
                <w:sz w:val="20"/>
                <w:szCs w:val="20"/>
                <w:color w:val="auto"/>
              </w:rPr>
            </w:pPr>
            <w:r>
              <w:rPr>
                <w:rFonts w:ascii="Arial" w:cs="Arial" w:eastAsia="Arial" w:hAnsi="Arial"/>
                <w:sz w:val="14"/>
                <w:szCs w:val="14"/>
                <w:color w:val="auto"/>
              </w:rPr>
              <w:t>206,537</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66,581</w:t>
            </w:r>
          </w:p>
        </w:tc>
        <w:tc>
          <w:tcPr>
            <w:tcW w:w="162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1,318,985</w:t>
            </w:r>
          </w:p>
        </w:tc>
      </w:tr>
      <w:tr>
        <w:trPr>
          <w:trHeight w:val="216"/>
        </w:trPr>
        <w:tc>
          <w:tcPr>
            <w:tcW w:w="2520" w:type="dxa"/>
            <w:vAlign w:val="bottom"/>
          </w:tcPr>
          <w:p>
            <w:pPr>
              <w:ind w:left="220"/>
              <w:spacing w:after="0"/>
              <w:rPr>
                <w:sz w:val="20"/>
                <w:szCs w:val="20"/>
                <w:color w:val="auto"/>
              </w:rPr>
            </w:pPr>
            <w:r>
              <w:rPr>
                <w:rFonts w:ascii="Arial" w:cs="Arial" w:eastAsia="Arial" w:hAnsi="Arial"/>
                <w:sz w:val="14"/>
                <w:szCs w:val="14"/>
                <w:color w:val="auto"/>
              </w:rPr>
              <w:t>Deferred Plan for Officers</w:t>
            </w:r>
          </w:p>
        </w:tc>
        <w:tc>
          <w:tcPr>
            <w:tcW w:w="1620" w:type="dxa"/>
            <w:vAlign w:val="bottom"/>
          </w:tcPr>
          <w:p>
            <w:pPr>
              <w:jc w:val="right"/>
              <w:spacing w:after="0"/>
              <w:rPr>
                <w:sz w:val="20"/>
                <w:szCs w:val="20"/>
                <w:color w:val="auto"/>
              </w:rPr>
            </w:pPr>
            <w:r>
              <w:rPr>
                <w:rFonts w:ascii="Arial" w:cs="Arial" w:eastAsia="Arial" w:hAnsi="Arial"/>
                <w:sz w:val="14"/>
                <w:szCs w:val="14"/>
                <w:color w:val="auto"/>
              </w:rPr>
              <w:t>558,957</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(262,249)</w:t>
            </w:r>
          </w:p>
        </w:tc>
        <w:tc>
          <w:tcPr>
            <w:tcW w:w="162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1,393,115</w:t>
            </w:r>
          </w:p>
        </w:tc>
      </w:tr>
      <w:tr>
        <w:trPr>
          <w:trHeight w:val="220"/>
        </w:trPr>
        <w:tc>
          <w:tcPr>
            <w:tcW w:w="2520" w:type="dxa"/>
            <w:vAlign w:val="bottom"/>
          </w:tcPr>
          <w:p>
            <w:pPr>
              <w:ind w:left="220"/>
              <w:spacing w:after="0"/>
              <w:rPr>
                <w:sz w:val="20"/>
                <w:szCs w:val="20"/>
                <w:color w:val="auto"/>
              </w:rPr>
            </w:pPr>
            <w:r>
              <w:rPr>
                <w:rFonts w:ascii="Arial" w:cs="Arial" w:eastAsia="Arial" w:hAnsi="Arial"/>
                <w:sz w:val="14"/>
                <w:szCs w:val="14"/>
                <w:color w:val="auto"/>
              </w:rPr>
              <w:t>Supplemental Benefit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34,859</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1,736</w:t>
            </w:r>
          </w:p>
        </w:tc>
        <w:tc>
          <w:tcPr>
            <w:tcW w:w="162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293,620</w:t>
            </w:r>
          </w:p>
        </w:tc>
      </w:tr>
      <w:tr>
        <w:trPr>
          <w:trHeight w:val="212"/>
        </w:trPr>
        <w:tc>
          <w:tcPr>
            <w:tcW w:w="2520" w:type="dxa"/>
            <w:vAlign w:val="bottom"/>
            <w:shd w:val="clear" w:color="auto" w:fill="DBDBDB"/>
          </w:tcPr>
          <w:p>
            <w:pPr>
              <w:ind w:left="20"/>
              <w:spacing w:after="0"/>
              <w:rPr>
                <w:sz w:val="20"/>
                <w:szCs w:val="20"/>
                <w:color w:val="auto"/>
              </w:rPr>
            </w:pPr>
            <w:r>
              <w:rPr>
                <w:rFonts w:ascii="Arial" w:cs="Arial" w:eastAsia="Arial" w:hAnsi="Arial"/>
                <w:sz w:val="14"/>
                <w:szCs w:val="14"/>
                <w:color w:val="auto"/>
              </w:rPr>
              <w:t>Gregory S. Janey</w:t>
            </w:r>
          </w:p>
        </w:tc>
        <w:tc>
          <w:tcPr>
            <w:tcW w:w="1620" w:type="dxa"/>
            <w:vAlign w:val="bottom"/>
            <w:shd w:val="clear" w:color="auto" w:fill="DBDBDB"/>
          </w:tcPr>
          <w:p>
            <w:pPr>
              <w:spacing w:after="0"/>
              <w:rPr>
                <w:sz w:val="18"/>
                <w:szCs w:val="18"/>
                <w:color w:val="auto"/>
              </w:rPr>
            </w:pPr>
          </w:p>
        </w:tc>
        <w:tc>
          <w:tcPr>
            <w:tcW w:w="184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162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r>
      <w:tr>
        <w:trPr>
          <w:trHeight w:val="216"/>
        </w:trPr>
        <w:tc>
          <w:tcPr>
            <w:tcW w:w="2520" w:type="dxa"/>
            <w:vAlign w:val="bottom"/>
            <w:shd w:val="clear" w:color="auto" w:fill="DBDBDB"/>
          </w:tcPr>
          <w:p>
            <w:pPr>
              <w:ind w:left="180"/>
              <w:spacing w:after="0"/>
              <w:rPr>
                <w:sz w:val="20"/>
                <w:szCs w:val="20"/>
                <w:color w:val="auto"/>
              </w:rPr>
            </w:pPr>
            <w:r>
              <w:rPr>
                <w:rFonts w:ascii="Arial" w:cs="Arial" w:eastAsia="Arial" w:hAnsi="Arial"/>
                <w:sz w:val="14"/>
                <w:szCs w:val="14"/>
                <w:color w:val="auto"/>
              </w:rPr>
              <w:t>Deferred Plan</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20,300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6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12,808</w:t>
            </w:r>
          </w:p>
        </w:tc>
        <w:tc>
          <w:tcPr>
            <w:tcW w:w="16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328,716</w:t>
            </w:r>
          </w:p>
        </w:tc>
      </w:tr>
      <w:tr>
        <w:trPr>
          <w:trHeight w:val="216"/>
        </w:trPr>
        <w:tc>
          <w:tcPr>
            <w:tcW w:w="2520" w:type="dxa"/>
            <w:vAlign w:val="bottom"/>
            <w:shd w:val="clear" w:color="auto" w:fill="DBDBDB"/>
          </w:tcPr>
          <w:p>
            <w:pPr>
              <w:ind w:left="180"/>
              <w:spacing w:after="0"/>
              <w:rPr>
                <w:sz w:val="20"/>
                <w:szCs w:val="20"/>
                <w:color w:val="auto"/>
              </w:rPr>
            </w:pPr>
            <w:r>
              <w:rPr>
                <w:rFonts w:ascii="Arial" w:cs="Arial" w:eastAsia="Arial" w:hAnsi="Arial"/>
                <w:sz w:val="14"/>
                <w:szCs w:val="14"/>
                <w:color w:val="auto"/>
              </w:rPr>
              <w:t>Deferred Plan for Officers</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241,372</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6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(71,704.00)</w:t>
            </w:r>
          </w:p>
        </w:tc>
        <w:tc>
          <w:tcPr>
            <w:tcW w:w="16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458,182</w:t>
            </w:r>
          </w:p>
        </w:tc>
      </w:tr>
      <w:tr>
        <w:trPr>
          <w:trHeight w:val="224"/>
        </w:trPr>
        <w:tc>
          <w:tcPr>
            <w:tcW w:w="2520" w:type="dxa"/>
            <w:vAlign w:val="bottom"/>
            <w:shd w:val="clear" w:color="auto" w:fill="DBDBDB"/>
          </w:tcPr>
          <w:p>
            <w:pPr>
              <w:ind w:left="180"/>
              <w:spacing w:after="0"/>
              <w:rPr>
                <w:sz w:val="20"/>
                <w:szCs w:val="20"/>
                <w:color w:val="auto"/>
              </w:rPr>
            </w:pPr>
            <w:r>
              <w:rPr>
                <w:rFonts w:ascii="Arial" w:cs="Arial" w:eastAsia="Arial" w:hAnsi="Arial"/>
                <w:sz w:val="14"/>
                <w:szCs w:val="14"/>
                <w:color w:val="auto"/>
              </w:rPr>
              <w:t>Supplemental Benefit Plan</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18,963</w:t>
            </w:r>
          </w:p>
        </w:tc>
        <w:tc>
          <w:tcPr>
            <w:tcW w:w="156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4,834</w:t>
            </w:r>
          </w:p>
        </w:tc>
        <w:tc>
          <w:tcPr>
            <w:tcW w:w="16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96,618</w:t>
            </w:r>
          </w:p>
        </w:tc>
      </w:tr>
      <w:tr>
        <w:trPr>
          <w:trHeight w:val="208"/>
        </w:trPr>
        <w:tc>
          <w:tcPr>
            <w:tcW w:w="2520" w:type="dxa"/>
            <w:vAlign w:val="bottom"/>
          </w:tcPr>
          <w:p>
            <w:pPr>
              <w:ind w:left="20"/>
              <w:spacing w:after="0"/>
              <w:rPr>
                <w:sz w:val="20"/>
                <w:szCs w:val="20"/>
                <w:color w:val="auto"/>
              </w:rPr>
            </w:pPr>
            <w:r>
              <w:rPr>
                <w:rFonts w:ascii="Arial" w:cs="Arial" w:eastAsia="Arial" w:hAnsi="Arial"/>
                <w:sz w:val="14"/>
                <w:szCs w:val="14"/>
                <w:color w:val="auto"/>
              </w:rPr>
              <w:t>Richard W. Rodier</w:t>
            </w:r>
          </w:p>
        </w:tc>
        <w:tc>
          <w:tcPr>
            <w:tcW w:w="1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520" w:type="dxa"/>
            <w:vAlign w:val="bottom"/>
          </w:tcPr>
          <w:p>
            <w:pPr>
              <w:ind w:left="220"/>
              <w:spacing w:after="0"/>
              <w:rPr>
                <w:sz w:val="20"/>
                <w:szCs w:val="20"/>
                <w:color w:val="auto"/>
              </w:rPr>
            </w:pPr>
            <w:r>
              <w:rPr>
                <w:rFonts w:ascii="Arial" w:cs="Arial" w:eastAsia="Arial" w:hAnsi="Arial"/>
                <w:sz w:val="14"/>
                <w:szCs w:val="14"/>
                <w:color w:val="auto"/>
              </w:rPr>
              <w:t>Deferred Plan</w:t>
            </w:r>
          </w:p>
        </w:tc>
        <w:tc>
          <w:tcPr>
            <w:tcW w:w="1620" w:type="dxa"/>
            <w:vAlign w:val="bottom"/>
          </w:tcPr>
          <w:p>
            <w:pPr>
              <w:jc w:val="right"/>
              <w:spacing w:after="0"/>
              <w:rPr>
                <w:sz w:val="20"/>
                <w:szCs w:val="20"/>
                <w:color w:val="auto"/>
              </w:rPr>
            </w:pPr>
            <w:r>
              <w:rPr>
                <w:rFonts w:ascii="Arial" w:cs="Arial" w:eastAsia="Arial" w:hAnsi="Arial"/>
                <w:sz w:val="14"/>
                <w:szCs w:val="14"/>
                <w:color w:val="auto"/>
              </w:rPr>
              <w:t>41,769</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92,277</w:t>
            </w:r>
          </w:p>
        </w:tc>
        <w:tc>
          <w:tcPr>
            <w:tcW w:w="162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2,244,840</w:t>
            </w:r>
          </w:p>
        </w:tc>
      </w:tr>
      <w:tr>
        <w:trPr>
          <w:trHeight w:val="216"/>
        </w:trPr>
        <w:tc>
          <w:tcPr>
            <w:tcW w:w="2520" w:type="dxa"/>
            <w:vAlign w:val="bottom"/>
          </w:tcPr>
          <w:p>
            <w:pPr>
              <w:ind w:left="220"/>
              <w:spacing w:after="0"/>
              <w:rPr>
                <w:sz w:val="20"/>
                <w:szCs w:val="20"/>
                <w:color w:val="auto"/>
              </w:rPr>
            </w:pPr>
            <w:r>
              <w:rPr>
                <w:rFonts w:ascii="Arial" w:cs="Arial" w:eastAsia="Arial" w:hAnsi="Arial"/>
                <w:sz w:val="14"/>
                <w:szCs w:val="14"/>
                <w:color w:val="auto"/>
              </w:rPr>
              <w:t>Deferred Plan for Officers</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(144,343)</w:t>
            </w:r>
          </w:p>
        </w:tc>
        <w:tc>
          <w:tcPr>
            <w:tcW w:w="162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503,016</w:t>
            </w:r>
          </w:p>
        </w:tc>
      </w:tr>
      <w:tr>
        <w:trPr>
          <w:trHeight w:val="216"/>
        </w:trPr>
        <w:tc>
          <w:tcPr>
            <w:tcW w:w="2520" w:type="dxa"/>
            <w:vAlign w:val="bottom"/>
          </w:tcPr>
          <w:p>
            <w:pPr>
              <w:ind w:left="220"/>
              <w:spacing w:after="0"/>
              <w:rPr>
                <w:sz w:val="20"/>
                <w:szCs w:val="20"/>
                <w:color w:val="auto"/>
              </w:rPr>
            </w:pPr>
            <w:r>
              <w:rPr>
                <w:rFonts w:ascii="Arial" w:cs="Arial" w:eastAsia="Arial" w:hAnsi="Arial"/>
                <w:sz w:val="14"/>
                <w:szCs w:val="14"/>
                <w:color w:val="auto"/>
              </w:rPr>
              <w:t>Supplemental Benefit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8,545</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12,422</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(328,132)</w:t>
            </w:r>
          </w:p>
        </w:tc>
        <w:tc>
          <w:tcPr>
            <w:tcW w:w="1420" w:type="dxa"/>
            <w:vAlign w:val="bottom"/>
          </w:tcPr>
          <w:p>
            <w:pPr>
              <w:jc w:val="right"/>
              <w:spacing w:after="0"/>
              <w:rPr>
                <w:sz w:val="20"/>
                <w:szCs w:val="20"/>
                <w:color w:val="auto"/>
              </w:rPr>
            </w:pPr>
            <w:r>
              <w:rPr>
                <w:rFonts w:ascii="Arial" w:cs="Arial" w:eastAsia="Arial" w:hAnsi="Arial"/>
                <w:sz w:val="14"/>
                <w:szCs w:val="14"/>
                <w:color w:val="auto"/>
              </w:rPr>
              <w:t>8,545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9888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53" w:lineRule="exact"/>
        <w:rPr>
          <w:sz w:val="20"/>
          <w:szCs w:val="20"/>
          <w:color w:val="auto"/>
        </w:rPr>
      </w:pPr>
    </w:p>
    <w:p>
      <w:pPr>
        <w:ind w:left="340" w:hanging="332"/>
        <w:spacing w:after="0" w:line="239" w:lineRule="auto"/>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Executive contributions of base salary and annual cash incentive award payouts are included in the Salary column and the Non-Equity Incentive Plan Compensation column, respectively, of the Summary Compensation Table. Executive contributions of the fiscal 2021 to fiscal 2023 performance share award payouts are included in the Value Realized on Vesting column of the Option Exercises and Stock Vested for Fiscal 2023 table, but are not included in the Summary Compensation Table as that table reflects the grant of the fiscal 2023 to fiscal 2025 performance share awards at target value. Our NEOs deferred the following components of compensation during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20" w:right="519" w:bottom="1440" w:gutter="0" w:footer="0" w:header="0"/>
        </w:sectPr>
      </w:pPr>
    </w:p>
    <w:bookmarkStart w:id="68" w:name="page69"/>
    <w:bookmarkEnd w:id="68"/>
    <w:tbl>
      <w:tblPr>
        <w:tblLayout w:type="fixed"/>
        <w:tblInd w:w="332" w:type="dxa"/>
        <w:tblCellMar>
          <w:top w:w="0" w:type="dxa"/>
          <w:left w:w="0" w:type="dxa"/>
          <w:bottom w:w="0" w:type="dxa"/>
          <w:right w:w="0" w:type="dxa"/>
        </w:tblCellMar>
      </w:tblPr>
      <w:tr>
        <w:trPr>
          <w:trHeight w:val="243"/>
        </w:trPr>
        <w:tc>
          <w:tcPr>
            <w:tcW w:w="190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Name</w:t>
            </w:r>
          </w:p>
        </w:tc>
        <w:tc>
          <w:tcPr>
            <w:tcW w:w="598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Deferrals</w:t>
            </w:r>
          </w:p>
        </w:tc>
        <w:tc>
          <w:tcPr>
            <w:tcW w:w="1820" w:type="dxa"/>
            <w:vAlign w:val="bottom"/>
            <w:shd w:val="clear" w:color="auto" w:fill="BF2115"/>
          </w:tcPr>
          <w:p>
            <w:pPr>
              <w:jc w:val="right"/>
              <w:ind w:right="399"/>
              <w:spacing w:after="0"/>
              <w:rPr>
                <w:sz w:val="20"/>
                <w:szCs w:val="20"/>
                <w:color w:val="auto"/>
              </w:rPr>
            </w:pPr>
            <w:r>
              <w:rPr>
                <w:rFonts w:ascii="Arial" w:cs="Arial" w:eastAsia="Arial" w:hAnsi="Arial"/>
                <w:sz w:val="16"/>
                <w:szCs w:val="16"/>
                <w:b w:val="1"/>
                <w:bCs w:val="1"/>
                <w:color w:val="FFFFFF"/>
              </w:rPr>
              <w:t>Amount ($)</w:t>
            </w:r>
          </w:p>
        </w:tc>
      </w:tr>
      <w:tr>
        <w:trPr>
          <w:trHeight w:val="215"/>
        </w:trPr>
        <w:tc>
          <w:tcPr>
            <w:tcW w:w="1900" w:type="dxa"/>
            <w:vAlign w:val="bottom"/>
          </w:tcPr>
          <w:p>
            <w:pPr>
              <w:ind w:left="20"/>
              <w:spacing w:after="0"/>
              <w:rPr>
                <w:sz w:val="20"/>
                <w:szCs w:val="20"/>
                <w:color w:val="auto"/>
              </w:rPr>
            </w:pPr>
            <w:r>
              <w:rPr>
                <w:rFonts w:ascii="Arial" w:cs="Arial" w:eastAsia="Arial" w:hAnsi="Arial"/>
                <w:sz w:val="16"/>
                <w:szCs w:val="16"/>
                <w:color w:val="auto"/>
              </w:rPr>
              <w:t>Mr. Olson</w:t>
            </w:r>
          </w:p>
        </w:tc>
        <w:tc>
          <w:tcPr>
            <w:tcW w:w="5980" w:type="dxa"/>
            <w:vAlign w:val="bottom"/>
          </w:tcPr>
          <w:p>
            <w:pPr>
              <w:ind w:left="20"/>
              <w:spacing w:after="0"/>
              <w:rPr>
                <w:sz w:val="20"/>
                <w:szCs w:val="20"/>
                <w:color w:val="auto"/>
              </w:rPr>
            </w:pPr>
            <w:r>
              <w:rPr>
                <w:rFonts w:ascii="Arial" w:cs="Arial" w:eastAsia="Arial" w:hAnsi="Arial"/>
                <w:sz w:val="16"/>
                <w:szCs w:val="16"/>
                <w:color w:val="auto"/>
              </w:rPr>
              <w:t>25% of the fiscal 2023 annual cash incentive award</w:t>
            </w:r>
          </w:p>
        </w:tc>
        <w:tc>
          <w:tcPr>
            <w:tcW w:w="1820" w:type="dxa"/>
            <w:vAlign w:val="bottom"/>
          </w:tcPr>
          <w:p>
            <w:pPr>
              <w:jc w:val="right"/>
              <w:spacing w:after="0"/>
              <w:rPr>
                <w:sz w:val="20"/>
                <w:szCs w:val="20"/>
                <w:color w:val="auto"/>
              </w:rPr>
            </w:pPr>
            <w:r>
              <w:rPr>
                <w:rFonts w:ascii="Arial" w:cs="Arial" w:eastAsia="Arial" w:hAnsi="Arial"/>
                <w:sz w:val="16"/>
                <w:szCs w:val="16"/>
                <w:color w:val="auto"/>
              </w:rPr>
              <w:t>106,314</w:t>
            </w:r>
          </w:p>
        </w:tc>
      </w:tr>
      <w:tr>
        <w:trPr>
          <w:trHeight w:val="242"/>
        </w:trPr>
        <w:tc>
          <w:tcPr>
            <w:tcW w:w="1900" w:type="dxa"/>
            <w:vAlign w:val="bottom"/>
          </w:tcPr>
          <w:p>
            <w:pPr>
              <w:spacing w:after="0"/>
              <w:rPr>
                <w:sz w:val="21"/>
                <w:szCs w:val="21"/>
                <w:color w:val="auto"/>
              </w:rPr>
            </w:pPr>
          </w:p>
        </w:tc>
        <w:tc>
          <w:tcPr>
            <w:tcW w:w="5980" w:type="dxa"/>
            <w:vAlign w:val="bottom"/>
          </w:tcPr>
          <w:p>
            <w:pPr>
              <w:ind w:left="20"/>
              <w:spacing w:after="0"/>
              <w:rPr>
                <w:sz w:val="20"/>
                <w:szCs w:val="20"/>
                <w:color w:val="auto"/>
              </w:rPr>
            </w:pPr>
            <w:r>
              <w:rPr>
                <w:rFonts w:ascii="Arial" w:cs="Arial" w:eastAsia="Arial" w:hAnsi="Arial"/>
                <w:sz w:val="16"/>
                <w:szCs w:val="16"/>
                <w:color w:val="auto"/>
              </w:rPr>
              <w:t>100% of the fiscal 2021 to 2023 performance share award</w:t>
            </w:r>
          </w:p>
        </w:tc>
        <w:tc>
          <w:tcPr>
            <w:tcW w:w="1820" w:type="dxa"/>
            <w:vAlign w:val="bottom"/>
          </w:tcPr>
          <w:p>
            <w:pPr>
              <w:jc w:val="right"/>
              <w:spacing w:after="0"/>
              <w:rPr>
                <w:sz w:val="20"/>
                <w:szCs w:val="20"/>
                <w:color w:val="auto"/>
              </w:rPr>
            </w:pPr>
            <w:r>
              <w:rPr>
                <w:rFonts w:ascii="Arial" w:cs="Arial" w:eastAsia="Arial" w:hAnsi="Arial"/>
                <w:sz w:val="16"/>
                <w:szCs w:val="16"/>
                <w:color w:val="auto"/>
              </w:rPr>
              <w:t>3,557,497</w:t>
            </w:r>
          </w:p>
        </w:tc>
      </w:tr>
      <w:tr>
        <w:trPr>
          <w:trHeight w:val="29"/>
        </w:trPr>
        <w:tc>
          <w:tcPr>
            <w:tcW w:w="19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15"/>
        </w:trPr>
        <w:tc>
          <w:tcPr>
            <w:tcW w:w="1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Ms. Peterson</w:t>
            </w:r>
          </w:p>
        </w:tc>
        <w:tc>
          <w:tcPr>
            <w:tcW w:w="5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32% of base salary from November 2022 through December 2022</w:t>
            </w: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29,785</w:t>
            </w:r>
          </w:p>
        </w:tc>
      </w:tr>
      <w:tr>
        <w:trPr>
          <w:trHeight w:val="242"/>
        </w:trPr>
        <w:tc>
          <w:tcPr>
            <w:tcW w:w="1900" w:type="dxa"/>
            <w:vAlign w:val="bottom"/>
            <w:shd w:val="clear" w:color="auto" w:fill="DBDBDB"/>
          </w:tcPr>
          <w:p>
            <w:pPr>
              <w:spacing w:after="0"/>
              <w:rPr>
                <w:sz w:val="21"/>
                <w:szCs w:val="21"/>
                <w:color w:val="auto"/>
              </w:rPr>
            </w:pPr>
          </w:p>
        </w:tc>
        <w:tc>
          <w:tcPr>
            <w:tcW w:w="5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32% of base salary from January 2023 through October 2023</w:t>
            </w: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124,684</w:t>
            </w:r>
          </w:p>
        </w:tc>
      </w:tr>
      <w:tr>
        <w:trPr>
          <w:trHeight w:val="252"/>
        </w:trPr>
        <w:tc>
          <w:tcPr>
            <w:tcW w:w="1900" w:type="dxa"/>
            <w:vAlign w:val="bottom"/>
            <w:tcBorders>
              <w:bottom w:val="single" w:sz="8" w:color="DBDBDB"/>
            </w:tcBorders>
            <w:shd w:val="clear" w:color="auto" w:fill="DBDBDB"/>
          </w:tcPr>
          <w:p>
            <w:pPr>
              <w:spacing w:after="0"/>
              <w:rPr>
                <w:sz w:val="21"/>
                <w:szCs w:val="21"/>
                <w:color w:val="auto"/>
              </w:rPr>
            </w:pPr>
          </w:p>
        </w:tc>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30% of the fiscal 2023 annual cash incentive award</w:t>
            </w: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33,539</w:t>
            </w:r>
          </w:p>
        </w:tc>
      </w:tr>
      <w:tr>
        <w:trPr>
          <w:trHeight w:val="215"/>
        </w:trPr>
        <w:tc>
          <w:tcPr>
            <w:tcW w:w="1900" w:type="dxa"/>
            <w:vAlign w:val="bottom"/>
          </w:tcPr>
          <w:p>
            <w:pPr>
              <w:ind w:left="20"/>
              <w:spacing w:after="0"/>
              <w:rPr>
                <w:sz w:val="20"/>
                <w:szCs w:val="20"/>
                <w:color w:val="auto"/>
              </w:rPr>
            </w:pPr>
            <w:r>
              <w:rPr>
                <w:rFonts w:ascii="Arial" w:cs="Arial" w:eastAsia="Arial" w:hAnsi="Arial"/>
                <w:sz w:val="16"/>
                <w:szCs w:val="16"/>
                <w:color w:val="auto"/>
              </w:rPr>
              <w:t>Ms. Dahl</w:t>
            </w:r>
          </w:p>
        </w:tc>
        <w:tc>
          <w:tcPr>
            <w:tcW w:w="5980" w:type="dxa"/>
            <w:vAlign w:val="bottom"/>
          </w:tcPr>
          <w:p>
            <w:pPr>
              <w:ind w:left="20"/>
              <w:spacing w:after="0"/>
              <w:rPr>
                <w:sz w:val="20"/>
                <w:szCs w:val="20"/>
                <w:color w:val="auto"/>
              </w:rPr>
            </w:pPr>
            <w:r>
              <w:rPr>
                <w:rFonts w:ascii="Arial" w:cs="Arial" w:eastAsia="Arial" w:hAnsi="Arial"/>
                <w:sz w:val="16"/>
                <w:szCs w:val="16"/>
                <w:color w:val="auto"/>
              </w:rPr>
              <w:t>20% of base salary from November 2022 through December 2022</w:t>
            </w:r>
          </w:p>
        </w:tc>
        <w:tc>
          <w:tcPr>
            <w:tcW w:w="1820" w:type="dxa"/>
            <w:vAlign w:val="bottom"/>
          </w:tcPr>
          <w:p>
            <w:pPr>
              <w:jc w:val="right"/>
              <w:spacing w:after="0"/>
              <w:rPr>
                <w:sz w:val="20"/>
                <w:szCs w:val="20"/>
                <w:color w:val="auto"/>
              </w:rPr>
            </w:pPr>
            <w:r>
              <w:rPr>
                <w:rFonts w:ascii="Arial" w:cs="Arial" w:eastAsia="Arial" w:hAnsi="Arial"/>
                <w:sz w:val="16"/>
                <w:szCs w:val="16"/>
                <w:color w:val="auto"/>
              </w:rPr>
              <w:t>15,692</w:t>
            </w:r>
          </w:p>
        </w:tc>
      </w:tr>
      <w:tr>
        <w:trPr>
          <w:trHeight w:val="242"/>
        </w:trPr>
        <w:tc>
          <w:tcPr>
            <w:tcW w:w="1900" w:type="dxa"/>
            <w:vAlign w:val="bottom"/>
          </w:tcPr>
          <w:p>
            <w:pPr>
              <w:spacing w:after="0"/>
              <w:rPr>
                <w:sz w:val="21"/>
                <w:szCs w:val="21"/>
                <w:color w:val="auto"/>
              </w:rPr>
            </w:pPr>
          </w:p>
        </w:tc>
        <w:tc>
          <w:tcPr>
            <w:tcW w:w="5980" w:type="dxa"/>
            <w:vAlign w:val="bottom"/>
          </w:tcPr>
          <w:p>
            <w:pPr>
              <w:ind w:left="20"/>
              <w:spacing w:after="0"/>
              <w:rPr>
                <w:sz w:val="20"/>
                <w:szCs w:val="20"/>
                <w:color w:val="auto"/>
              </w:rPr>
            </w:pPr>
            <w:r>
              <w:rPr>
                <w:rFonts w:ascii="Arial" w:cs="Arial" w:eastAsia="Arial" w:hAnsi="Arial"/>
                <w:sz w:val="16"/>
                <w:szCs w:val="16"/>
                <w:color w:val="auto"/>
              </w:rPr>
              <w:t>20% of base salary from January 2023 through October 2023</w:t>
            </w:r>
          </w:p>
        </w:tc>
        <w:tc>
          <w:tcPr>
            <w:tcW w:w="1820" w:type="dxa"/>
            <w:vAlign w:val="bottom"/>
          </w:tcPr>
          <w:p>
            <w:pPr>
              <w:jc w:val="right"/>
              <w:spacing w:after="0"/>
              <w:rPr>
                <w:sz w:val="20"/>
                <w:szCs w:val="20"/>
                <w:color w:val="auto"/>
              </w:rPr>
            </w:pPr>
            <w:r>
              <w:rPr>
                <w:rFonts w:ascii="Arial" w:cs="Arial" w:eastAsia="Arial" w:hAnsi="Arial"/>
                <w:sz w:val="16"/>
                <w:szCs w:val="16"/>
                <w:color w:val="auto"/>
              </w:rPr>
              <w:t>89,103</w:t>
            </w:r>
          </w:p>
        </w:tc>
      </w:tr>
      <w:tr>
        <w:trPr>
          <w:trHeight w:val="243"/>
        </w:trPr>
        <w:tc>
          <w:tcPr>
            <w:tcW w:w="1900" w:type="dxa"/>
            <w:vAlign w:val="bottom"/>
          </w:tcPr>
          <w:p>
            <w:pPr>
              <w:spacing w:after="0"/>
              <w:rPr>
                <w:sz w:val="21"/>
                <w:szCs w:val="21"/>
                <w:color w:val="auto"/>
              </w:rPr>
            </w:pPr>
          </w:p>
        </w:tc>
        <w:tc>
          <w:tcPr>
            <w:tcW w:w="5980" w:type="dxa"/>
            <w:vAlign w:val="bottom"/>
          </w:tcPr>
          <w:p>
            <w:pPr>
              <w:ind w:left="20"/>
              <w:spacing w:after="0"/>
              <w:rPr>
                <w:sz w:val="20"/>
                <w:szCs w:val="20"/>
                <w:color w:val="auto"/>
              </w:rPr>
            </w:pPr>
            <w:r>
              <w:rPr>
                <w:rFonts w:ascii="Arial" w:cs="Arial" w:eastAsia="Arial" w:hAnsi="Arial"/>
                <w:sz w:val="16"/>
                <w:szCs w:val="16"/>
                <w:color w:val="auto"/>
              </w:rPr>
              <w:t>75% of the fiscal 2023 annual cash incentive award</w:t>
            </w:r>
          </w:p>
        </w:tc>
        <w:tc>
          <w:tcPr>
            <w:tcW w:w="1820" w:type="dxa"/>
            <w:vAlign w:val="bottom"/>
          </w:tcPr>
          <w:p>
            <w:pPr>
              <w:jc w:val="right"/>
              <w:spacing w:after="0"/>
              <w:rPr>
                <w:sz w:val="20"/>
                <w:szCs w:val="20"/>
                <w:color w:val="auto"/>
              </w:rPr>
            </w:pPr>
            <w:r>
              <w:rPr>
                <w:rFonts w:ascii="Arial" w:cs="Arial" w:eastAsia="Arial" w:hAnsi="Arial"/>
                <w:sz w:val="16"/>
                <w:szCs w:val="16"/>
                <w:color w:val="auto"/>
              </w:rPr>
              <w:t>101,742</w:t>
            </w:r>
          </w:p>
        </w:tc>
      </w:tr>
      <w:tr>
        <w:trPr>
          <w:trHeight w:val="243"/>
        </w:trPr>
        <w:tc>
          <w:tcPr>
            <w:tcW w:w="1900" w:type="dxa"/>
            <w:vAlign w:val="bottom"/>
          </w:tcPr>
          <w:p>
            <w:pPr>
              <w:spacing w:after="0"/>
              <w:rPr>
                <w:sz w:val="21"/>
                <w:szCs w:val="21"/>
                <w:color w:val="auto"/>
              </w:rPr>
            </w:pPr>
          </w:p>
        </w:tc>
        <w:tc>
          <w:tcPr>
            <w:tcW w:w="5980" w:type="dxa"/>
            <w:vAlign w:val="bottom"/>
          </w:tcPr>
          <w:p>
            <w:pPr>
              <w:ind w:left="20"/>
              <w:spacing w:after="0"/>
              <w:rPr>
                <w:sz w:val="20"/>
                <w:szCs w:val="20"/>
                <w:color w:val="auto"/>
              </w:rPr>
            </w:pPr>
            <w:r>
              <w:rPr>
                <w:rFonts w:ascii="Arial" w:cs="Arial" w:eastAsia="Arial" w:hAnsi="Arial"/>
                <w:sz w:val="16"/>
                <w:szCs w:val="16"/>
                <w:color w:val="auto"/>
              </w:rPr>
              <w:t>100% of the fiscal 2021 to 2023 performance share award</w:t>
            </w:r>
          </w:p>
        </w:tc>
        <w:tc>
          <w:tcPr>
            <w:tcW w:w="1820" w:type="dxa"/>
            <w:vAlign w:val="bottom"/>
          </w:tcPr>
          <w:p>
            <w:pPr>
              <w:jc w:val="right"/>
              <w:spacing w:after="0"/>
              <w:rPr>
                <w:sz w:val="20"/>
                <w:szCs w:val="20"/>
                <w:color w:val="auto"/>
              </w:rPr>
            </w:pPr>
            <w:r>
              <w:rPr>
                <w:rFonts w:ascii="Arial" w:cs="Arial" w:eastAsia="Arial" w:hAnsi="Arial"/>
                <w:sz w:val="16"/>
                <w:szCs w:val="16"/>
                <w:color w:val="auto"/>
              </w:rPr>
              <w:t>558,958</w:t>
            </w:r>
          </w:p>
        </w:tc>
      </w:tr>
      <w:tr>
        <w:trPr>
          <w:trHeight w:val="29"/>
        </w:trPr>
        <w:tc>
          <w:tcPr>
            <w:tcW w:w="19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15"/>
        </w:trPr>
        <w:tc>
          <w:tcPr>
            <w:tcW w:w="1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Mr. Janey</w:t>
            </w:r>
          </w:p>
        </w:tc>
        <w:tc>
          <w:tcPr>
            <w:tcW w:w="5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25% of the fiscal 2023 annual cash incentive award</w:t>
            </w: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20,300</w:t>
            </w:r>
          </w:p>
        </w:tc>
      </w:tr>
      <w:tr>
        <w:trPr>
          <w:trHeight w:val="251"/>
        </w:trPr>
        <w:tc>
          <w:tcPr>
            <w:tcW w:w="1900" w:type="dxa"/>
            <w:vAlign w:val="bottom"/>
            <w:tcBorders>
              <w:bottom w:val="single" w:sz="8" w:color="DBDBDB"/>
            </w:tcBorders>
            <w:shd w:val="clear" w:color="auto" w:fill="DBDBDB"/>
          </w:tcPr>
          <w:p>
            <w:pPr>
              <w:spacing w:after="0"/>
              <w:rPr>
                <w:sz w:val="21"/>
                <w:szCs w:val="21"/>
                <w:color w:val="auto"/>
              </w:rPr>
            </w:pPr>
          </w:p>
        </w:tc>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100% of the fiscal 2021 to 2023 performance share award</w:t>
            </w: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241,372</w:t>
            </w:r>
          </w:p>
        </w:tc>
      </w:tr>
      <w:tr>
        <w:trPr>
          <w:trHeight w:val="215"/>
        </w:trPr>
        <w:tc>
          <w:tcPr>
            <w:tcW w:w="1900" w:type="dxa"/>
            <w:vAlign w:val="bottom"/>
          </w:tcPr>
          <w:p>
            <w:pPr>
              <w:ind w:left="20"/>
              <w:spacing w:after="0"/>
              <w:rPr>
                <w:sz w:val="20"/>
                <w:szCs w:val="20"/>
                <w:color w:val="auto"/>
              </w:rPr>
            </w:pPr>
            <w:r>
              <w:rPr>
                <w:rFonts w:ascii="Arial" w:cs="Arial" w:eastAsia="Arial" w:hAnsi="Arial"/>
                <w:sz w:val="16"/>
                <w:szCs w:val="16"/>
                <w:color w:val="auto"/>
              </w:rPr>
              <w:t>Mr. Rodier</w:t>
            </w:r>
          </w:p>
        </w:tc>
        <w:tc>
          <w:tcPr>
            <w:tcW w:w="5980" w:type="dxa"/>
            <w:vAlign w:val="bottom"/>
          </w:tcPr>
          <w:p>
            <w:pPr>
              <w:ind w:left="20"/>
              <w:spacing w:after="0"/>
              <w:rPr>
                <w:sz w:val="20"/>
                <w:szCs w:val="20"/>
                <w:color w:val="auto"/>
              </w:rPr>
            </w:pPr>
            <w:r>
              <w:rPr>
                <w:rFonts w:ascii="Arial" w:cs="Arial" w:eastAsia="Arial" w:hAnsi="Arial"/>
                <w:sz w:val="16"/>
                <w:szCs w:val="16"/>
                <w:color w:val="auto"/>
              </w:rPr>
              <w:t>50% of base pay from November 2022 through December 2022</w:t>
            </w:r>
          </w:p>
        </w:tc>
        <w:tc>
          <w:tcPr>
            <w:tcW w:w="1820" w:type="dxa"/>
            <w:vAlign w:val="bottom"/>
          </w:tcPr>
          <w:p>
            <w:pPr>
              <w:jc w:val="right"/>
              <w:spacing w:after="0"/>
              <w:rPr>
                <w:sz w:val="20"/>
                <w:szCs w:val="20"/>
                <w:color w:val="auto"/>
              </w:rPr>
            </w:pPr>
            <w:r>
              <w:rPr>
                <w:rFonts w:ascii="Arial" w:cs="Arial" w:eastAsia="Arial" w:hAnsi="Arial"/>
                <w:sz w:val="16"/>
                <w:szCs w:val="16"/>
                <w:color w:val="auto"/>
              </w:rPr>
              <w:t>41,769</w:t>
            </w:r>
          </w:p>
        </w:tc>
      </w:tr>
    </w:tbl>
    <w:p>
      <w:pPr>
        <w:spacing w:after="0" w:line="239" w:lineRule="exact"/>
        <w:rPr>
          <w:sz w:val="20"/>
          <w:szCs w:val="20"/>
          <w:color w:val="auto"/>
        </w:rPr>
      </w:pPr>
    </w:p>
    <w:p>
      <w:pPr>
        <w:ind w:left="332" w:right="40" w:hanging="332"/>
        <w:spacing w:after="0" w:line="258" w:lineRule="auto"/>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 in fiscal 2023. These amounts are included in the All Other Compensation column of the Summary Compensation Table and the related footnote.</w:t>
      </w:r>
    </w:p>
    <w:p>
      <w:pPr>
        <w:ind w:left="332" w:hanging="332"/>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Aggregate earnings comprise interest, dividends, capital gains and appreciation/depreciation of investment results during the fiscal year based on each NEO's selected fund allocation. None of these amounts are included in the Summary Compensation Table because earnings were not preferential or above-market. The funds listed below are consistent with or comparable to those funds provided in our Retirement Plan and do not include any preferential or above-market interest. The rates for fiscal 2023 are provided in the following table:</w:t>
      </w:r>
    </w:p>
    <w:p>
      <w:pPr>
        <w:spacing w:after="0" w:line="77" w:lineRule="exact"/>
        <w:rPr>
          <w:sz w:val="20"/>
          <w:szCs w:val="20"/>
          <w:color w:val="auto"/>
        </w:rPr>
      </w:pPr>
    </w:p>
    <w:tbl>
      <w:tblPr>
        <w:tblLayout w:type="fixed"/>
        <w:tblInd w:w="332" w:type="dxa"/>
        <w:tblCellMar>
          <w:top w:w="0" w:type="dxa"/>
          <w:left w:w="0" w:type="dxa"/>
          <w:bottom w:w="0" w:type="dxa"/>
          <w:right w:w="0" w:type="dxa"/>
        </w:tblCellMar>
      </w:tblPr>
      <w:tr>
        <w:trPr>
          <w:trHeight w:val="243"/>
        </w:trPr>
        <w:tc>
          <w:tcPr>
            <w:tcW w:w="446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Fund Name</w:t>
            </w:r>
          </w:p>
        </w:tc>
        <w:tc>
          <w:tcPr>
            <w:tcW w:w="3180" w:type="dxa"/>
            <w:vAlign w:val="bottom"/>
            <w:shd w:val="clear" w:color="auto" w:fill="BF2115"/>
          </w:tcPr>
          <w:p>
            <w:pPr>
              <w:jc w:val="right"/>
              <w:ind w:right="599"/>
              <w:spacing w:after="0"/>
              <w:rPr>
                <w:sz w:val="20"/>
                <w:szCs w:val="20"/>
                <w:color w:val="auto"/>
              </w:rPr>
            </w:pPr>
            <w:r>
              <w:rPr>
                <w:rFonts w:ascii="Arial" w:cs="Arial" w:eastAsia="Arial" w:hAnsi="Arial"/>
                <w:sz w:val="16"/>
                <w:szCs w:val="16"/>
                <w:b w:val="1"/>
                <w:bCs w:val="1"/>
                <w:color w:val="FFFFFF"/>
              </w:rPr>
              <w:t>Change from Fiscal 2022</w:t>
            </w: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color w:val="auto"/>
              </w:rPr>
              <w:t>American Funds Europacific Growth Fund R6</w:t>
            </w:r>
          </w:p>
        </w:tc>
        <w:tc>
          <w:tcPr>
            <w:tcW w:w="3180" w:type="dxa"/>
            <w:vAlign w:val="bottom"/>
          </w:tcPr>
          <w:p>
            <w:pPr>
              <w:jc w:val="right"/>
              <w:spacing w:after="0"/>
              <w:rPr>
                <w:sz w:val="20"/>
                <w:szCs w:val="20"/>
                <w:color w:val="auto"/>
              </w:rPr>
            </w:pPr>
            <w:r>
              <w:rPr>
                <w:rFonts w:ascii="Arial" w:cs="Arial" w:eastAsia="Arial" w:hAnsi="Arial"/>
                <w:sz w:val="16"/>
                <w:szCs w:val="16"/>
                <w:color w:val="auto"/>
              </w:rPr>
              <w:t>10.43 %</w:t>
            </w:r>
          </w:p>
        </w:tc>
      </w:tr>
      <w:tr>
        <w:trPr>
          <w:trHeight w:val="28"/>
        </w:trPr>
        <w:tc>
          <w:tcPr>
            <w:tcW w:w="44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23"/>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Artisan Mid Cap Investor Fund</w:t>
            </w:r>
          </w:p>
        </w:tc>
        <w:tc>
          <w:tcPr>
            <w:tcW w:w="3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1.31 %</w:t>
            </w: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color w:val="auto"/>
              </w:rPr>
              <w:t>Fidelity Treasury Only Money Market Fund</w:t>
            </w:r>
          </w:p>
        </w:tc>
        <w:tc>
          <w:tcPr>
            <w:tcW w:w="3180" w:type="dxa"/>
            <w:vAlign w:val="bottom"/>
          </w:tcPr>
          <w:p>
            <w:pPr>
              <w:jc w:val="right"/>
              <w:spacing w:after="0"/>
              <w:rPr>
                <w:sz w:val="20"/>
                <w:szCs w:val="20"/>
                <w:color w:val="auto"/>
              </w:rPr>
            </w:pPr>
            <w:r>
              <w:rPr>
                <w:rFonts w:ascii="Arial" w:cs="Arial" w:eastAsia="Arial" w:hAnsi="Arial"/>
                <w:sz w:val="16"/>
                <w:szCs w:val="16"/>
                <w:color w:val="auto"/>
              </w:rPr>
              <w:t>4.36 %</w:t>
            </w:r>
          </w:p>
        </w:tc>
      </w:tr>
      <w:tr>
        <w:trPr>
          <w:trHeight w:val="28"/>
        </w:trPr>
        <w:tc>
          <w:tcPr>
            <w:tcW w:w="44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23"/>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Fidelity US Bond Index</w:t>
            </w:r>
          </w:p>
        </w:tc>
        <w:tc>
          <w:tcPr>
            <w:tcW w:w="3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0.34 %</w:t>
            </w: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color w:val="auto"/>
              </w:rPr>
              <w:t>Goldman Sachs Small Cap Value Institutional Fund</w:t>
            </w:r>
          </w:p>
        </w:tc>
        <w:tc>
          <w:tcPr>
            <w:tcW w:w="3180" w:type="dxa"/>
            <w:vAlign w:val="bottom"/>
          </w:tcPr>
          <w:p>
            <w:pPr>
              <w:jc w:val="right"/>
              <w:spacing w:after="0"/>
              <w:rPr>
                <w:sz w:val="20"/>
                <w:szCs w:val="20"/>
                <w:color w:val="auto"/>
              </w:rPr>
            </w:pPr>
            <w:r>
              <w:rPr>
                <w:rFonts w:ascii="Arial" w:cs="Arial" w:eastAsia="Arial" w:hAnsi="Arial"/>
                <w:sz w:val="16"/>
                <w:szCs w:val="16"/>
                <w:color w:val="auto"/>
              </w:rPr>
              <w:t>(9.31)%</w:t>
            </w:r>
          </w:p>
        </w:tc>
      </w:tr>
      <w:tr>
        <w:trPr>
          <w:trHeight w:val="28"/>
        </w:trPr>
        <w:tc>
          <w:tcPr>
            <w:tcW w:w="44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23"/>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JPMorgan Mid Cap Value I Fund</w:t>
            </w:r>
          </w:p>
        </w:tc>
        <w:tc>
          <w:tcPr>
            <w:tcW w:w="3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(3.68)%</w:t>
            </w: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color w:val="auto"/>
              </w:rPr>
              <w:t>PGIM Total Return Bond R6</w:t>
            </w:r>
          </w:p>
        </w:tc>
        <w:tc>
          <w:tcPr>
            <w:tcW w:w="3180" w:type="dxa"/>
            <w:vAlign w:val="bottom"/>
          </w:tcPr>
          <w:p>
            <w:pPr>
              <w:jc w:val="right"/>
              <w:spacing w:after="0"/>
              <w:rPr>
                <w:sz w:val="20"/>
                <w:szCs w:val="20"/>
                <w:color w:val="auto"/>
              </w:rPr>
            </w:pPr>
            <w:r>
              <w:rPr>
                <w:rFonts w:ascii="Arial" w:cs="Arial" w:eastAsia="Arial" w:hAnsi="Arial"/>
                <w:sz w:val="16"/>
                <w:szCs w:val="16"/>
                <w:color w:val="auto"/>
              </w:rPr>
              <w:t>2.39 %</w:t>
            </w:r>
          </w:p>
        </w:tc>
      </w:tr>
      <w:tr>
        <w:trPr>
          <w:trHeight w:val="28"/>
        </w:trPr>
        <w:tc>
          <w:tcPr>
            <w:tcW w:w="44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23"/>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PIMCO International Bond Fund (Unhedged)</w:t>
            </w:r>
          </w:p>
        </w:tc>
        <w:tc>
          <w:tcPr>
            <w:tcW w:w="3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3.90 %</w:t>
            </w: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color w:val="auto"/>
              </w:rPr>
              <w:t>T. Rowe Price International Discovery Fund</w:t>
            </w:r>
          </w:p>
        </w:tc>
        <w:tc>
          <w:tcPr>
            <w:tcW w:w="3180" w:type="dxa"/>
            <w:vAlign w:val="bottom"/>
          </w:tcPr>
          <w:p>
            <w:pPr>
              <w:jc w:val="right"/>
              <w:spacing w:after="0"/>
              <w:rPr>
                <w:sz w:val="20"/>
                <w:szCs w:val="20"/>
                <w:color w:val="auto"/>
              </w:rPr>
            </w:pPr>
            <w:r>
              <w:rPr>
                <w:rFonts w:ascii="Arial" w:cs="Arial" w:eastAsia="Arial" w:hAnsi="Arial"/>
                <w:sz w:val="16"/>
                <w:szCs w:val="16"/>
                <w:color w:val="auto"/>
              </w:rPr>
              <w:t>5.14 %</w:t>
            </w:r>
          </w:p>
        </w:tc>
      </w:tr>
      <w:tr>
        <w:trPr>
          <w:trHeight w:val="28"/>
        </w:trPr>
        <w:tc>
          <w:tcPr>
            <w:tcW w:w="44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23"/>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The Toro Company</w:t>
            </w:r>
          </w:p>
        </w:tc>
        <w:tc>
          <w:tcPr>
            <w:tcW w:w="3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(22.26)%</w:t>
            </w: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color w:val="auto"/>
              </w:rPr>
              <w:t>Vanguard Explorer Fund Admiral Shares</w:t>
            </w:r>
          </w:p>
        </w:tc>
        <w:tc>
          <w:tcPr>
            <w:tcW w:w="318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8"/>
        </w:trPr>
        <w:tc>
          <w:tcPr>
            <w:tcW w:w="44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23"/>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Institutional Index Fund Institutional Shares</w:t>
            </w:r>
          </w:p>
        </w:tc>
        <w:tc>
          <w:tcPr>
            <w:tcW w:w="3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10.10 %</w:t>
            </w: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color w:val="auto"/>
              </w:rPr>
              <w:t>Vanguard Mid Cap Index Fund Admiral Shares</w:t>
            </w:r>
          </w:p>
        </w:tc>
        <w:tc>
          <w:tcPr>
            <w:tcW w:w="31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8"/>
        </w:trPr>
        <w:tc>
          <w:tcPr>
            <w:tcW w:w="44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23"/>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Small Cap Index Fund Admiral Shares</w:t>
            </w:r>
          </w:p>
        </w:tc>
        <w:tc>
          <w:tcPr>
            <w:tcW w:w="3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(3.58)%</w:t>
            </w: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color w:val="auto"/>
              </w:rPr>
              <w:t>Vanguard Target Retirement 2020 Fund</w:t>
            </w:r>
          </w:p>
        </w:tc>
        <w:tc>
          <w:tcPr>
            <w:tcW w:w="3180" w:type="dxa"/>
            <w:vAlign w:val="bottom"/>
          </w:tcPr>
          <w:p>
            <w:pPr>
              <w:jc w:val="right"/>
              <w:spacing w:after="0"/>
              <w:rPr>
                <w:sz w:val="20"/>
                <w:szCs w:val="20"/>
                <w:color w:val="auto"/>
              </w:rPr>
            </w:pPr>
            <w:r>
              <w:rPr>
                <w:rFonts w:ascii="Arial" w:cs="Arial" w:eastAsia="Arial" w:hAnsi="Arial"/>
                <w:sz w:val="16"/>
                <w:szCs w:val="16"/>
                <w:color w:val="auto"/>
              </w:rPr>
              <w:t>5.01 %</w:t>
            </w:r>
          </w:p>
        </w:tc>
      </w:tr>
      <w:tr>
        <w:trPr>
          <w:trHeight w:val="28"/>
        </w:trPr>
        <w:tc>
          <w:tcPr>
            <w:tcW w:w="44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23"/>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2025 Fund</w:t>
            </w:r>
          </w:p>
        </w:tc>
        <w:tc>
          <w:tcPr>
            <w:tcW w:w="3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6.00 %</w:t>
            </w: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color w:val="auto"/>
              </w:rPr>
              <w:t>Vanguard Target Retirement 2030 Fund</w:t>
            </w:r>
          </w:p>
        </w:tc>
        <w:tc>
          <w:tcPr>
            <w:tcW w:w="3180" w:type="dxa"/>
            <w:vAlign w:val="bottom"/>
          </w:tcPr>
          <w:p>
            <w:pPr>
              <w:jc w:val="right"/>
              <w:spacing w:after="0"/>
              <w:rPr>
                <w:sz w:val="20"/>
                <w:szCs w:val="20"/>
                <w:color w:val="auto"/>
              </w:rPr>
            </w:pPr>
            <w:r>
              <w:rPr>
                <w:rFonts w:ascii="Arial" w:cs="Arial" w:eastAsia="Arial" w:hAnsi="Arial"/>
                <w:sz w:val="16"/>
                <w:szCs w:val="16"/>
                <w:color w:val="auto"/>
              </w:rPr>
              <w:t>6.62 %</w:t>
            </w:r>
          </w:p>
        </w:tc>
      </w:tr>
      <w:tr>
        <w:trPr>
          <w:trHeight w:val="28"/>
        </w:trPr>
        <w:tc>
          <w:tcPr>
            <w:tcW w:w="44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23"/>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2035 Fund</w:t>
            </w:r>
          </w:p>
        </w:tc>
        <w:tc>
          <w:tcPr>
            <w:tcW w:w="3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7.31 %</w:t>
            </w: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color w:val="auto"/>
              </w:rPr>
              <w:t>Vanguard Target Retirement 2040 Fund</w:t>
            </w:r>
          </w:p>
        </w:tc>
        <w:tc>
          <w:tcPr>
            <w:tcW w:w="3180" w:type="dxa"/>
            <w:vAlign w:val="bottom"/>
          </w:tcPr>
          <w:p>
            <w:pPr>
              <w:jc w:val="right"/>
              <w:spacing w:after="0"/>
              <w:rPr>
                <w:sz w:val="20"/>
                <w:szCs w:val="20"/>
                <w:color w:val="auto"/>
              </w:rPr>
            </w:pPr>
            <w:r>
              <w:rPr>
                <w:rFonts w:ascii="Arial" w:cs="Arial" w:eastAsia="Arial" w:hAnsi="Arial"/>
                <w:sz w:val="16"/>
                <w:szCs w:val="16"/>
                <w:color w:val="auto"/>
              </w:rPr>
              <w:t>8.07 %</w:t>
            </w:r>
          </w:p>
        </w:tc>
      </w:tr>
      <w:tr>
        <w:trPr>
          <w:trHeight w:val="28"/>
        </w:trPr>
        <w:tc>
          <w:tcPr>
            <w:tcW w:w="44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23"/>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2045 Fund</w:t>
            </w:r>
          </w:p>
        </w:tc>
        <w:tc>
          <w:tcPr>
            <w:tcW w:w="3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8.81 %</w:t>
            </w: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color w:val="auto"/>
              </w:rPr>
              <w:t>Vanguard Target Retirement 2050 Fund</w:t>
            </w:r>
          </w:p>
        </w:tc>
        <w:tc>
          <w:tcPr>
            <w:tcW w:w="3180" w:type="dxa"/>
            <w:vAlign w:val="bottom"/>
          </w:tcPr>
          <w:p>
            <w:pPr>
              <w:jc w:val="right"/>
              <w:spacing w:after="0"/>
              <w:rPr>
                <w:sz w:val="20"/>
                <w:szCs w:val="20"/>
                <w:color w:val="auto"/>
              </w:rPr>
            </w:pPr>
            <w:r>
              <w:rPr>
                <w:rFonts w:ascii="Arial" w:cs="Arial" w:eastAsia="Arial" w:hAnsi="Arial"/>
                <w:sz w:val="16"/>
                <w:szCs w:val="16"/>
                <w:color w:val="auto"/>
              </w:rPr>
              <w:t>9.15 %</w:t>
            </w:r>
          </w:p>
        </w:tc>
      </w:tr>
      <w:tr>
        <w:trPr>
          <w:trHeight w:val="28"/>
        </w:trPr>
        <w:tc>
          <w:tcPr>
            <w:tcW w:w="44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23"/>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2055 Fund</w:t>
            </w:r>
          </w:p>
        </w:tc>
        <w:tc>
          <w:tcPr>
            <w:tcW w:w="3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9.14 %</w:t>
            </w: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color w:val="auto"/>
              </w:rPr>
              <w:t>Vanguard Target Retirement 2060 Fund</w:t>
            </w:r>
          </w:p>
        </w:tc>
        <w:tc>
          <w:tcPr>
            <w:tcW w:w="3180" w:type="dxa"/>
            <w:vAlign w:val="bottom"/>
          </w:tcPr>
          <w:p>
            <w:pPr>
              <w:jc w:val="right"/>
              <w:spacing w:after="0"/>
              <w:rPr>
                <w:sz w:val="20"/>
                <w:szCs w:val="20"/>
                <w:color w:val="auto"/>
              </w:rPr>
            </w:pPr>
            <w:r>
              <w:rPr>
                <w:rFonts w:ascii="Arial" w:cs="Arial" w:eastAsia="Arial" w:hAnsi="Arial"/>
                <w:sz w:val="16"/>
                <w:szCs w:val="16"/>
                <w:color w:val="auto"/>
              </w:rPr>
              <w:t>9.16 %</w:t>
            </w:r>
          </w:p>
        </w:tc>
      </w:tr>
      <w:tr>
        <w:trPr>
          <w:trHeight w:val="28"/>
        </w:trPr>
        <w:tc>
          <w:tcPr>
            <w:tcW w:w="44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23"/>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2065 Fund</w:t>
            </w:r>
          </w:p>
        </w:tc>
        <w:tc>
          <w:tcPr>
            <w:tcW w:w="3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9.15 %</w:t>
            </w: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color w:val="auto"/>
              </w:rPr>
              <w:t>Vanguard Target Retirement Income Fund</w:t>
            </w:r>
          </w:p>
        </w:tc>
        <w:tc>
          <w:tcPr>
            <w:tcW w:w="3180" w:type="dxa"/>
            <w:vAlign w:val="bottom"/>
          </w:tcPr>
          <w:p>
            <w:pPr>
              <w:jc w:val="right"/>
              <w:spacing w:after="0"/>
              <w:rPr>
                <w:sz w:val="20"/>
                <w:szCs w:val="20"/>
                <w:color w:val="auto"/>
              </w:rPr>
            </w:pPr>
            <w:r>
              <w:rPr>
                <w:rFonts w:ascii="Arial" w:cs="Arial" w:eastAsia="Arial" w:hAnsi="Arial"/>
                <w:sz w:val="16"/>
                <w:szCs w:val="16"/>
                <w:color w:val="auto"/>
              </w:rPr>
              <w:t>3.83 %</w:t>
            </w:r>
          </w:p>
        </w:tc>
      </w:tr>
    </w:tbl>
    <w:p>
      <w:pPr>
        <w:spacing w:after="0" w:line="200" w:lineRule="exact"/>
        <w:rPr>
          <w:sz w:val="20"/>
          <w:szCs w:val="20"/>
          <w:color w:val="auto"/>
        </w:rPr>
      </w:pPr>
    </w:p>
    <w:p>
      <w:pPr>
        <w:sectPr>
          <w:pgSz w:w="11900" w:h="16838" w:orient="portrait"/>
          <w:cols w:equalWidth="0" w:num="1">
            <w:col w:w="11112"/>
          </w:cols>
          <w:pgMar w:left="328" w:top="116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1"/>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81915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166" w:right="459" w:bottom="1440" w:gutter="0" w:footer="0" w:header="0"/>
          <w:type w:val="continuous"/>
        </w:sectPr>
      </w:pPr>
    </w:p>
    <w:bookmarkStart w:id="69" w:name="page70"/>
    <w:bookmarkEnd w:id="69"/>
    <w:p>
      <w:pPr>
        <w:ind w:left="332" w:hanging="332"/>
        <w:spacing w:after="0" w:line="283" w:lineRule="auto"/>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Amounts reported represent the total balance at October 31, 2023, the last day of fiscal 2023, plus any NEO's or Company contributions for fiscal 2023 that were paid, or expected to be paid, after October 31, 2023. Includes the following amounts reported in the Summary Compensation Table in the Base Salary or Non-Equity Incentive Plan Compensation column for fiscal years 2021 and 2022:</w:t>
      </w:r>
    </w:p>
    <w:p>
      <w:pPr>
        <w:spacing w:after="0" w:line="29" w:lineRule="exact"/>
        <w:rPr>
          <w:sz w:val="20"/>
          <w:szCs w:val="20"/>
          <w:color w:val="auto"/>
        </w:rPr>
      </w:pPr>
    </w:p>
    <w:tbl>
      <w:tblPr>
        <w:tblLayout w:type="fixed"/>
        <w:tblInd w:w="392" w:type="dxa"/>
        <w:tblCellMar>
          <w:top w:w="0" w:type="dxa"/>
          <w:left w:w="0" w:type="dxa"/>
          <w:bottom w:w="0" w:type="dxa"/>
          <w:right w:w="0" w:type="dxa"/>
        </w:tblCellMar>
      </w:tblPr>
      <w:tr>
        <w:trPr>
          <w:trHeight w:val="243"/>
        </w:trPr>
        <w:tc>
          <w:tcPr>
            <w:tcW w:w="384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Name</w:t>
            </w:r>
          </w:p>
        </w:tc>
        <w:tc>
          <w:tcPr>
            <w:tcW w:w="3740" w:type="dxa"/>
            <w:vAlign w:val="bottom"/>
            <w:shd w:val="clear" w:color="auto" w:fill="BF2115"/>
          </w:tcPr>
          <w:p>
            <w:pPr>
              <w:jc w:val="right"/>
              <w:spacing w:after="0"/>
              <w:rPr>
                <w:sz w:val="20"/>
                <w:szCs w:val="20"/>
                <w:color w:val="auto"/>
              </w:rPr>
            </w:pPr>
            <w:r>
              <w:rPr>
                <w:rFonts w:ascii="Arial" w:cs="Arial" w:eastAsia="Arial" w:hAnsi="Arial"/>
                <w:sz w:val="16"/>
                <w:szCs w:val="16"/>
                <w:b w:val="1"/>
                <w:bCs w:val="1"/>
                <w:color w:val="FFFFFF"/>
              </w:rPr>
              <w:t>Amount ($)</w:t>
            </w:r>
          </w:p>
        </w:tc>
      </w:tr>
      <w:tr>
        <w:trPr>
          <w:trHeight w:val="215"/>
        </w:trPr>
        <w:tc>
          <w:tcPr>
            <w:tcW w:w="3840" w:type="dxa"/>
            <w:vAlign w:val="bottom"/>
          </w:tcPr>
          <w:p>
            <w:pPr>
              <w:ind w:left="20"/>
              <w:spacing w:after="0"/>
              <w:rPr>
                <w:sz w:val="20"/>
                <w:szCs w:val="20"/>
                <w:color w:val="auto"/>
              </w:rPr>
            </w:pPr>
            <w:r>
              <w:rPr>
                <w:rFonts w:ascii="Arial" w:cs="Arial" w:eastAsia="Arial" w:hAnsi="Arial"/>
                <w:sz w:val="16"/>
                <w:szCs w:val="16"/>
                <w:color w:val="auto"/>
              </w:rPr>
              <w:t>Mr. Olson</w:t>
            </w:r>
          </w:p>
        </w:tc>
        <w:tc>
          <w:tcPr>
            <w:tcW w:w="3740" w:type="dxa"/>
            <w:vAlign w:val="bottom"/>
          </w:tcPr>
          <w:p>
            <w:pPr>
              <w:jc w:val="right"/>
              <w:spacing w:after="0"/>
              <w:rPr>
                <w:sz w:val="20"/>
                <w:szCs w:val="20"/>
                <w:color w:val="auto"/>
              </w:rPr>
            </w:pPr>
            <w:r>
              <w:rPr>
                <w:rFonts w:ascii="Arial" w:cs="Arial" w:eastAsia="Arial" w:hAnsi="Arial"/>
                <w:sz w:val="16"/>
                <w:szCs w:val="16"/>
                <w:color w:val="auto"/>
              </w:rPr>
              <w:t>733,439</w:t>
            </w:r>
          </w:p>
        </w:tc>
      </w:tr>
      <w:tr>
        <w:trPr>
          <w:trHeight w:val="28"/>
        </w:trPr>
        <w:tc>
          <w:tcPr>
            <w:tcW w:w="384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23"/>
        </w:trPr>
        <w:tc>
          <w:tcPr>
            <w:tcW w:w="3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3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r>
      <w:tr>
        <w:trPr>
          <w:trHeight w:val="215"/>
        </w:trPr>
        <w:tc>
          <w:tcPr>
            <w:tcW w:w="3840" w:type="dxa"/>
            <w:vAlign w:val="bottom"/>
          </w:tcPr>
          <w:p>
            <w:pPr>
              <w:ind w:left="20"/>
              <w:spacing w:after="0"/>
              <w:rPr>
                <w:sz w:val="20"/>
                <w:szCs w:val="20"/>
                <w:color w:val="auto"/>
              </w:rPr>
            </w:pPr>
            <w:r>
              <w:rPr>
                <w:rFonts w:ascii="Arial" w:cs="Arial" w:eastAsia="Arial" w:hAnsi="Arial"/>
                <w:sz w:val="16"/>
                <w:szCs w:val="16"/>
                <w:color w:val="auto"/>
              </w:rPr>
              <w:t>Ms. Peterson</w:t>
            </w:r>
          </w:p>
        </w:tc>
        <w:tc>
          <w:tcPr>
            <w:tcW w:w="3740" w:type="dxa"/>
            <w:vAlign w:val="bottom"/>
          </w:tcPr>
          <w:p>
            <w:pPr>
              <w:jc w:val="right"/>
              <w:spacing w:after="0"/>
              <w:rPr>
                <w:sz w:val="20"/>
                <w:szCs w:val="20"/>
                <w:color w:val="auto"/>
              </w:rPr>
            </w:pPr>
            <w:r>
              <w:rPr>
                <w:rFonts w:ascii="Arial" w:cs="Arial" w:eastAsia="Arial" w:hAnsi="Arial"/>
                <w:sz w:val="16"/>
                <w:szCs w:val="16"/>
                <w:color w:val="auto"/>
              </w:rPr>
              <w:t>897,981</w:t>
            </w:r>
          </w:p>
        </w:tc>
      </w:tr>
      <w:tr>
        <w:trPr>
          <w:trHeight w:val="28"/>
        </w:trPr>
        <w:tc>
          <w:tcPr>
            <w:tcW w:w="384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23"/>
        </w:trPr>
        <w:tc>
          <w:tcPr>
            <w:tcW w:w="3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Totsky</w:t>
            </w:r>
          </w:p>
        </w:tc>
        <w:tc>
          <w:tcPr>
            <w:tcW w:w="3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r>
      <w:tr>
        <w:trPr>
          <w:trHeight w:val="215"/>
        </w:trPr>
        <w:tc>
          <w:tcPr>
            <w:tcW w:w="3840" w:type="dxa"/>
            <w:vAlign w:val="bottom"/>
          </w:tcPr>
          <w:p>
            <w:pPr>
              <w:ind w:left="20"/>
              <w:spacing w:after="0"/>
              <w:rPr>
                <w:sz w:val="20"/>
                <w:szCs w:val="20"/>
                <w:color w:val="auto"/>
              </w:rPr>
            </w:pPr>
            <w:r>
              <w:rPr>
                <w:rFonts w:ascii="Arial" w:cs="Arial" w:eastAsia="Arial" w:hAnsi="Arial"/>
                <w:sz w:val="16"/>
                <w:szCs w:val="16"/>
                <w:color w:val="auto"/>
              </w:rPr>
              <w:t>Ms. Dahl</w:t>
            </w:r>
          </w:p>
        </w:tc>
        <w:tc>
          <w:tcPr>
            <w:tcW w:w="3740" w:type="dxa"/>
            <w:vAlign w:val="bottom"/>
          </w:tcPr>
          <w:p>
            <w:pPr>
              <w:jc w:val="right"/>
              <w:spacing w:after="0"/>
              <w:rPr>
                <w:sz w:val="20"/>
                <w:szCs w:val="20"/>
                <w:color w:val="auto"/>
              </w:rPr>
            </w:pPr>
            <w:r>
              <w:rPr>
                <w:rFonts w:ascii="Arial" w:cs="Arial" w:eastAsia="Arial" w:hAnsi="Arial"/>
                <w:sz w:val="16"/>
                <w:szCs w:val="16"/>
                <w:color w:val="auto"/>
              </w:rPr>
              <w:t>928,651</w:t>
            </w:r>
          </w:p>
        </w:tc>
      </w:tr>
      <w:tr>
        <w:trPr>
          <w:trHeight w:val="28"/>
        </w:trPr>
        <w:tc>
          <w:tcPr>
            <w:tcW w:w="384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23"/>
        </w:trPr>
        <w:tc>
          <w:tcPr>
            <w:tcW w:w="3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Mr. Janey</w:t>
            </w:r>
          </w:p>
        </w:tc>
        <w:tc>
          <w:tcPr>
            <w:tcW w:w="3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r>
      <w:tr>
        <w:trPr>
          <w:trHeight w:val="215"/>
        </w:trPr>
        <w:tc>
          <w:tcPr>
            <w:tcW w:w="3840" w:type="dxa"/>
            <w:vAlign w:val="bottom"/>
          </w:tcPr>
          <w:p>
            <w:pPr>
              <w:ind w:left="20"/>
              <w:spacing w:after="0"/>
              <w:rPr>
                <w:sz w:val="20"/>
                <w:szCs w:val="20"/>
                <w:color w:val="auto"/>
              </w:rPr>
            </w:pPr>
            <w:r>
              <w:rPr>
                <w:rFonts w:ascii="Arial" w:cs="Arial" w:eastAsia="Arial" w:hAnsi="Arial"/>
                <w:sz w:val="16"/>
                <w:szCs w:val="16"/>
                <w:color w:val="auto"/>
              </w:rPr>
              <w:t>Mr. Rodier</w:t>
            </w:r>
          </w:p>
        </w:tc>
        <w:tc>
          <w:tcPr>
            <w:tcW w:w="3740" w:type="dxa"/>
            <w:vAlign w:val="bottom"/>
          </w:tcPr>
          <w:p>
            <w:pPr>
              <w:jc w:val="right"/>
              <w:spacing w:after="0"/>
              <w:rPr>
                <w:sz w:val="20"/>
                <w:szCs w:val="20"/>
                <w:color w:val="auto"/>
              </w:rPr>
            </w:pPr>
            <w:r>
              <w:rPr>
                <w:rFonts w:ascii="Arial" w:cs="Arial" w:eastAsia="Arial" w:hAnsi="Arial"/>
                <w:sz w:val="16"/>
                <w:szCs w:val="16"/>
                <w:color w:val="auto"/>
              </w:rPr>
              <w:t>1,394,211</w:t>
            </w:r>
          </w:p>
        </w:tc>
      </w:tr>
    </w:tbl>
    <w:p>
      <w:pPr>
        <w:spacing w:after="0" w:line="158" w:lineRule="exact"/>
        <w:rPr>
          <w:sz w:val="20"/>
          <w:szCs w:val="20"/>
          <w:color w:val="auto"/>
        </w:rPr>
      </w:pPr>
    </w:p>
    <w:p>
      <w:pPr>
        <w:ind w:left="392" w:right="20"/>
        <w:spacing w:after="0" w:line="271" w:lineRule="auto"/>
        <w:rPr>
          <w:sz w:val="20"/>
          <w:szCs w:val="20"/>
          <w:color w:val="auto"/>
        </w:rPr>
      </w:pPr>
      <w:r>
        <w:rPr>
          <w:rFonts w:ascii="Arial" w:cs="Arial" w:eastAsia="Arial" w:hAnsi="Arial"/>
          <w:sz w:val="18"/>
          <w:szCs w:val="18"/>
          <w:color w:val="auto"/>
        </w:rPr>
        <w:t>Includes the following amounts reported in the "Summary Compensation Table" in the "All Other Compensation" column for fiscal years 2021 and 2022.</w:t>
      </w:r>
    </w:p>
    <w:p>
      <w:pPr>
        <w:spacing w:after="0" w:line="37" w:lineRule="exact"/>
        <w:rPr>
          <w:sz w:val="20"/>
          <w:szCs w:val="20"/>
          <w:color w:val="auto"/>
        </w:rPr>
      </w:pPr>
    </w:p>
    <w:tbl>
      <w:tblPr>
        <w:tblLayout w:type="fixed"/>
        <w:tblInd w:w="392" w:type="dxa"/>
        <w:tblCellMar>
          <w:top w:w="0" w:type="dxa"/>
          <w:left w:w="0" w:type="dxa"/>
          <w:bottom w:w="0" w:type="dxa"/>
          <w:right w:w="0" w:type="dxa"/>
        </w:tblCellMar>
      </w:tblPr>
      <w:tr>
        <w:trPr>
          <w:trHeight w:val="243"/>
        </w:trPr>
        <w:tc>
          <w:tcPr>
            <w:tcW w:w="384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Name</w:t>
            </w:r>
          </w:p>
        </w:tc>
        <w:tc>
          <w:tcPr>
            <w:tcW w:w="3740" w:type="dxa"/>
            <w:vAlign w:val="bottom"/>
            <w:shd w:val="clear" w:color="auto" w:fill="BF2115"/>
          </w:tcPr>
          <w:p>
            <w:pPr>
              <w:jc w:val="right"/>
              <w:spacing w:after="0"/>
              <w:rPr>
                <w:sz w:val="20"/>
                <w:szCs w:val="20"/>
                <w:color w:val="auto"/>
              </w:rPr>
            </w:pPr>
            <w:r>
              <w:rPr>
                <w:rFonts w:ascii="Arial" w:cs="Arial" w:eastAsia="Arial" w:hAnsi="Arial"/>
                <w:sz w:val="16"/>
                <w:szCs w:val="16"/>
                <w:b w:val="1"/>
                <w:bCs w:val="1"/>
                <w:color w:val="FFFFFF"/>
              </w:rPr>
              <w:t>Amount ($)</w:t>
            </w:r>
          </w:p>
        </w:tc>
      </w:tr>
      <w:tr>
        <w:trPr>
          <w:trHeight w:val="215"/>
        </w:trPr>
        <w:tc>
          <w:tcPr>
            <w:tcW w:w="3840" w:type="dxa"/>
            <w:vAlign w:val="bottom"/>
          </w:tcPr>
          <w:p>
            <w:pPr>
              <w:ind w:left="20"/>
              <w:spacing w:after="0"/>
              <w:rPr>
                <w:sz w:val="20"/>
                <w:szCs w:val="20"/>
                <w:color w:val="auto"/>
              </w:rPr>
            </w:pPr>
            <w:r>
              <w:rPr>
                <w:rFonts w:ascii="Arial" w:cs="Arial" w:eastAsia="Arial" w:hAnsi="Arial"/>
                <w:sz w:val="16"/>
                <w:szCs w:val="16"/>
                <w:color w:val="auto"/>
              </w:rPr>
              <w:t>Mr. Olson</w:t>
            </w:r>
          </w:p>
        </w:tc>
        <w:tc>
          <w:tcPr>
            <w:tcW w:w="3740" w:type="dxa"/>
            <w:vAlign w:val="bottom"/>
          </w:tcPr>
          <w:p>
            <w:pPr>
              <w:jc w:val="right"/>
              <w:spacing w:after="0"/>
              <w:rPr>
                <w:sz w:val="20"/>
                <w:szCs w:val="20"/>
                <w:color w:val="auto"/>
              </w:rPr>
            </w:pPr>
            <w:r>
              <w:rPr>
                <w:rFonts w:ascii="Arial" w:cs="Arial" w:eastAsia="Arial" w:hAnsi="Arial"/>
                <w:sz w:val="16"/>
                <w:szCs w:val="16"/>
                <w:color w:val="auto"/>
              </w:rPr>
              <w:t>437,213</w:t>
            </w:r>
          </w:p>
        </w:tc>
      </w:tr>
      <w:tr>
        <w:trPr>
          <w:trHeight w:val="28"/>
        </w:trPr>
        <w:tc>
          <w:tcPr>
            <w:tcW w:w="384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23"/>
        </w:trPr>
        <w:tc>
          <w:tcPr>
            <w:tcW w:w="3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3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r>
      <w:tr>
        <w:trPr>
          <w:trHeight w:val="215"/>
        </w:trPr>
        <w:tc>
          <w:tcPr>
            <w:tcW w:w="3840" w:type="dxa"/>
            <w:vAlign w:val="bottom"/>
          </w:tcPr>
          <w:p>
            <w:pPr>
              <w:ind w:left="20"/>
              <w:spacing w:after="0"/>
              <w:rPr>
                <w:sz w:val="20"/>
                <w:szCs w:val="20"/>
                <w:color w:val="auto"/>
              </w:rPr>
            </w:pPr>
            <w:r>
              <w:rPr>
                <w:rFonts w:ascii="Arial" w:cs="Arial" w:eastAsia="Arial" w:hAnsi="Arial"/>
                <w:sz w:val="16"/>
                <w:szCs w:val="16"/>
                <w:color w:val="auto"/>
              </w:rPr>
              <w:t>Ms. Peterson</w:t>
            </w:r>
          </w:p>
        </w:tc>
        <w:tc>
          <w:tcPr>
            <w:tcW w:w="3740" w:type="dxa"/>
            <w:vAlign w:val="bottom"/>
          </w:tcPr>
          <w:p>
            <w:pPr>
              <w:jc w:val="right"/>
              <w:spacing w:after="0"/>
              <w:rPr>
                <w:sz w:val="20"/>
                <w:szCs w:val="20"/>
                <w:color w:val="auto"/>
              </w:rPr>
            </w:pPr>
            <w:r>
              <w:rPr>
                <w:rFonts w:ascii="Arial" w:cs="Arial" w:eastAsia="Arial" w:hAnsi="Arial"/>
                <w:sz w:val="16"/>
                <w:szCs w:val="16"/>
                <w:color w:val="auto"/>
              </w:rPr>
              <w:t>156,963</w:t>
            </w:r>
          </w:p>
        </w:tc>
      </w:tr>
      <w:tr>
        <w:trPr>
          <w:trHeight w:val="28"/>
        </w:trPr>
        <w:tc>
          <w:tcPr>
            <w:tcW w:w="384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23"/>
        </w:trPr>
        <w:tc>
          <w:tcPr>
            <w:tcW w:w="3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Totsky</w:t>
            </w:r>
          </w:p>
        </w:tc>
        <w:tc>
          <w:tcPr>
            <w:tcW w:w="3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r>
      <w:tr>
        <w:trPr>
          <w:trHeight w:val="215"/>
        </w:trPr>
        <w:tc>
          <w:tcPr>
            <w:tcW w:w="3840" w:type="dxa"/>
            <w:vAlign w:val="bottom"/>
          </w:tcPr>
          <w:p>
            <w:pPr>
              <w:ind w:left="20"/>
              <w:spacing w:after="0"/>
              <w:rPr>
                <w:sz w:val="20"/>
                <w:szCs w:val="20"/>
                <w:color w:val="auto"/>
              </w:rPr>
            </w:pPr>
            <w:r>
              <w:rPr>
                <w:rFonts w:ascii="Arial" w:cs="Arial" w:eastAsia="Arial" w:hAnsi="Arial"/>
                <w:sz w:val="16"/>
                <w:szCs w:val="16"/>
                <w:color w:val="auto"/>
              </w:rPr>
              <w:t>Ms. Dahl</w:t>
            </w:r>
          </w:p>
        </w:tc>
        <w:tc>
          <w:tcPr>
            <w:tcW w:w="3740" w:type="dxa"/>
            <w:vAlign w:val="bottom"/>
          </w:tcPr>
          <w:p>
            <w:pPr>
              <w:jc w:val="right"/>
              <w:spacing w:after="0"/>
              <w:rPr>
                <w:sz w:val="20"/>
                <w:szCs w:val="20"/>
                <w:color w:val="auto"/>
              </w:rPr>
            </w:pPr>
            <w:r>
              <w:rPr>
                <w:rFonts w:ascii="Arial" w:cs="Arial" w:eastAsia="Arial" w:hAnsi="Arial"/>
                <w:sz w:val="16"/>
                <w:szCs w:val="16"/>
                <w:color w:val="auto"/>
              </w:rPr>
              <w:t>75,920</w:t>
            </w:r>
          </w:p>
        </w:tc>
      </w:tr>
      <w:tr>
        <w:trPr>
          <w:trHeight w:val="28"/>
        </w:trPr>
        <w:tc>
          <w:tcPr>
            <w:tcW w:w="384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23"/>
        </w:trPr>
        <w:tc>
          <w:tcPr>
            <w:tcW w:w="3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Mr. Janey</w:t>
            </w:r>
          </w:p>
        </w:tc>
        <w:tc>
          <w:tcPr>
            <w:tcW w:w="3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r>
      <w:tr>
        <w:trPr>
          <w:trHeight w:val="215"/>
        </w:trPr>
        <w:tc>
          <w:tcPr>
            <w:tcW w:w="3840" w:type="dxa"/>
            <w:vAlign w:val="bottom"/>
          </w:tcPr>
          <w:p>
            <w:pPr>
              <w:ind w:left="20"/>
              <w:spacing w:after="0"/>
              <w:rPr>
                <w:sz w:val="20"/>
                <w:szCs w:val="20"/>
                <w:color w:val="auto"/>
              </w:rPr>
            </w:pPr>
            <w:r>
              <w:rPr>
                <w:rFonts w:ascii="Arial" w:cs="Arial" w:eastAsia="Arial" w:hAnsi="Arial"/>
                <w:sz w:val="16"/>
                <w:szCs w:val="16"/>
                <w:color w:val="auto"/>
              </w:rPr>
              <w:t>Mr. Rodier</w:t>
            </w:r>
          </w:p>
        </w:tc>
        <w:tc>
          <w:tcPr>
            <w:tcW w:w="3740" w:type="dxa"/>
            <w:vAlign w:val="bottom"/>
          </w:tcPr>
          <w:p>
            <w:pPr>
              <w:jc w:val="right"/>
              <w:spacing w:after="0"/>
              <w:rPr>
                <w:sz w:val="20"/>
                <w:szCs w:val="20"/>
                <w:color w:val="auto"/>
              </w:rPr>
            </w:pPr>
            <w:r>
              <w:rPr>
                <w:rFonts w:ascii="Arial" w:cs="Arial" w:eastAsia="Arial" w:hAnsi="Arial"/>
                <w:sz w:val="16"/>
                <w:szCs w:val="16"/>
                <w:color w:val="auto"/>
              </w:rPr>
              <w:t>81,795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1"/>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1120" w:right="439" w:bottom="1440" w:gutter="0" w:footer="0" w:header="0"/>
        </w:sectPr>
      </w:pPr>
    </w:p>
    <w:bookmarkStart w:id="70" w:name="page71"/>
    <w:bookmarkEnd w:id="70"/>
    <w:p>
      <w:pPr>
        <w:spacing w:after="0"/>
        <w:rPr>
          <w:sz w:val="20"/>
          <w:szCs w:val="20"/>
          <w:color w:val="auto"/>
        </w:rPr>
      </w:pPr>
      <w:r>
        <w:rPr>
          <w:rFonts w:ascii="Arial" w:cs="Arial" w:eastAsia="Arial" w:hAnsi="Arial"/>
          <w:sz w:val="20"/>
          <w:szCs w:val="20"/>
          <w:b w:val="1"/>
          <w:bCs w:val="1"/>
          <w:color w:val="C00000"/>
        </w:rPr>
        <w:t>Pay Versus Performance (PvP)</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required by Item 402(v) of Regulation S-K, we are providing the following information regarding the relationship between executive</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compensation and our financial performance for each of the last three completed fiscal years. In determining the “Compensation Actually Paid” (CAP) for PvP purposes to our NEOs, we are required to make various adjustments to amounts that have been previously reported in</w:t>
      </w:r>
    </w:p>
    <w:p>
      <w:pPr>
        <w:spacing w:after="0" w:line="2"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color w:val="auto"/>
        </w:rPr>
        <w:t>the Summary Compensation Table in previous years, as the SEC’s valuation methods for this section differ from those required in the Summary Compensation Table.</w:t>
      </w:r>
    </w:p>
    <w:p>
      <w:pPr>
        <w:spacing w:after="0" w:line="5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7"/>
          <w:szCs w:val="17"/>
          <w:color w:val="auto"/>
        </w:rPr>
        <w:t>Due to the valuation component of CAP, the dollar amounts do not reflect the actual amounts of compensation earned or paid during the year. The PvP table below summarizes compensation values both previously reported in our Summary Compensation Table, as well as the</w:t>
      </w:r>
    </w:p>
    <w:p>
      <w:pPr>
        <w:spacing w:after="0" w:line="1"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adjusted values required in this section for the fiscal years 2021, 2022 and 2023. For our NEOs other than our principal executive officer (PEO), compensation is reported as an average.</w:t>
      </w:r>
    </w:p>
    <w:p>
      <w:pPr>
        <w:spacing w:after="0" w:line="73" w:lineRule="exact"/>
        <w:rPr>
          <w:sz w:val="20"/>
          <w:szCs w:val="20"/>
          <w:color w:val="auto"/>
        </w:rPr>
      </w:pPr>
    </w:p>
    <w:p>
      <w:pPr>
        <w:ind w:right="140" w:firstLine="324"/>
        <w:spacing w:after="0" w:line="271" w:lineRule="auto"/>
        <w:rPr>
          <w:sz w:val="20"/>
          <w:szCs w:val="20"/>
          <w:color w:val="auto"/>
        </w:rPr>
      </w:pPr>
      <w:r>
        <w:rPr>
          <w:rFonts w:ascii="Arial" w:cs="Arial" w:eastAsia="Arial" w:hAnsi="Arial"/>
          <w:sz w:val="18"/>
          <w:szCs w:val="18"/>
          <w:color w:val="auto"/>
        </w:rPr>
        <w:t>For purposes of the tables below, the principal executive officer (PEO) and non-PEO named executive officers for fiscal 2021, 2022 and 2023 are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Year</w:t>
            </w:r>
          </w:p>
        </w:tc>
        <w:tc>
          <w:tcPr>
            <w:tcW w:w="1660" w:type="dxa"/>
            <w:vAlign w:val="bottom"/>
            <w:shd w:val="clear" w:color="auto" w:fill="BF2115"/>
          </w:tcPr>
          <w:p>
            <w:pPr>
              <w:ind w:left="900"/>
              <w:spacing w:after="0"/>
              <w:rPr>
                <w:sz w:val="20"/>
                <w:szCs w:val="20"/>
                <w:color w:val="auto"/>
              </w:rPr>
            </w:pPr>
            <w:r>
              <w:rPr>
                <w:rFonts w:ascii="Arial" w:cs="Arial" w:eastAsia="Arial" w:hAnsi="Arial"/>
                <w:sz w:val="14"/>
                <w:szCs w:val="14"/>
                <w:b w:val="1"/>
                <w:bCs w:val="1"/>
                <w:color w:val="FFFFFF"/>
              </w:rPr>
              <w:t>PEO</w:t>
            </w:r>
          </w:p>
        </w:tc>
        <w:tc>
          <w:tcPr>
            <w:tcW w:w="1380" w:type="dxa"/>
            <w:vAlign w:val="bottom"/>
            <w:shd w:val="clear" w:color="auto" w:fill="BF2115"/>
          </w:tcPr>
          <w:p>
            <w:pPr>
              <w:spacing w:after="0"/>
              <w:rPr>
                <w:sz w:val="18"/>
                <w:szCs w:val="18"/>
                <w:color w:val="auto"/>
              </w:rPr>
            </w:pPr>
          </w:p>
        </w:tc>
        <w:tc>
          <w:tcPr>
            <w:tcW w:w="1480" w:type="dxa"/>
            <w:vAlign w:val="bottom"/>
            <w:shd w:val="clear" w:color="auto" w:fill="BF2115"/>
          </w:tcPr>
          <w:p>
            <w:pPr>
              <w:spacing w:after="0"/>
              <w:rPr>
                <w:sz w:val="18"/>
                <w:szCs w:val="18"/>
                <w:color w:val="auto"/>
              </w:rPr>
            </w:pPr>
          </w:p>
        </w:tc>
        <w:tc>
          <w:tcPr>
            <w:tcW w:w="2520" w:type="dxa"/>
            <w:vAlign w:val="bottom"/>
            <w:gridSpan w:val="2"/>
            <w:shd w:val="clear" w:color="auto" w:fill="BF2115"/>
          </w:tcPr>
          <w:p>
            <w:pPr>
              <w:jc w:val="right"/>
              <w:ind w:right="222"/>
              <w:spacing w:after="0"/>
              <w:rPr>
                <w:sz w:val="20"/>
                <w:szCs w:val="20"/>
                <w:color w:val="auto"/>
              </w:rPr>
            </w:pPr>
            <w:r>
              <w:rPr>
                <w:rFonts w:ascii="Arial" w:cs="Arial" w:eastAsia="Arial" w:hAnsi="Arial"/>
                <w:sz w:val="14"/>
                <w:szCs w:val="14"/>
                <w:b w:val="1"/>
                <w:bCs w:val="1"/>
                <w:color w:val="FFFFFF"/>
              </w:rPr>
              <w:t>Non-PEO NEOs</w:t>
            </w:r>
          </w:p>
        </w:tc>
        <w:tc>
          <w:tcPr>
            <w:tcW w:w="1220" w:type="dxa"/>
            <w:vAlign w:val="bottom"/>
            <w:shd w:val="clear" w:color="auto" w:fill="BF2115"/>
          </w:tcPr>
          <w:p>
            <w:pPr>
              <w:spacing w:after="0"/>
              <w:rPr>
                <w:sz w:val="18"/>
                <w:szCs w:val="18"/>
                <w:color w:val="auto"/>
              </w:rPr>
            </w:pPr>
          </w:p>
        </w:tc>
        <w:tc>
          <w:tcPr>
            <w:tcW w:w="1080" w:type="dxa"/>
            <w:vAlign w:val="bottom"/>
            <w:shd w:val="clear" w:color="auto" w:fill="BF2115"/>
          </w:tcPr>
          <w:p>
            <w:pPr>
              <w:spacing w:after="0"/>
              <w:rPr>
                <w:sz w:val="18"/>
                <w:szCs w:val="18"/>
                <w:color w:val="auto"/>
              </w:rPr>
            </w:pPr>
          </w:p>
        </w:tc>
        <w:tc>
          <w:tcPr>
            <w:tcW w:w="1140" w:type="dxa"/>
            <w:vAlign w:val="bottom"/>
            <w:shd w:val="clear" w:color="auto" w:fill="BF211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 w:type="dxa"/>
            <w:vAlign w:val="bottom"/>
          </w:tcPr>
          <w:p>
            <w:pPr>
              <w:ind w:left="20"/>
              <w:spacing w:after="0"/>
              <w:rPr>
                <w:sz w:val="20"/>
                <w:szCs w:val="20"/>
                <w:color w:val="auto"/>
              </w:rPr>
            </w:pPr>
            <w:r>
              <w:rPr>
                <w:rFonts w:ascii="Arial" w:cs="Arial" w:eastAsia="Arial" w:hAnsi="Arial"/>
                <w:sz w:val="16"/>
                <w:szCs w:val="16"/>
                <w:color w:val="auto"/>
              </w:rPr>
              <w:t>2023</w:t>
            </w:r>
          </w:p>
        </w:tc>
        <w:tc>
          <w:tcPr>
            <w:tcW w:w="1660" w:type="dxa"/>
            <w:vAlign w:val="bottom"/>
          </w:tcPr>
          <w:p>
            <w:pPr>
              <w:ind w:left="180"/>
              <w:spacing w:after="0"/>
              <w:rPr>
                <w:sz w:val="20"/>
                <w:szCs w:val="20"/>
                <w:color w:val="auto"/>
              </w:rPr>
            </w:pPr>
            <w:r>
              <w:rPr>
                <w:rFonts w:ascii="Arial" w:cs="Arial" w:eastAsia="Arial" w:hAnsi="Arial"/>
                <w:sz w:val="16"/>
                <w:szCs w:val="16"/>
                <w:color w:val="auto"/>
              </w:rPr>
              <w:t>Richard M. Olson</w:t>
            </w:r>
          </w:p>
        </w:tc>
        <w:tc>
          <w:tcPr>
            <w:tcW w:w="7680" w:type="dxa"/>
            <w:vAlign w:val="bottom"/>
            <w:gridSpan w:val="6"/>
          </w:tcPr>
          <w:p>
            <w:pPr>
              <w:ind w:left="300"/>
              <w:spacing w:after="0"/>
              <w:rPr>
                <w:sz w:val="20"/>
                <w:szCs w:val="20"/>
                <w:color w:val="auto"/>
              </w:rPr>
            </w:pPr>
            <w:r>
              <w:rPr>
                <w:rFonts w:ascii="Arial" w:cs="Arial" w:eastAsia="Arial" w:hAnsi="Arial"/>
                <w:sz w:val="16"/>
                <w:szCs w:val="16"/>
                <w:color w:val="auto"/>
              </w:rPr>
              <w:t>Angela C. Drake, Renee J. Peterson, Amy E. Dahl, Joanna M. Totsky and Richard W. Rodier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600" w:type="dxa"/>
            <w:vAlign w:val="bottom"/>
            <w:gridSpan w:val="5"/>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2022</w:t>
            </w:r>
          </w:p>
        </w:tc>
        <w:tc>
          <w:tcPr>
            <w:tcW w:w="16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6"/>
                <w:szCs w:val="16"/>
                <w:color w:val="auto"/>
              </w:rPr>
              <w:t>Richard M. Olson</w:t>
            </w:r>
          </w:p>
        </w:tc>
        <w:tc>
          <w:tcPr>
            <w:tcW w:w="6600" w:type="dxa"/>
            <w:vAlign w:val="bottom"/>
            <w:tcBorders>
              <w:bottom w:val="single" w:sz="8" w:color="DBDBDB"/>
            </w:tcBorders>
            <w:gridSpan w:val="5"/>
            <w:shd w:val="clear" w:color="auto" w:fill="DBDBDB"/>
          </w:tcPr>
          <w:p>
            <w:pPr>
              <w:ind w:left="300"/>
              <w:spacing w:after="0"/>
              <w:rPr>
                <w:sz w:val="20"/>
                <w:szCs w:val="20"/>
                <w:color w:val="auto"/>
              </w:rPr>
            </w:pPr>
            <w:r>
              <w:rPr>
                <w:rFonts w:ascii="Arial" w:cs="Arial" w:eastAsia="Arial" w:hAnsi="Arial"/>
                <w:sz w:val="16"/>
                <w:szCs w:val="16"/>
                <w:color w:val="auto"/>
              </w:rPr>
              <w:t>Renee J. Peterson, Kevin N. Carpenter, Richard W. Rodier and Amy E. Dahl</w:t>
            </w:r>
          </w:p>
        </w:tc>
        <w:tc>
          <w:tcPr>
            <w:tcW w:w="108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 w:type="dxa"/>
            <w:vAlign w:val="bottom"/>
          </w:tcPr>
          <w:p>
            <w:pPr>
              <w:ind w:left="20"/>
              <w:spacing w:after="0"/>
              <w:rPr>
                <w:sz w:val="20"/>
                <w:szCs w:val="20"/>
                <w:color w:val="auto"/>
              </w:rPr>
            </w:pPr>
            <w:r>
              <w:rPr>
                <w:rFonts w:ascii="Arial" w:cs="Arial" w:eastAsia="Arial" w:hAnsi="Arial"/>
                <w:sz w:val="16"/>
                <w:szCs w:val="16"/>
                <w:color w:val="auto"/>
              </w:rPr>
              <w:t>2021</w:t>
            </w:r>
          </w:p>
        </w:tc>
        <w:tc>
          <w:tcPr>
            <w:tcW w:w="1660" w:type="dxa"/>
            <w:vAlign w:val="bottom"/>
          </w:tcPr>
          <w:p>
            <w:pPr>
              <w:ind w:left="180"/>
              <w:spacing w:after="0"/>
              <w:rPr>
                <w:sz w:val="20"/>
                <w:szCs w:val="20"/>
                <w:color w:val="auto"/>
              </w:rPr>
            </w:pPr>
            <w:r>
              <w:rPr>
                <w:rFonts w:ascii="Arial" w:cs="Arial" w:eastAsia="Arial" w:hAnsi="Arial"/>
                <w:sz w:val="16"/>
                <w:szCs w:val="16"/>
                <w:color w:val="auto"/>
              </w:rPr>
              <w:t>Richard. M. Olson</w:t>
            </w:r>
          </w:p>
        </w:tc>
        <w:tc>
          <w:tcPr>
            <w:tcW w:w="6600" w:type="dxa"/>
            <w:vAlign w:val="bottom"/>
            <w:gridSpan w:val="5"/>
          </w:tcPr>
          <w:p>
            <w:pPr>
              <w:ind w:left="300"/>
              <w:spacing w:after="0"/>
              <w:rPr>
                <w:sz w:val="20"/>
                <w:szCs w:val="20"/>
                <w:color w:val="auto"/>
              </w:rPr>
            </w:pPr>
            <w:r>
              <w:rPr>
                <w:rFonts w:ascii="Arial" w:cs="Arial" w:eastAsia="Arial" w:hAnsi="Arial"/>
                <w:sz w:val="16"/>
                <w:szCs w:val="16"/>
                <w:color w:val="auto"/>
              </w:rPr>
              <w:t>Renee J. Peterson, Richard W. Rodier, Amy E. Dahl and Bradley A. Hamilton</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340" w:type="dxa"/>
            <w:vAlign w:val="bottom"/>
            <w:gridSpan w:val="2"/>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0" w:type="dxa"/>
            <w:vAlign w:val="bottom"/>
            <w:shd w:val="clear" w:color="auto" w:fill="BF2115"/>
          </w:tcPr>
          <w:p>
            <w:pPr>
              <w:spacing w:after="0"/>
              <w:rPr>
                <w:sz w:val="15"/>
                <w:szCs w:val="15"/>
                <w:color w:val="auto"/>
              </w:rPr>
            </w:pPr>
          </w:p>
        </w:tc>
        <w:tc>
          <w:tcPr>
            <w:tcW w:w="1660" w:type="dxa"/>
            <w:vAlign w:val="bottom"/>
            <w:shd w:val="clear" w:color="auto" w:fill="BF2115"/>
          </w:tcPr>
          <w:p>
            <w:pPr>
              <w:spacing w:after="0"/>
              <w:rPr>
                <w:sz w:val="15"/>
                <w:szCs w:val="15"/>
                <w:color w:val="auto"/>
              </w:rPr>
            </w:pPr>
          </w:p>
        </w:tc>
        <w:tc>
          <w:tcPr>
            <w:tcW w:w="1380" w:type="dxa"/>
            <w:vAlign w:val="bottom"/>
            <w:shd w:val="clear" w:color="auto" w:fill="BF2115"/>
          </w:tcPr>
          <w:p>
            <w:pPr>
              <w:spacing w:after="0"/>
              <w:rPr>
                <w:sz w:val="15"/>
                <w:szCs w:val="15"/>
                <w:color w:val="auto"/>
              </w:rPr>
            </w:pPr>
          </w:p>
        </w:tc>
        <w:tc>
          <w:tcPr>
            <w:tcW w:w="1480" w:type="dxa"/>
            <w:vAlign w:val="bottom"/>
            <w:shd w:val="clear" w:color="auto" w:fill="BF2115"/>
          </w:tcPr>
          <w:p>
            <w:pPr>
              <w:spacing w:after="0"/>
              <w:rPr>
                <w:sz w:val="15"/>
                <w:szCs w:val="15"/>
                <w:color w:val="auto"/>
              </w:rPr>
            </w:pPr>
          </w:p>
        </w:tc>
        <w:tc>
          <w:tcPr>
            <w:tcW w:w="1400" w:type="dxa"/>
            <w:vAlign w:val="bottom"/>
            <w:shd w:val="clear" w:color="auto" w:fill="BF2115"/>
          </w:tcPr>
          <w:p>
            <w:pPr>
              <w:spacing w:after="0"/>
              <w:rPr>
                <w:sz w:val="15"/>
                <w:szCs w:val="15"/>
                <w:color w:val="auto"/>
              </w:rPr>
            </w:pPr>
          </w:p>
        </w:tc>
        <w:tc>
          <w:tcPr>
            <w:tcW w:w="2340" w:type="dxa"/>
            <w:vAlign w:val="bottom"/>
            <w:gridSpan w:val="2"/>
            <w:shd w:val="clear" w:color="auto" w:fill="BF2115"/>
          </w:tcPr>
          <w:p>
            <w:pPr>
              <w:jc w:val="right"/>
              <w:ind w:right="280"/>
              <w:spacing w:after="0"/>
              <w:rPr>
                <w:sz w:val="20"/>
                <w:szCs w:val="20"/>
                <w:color w:val="auto"/>
              </w:rPr>
            </w:pPr>
            <w:r>
              <w:rPr>
                <w:rFonts w:ascii="Arial" w:cs="Arial" w:eastAsia="Arial" w:hAnsi="Arial"/>
                <w:sz w:val="14"/>
                <w:szCs w:val="14"/>
                <w:b w:val="1"/>
                <w:bCs w:val="1"/>
                <w:color w:val="FFFFFF"/>
              </w:rPr>
              <w:t>Value of Initial Fixed $100</w:t>
            </w:r>
          </w:p>
        </w:tc>
        <w:tc>
          <w:tcPr>
            <w:tcW w:w="1080" w:type="dxa"/>
            <w:vAlign w:val="bottom"/>
            <w:shd w:val="clear" w:color="auto" w:fill="BF2115"/>
          </w:tcPr>
          <w:p>
            <w:pPr>
              <w:spacing w:after="0"/>
              <w:rPr>
                <w:sz w:val="15"/>
                <w:szCs w:val="15"/>
                <w:color w:val="auto"/>
              </w:rPr>
            </w:pPr>
          </w:p>
        </w:tc>
        <w:tc>
          <w:tcPr>
            <w:tcW w:w="114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BF2115"/>
          </w:tcPr>
          <w:p>
            <w:pPr>
              <w:spacing w:after="0"/>
              <w:rPr>
                <w:sz w:val="17"/>
                <w:szCs w:val="17"/>
                <w:color w:val="auto"/>
              </w:rPr>
            </w:pPr>
          </w:p>
        </w:tc>
        <w:tc>
          <w:tcPr>
            <w:tcW w:w="1660" w:type="dxa"/>
            <w:vAlign w:val="bottom"/>
            <w:shd w:val="clear" w:color="auto" w:fill="BF2115"/>
          </w:tcPr>
          <w:p>
            <w:pPr>
              <w:spacing w:after="0"/>
              <w:rPr>
                <w:sz w:val="17"/>
                <w:szCs w:val="17"/>
                <w:color w:val="auto"/>
              </w:rPr>
            </w:pPr>
          </w:p>
        </w:tc>
        <w:tc>
          <w:tcPr>
            <w:tcW w:w="1380" w:type="dxa"/>
            <w:vAlign w:val="bottom"/>
            <w:shd w:val="clear" w:color="auto" w:fill="BF2115"/>
          </w:tcPr>
          <w:p>
            <w:pPr>
              <w:spacing w:after="0"/>
              <w:rPr>
                <w:sz w:val="17"/>
                <w:szCs w:val="17"/>
                <w:color w:val="auto"/>
              </w:rPr>
            </w:pPr>
          </w:p>
        </w:tc>
        <w:tc>
          <w:tcPr>
            <w:tcW w:w="1480" w:type="dxa"/>
            <w:vAlign w:val="bottom"/>
            <w:shd w:val="clear" w:color="auto" w:fill="BF2115"/>
          </w:tcPr>
          <w:p>
            <w:pPr>
              <w:spacing w:after="0"/>
              <w:rPr>
                <w:sz w:val="17"/>
                <w:szCs w:val="17"/>
                <w:color w:val="auto"/>
              </w:rPr>
            </w:pPr>
          </w:p>
        </w:tc>
        <w:tc>
          <w:tcPr>
            <w:tcW w:w="1400" w:type="dxa"/>
            <w:vAlign w:val="bottom"/>
            <w:shd w:val="clear" w:color="auto" w:fill="BF2115"/>
          </w:tcPr>
          <w:p>
            <w:pPr>
              <w:spacing w:after="0"/>
              <w:rPr>
                <w:sz w:val="17"/>
                <w:szCs w:val="17"/>
                <w:color w:val="auto"/>
              </w:rPr>
            </w:pPr>
          </w:p>
        </w:tc>
        <w:tc>
          <w:tcPr>
            <w:tcW w:w="2340" w:type="dxa"/>
            <w:vAlign w:val="bottom"/>
            <w:gridSpan w:val="2"/>
            <w:shd w:val="clear" w:color="auto" w:fill="BF2115"/>
          </w:tcPr>
          <w:p>
            <w:pPr>
              <w:jc w:val="right"/>
              <w:ind w:right="380"/>
              <w:spacing w:after="0"/>
              <w:rPr>
                <w:sz w:val="20"/>
                <w:szCs w:val="20"/>
                <w:color w:val="auto"/>
              </w:rPr>
            </w:pPr>
            <w:r>
              <w:rPr>
                <w:rFonts w:ascii="Arial" w:cs="Arial" w:eastAsia="Arial" w:hAnsi="Arial"/>
                <w:sz w:val="14"/>
                <w:szCs w:val="14"/>
                <w:b w:val="1"/>
                <w:bCs w:val="1"/>
                <w:color w:val="FFFFFF"/>
              </w:rPr>
              <w:t>Investment Based On:</w:t>
            </w:r>
          </w:p>
        </w:tc>
        <w:tc>
          <w:tcPr>
            <w:tcW w:w="1080" w:type="dxa"/>
            <w:vAlign w:val="bottom"/>
            <w:shd w:val="clear" w:color="auto" w:fill="BF2115"/>
          </w:tcPr>
          <w:p>
            <w:pPr>
              <w:spacing w:after="0"/>
              <w:rPr>
                <w:sz w:val="17"/>
                <w:szCs w:val="17"/>
                <w:color w:val="auto"/>
              </w:rPr>
            </w:pPr>
          </w:p>
        </w:tc>
        <w:tc>
          <w:tcPr>
            <w:tcW w:w="1140" w:type="dxa"/>
            <w:vAlign w:val="bottom"/>
            <w:shd w:val="clear" w:color="auto" w:fill="BF2115"/>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60" w:type="dxa"/>
            <w:vAlign w:val="bottom"/>
            <w:shd w:val="clear" w:color="auto" w:fill="BF2115"/>
          </w:tcPr>
          <w:p>
            <w:pPr>
              <w:spacing w:after="0"/>
              <w:rPr>
                <w:sz w:val="16"/>
                <w:szCs w:val="16"/>
                <w:color w:val="auto"/>
              </w:rPr>
            </w:pPr>
          </w:p>
        </w:tc>
        <w:tc>
          <w:tcPr>
            <w:tcW w:w="166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Summary</w:t>
            </w:r>
          </w:p>
        </w:tc>
        <w:tc>
          <w:tcPr>
            <w:tcW w:w="138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Compensation</w:t>
            </w:r>
          </w:p>
        </w:tc>
        <w:tc>
          <w:tcPr>
            <w:tcW w:w="14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Average Summary</w:t>
            </w:r>
          </w:p>
        </w:tc>
        <w:tc>
          <w:tcPr>
            <w:tcW w:w="1400" w:type="dxa"/>
            <w:vAlign w:val="bottom"/>
            <w:shd w:val="clear" w:color="auto" w:fill="BF2115"/>
          </w:tcPr>
          <w:p>
            <w:pPr>
              <w:jc w:val="center"/>
              <w:ind w:right="82"/>
              <w:spacing w:after="0"/>
              <w:rPr>
                <w:sz w:val="20"/>
                <w:szCs w:val="20"/>
                <w:color w:val="auto"/>
              </w:rPr>
            </w:pPr>
            <w:r>
              <w:rPr>
                <w:rFonts w:ascii="Arial" w:cs="Arial" w:eastAsia="Arial" w:hAnsi="Arial"/>
                <w:sz w:val="14"/>
                <w:szCs w:val="14"/>
                <w:b w:val="1"/>
                <w:bCs w:val="1"/>
                <w:color w:val="FFFFFF"/>
              </w:rPr>
              <w:t>Average</w:t>
            </w:r>
          </w:p>
        </w:tc>
        <w:tc>
          <w:tcPr>
            <w:tcW w:w="1120" w:type="dxa"/>
            <w:vAlign w:val="bottom"/>
            <w:vMerge w:val="restart"/>
            <w:shd w:val="clear" w:color="auto" w:fill="BF2115"/>
          </w:tcPr>
          <w:p>
            <w:pPr>
              <w:jc w:val="center"/>
              <w:ind w:right="2"/>
              <w:spacing w:after="0"/>
              <w:rPr>
                <w:sz w:val="20"/>
                <w:szCs w:val="20"/>
                <w:color w:val="auto"/>
              </w:rPr>
            </w:pPr>
            <w:r>
              <w:rPr>
                <w:rFonts w:ascii="Arial" w:cs="Arial" w:eastAsia="Arial" w:hAnsi="Arial"/>
                <w:sz w:val="14"/>
                <w:szCs w:val="14"/>
                <w:b w:val="1"/>
                <w:bCs w:val="1"/>
                <w:color w:val="FFFFFF"/>
                <w:w w:val="95"/>
              </w:rPr>
              <w:t>Total</w:t>
            </w:r>
          </w:p>
        </w:tc>
        <w:tc>
          <w:tcPr>
            <w:tcW w:w="122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Peer Group Total</w:t>
            </w:r>
          </w:p>
        </w:tc>
        <w:tc>
          <w:tcPr>
            <w:tcW w:w="1080" w:type="dxa"/>
            <w:vAlign w:val="bottom"/>
            <w:shd w:val="clear" w:color="auto" w:fill="BF2115"/>
          </w:tcPr>
          <w:p>
            <w:pPr>
              <w:spacing w:after="0"/>
              <w:rPr>
                <w:sz w:val="16"/>
                <w:szCs w:val="16"/>
                <w:color w:val="auto"/>
              </w:rPr>
            </w:pPr>
          </w:p>
        </w:tc>
        <w:tc>
          <w:tcPr>
            <w:tcW w:w="1140" w:type="dxa"/>
            <w:vAlign w:val="bottom"/>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BF2115"/>
          </w:tcPr>
          <w:p>
            <w:pPr>
              <w:spacing w:after="0"/>
              <w:rPr>
                <w:sz w:val="12"/>
                <w:szCs w:val="12"/>
                <w:color w:val="auto"/>
              </w:rPr>
            </w:pPr>
          </w:p>
        </w:tc>
        <w:tc>
          <w:tcPr>
            <w:tcW w:w="1660" w:type="dxa"/>
            <w:vAlign w:val="bottom"/>
            <w:vMerge w:val="continue"/>
            <w:shd w:val="clear" w:color="auto" w:fill="BF2115"/>
          </w:tcPr>
          <w:p>
            <w:pPr>
              <w:spacing w:after="0"/>
              <w:rPr>
                <w:sz w:val="12"/>
                <w:szCs w:val="12"/>
                <w:color w:val="auto"/>
              </w:rPr>
            </w:pPr>
          </w:p>
        </w:tc>
        <w:tc>
          <w:tcPr>
            <w:tcW w:w="1380" w:type="dxa"/>
            <w:vAlign w:val="bottom"/>
            <w:vMerge w:val="continue"/>
            <w:shd w:val="clear" w:color="auto" w:fill="BF2115"/>
          </w:tcPr>
          <w:p>
            <w:pPr>
              <w:spacing w:after="0"/>
              <w:rPr>
                <w:sz w:val="12"/>
                <w:szCs w:val="12"/>
                <w:color w:val="auto"/>
              </w:rPr>
            </w:pPr>
          </w:p>
        </w:tc>
        <w:tc>
          <w:tcPr>
            <w:tcW w:w="1480" w:type="dxa"/>
            <w:vAlign w:val="bottom"/>
            <w:shd w:val="clear" w:color="auto" w:fill="BF2115"/>
          </w:tcPr>
          <w:p>
            <w:pPr>
              <w:jc w:val="center"/>
              <w:ind w:right="1"/>
              <w:spacing w:after="0" w:line="149" w:lineRule="exact"/>
              <w:rPr>
                <w:sz w:val="20"/>
                <w:szCs w:val="20"/>
                <w:color w:val="auto"/>
              </w:rPr>
            </w:pPr>
            <w:r>
              <w:rPr>
                <w:rFonts w:ascii="Arial" w:cs="Arial" w:eastAsia="Arial" w:hAnsi="Arial"/>
                <w:sz w:val="14"/>
                <w:szCs w:val="14"/>
                <w:b w:val="1"/>
                <w:bCs w:val="1"/>
                <w:color w:val="FFFFFF"/>
              </w:rPr>
              <w:t>Compensation</w:t>
            </w:r>
          </w:p>
        </w:tc>
        <w:tc>
          <w:tcPr>
            <w:tcW w:w="1400" w:type="dxa"/>
            <w:vAlign w:val="bottom"/>
            <w:shd w:val="clear" w:color="auto" w:fill="BF2115"/>
          </w:tcPr>
          <w:p>
            <w:pPr>
              <w:jc w:val="center"/>
              <w:ind w:right="82"/>
              <w:spacing w:after="0" w:line="149" w:lineRule="exact"/>
              <w:rPr>
                <w:sz w:val="20"/>
                <w:szCs w:val="20"/>
                <w:color w:val="auto"/>
              </w:rPr>
            </w:pPr>
            <w:r>
              <w:rPr>
                <w:rFonts w:ascii="Arial" w:cs="Arial" w:eastAsia="Arial" w:hAnsi="Arial"/>
                <w:sz w:val="14"/>
                <w:szCs w:val="14"/>
                <w:b w:val="1"/>
                <w:bCs w:val="1"/>
                <w:color w:val="FFFFFF"/>
              </w:rPr>
              <w:t>Compensation</w:t>
            </w:r>
          </w:p>
        </w:tc>
        <w:tc>
          <w:tcPr>
            <w:tcW w:w="1120" w:type="dxa"/>
            <w:vAlign w:val="bottom"/>
            <w:vMerge w:val="continue"/>
            <w:shd w:val="clear" w:color="auto" w:fill="BF2115"/>
          </w:tcPr>
          <w:p>
            <w:pPr>
              <w:spacing w:after="0"/>
              <w:rPr>
                <w:sz w:val="12"/>
                <w:szCs w:val="12"/>
                <w:color w:val="auto"/>
              </w:rPr>
            </w:pPr>
          </w:p>
        </w:tc>
        <w:tc>
          <w:tcPr>
            <w:tcW w:w="1220" w:type="dxa"/>
            <w:vAlign w:val="bottom"/>
            <w:vMerge w:val="continue"/>
            <w:shd w:val="clear" w:color="auto" w:fill="BF2115"/>
          </w:tcPr>
          <w:p>
            <w:pPr>
              <w:spacing w:after="0"/>
              <w:rPr>
                <w:sz w:val="12"/>
                <w:szCs w:val="12"/>
                <w:color w:val="auto"/>
              </w:rPr>
            </w:pPr>
          </w:p>
        </w:tc>
        <w:tc>
          <w:tcPr>
            <w:tcW w:w="1080" w:type="dxa"/>
            <w:vAlign w:val="bottom"/>
            <w:shd w:val="clear" w:color="auto" w:fill="BF2115"/>
          </w:tcPr>
          <w:p>
            <w:pPr>
              <w:spacing w:after="0"/>
              <w:rPr>
                <w:sz w:val="12"/>
                <w:szCs w:val="12"/>
                <w:color w:val="auto"/>
              </w:rPr>
            </w:pPr>
          </w:p>
        </w:tc>
        <w:tc>
          <w:tcPr>
            <w:tcW w:w="1140" w:type="dxa"/>
            <w:vAlign w:val="bottom"/>
            <w:shd w:val="clear" w:color="auto" w:fill="BF2115"/>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BF2115"/>
          </w:tcPr>
          <w:p>
            <w:pPr>
              <w:spacing w:after="0"/>
              <w:rPr>
                <w:sz w:val="12"/>
                <w:szCs w:val="12"/>
                <w:color w:val="auto"/>
              </w:rPr>
            </w:pPr>
          </w:p>
        </w:tc>
        <w:tc>
          <w:tcPr>
            <w:tcW w:w="1660" w:type="dxa"/>
            <w:vAlign w:val="bottom"/>
            <w:shd w:val="clear" w:color="auto" w:fill="BF2115"/>
          </w:tcPr>
          <w:p>
            <w:pPr>
              <w:ind w:left="160"/>
              <w:spacing w:after="0" w:line="149" w:lineRule="exact"/>
              <w:rPr>
                <w:sz w:val="20"/>
                <w:szCs w:val="20"/>
                <w:color w:val="auto"/>
              </w:rPr>
            </w:pPr>
            <w:r>
              <w:rPr>
                <w:rFonts w:ascii="Arial" w:cs="Arial" w:eastAsia="Arial" w:hAnsi="Arial"/>
                <w:sz w:val="14"/>
                <w:szCs w:val="14"/>
                <w:b w:val="1"/>
                <w:bCs w:val="1"/>
                <w:color w:val="FFFFFF"/>
              </w:rPr>
              <w:t>Compensation Table</w:t>
            </w:r>
          </w:p>
        </w:tc>
        <w:tc>
          <w:tcPr>
            <w:tcW w:w="1380" w:type="dxa"/>
            <w:vAlign w:val="bottom"/>
            <w:shd w:val="clear" w:color="auto" w:fill="BF2115"/>
          </w:tcPr>
          <w:p>
            <w:pPr>
              <w:jc w:val="center"/>
              <w:spacing w:after="0" w:line="149" w:lineRule="exact"/>
              <w:rPr>
                <w:sz w:val="20"/>
                <w:szCs w:val="20"/>
                <w:color w:val="auto"/>
              </w:rPr>
            </w:pPr>
            <w:r>
              <w:rPr>
                <w:rFonts w:ascii="Arial" w:cs="Arial" w:eastAsia="Arial" w:hAnsi="Arial"/>
                <w:sz w:val="14"/>
                <w:szCs w:val="14"/>
                <w:b w:val="1"/>
                <w:bCs w:val="1"/>
                <w:color w:val="FFFFFF"/>
              </w:rPr>
              <w:t>Actually Paid to</w:t>
            </w:r>
          </w:p>
        </w:tc>
        <w:tc>
          <w:tcPr>
            <w:tcW w:w="1480" w:type="dxa"/>
            <w:vAlign w:val="bottom"/>
            <w:shd w:val="clear" w:color="auto" w:fill="BF2115"/>
          </w:tcPr>
          <w:p>
            <w:pPr>
              <w:jc w:val="center"/>
              <w:spacing w:after="0" w:line="149" w:lineRule="exact"/>
              <w:rPr>
                <w:sz w:val="20"/>
                <w:szCs w:val="20"/>
                <w:color w:val="auto"/>
              </w:rPr>
            </w:pPr>
            <w:r>
              <w:rPr>
                <w:rFonts w:ascii="Arial" w:cs="Arial" w:eastAsia="Arial" w:hAnsi="Arial"/>
                <w:sz w:val="14"/>
                <w:szCs w:val="14"/>
                <w:b w:val="1"/>
                <w:bCs w:val="1"/>
                <w:color w:val="FFFFFF"/>
              </w:rPr>
              <w:t>Table Total for Non-</w:t>
            </w:r>
          </w:p>
        </w:tc>
        <w:tc>
          <w:tcPr>
            <w:tcW w:w="1400" w:type="dxa"/>
            <w:vAlign w:val="bottom"/>
            <w:shd w:val="clear" w:color="auto" w:fill="BF2115"/>
          </w:tcPr>
          <w:p>
            <w:pPr>
              <w:jc w:val="center"/>
              <w:ind w:right="82"/>
              <w:spacing w:after="0" w:line="149" w:lineRule="exact"/>
              <w:rPr>
                <w:sz w:val="20"/>
                <w:szCs w:val="20"/>
                <w:color w:val="auto"/>
              </w:rPr>
            </w:pPr>
            <w:r>
              <w:rPr>
                <w:rFonts w:ascii="Arial" w:cs="Arial" w:eastAsia="Arial" w:hAnsi="Arial"/>
                <w:sz w:val="14"/>
                <w:szCs w:val="14"/>
                <w:b w:val="1"/>
                <w:bCs w:val="1"/>
                <w:color w:val="FFFFFF"/>
              </w:rPr>
              <w:t>Actually Paid to</w:t>
            </w:r>
          </w:p>
        </w:tc>
        <w:tc>
          <w:tcPr>
            <w:tcW w:w="1120" w:type="dxa"/>
            <w:vAlign w:val="bottom"/>
            <w:shd w:val="clear" w:color="auto" w:fill="BF2115"/>
          </w:tcPr>
          <w:p>
            <w:pPr>
              <w:jc w:val="center"/>
              <w:ind w:right="2"/>
              <w:spacing w:after="0" w:line="149" w:lineRule="exact"/>
              <w:rPr>
                <w:sz w:val="20"/>
                <w:szCs w:val="20"/>
                <w:color w:val="auto"/>
              </w:rPr>
            </w:pPr>
            <w:r>
              <w:rPr>
                <w:rFonts w:ascii="Arial" w:cs="Arial" w:eastAsia="Arial" w:hAnsi="Arial"/>
                <w:sz w:val="14"/>
                <w:szCs w:val="14"/>
                <w:b w:val="1"/>
                <w:bCs w:val="1"/>
                <w:color w:val="FFFFFF"/>
              </w:rPr>
              <w:t>Shareholder</w:t>
            </w:r>
          </w:p>
        </w:tc>
        <w:tc>
          <w:tcPr>
            <w:tcW w:w="1220" w:type="dxa"/>
            <w:vAlign w:val="bottom"/>
            <w:shd w:val="clear" w:color="auto" w:fill="BF2115"/>
          </w:tcPr>
          <w:p>
            <w:pPr>
              <w:jc w:val="center"/>
              <w:spacing w:after="0" w:line="149" w:lineRule="exact"/>
              <w:rPr>
                <w:sz w:val="20"/>
                <w:szCs w:val="20"/>
                <w:color w:val="auto"/>
              </w:rPr>
            </w:pPr>
            <w:r>
              <w:rPr>
                <w:rFonts w:ascii="Arial" w:cs="Arial" w:eastAsia="Arial" w:hAnsi="Arial"/>
                <w:sz w:val="14"/>
                <w:szCs w:val="14"/>
                <w:b w:val="1"/>
                <w:bCs w:val="1"/>
                <w:color w:val="FFFFFF"/>
              </w:rPr>
              <w:t>Shareholder</w:t>
            </w:r>
          </w:p>
        </w:tc>
        <w:tc>
          <w:tcPr>
            <w:tcW w:w="1080" w:type="dxa"/>
            <w:vAlign w:val="bottom"/>
            <w:shd w:val="clear" w:color="auto" w:fill="BF2115"/>
          </w:tcPr>
          <w:p>
            <w:pPr>
              <w:spacing w:after="0"/>
              <w:rPr>
                <w:sz w:val="12"/>
                <w:szCs w:val="12"/>
                <w:color w:val="auto"/>
              </w:rPr>
            </w:pPr>
          </w:p>
        </w:tc>
        <w:tc>
          <w:tcPr>
            <w:tcW w:w="1140" w:type="dxa"/>
            <w:vAlign w:val="bottom"/>
            <w:vMerge w:val="restart"/>
            <w:shd w:val="clear" w:color="auto" w:fill="BF2115"/>
          </w:tcPr>
          <w:p>
            <w:pPr>
              <w:jc w:val="right"/>
              <w:ind w:right="177"/>
              <w:spacing w:after="0"/>
              <w:rPr>
                <w:sz w:val="20"/>
                <w:szCs w:val="20"/>
                <w:color w:val="auto"/>
              </w:rPr>
            </w:pPr>
            <w:r>
              <w:rPr>
                <w:rFonts w:ascii="Arial" w:cs="Arial" w:eastAsia="Arial" w:hAnsi="Arial"/>
                <w:sz w:val="14"/>
                <w:szCs w:val="14"/>
                <w:b w:val="1"/>
                <w:bCs w:val="1"/>
                <w:color w:val="FFFFFF"/>
              </w:rPr>
              <w:t>Adjusted</w:t>
            </w:r>
          </w:p>
        </w:tc>
        <w:tc>
          <w:tcPr>
            <w:tcW w:w="0" w:type="dxa"/>
            <w:vAlign w:val="bottom"/>
          </w:tcPr>
          <w:p>
            <w:pPr>
              <w:spacing w:after="0"/>
              <w:rPr>
                <w:sz w:val="1"/>
                <w:szCs w:val="1"/>
                <w:color w:val="auto"/>
              </w:rPr>
            </w:pPr>
          </w:p>
        </w:tc>
      </w:tr>
      <w:tr>
        <w:trPr>
          <w:trHeight w:val="135"/>
        </w:trPr>
        <w:tc>
          <w:tcPr>
            <w:tcW w:w="760" w:type="dxa"/>
            <w:vAlign w:val="bottom"/>
            <w:vMerge w:val="restart"/>
            <w:shd w:val="clear" w:color="auto" w:fill="BF2115"/>
          </w:tcPr>
          <w:p>
            <w:pPr>
              <w:ind w:left="300"/>
              <w:spacing w:after="0"/>
              <w:rPr>
                <w:sz w:val="20"/>
                <w:szCs w:val="20"/>
                <w:color w:val="auto"/>
              </w:rPr>
            </w:pPr>
            <w:r>
              <w:rPr>
                <w:rFonts w:ascii="Arial" w:cs="Arial" w:eastAsia="Arial" w:hAnsi="Arial"/>
                <w:sz w:val="14"/>
                <w:szCs w:val="14"/>
                <w:b w:val="1"/>
                <w:bCs w:val="1"/>
                <w:color w:val="FFFFFF"/>
              </w:rPr>
              <w:t>Year</w:t>
            </w:r>
          </w:p>
        </w:tc>
        <w:tc>
          <w:tcPr>
            <w:tcW w:w="1660" w:type="dxa"/>
            <w:vAlign w:val="bottom"/>
            <w:shd w:val="clear" w:color="auto" w:fill="BF2115"/>
          </w:tcPr>
          <w:p>
            <w:pPr>
              <w:jc w:val="center"/>
              <w:spacing w:after="0" w:line="135" w:lineRule="exact"/>
              <w:rPr>
                <w:sz w:val="20"/>
                <w:szCs w:val="20"/>
                <w:color w:val="auto"/>
              </w:rPr>
            </w:pPr>
            <w:r>
              <w:rPr>
                <w:rFonts w:ascii="Arial" w:cs="Arial" w:eastAsia="Arial" w:hAnsi="Arial"/>
                <w:sz w:val="14"/>
                <w:szCs w:val="14"/>
                <w:b w:val="1"/>
                <w:bCs w:val="1"/>
                <w:color w:val="FFFFFF"/>
              </w:rPr>
              <w:t>Total for PEO</w:t>
            </w:r>
          </w:p>
        </w:tc>
        <w:tc>
          <w:tcPr>
            <w:tcW w:w="1380" w:type="dxa"/>
            <w:vAlign w:val="bottom"/>
            <w:shd w:val="clear" w:color="auto" w:fill="BF2115"/>
          </w:tcPr>
          <w:p>
            <w:pPr>
              <w:jc w:val="center"/>
              <w:spacing w:after="0" w:line="135" w:lineRule="exact"/>
              <w:rPr>
                <w:sz w:val="20"/>
                <w:szCs w:val="20"/>
                <w:color w:val="auto"/>
              </w:rPr>
            </w:pPr>
            <w:r>
              <w:rPr>
                <w:rFonts w:ascii="Arial" w:cs="Arial" w:eastAsia="Arial" w:hAnsi="Arial"/>
                <w:sz w:val="14"/>
                <w:szCs w:val="14"/>
                <w:b w:val="1"/>
                <w:bCs w:val="1"/>
                <w:color w:val="FFFFFF"/>
              </w:rPr>
              <w:t>PEO</w:t>
            </w:r>
          </w:p>
        </w:tc>
        <w:tc>
          <w:tcPr>
            <w:tcW w:w="1480" w:type="dxa"/>
            <w:vAlign w:val="bottom"/>
            <w:shd w:val="clear" w:color="auto" w:fill="BF2115"/>
          </w:tcPr>
          <w:p>
            <w:pPr>
              <w:jc w:val="center"/>
              <w:ind w:right="21"/>
              <w:spacing w:after="0" w:line="135" w:lineRule="exact"/>
              <w:rPr>
                <w:sz w:val="20"/>
                <w:szCs w:val="20"/>
                <w:color w:val="auto"/>
              </w:rPr>
            </w:pPr>
            <w:r>
              <w:rPr>
                <w:rFonts w:ascii="Arial" w:cs="Arial" w:eastAsia="Arial" w:hAnsi="Arial"/>
                <w:sz w:val="14"/>
                <w:szCs w:val="14"/>
                <w:b w:val="1"/>
                <w:bCs w:val="1"/>
                <w:color w:val="FFFFFF"/>
              </w:rPr>
              <w:t>PEO NEOs</w:t>
            </w:r>
          </w:p>
        </w:tc>
        <w:tc>
          <w:tcPr>
            <w:tcW w:w="1400" w:type="dxa"/>
            <w:vAlign w:val="bottom"/>
            <w:shd w:val="clear" w:color="auto" w:fill="BF2115"/>
          </w:tcPr>
          <w:p>
            <w:pPr>
              <w:jc w:val="center"/>
              <w:ind w:right="82"/>
              <w:spacing w:after="0" w:line="135" w:lineRule="exact"/>
              <w:rPr>
                <w:sz w:val="20"/>
                <w:szCs w:val="20"/>
                <w:color w:val="auto"/>
              </w:rPr>
            </w:pPr>
            <w:r>
              <w:rPr>
                <w:rFonts w:ascii="Arial" w:cs="Arial" w:eastAsia="Arial" w:hAnsi="Arial"/>
                <w:sz w:val="14"/>
                <w:szCs w:val="14"/>
                <w:b w:val="1"/>
                <w:bCs w:val="1"/>
                <w:color w:val="FFFFFF"/>
              </w:rPr>
              <w:t>Non-PEO NEOs</w:t>
            </w:r>
          </w:p>
        </w:tc>
        <w:tc>
          <w:tcPr>
            <w:tcW w:w="1120" w:type="dxa"/>
            <w:vAlign w:val="bottom"/>
            <w:shd w:val="clear" w:color="auto" w:fill="BF2115"/>
          </w:tcPr>
          <w:p>
            <w:pPr>
              <w:jc w:val="center"/>
              <w:ind w:right="22"/>
              <w:spacing w:after="0" w:line="135" w:lineRule="exact"/>
              <w:rPr>
                <w:sz w:val="20"/>
                <w:szCs w:val="20"/>
                <w:color w:val="auto"/>
              </w:rPr>
            </w:pPr>
            <w:r>
              <w:rPr>
                <w:rFonts w:ascii="Arial" w:cs="Arial" w:eastAsia="Arial" w:hAnsi="Arial"/>
                <w:sz w:val="14"/>
                <w:szCs w:val="14"/>
                <w:b w:val="1"/>
                <w:bCs w:val="1"/>
                <w:color w:val="FFFFFF"/>
              </w:rPr>
              <w:t>Return</w:t>
            </w:r>
          </w:p>
        </w:tc>
        <w:tc>
          <w:tcPr>
            <w:tcW w:w="1220" w:type="dxa"/>
            <w:vAlign w:val="bottom"/>
            <w:shd w:val="clear" w:color="auto" w:fill="BF2115"/>
          </w:tcPr>
          <w:p>
            <w:pPr>
              <w:jc w:val="center"/>
              <w:spacing w:after="0" w:line="135" w:lineRule="exact"/>
              <w:rPr>
                <w:sz w:val="20"/>
                <w:szCs w:val="20"/>
                <w:color w:val="auto"/>
              </w:rPr>
            </w:pPr>
            <w:r>
              <w:rPr>
                <w:rFonts w:ascii="Arial" w:cs="Arial" w:eastAsia="Arial" w:hAnsi="Arial"/>
                <w:sz w:val="14"/>
                <w:szCs w:val="14"/>
                <w:b w:val="1"/>
                <w:bCs w:val="1"/>
                <w:color w:val="FFFFFF"/>
              </w:rPr>
              <w:t>Return</w:t>
            </w:r>
          </w:p>
        </w:tc>
        <w:tc>
          <w:tcPr>
            <w:tcW w:w="1080" w:type="dxa"/>
            <w:vAlign w:val="bottom"/>
            <w:vMerge w:val="restart"/>
            <w:shd w:val="clear" w:color="auto" w:fill="BF2115"/>
          </w:tcPr>
          <w:p>
            <w:pPr>
              <w:jc w:val="right"/>
              <w:spacing w:after="0"/>
              <w:rPr>
                <w:sz w:val="20"/>
                <w:szCs w:val="20"/>
                <w:color w:val="auto"/>
              </w:rPr>
            </w:pPr>
            <w:r>
              <w:rPr>
                <w:rFonts w:ascii="Arial" w:cs="Arial" w:eastAsia="Arial" w:hAnsi="Arial"/>
                <w:sz w:val="14"/>
                <w:szCs w:val="14"/>
                <w:b w:val="1"/>
                <w:bCs w:val="1"/>
                <w:color w:val="FFFFFF"/>
              </w:rPr>
              <w:t>Net Income($)</w:t>
            </w:r>
            <w:r>
              <w:rPr>
                <w:rFonts w:ascii="Arial" w:cs="Arial" w:eastAsia="Arial" w:hAnsi="Arial"/>
                <w:sz w:val="9"/>
                <w:szCs w:val="9"/>
                <w:b w:val="1"/>
                <w:bCs w:val="1"/>
                <w:color w:val="FFFFFF"/>
              </w:rPr>
              <w:t>4</w:t>
            </w:r>
          </w:p>
        </w:tc>
        <w:tc>
          <w:tcPr>
            <w:tcW w:w="1140" w:type="dxa"/>
            <w:vAlign w:val="bottom"/>
            <w:vMerge w:val="continue"/>
            <w:shd w:val="clear" w:color="auto" w:fill="BF2115"/>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60" w:type="dxa"/>
            <w:vAlign w:val="bottom"/>
            <w:vMerge w:val="continue"/>
            <w:shd w:val="clear" w:color="auto" w:fill="BF2115"/>
          </w:tcPr>
          <w:p>
            <w:pPr>
              <w:spacing w:after="0"/>
              <w:rPr>
                <w:sz w:val="16"/>
                <w:szCs w:val="16"/>
                <w:color w:val="auto"/>
              </w:rPr>
            </w:pP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9"/>
              </w:rPr>
              <w:t>($)</w:t>
            </w:r>
            <w:r>
              <w:rPr>
                <w:rFonts w:ascii="Arial" w:cs="Arial" w:eastAsia="Arial" w:hAnsi="Arial"/>
                <w:sz w:val="9"/>
                <w:szCs w:val="9"/>
                <w:b w:val="1"/>
                <w:bCs w:val="1"/>
                <w:color w:val="FFFFFF"/>
                <w:w w:val="99"/>
              </w:rPr>
              <w:t>1</w:t>
            </w:r>
          </w:p>
        </w:tc>
        <w:tc>
          <w:tcPr>
            <w:tcW w:w="14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BF2115"/>
          </w:tcPr>
          <w:p>
            <w:pPr>
              <w:jc w:val="center"/>
              <w:ind w:right="82"/>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1120" w:type="dxa"/>
            <w:vAlign w:val="bottom"/>
            <w:shd w:val="clear" w:color="auto" w:fill="BF2115"/>
          </w:tcPr>
          <w:p>
            <w:pPr>
              <w:jc w:val="center"/>
              <w:ind w:right="2"/>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9"/>
                <w:szCs w:val="9"/>
                <w:b w:val="1"/>
                <w:bCs w:val="1"/>
                <w:color w:val="FFFFFF"/>
              </w:rPr>
              <w:t>2</w:t>
            </w:r>
          </w:p>
        </w:tc>
        <w:tc>
          <w:tcPr>
            <w:tcW w:w="12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9"/>
                <w:szCs w:val="9"/>
                <w:b w:val="1"/>
                <w:bCs w:val="1"/>
                <w:color w:val="FFFFFF"/>
              </w:rPr>
              <w:t>3</w:t>
            </w:r>
          </w:p>
        </w:tc>
        <w:tc>
          <w:tcPr>
            <w:tcW w:w="1080" w:type="dxa"/>
            <w:vAlign w:val="bottom"/>
            <w:vMerge w:val="continue"/>
            <w:shd w:val="clear" w:color="auto" w:fill="BF2115"/>
          </w:tcPr>
          <w:p>
            <w:pPr>
              <w:spacing w:after="0"/>
              <w:rPr>
                <w:sz w:val="16"/>
                <w:szCs w:val="16"/>
                <w:color w:val="auto"/>
              </w:rPr>
            </w:pPr>
          </w:p>
        </w:tc>
        <w:tc>
          <w:tcPr>
            <w:tcW w:w="1140" w:type="dxa"/>
            <w:vAlign w:val="bottom"/>
            <w:shd w:val="clear" w:color="auto" w:fill="BF2115"/>
          </w:tcPr>
          <w:p>
            <w:pPr>
              <w:jc w:val="right"/>
              <w:spacing w:after="0" w:line="189" w:lineRule="exact"/>
              <w:rPr>
                <w:sz w:val="20"/>
                <w:szCs w:val="20"/>
                <w:color w:val="auto"/>
              </w:rPr>
            </w:pPr>
            <w:r>
              <w:rPr>
                <w:rFonts w:ascii="Arial" w:cs="Arial" w:eastAsia="Arial" w:hAnsi="Arial"/>
                <w:sz w:val="14"/>
                <w:szCs w:val="14"/>
                <w:b w:val="1"/>
                <w:bCs w:val="1"/>
                <w:color w:val="FFFFFF"/>
              </w:rPr>
              <w:t>Diluted EPS($)</w:t>
            </w:r>
            <w:r>
              <w:rPr>
                <w:rFonts w:ascii="Arial" w:cs="Arial" w:eastAsia="Arial" w:hAnsi="Arial"/>
                <w:sz w:val="18"/>
                <w:szCs w:val="18"/>
                <w:b w:val="1"/>
                <w:bCs w:val="1"/>
                <w:color w:val="FFFFFF"/>
                <w:vertAlign w:val="superscript"/>
              </w:rPr>
              <w:t>5</w:t>
            </w:r>
          </w:p>
        </w:tc>
        <w:tc>
          <w:tcPr>
            <w:tcW w:w="0" w:type="dxa"/>
            <w:vAlign w:val="bottom"/>
          </w:tcPr>
          <w:p>
            <w:pPr>
              <w:spacing w:after="0"/>
              <w:rPr>
                <w:sz w:val="1"/>
                <w:szCs w:val="1"/>
                <w:color w:val="auto"/>
              </w:rPr>
            </w:pPr>
          </w:p>
        </w:tc>
      </w:tr>
      <w:tr>
        <w:trPr>
          <w:trHeight w:val="229"/>
        </w:trPr>
        <w:tc>
          <w:tcPr>
            <w:tcW w:w="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2023</w:t>
            </w:r>
          </w:p>
        </w:tc>
        <w:tc>
          <w:tcPr>
            <w:tcW w:w="1660" w:type="dxa"/>
            <w:vAlign w:val="bottom"/>
            <w:shd w:val="clear" w:color="auto" w:fill="DBDBDB"/>
          </w:tcPr>
          <w:p>
            <w:pPr>
              <w:jc w:val="right"/>
              <w:ind w:right="21"/>
              <w:spacing w:after="0"/>
              <w:rPr>
                <w:sz w:val="20"/>
                <w:szCs w:val="20"/>
                <w:color w:val="auto"/>
              </w:rPr>
            </w:pPr>
            <w:r>
              <w:rPr>
                <w:rFonts w:ascii="Arial" w:cs="Arial" w:eastAsia="Arial" w:hAnsi="Arial"/>
                <w:sz w:val="18"/>
                <w:szCs w:val="18"/>
                <w:color w:val="auto"/>
              </w:rPr>
              <w:t>9,025,811</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547,678</w:t>
            </w:r>
          </w:p>
        </w:tc>
        <w:tc>
          <w:tcPr>
            <w:tcW w:w="1480" w:type="dxa"/>
            <w:vAlign w:val="bottom"/>
            <w:shd w:val="clear" w:color="auto" w:fill="DBDBDB"/>
          </w:tcPr>
          <w:p>
            <w:pPr>
              <w:jc w:val="right"/>
              <w:ind w:right="81"/>
              <w:spacing w:after="0"/>
              <w:rPr>
                <w:sz w:val="20"/>
                <w:szCs w:val="20"/>
                <w:color w:val="auto"/>
              </w:rPr>
            </w:pPr>
            <w:r>
              <w:rPr>
                <w:rFonts w:ascii="Arial" w:cs="Arial" w:eastAsia="Arial" w:hAnsi="Arial"/>
                <w:sz w:val="18"/>
                <w:szCs w:val="18"/>
                <w:color w:val="auto"/>
              </w:rPr>
              <w:t>1,905,612</w:t>
            </w:r>
          </w:p>
        </w:tc>
        <w:tc>
          <w:tcPr>
            <w:tcW w:w="1400" w:type="dxa"/>
            <w:vAlign w:val="bottom"/>
            <w:shd w:val="clear" w:color="auto" w:fill="DBDBDB"/>
          </w:tcPr>
          <w:p>
            <w:pPr>
              <w:jc w:val="center"/>
              <w:ind w:left="342"/>
              <w:spacing w:after="0"/>
              <w:rPr>
                <w:sz w:val="20"/>
                <w:szCs w:val="20"/>
                <w:color w:val="auto"/>
              </w:rPr>
            </w:pPr>
            <w:r>
              <w:rPr>
                <w:rFonts w:ascii="Arial" w:cs="Arial" w:eastAsia="Arial" w:hAnsi="Arial"/>
                <w:sz w:val="18"/>
                <w:szCs w:val="18"/>
                <w:color w:val="auto"/>
              </w:rPr>
              <w:t>485,389</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102</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329.7</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color w:val="auto"/>
              </w:rPr>
              <w:t>2022</w:t>
            </w:r>
          </w:p>
        </w:tc>
        <w:tc>
          <w:tcPr>
            <w:tcW w:w="1660" w:type="dxa"/>
            <w:vAlign w:val="bottom"/>
          </w:tcPr>
          <w:p>
            <w:pPr>
              <w:jc w:val="right"/>
              <w:ind w:right="21"/>
              <w:spacing w:after="0"/>
              <w:rPr>
                <w:sz w:val="20"/>
                <w:szCs w:val="20"/>
                <w:color w:val="auto"/>
              </w:rPr>
            </w:pPr>
            <w:r>
              <w:rPr>
                <w:rFonts w:ascii="Arial" w:cs="Arial" w:eastAsia="Arial" w:hAnsi="Arial"/>
                <w:sz w:val="18"/>
                <w:szCs w:val="18"/>
                <w:color w:val="auto"/>
              </w:rPr>
              <w:t>7,311,953</w:t>
            </w:r>
          </w:p>
        </w:tc>
        <w:tc>
          <w:tcPr>
            <w:tcW w:w="1380" w:type="dxa"/>
            <w:vAlign w:val="bottom"/>
          </w:tcPr>
          <w:p>
            <w:pPr>
              <w:jc w:val="right"/>
              <w:spacing w:after="0"/>
              <w:rPr>
                <w:sz w:val="20"/>
                <w:szCs w:val="20"/>
                <w:color w:val="auto"/>
              </w:rPr>
            </w:pPr>
            <w:r>
              <w:rPr>
                <w:rFonts w:ascii="Arial" w:cs="Arial" w:eastAsia="Arial" w:hAnsi="Arial"/>
                <w:sz w:val="18"/>
                <w:szCs w:val="18"/>
                <w:color w:val="auto"/>
              </w:rPr>
              <w:t>10,442,137</w:t>
            </w:r>
          </w:p>
        </w:tc>
        <w:tc>
          <w:tcPr>
            <w:tcW w:w="1480" w:type="dxa"/>
            <w:vAlign w:val="bottom"/>
          </w:tcPr>
          <w:p>
            <w:pPr>
              <w:jc w:val="right"/>
              <w:ind w:right="21"/>
              <w:spacing w:after="0"/>
              <w:rPr>
                <w:sz w:val="20"/>
                <w:szCs w:val="20"/>
                <w:color w:val="auto"/>
              </w:rPr>
            </w:pPr>
            <w:r>
              <w:rPr>
                <w:rFonts w:ascii="Arial" w:cs="Arial" w:eastAsia="Arial" w:hAnsi="Arial"/>
                <w:sz w:val="18"/>
                <w:szCs w:val="18"/>
                <w:color w:val="auto"/>
              </w:rPr>
              <w:t>2,316,841</w:t>
            </w:r>
          </w:p>
        </w:tc>
        <w:tc>
          <w:tcPr>
            <w:tcW w:w="1400" w:type="dxa"/>
            <w:vAlign w:val="bottom"/>
          </w:tcPr>
          <w:p>
            <w:pPr>
              <w:jc w:val="center"/>
              <w:ind w:left="322"/>
              <w:spacing w:after="0"/>
              <w:rPr>
                <w:sz w:val="20"/>
                <w:szCs w:val="20"/>
                <w:color w:val="auto"/>
              </w:rPr>
            </w:pPr>
            <w:r>
              <w:rPr>
                <w:rFonts w:ascii="Arial" w:cs="Arial" w:eastAsia="Arial" w:hAnsi="Arial"/>
                <w:sz w:val="18"/>
                <w:szCs w:val="18"/>
                <w:color w:val="auto"/>
                <w:w w:val="99"/>
              </w:rPr>
              <w:t>2,831,673</w:t>
            </w:r>
          </w:p>
        </w:tc>
        <w:tc>
          <w:tcPr>
            <w:tcW w:w="1120" w:type="dxa"/>
            <w:vAlign w:val="bottom"/>
          </w:tcPr>
          <w:p>
            <w:pPr>
              <w:jc w:val="right"/>
              <w:spacing w:after="0"/>
              <w:rPr>
                <w:sz w:val="20"/>
                <w:szCs w:val="20"/>
                <w:color w:val="auto"/>
              </w:rPr>
            </w:pPr>
            <w:r>
              <w:rPr>
                <w:rFonts w:ascii="Arial" w:cs="Arial" w:eastAsia="Arial" w:hAnsi="Arial"/>
                <w:sz w:val="18"/>
                <w:szCs w:val="18"/>
                <w:color w:val="auto"/>
              </w:rPr>
              <w:t>132</w:t>
            </w: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c>
          <w:tcPr>
            <w:tcW w:w="1080" w:type="dxa"/>
            <w:vAlign w:val="bottom"/>
          </w:tcPr>
          <w:p>
            <w:pPr>
              <w:jc w:val="right"/>
              <w:spacing w:after="0"/>
              <w:rPr>
                <w:sz w:val="20"/>
                <w:szCs w:val="20"/>
                <w:color w:val="auto"/>
              </w:rPr>
            </w:pPr>
            <w:r>
              <w:rPr>
                <w:rFonts w:ascii="Arial" w:cs="Arial" w:eastAsia="Arial" w:hAnsi="Arial"/>
                <w:sz w:val="18"/>
                <w:szCs w:val="18"/>
                <w:color w:val="auto"/>
              </w:rPr>
              <w:t>443.3</w:t>
            </w:r>
          </w:p>
        </w:tc>
        <w:tc>
          <w:tcPr>
            <w:tcW w:w="114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2021</w:t>
            </w:r>
          </w:p>
        </w:tc>
        <w:tc>
          <w:tcPr>
            <w:tcW w:w="1660" w:type="dxa"/>
            <w:vAlign w:val="bottom"/>
            <w:shd w:val="clear" w:color="auto" w:fill="DBDBDB"/>
          </w:tcPr>
          <w:p>
            <w:pPr>
              <w:jc w:val="right"/>
              <w:ind w:right="21"/>
              <w:spacing w:after="0"/>
              <w:rPr>
                <w:sz w:val="20"/>
                <w:szCs w:val="20"/>
                <w:color w:val="auto"/>
              </w:rPr>
            </w:pPr>
            <w:r>
              <w:rPr>
                <w:rFonts w:ascii="Arial" w:cs="Arial" w:eastAsia="Arial" w:hAnsi="Arial"/>
                <w:sz w:val="18"/>
                <w:szCs w:val="18"/>
                <w:color w:val="auto"/>
              </w:rPr>
              <w:t>8,629,851</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14,493,119</w:t>
            </w:r>
          </w:p>
        </w:tc>
        <w:tc>
          <w:tcPr>
            <w:tcW w:w="1480" w:type="dxa"/>
            <w:vAlign w:val="bottom"/>
            <w:shd w:val="clear" w:color="auto" w:fill="DBDBDB"/>
          </w:tcPr>
          <w:p>
            <w:pPr>
              <w:jc w:val="right"/>
              <w:ind w:right="21"/>
              <w:spacing w:after="0"/>
              <w:rPr>
                <w:sz w:val="20"/>
                <w:szCs w:val="20"/>
                <w:color w:val="auto"/>
              </w:rPr>
            </w:pPr>
            <w:r>
              <w:rPr>
                <w:rFonts w:ascii="Arial" w:cs="Arial" w:eastAsia="Arial" w:hAnsi="Arial"/>
                <w:sz w:val="18"/>
                <w:szCs w:val="18"/>
                <w:color w:val="auto"/>
              </w:rPr>
              <w:t>2,244,282</w:t>
            </w:r>
          </w:p>
        </w:tc>
        <w:tc>
          <w:tcPr>
            <w:tcW w:w="1400" w:type="dxa"/>
            <w:vAlign w:val="bottom"/>
            <w:shd w:val="clear" w:color="auto" w:fill="DBDBDB"/>
          </w:tcPr>
          <w:p>
            <w:pPr>
              <w:jc w:val="center"/>
              <w:ind w:left="322"/>
              <w:spacing w:after="0"/>
              <w:rPr>
                <w:sz w:val="20"/>
                <w:szCs w:val="20"/>
                <w:color w:val="auto"/>
              </w:rPr>
            </w:pPr>
            <w:r>
              <w:rPr>
                <w:rFonts w:ascii="Arial" w:cs="Arial" w:eastAsia="Arial" w:hAnsi="Arial"/>
                <w:sz w:val="18"/>
                <w:szCs w:val="18"/>
                <w:color w:val="auto"/>
                <w:w w:val="99"/>
              </w:rPr>
              <w:t>3,334,008</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409.9</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-959485</wp:posOffset>
            </wp:positionV>
            <wp:extent cx="152590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25905" cy="17145"/>
                    </a:xfrm>
                    <a:prstGeom prst="rect">
                      <a:avLst/>
                    </a:prstGeom>
                    <a:noFill/>
                  </pic:spPr>
                </pic:pic>
              </a:graphicData>
            </a:graphic>
          </wp:anchor>
        </w:drawing>
      </w:r>
    </w:p>
    <w:p>
      <w:pPr>
        <w:spacing w:after="0" w:line="353" w:lineRule="exact"/>
        <w:rPr>
          <w:sz w:val="20"/>
          <w:szCs w:val="20"/>
          <w:color w:val="auto"/>
        </w:rPr>
      </w:pPr>
    </w:p>
    <w:p>
      <w:pPr>
        <w:ind w:left="340" w:right="40" w:hanging="332"/>
        <w:spacing w:after="0" w:line="241" w:lineRule="auto"/>
        <w:tabs>
          <w:tab w:leader="none" w:pos="3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dollar amounts reported in this column represent the amount of "compensation actually paid" as computed in accordance with Item 402(v) of Regulation S-K. Details on these amounts can be found in the PEO Compensation and Average Non-PEO NEO Compensation information on the following pages. The dollars amounts do not reflect the actual amount of compensation earned by or paid to our PEO or NEOs during the applicable fiscal year.</w:t>
      </w:r>
    </w:p>
    <w:p>
      <w:pPr>
        <w:spacing w:after="0" w:line="19" w:lineRule="exact"/>
        <w:rPr>
          <w:rFonts w:ascii="Arial" w:cs="Arial" w:eastAsia="Arial" w:hAnsi="Arial"/>
          <w:sz w:val="18"/>
          <w:szCs w:val="18"/>
          <w:color w:val="auto"/>
        </w:rPr>
      </w:pPr>
    </w:p>
    <w:p>
      <w:pPr>
        <w:ind w:left="340" w:right="40" w:hanging="332"/>
        <w:spacing w:after="0" w:line="241" w:lineRule="auto"/>
        <w:tabs>
          <w:tab w:leader="none" w:pos="3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Total Shareholder Return (TSR) assumes $100 is invested as of October 31, 2020. TSR represents cumulative return over the applicable period and is calculated by dividing the sum of the cumulative amount of dividends for the measurement period, assuming dividend reinvestment, and the difference between our stock price at the end and the beginning of the measurement period by our stock price at the beginning of the measurement period.</w:t>
      </w:r>
    </w:p>
    <w:p>
      <w:pPr>
        <w:spacing w:after="0" w:line="19" w:lineRule="exact"/>
        <w:rPr>
          <w:rFonts w:ascii="Arial" w:cs="Arial" w:eastAsia="Arial" w:hAnsi="Arial"/>
          <w:sz w:val="18"/>
          <w:szCs w:val="18"/>
          <w:color w:val="auto"/>
        </w:rPr>
      </w:pPr>
    </w:p>
    <w:p>
      <w:pPr>
        <w:ind w:left="340" w:right="120" w:hanging="332"/>
        <w:spacing w:after="0" w:line="236" w:lineRule="auto"/>
        <w:tabs>
          <w:tab w:leader="none" w:pos="3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Peer Group TSR used for this calculation is based on the S&amp;P 500 Industrial Machinery Index, which we also use for purposes of our stock performance graph in our most recent annual report on Form 10-K for the fiscal year ended October 31, 2023. The peer group TSR is calculated using the same methodology as describe in footnote 2 above, with the returns of each component company of this group weighted according to the respective company's stock market capitalization at the beginning of each period for which a return is indicated.</w:t>
      </w:r>
    </w:p>
    <w:p>
      <w:pPr>
        <w:spacing w:after="0" w:line="21" w:lineRule="exact"/>
        <w:rPr>
          <w:rFonts w:ascii="Arial" w:cs="Arial" w:eastAsia="Arial" w:hAnsi="Arial"/>
          <w:sz w:val="18"/>
          <w:szCs w:val="18"/>
          <w:color w:val="auto"/>
        </w:rPr>
      </w:pPr>
    </w:p>
    <w:p>
      <w:pPr>
        <w:ind w:left="340" w:right="20" w:hanging="332"/>
        <w:spacing w:after="0" w:line="258" w:lineRule="auto"/>
        <w:tabs>
          <w:tab w:leader="none" w:pos="3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Amounts reported represent the amount of net earnings reflected in our audited consolidated financial statements for the applicable fiscal year, as reported in our annual report on Form 10-K for the such fiscal year.</w:t>
      </w:r>
    </w:p>
    <w:p>
      <w:pPr>
        <w:ind w:left="340" w:right="100" w:hanging="332"/>
        <w:spacing w:after="0" w:line="236" w:lineRule="auto"/>
        <w:tabs>
          <w:tab w:leader="none" w:pos="3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Amounts reports represent the amount of adjusted diluted EPS, which is a non-GAAP financial measure that is calculated by taking adjusted net Earnings and dividing by diluted shares outstanding. While we use several financial performance measures for purposes of evaluating performance for our compensation programs, we have determined that the adjusted diluted EPS is the financial performance measure that, in our assessment, represents the most important performance measure (that is not otherwise required to be disclosed in the table) that we use to link compensation actually paid to our NEOs, for the most recently completed fiscal year, to our performance. Note that adjusted diluted EPS for fiscal 2022 as used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71" w:name="page72"/>
    <w:bookmarkEnd w:id="71"/>
    <w:p>
      <w:pPr>
        <w:ind w:left="340"/>
        <w:spacing w:after="0"/>
        <w:rPr>
          <w:sz w:val="20"/>
          <w:szCs w:val="20"/>
          <w:color w:val="auto"/>
        </w:rPr>
      </w:pPr>
      <w:r>
        <w:rPr>
          <w:rFonts w:ascii="Arial" w:cs="Arial" w:eastAsia="Arial" w:hAnsi="Arial"/>
          <w:sz w:val="18"/>
          <w:szCs w:val="18"/>
          <w:color w:val="auto"/>
        </w:rPr>
        <w:t>financial performance measure to link compensation actually paid to our NEOs is different than adjusted diluted EPS as presented in our</w:t>
      </w:r>
    </w:p>
    <w:p>
      <w:pPr>
        <w:spacing w:after="0" w:line="14" w:lineRule="exact"/>
        <w:rPr>
          <w:sz w:val="20"/>
          <w:szCs w:val="20"/>
          <w:color w:val="auto"/>
        </w:rPr>
      </w:pPr>
    </w:p>
    <w:p>
      <w:pPr>
        <w:ind w:left="340" w:right="380"/>
        <w:spacing w:after="0"/>
        <w:rPr>
          <w:sz w:val="20"/>
          <w:szCs w:val="20"/>
          <w:color w:val="auto"/>
        </w:rPr>
      </w:pPr>
      <w:r>
        <w:rPr>
          <w:rFonts w:ascii="Arial" w:cs="Arial" w:eastAsia="Arial" w:hAnsi="Arial"/>
          <w:sz w:val="17"/>
          <w:szCs w:val="17"/>
          <w:color w:val="auto"/>
        </w:rPr>
        <w:t>earnings release since the adjusted diluted EPS used as a financial performance measure to link compensation actually paid to our NEOs reflects an adjustment of $(.04) based on defined acquisition-related adjustment events at the beginning of the fiscal year and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approved by the Compensation &amp; HR Committee.</w:t>
      </w:r>
    </w:p>
    <w:p>
      <w:pPr>
        <w:spacing w:after="0" w:line="86"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b w:val="1"/>
          <w:bCs w:val="1"/>
          <w:color w:val="auto"/>
        </w:rPr>
        <w:t xml:space="preserve">PEO Compensation. </w:t>
      </w:r>
      <w:r>
        <w:rPr>
          <w:rFonts w:ascii="Arial" w:cs="Arial" w:eastAsia="Arial" w:hAnsi="Arial"/>
          <w:sz w:val="18"/>
          <w:szCs w:val="18"/>
          <w:color w:val="auto"/>
        </w:rPr>
        <w:t>To determine the amounts in column (c) in the PvP table, the following adjustments were made to the PEO's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as reported in the Summary Compensation Table, in accordance with Item 402(v) of Regulation S-K.</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80" w:type="dxa"/>
            <w:vAlign w:val="bottom"/>
            <w:shd w:val="clear" w:color="auto" w:fill="BF2115"/>
          </w:tcPr>
          <w:p>
            <w:pPr>
              <w:spacing w:after="0"/>
              <w:rPr>
                <w:sz w:val="14"/>
                <w:szCs w:val="14"/>
                <w:color w:val="auto"/>
              </w:rPr>
            </w:pPr>
          </w:p>
        </w:tc>
        <w:tc>
          <w:tcPr>
            <w:tcW w:w="1760" w:type="dxa"/>
            <w:vAlign w:val="bottom"/>
            <w:shd w:val="clear" w:color="auto" w:fill="BF2115"/>
          </w:tcPr>
          <w:p>
            <w:pPr>
              <w:spacing w:after="0"/>
              <w:rPr>
                <w:sz w:val="14"/>
                <w:szCs w:val="14"/>
                <w:color w:val="auto"/>
              </w:rPr>
            </w:pPr>
          </w:p>
        </w:tc>
        <w:tc>
          <w:tcPr>
            <w:tcW w:w="1720" w:type="dxa"/>
            <w:vAlign w:val="bottom"/>
            <w:shd w:val="clear" w:color="auto" w:fill="BF2115"/>
          </w:tcPr>
          <w:p>
            <w:pPr>
              <w:spacing w:after="0"/>
              <w:rPr>
                <w:sz w:val="14"/>
                <w:szCs w:val="14"/>
                <w:color w:val="auto"/>
              </w:rPr>
            </w:pPr>
          </w:p>
        </w:tc>
        <w:tc>
          <w:tcPr>
            <w:tcW w:w="150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Equity Award</w:t>
            </w:r>
          </w:p>
        </w:tc>
        <w:tc>
          <w:tcPr>
            <w:tcW w:w="1740" w:type="dxa"/>
            <w:vAlign w:val="bottom"/>
            <w:shd w:val="clear" w:color="auto" w:fill="BF2115"/>
          </w:tcPr>
          <w:p>
            <w:pPr>
              <w:jc w:val="center"/>
              <w:ind w:right="4"/>
              <w:spacing w:after="0"/>
              <w:rPr>
                <w:sz w:val="20"/>
                <w:szCs w:val="20"/>
                <w:color w:val="auto"/>
              </w:rPr>
            </w:pPr>
            <w:r>
              <w:rPr>
                <w:rFonts w:ascii="Arial" w:cs="Arial" w:eastAsia="Arial" w:hAnsi="Arial"/>
                <w:sz w:val="14"/>
                <w:szCs w:val="14"/>
                <w:color w:val="FFFFFF"/>
              </w:rPr>
              <w:t>Change in the Actuarial</w:t>
            </w:r>
          </w:p>
        </w:tc>
        <w:tc>
          <w:tcPr>
            <w:tcW w:w="1720" w:type="dxa"/>
            <w:vAlign w:val="bottom"/>
            <w:shd w:val="clear" w:color="auto" w:fill="BF2115"/>
          </w:tcPr>
          <w:p>
            <w:pPr>
              <w:spacing w:after="0"/>
              <w:rPr>
                <w:sz w:val="14"/>
                <w:szCs w:val="14"/>
                <w:color w:val="auto"/>
              </w:rPr>
            </w:pPr>
          </w:p>
        </w:tc>
        <w:tc>
          <w:tcPr>
            <w:tcW w:w="1540" w:type="dxa"/>
            <w:vAlign w:val="bottom"/>
            <w:shd w:val="clear" w:color="auto" w:fill="BF2115"/>
          </w:tcPr>
          <w:p>
            <w:pPr>
              <w:spacing w:after="0"/>
              <w:rPr>
                <w:sz w:val="14"/>
                <w:szCs w:val="14"/>
                <w:color w:val="auto"/>
              </w:rPr>
            </w:pPr>
          </w:p>
        </w:tc>
      </w:tr>
      <w:tr>
        <w:trPr>
          <w:trHeight w:val="148"/>
        </w:trPr>
        <w:tc>
          <w:tcPr>
            <w:tcW w:w="880" w:type="dxa"/>
            <w:vAlign w:val="bottom"/>
            <w:shd w:val="clear" w:color="auto" w:fill="BF2115"/>
          </w:tcPr>
          <w:p>
            <w:pPr>
              <w:spacing w:after="0"/>
              <w:rPr>
                <w:sz w:val="12"/>
                <w:szCs w:val="12"/>
                <w:color w:val="auto"/>
              </w:rPr>
            </w:pPr>
          </w:p>
        </w:tc>
        <w:tc>
          <w:tcPr>
            <w:tcW w:w="1760" w:type="dxa"/>
            <w:vAlign w:val="bottom"/>
            <w:shd w:val="clear" w:color="auto" w:fill="BF2115"/>
          </w:tcPr>
          <w:p>
            <w:pPr>
              <w:spacing w:after="0"/>
              <w:rPr>
                <w:sz w:val="12"/>
                <w:szCs w:val="12"/>
                <w:color w:val="auto"/>
              </w:rPr>
            </w:pPr>
          </w:p>
        </w:tc>
        <w:tc>
          <w:tcPr>
            <w:tcW w:w="1720" w:type="dxa"/>
            <w:vAlign w:val="bottom"/>
            <w:shd w:val="clear" w:color="auto" w:fill="BF2115"/>
          </w:tcPr>
          <w:p>
            <w:pPr>
              <w:jc w:val="right"/>
              <w:ind w:right="161"/>
              <w:spacing w:after="0" w:line="149" w:lineRule="exact"/>
              <w:rPr>
                <w:sz w:val="20"/>
                <w:szCs w:val="20"/>
                <w:color w:val="auto"/>
              </w:rPr>
            </w:pPr>
            <w:r>
              <w:rPr>
                <w:rFonts w:ascii="Arial" w:cs="Arial" w:eastAsia="Arial" w:hAnsi="Arial"/>
                <w:sz w:val="14"/>
                <w:szCs w:val="14"/>
                <w:color w:val="FFFFFF"/>
              </w:rPr>
              <w:t>SCT Reported Equity</w:t>
            </w:r>
          </w:p>
        </w:tc>
        <w:tc>
          <w:tcPr>
            <w:tcW w:w="1500" w:type="dxa"/>
            <w:vAlign w:val="bottom"/>
            <w:shd w:val="clear" w:color="auto" w:fill="BF2115"/>
          </w:tcPr>
          <w:p>
            <w:pPr>
              <w:jc w:val="center"/>
              <w:spacing w:after="0" w:line="149" w:lineRule="exact"/>
              <w:rPr>
                <w:sz w:val="20"/>
                <w:szCs w:val="20"/>
                <w:color w:val="auto"/>
              </w:rPr>
            </w:pPr>
            <w:r>
              <w:rPr>
                <w:rFonts w:ascii="Arial" w:cs="Arial" w:eastAsia="Arial" w:hAnsi="Arial"/>
                <w:sz w:val="14"/>
                <w:szCs w:val="14"/>
                <w:color w:val="FFFFFF"/>
              </w:rPr>
              <w:t>Adjustments for PEO</w:t>
            </w:r>
          </w:p>
        </w:tc>
        <w:tc>
          <w:tcPr>
            <w:tcW w:w="1740" w:type="dxa"/>
            <w:vAlign w:val="bottom"/>
            <w:shd w:val="clear" w:color="auto" w:fill="BF2115"/>
          </w:tcPr>
          <w:p>
            <w:pPr>
              <w:jc w:val="center"/>
              <w:spacing w:after="0" w:line="149" w:lineRule="exact"/>
              <w:rPr>
                <w:sz w:val="20"/>
                <w:szCs w:val="20"/>
                <w:color w:val="auto"/>
              </w:rPr>
            </w:pPr>
            <w:r>
              <w:rPr>
                <w:rFonts w:ascii="Arial" w:cs="Arial" w:eastAsia="Arial" w:hAnsi="Arial"/>
                <w:sz w:val="14"/>
                <w:szCs w:val="14"/>
                <w:color w:val="FFFFFF"/>
              </w:rPr>
              <w:t>Present Value of Pension</w:t>
            </w:r>
          </w:p>
        </w:tc>
        <w:tc>
          <w:tcPr>
            <w:tcW w:w="1720" w:type="dxa"/>
            <w:vAlign w:val="bottom"/>
            <w:shd w:val="clear" w:color="auto" w:fill="BF2115"/>
          </w:tcPr>
          <w:p>
            <w:pPr>
              <w:jc w:val="right"/>
              <w:ind w:right="323"/>
              <w:spacing w:after="0" w:line="149" w:lineRule="exact"/>
              <w:rPr>
                <w:sz w:val="20"/>
                <w:szCs w:val="20"/>
                <w:color w:val="auto"/>
              </w:rPr>
            </w:pPr>
            <w:r>
              <w:rPr>
                <w:rFonts w:ascii="Arial" w:cs="Arial" w:eastAsia="Arial" w:hAnsi="Arial"/>
                <w:sz w:val="14"/>
                <w:szCs w:val="14"/>
                <w:color w:val="FFFFFF"/>
              </w:rPr>
              <w:t>Pension Benefit</w:t>
            </w:r>
          </w:p>
        </w:tc>
        <w:tc>
          <w:tcPr>
            <w:tcW w:w="1540" w:type="dxa"/>
            <w:vAlign w:val="bottom"/>
            <w:shd w:val="clear" w:color="auto" w:fill="BF2115"/>
          </w:tcPr>
          <w:p>
            <w:pPr>
              <w:jc w:val="right"/>
              <w:spacing w:after="0" w:line="149" w:lineRule="exact"/>
              <w:rPr>
                <w:sz w:val="20"/>
                <w:szCs w:val="20"/>
                <w:color w:val="auto"/>
              </w:rPr>
            </w:pPr>
            <w:r>
              <w:rPr>
                <w:rFonts w:ascii="Arial" w:cs="Arial" w:eastAsia="Arial" w:hAnsi="Arial"/>
                <w:sz w:val="14"/>
                <w:szCs w:val="14"/>
                <w:color w:val="FFFFFF"/>
              </w:rPr>
              <w:t>Compensation Actually</w:t>
            </w:r>
          </w:p>
        </w:tc>
      </w:tr>
      <w:tr>
        <w:trPr>
          <w:trHeight w:val="212"/>
        </w:trPr>
        <w:tc>
          <w:tcPr>
            <w:tcW w:w="880" w:type="dxa"/>
            <w:vAlign w:val="bottom"/>
            <w:shd w:val="clear" w:color="auto" w:fill="BF2115"/>
          </w:tcPr>
          <w:p>
            <w:pPr>
              <w:jc w:val="right"/>
              <w:ind w:right="121"/>
              <w:spacing w:after="0"/>
              <w:rPr>
                <w:sz w:val="20"/>
                <w:szCs w:val="20"/>
                <w:color w:val="auto"/>
              </w:rPr>
            </w:pPr>
            <w:r>
              <w:rPr>
                <w:rFonts w:ascii="Arial" w:cs="Arial" w:eastAsia="Arial" w:hAnsi="Arial"/>
                <w:sz w:val="14"/>
                <w:szCs w:val="14"/>
                <w:b w:val="1"/>
                <w:bCs w:val="1"/>
                <w:color w:val="FFFFFF"/>
              </w:rPr>
              <w:t>Year</w:t>
            </w:r>
          </w:p>
        </w:tc>
        <w:tc>
          <w:tcPr>
            <w:tcW w:w="3480" w:type="dxa"/>
            <w:vAlign w:val="bottom"/>
            <w:gridSpan w:val="2"/>
            <w:shd w:val="clear" w:color="auto" w:fill="BF2115"/>
          </w:tcPr>
          <w:p>
            <w:pPr>
              <w:jc w:val="right"/>
              <w:ind w:right="61"/>
              <w:spacing w:after="0"/>
              <w:rPr>
                <w:sz w:val="20"/>
                <w:szCs w:val="20"/>
                <w:color w:val="auto"/>
              </w:rPr>
            </w:pPr>
            <w:r>
              <w:rPr>
                <w:rFonts w:ascii="Arial" w:cs="Arial" w:eastAsia="Arial" w:hAnsi="Arial"/>
                <w:sz w:val="14"/>
                <w:szCs w:val="14"/>
                <w:color w:val="FFFFFF"/>
              </w:rPr>
              <w:t>SCT Total for PEO ($)  Award Value for PEO ($)</w:t>
            </w:r>
          </w:p>
        </w:tc>
        <w:tc>
          <w:tcPr>
            <w:tcW w:w="1500" w:type="dxa"/>
            <w:vAlign w:val="bottom"/>
            <w:shd w:val="clear" w:color="auto" w:fill="BF2115"/>
          </w:tcPr>
          <w:p>
            <w:pPr>
              <w:jc w:val="center"/>
              <w:spacing w:after="0"/>
              <w:rPr>
                <w:sz w:val="20"/>
                <w:szCs w:val="20"/>
                <w:color w:val="auto"/>
              </w:rPr>
            </w:pPr>
            <w:r>
              <w:rPr>
                <w:rFonts w:ascii="Arial" w:cs="Arial" w:eastAsia="Arial" w:hAnsi="Arial"/>
                <w:sz w:val="14"/>
                <w:szCs w:val="14"/>
                <w:color w:val="FFFFFF"/>
                <w:w w:val="99"/>
              </w:rPr>
              <w:t>($)</w:t>
            </w:r>
            <w:r>
              <w:rPr>
                <w:rFonts w:ascii="Arial" w:cs="Arial" w:eastAsia="Arial" w:hAnsi="Arial"/>
                <w:sz w:val="9"/>
                <w:szCs w:val="9"/>
                <w:color w:val="FFFFFF"/>
                <w:w w:val="99"/>
              </w:rPr>
              <w:t>1</w:t>
            </w:r>
          </w:p>
        </w:tc>
        <w:tc>
          <w:tcPr>
            <w:tcW w:w="174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Benefits for PEO ($)</w:t>
            </w:r>
          </w:p>
        </w:tc>
        <w:tc>
          <w:tcPr>
            <w:tcW w:w="1720" w:type="dxa"/>
            <w:vAlign w:val="bottom"/>
            <w:shd w:val="clear" w:color="auto" w:fill="BF2115"/>
          </w:tcPr>
          <w:p>
            <w:pPr>
              <w:jc w:val="right"/>
              <w:ind w:right="43"/>
              <w:spacing w:after="0"/>
              <w:rPr>
                <w:sz w:val="20"/>
                <w:szCs w:val="20"/>
                <w:color w:val="auto"/>
              </w:rPr>
            </w:pPr>
            <w:r>
              <w:rPr>
                <w:rFonts w:ascii="Arial" w:cs="Arial" w:eastAsia="Arial" w:hAnsi="Arial"/>
                <w:sz w:val="14"/>
                <w:szCs w:val="14"/>
                <w:color w:val="FFFFFF"/>
              </w:rPr>
              <w:t>Adjustments for PEO ($)</w:t>
            </w:r>
          </w:p>
        </w:tc>
        <w:tc>
          <w:tcPr>
            <w:tcW w:w="1540" w:type="dxa"/>
            <w:vAlign w:val="bottom"/>
            <w:shd w:val="clear" w:color="auto" w:fill="BF2115"/>
          </w:tcPr>
          <w:p>
            <w:pPr>
              <w:jc w:val="right"/>
              <w:ind w:right="203"/>
              <w:spacing w:after="0"/>
              <w:rPr>
                <w:sz w:val="20"/>
                <w:szCs w:val="20"/>
                <w:color w:val="auto"/>
              </w:rPr>
            </w:pPr>
            <w:r>
              <w:rPr>
                <w:rFonts w:ascii="Arial" w:cs="Arial" w:eastAsia="Arial" w:hAnsi="Arial"/>
                <w:sz w:val="14"/>
                <w:szCs w:val="14"/>
                <w:color w:val="FFFFFF"/>
              </w:rPr>
              <w:t>Paid to PEO ($)</w:t>
            </w:r>
          </w:p>
        </w:tc>
      </w:tr>
      <w:tr>
        <w:trPr>
          <w:trHeight w:val="215"/>
        </w:trPr>
        <w:tc>
          <w:tcPr>
            <w:tcW w:w="880" w:type="dxa"/>
            <w:vAlign w:val="bottom"/>
          </w:tcPr>
          <w:p>
            <w:pPr>
              <w:jc w:val="right"/>
              <w:ind w:right="421"/>
              <w:spacing w:after="0"/>
              <w:rPr>
                <w:sz w:val="20"/>
                <w:szCs w:val="20"/>
                <w:color w:val="auto"/>
              </w:rPr>
            </w:pPr>
            <w:r>
              <w:rPr>
                <w:rFonts w:ascii="Arial" w:cs="Arial" w:eastAsia="Arial" w:hAnsi="Arial"/>
                <w:sz w:val="16"/>
                <w:szCs w:val="16"/>
                <w:color w:val="auto"/>
              </w:rPr>
              <w:t>2023</w:t>
            </w:r>
          </w:p>
        </w:tc>
        <w:tc>
          <w:tcPr>
            <w:tcW w:w="1760" w:type="dxa"/>
            <w:vAlign w:val="bottom"/>
          </w:tcPr>
          <w:p>
            <w:pPr>
              <w:jc w:val="right"/>
              <w:ind w:right="41"/>
              <w:spacing w:after="0"/>
              <w:rPr>
                <w:sz w:val="20"/>
                <w:szCs w:val="20"/>
                <w:color w:val="auto"/>
              </w:rPr>
            </w:pPr>
            <w:r>
              <w:rPr>
                <w:rFonts w:ascii="Arial" w:cs="Arial" w:eastAsia="Arial" w:hAnsi="Arial"/>
                <w:sz w:val="16"/>
                <w:szCs w:val="16"/>
                <w:color w:val="auto"/>
              </w:rPr>
              <w:t>9,025,811</w:t>
            </w:r>
          </w:p>
        </w:tc>
        <w:tc>
          <w:tcPr>
            <w:tcW w:w="1720" w:type="dxa"/>
            <w:vAlign w:val="bottom"/>
          </w:tcPr>
          <w:p>
            <w:pPr>
              <w:jc w:val="right"/>
              <w:spacing w:after="0"/>
              <w:rPr>
                <w:sz w:val="20"/>
                <w:szCs w:val="20"/>
                <w:color w:val="auto"/>
              </w:rPr>
            </w:pPr>
            <w:r>
              <w:rPr>
                <w:rFonts w:ascii="Arial" w:cs="Arial" w:eastAsia="Arial" w:hAnsi="Arial"/>
                <w:sz w:val="16"/>
                <w:szCs w:val="16"/>
                <w:color w:val="auto"/>
              </w:rPr>
              <w:t>(7,291,746)</w:t>
            </w:r>
          </w:p>
        </w:tc>
        <w:tc>
          <w:tcPr>
            <w:tcW w:w="1500" w:type="dxa"/>
            <w:vAlign w:val="bottom"/>
          </w:tcPr>
          <w:p>
            <w:pPr>
              <w:jc w:val="right"/>
              <w:spacing w:after="0"/>
              <w:rPr>
                <w:sz w:val="20"/>
                <w:szCs w:val="20"/>
                <w:color w:val="auto"/>
              </w:rPr>
            </w:pPr>
            <w:r>
              <w:rPr>
                <w:rFonts w:ascii="Arial" w:cs="Arial" w:eastAsia="Arial" w:hAnsi="Arial"/>
                <w:sz w:val="16"/>
                <w:szCs w:val="16"/>
                <w:color w:val="auto"/>
              </w:rPr>
              <w:t>(1,186,387)</w:t>
            </w:r>
          </w:p>
        </w:tc>
        <w:tc>
          <w:tcPr>
            <w:tcW w:w="1740" w:type="dxa"/>
            <w:vAlign w:val="bottom"/>
          </w:tcPr>
          <w:p>
            <w:pPr>
              <w:jc w:val="right"/>
              <w:spacing w:after="0"/>
              <w:rPr>
                <w:sz w:val="20"/>
                <w:szCs w:val="20"/>
                <w:color w:val="auto"/>
              </w:rPr>
            </w:pPr>
            <w:r>
              <w:rPr>
                <w:rFonts w:ascii="Arial" w:cs="Arial" w:eastAsia="Arial" w:hAnsi="Arial"/>
                <w:sz w:val="16"/>
                <w:szCs w:val="16"/>
                <w:color w:val="auto"/>
              </w:rPr>
              <w:t>0</w:t>
            </w:r>
          </w:p>
        </w:tc>
        <w:tc>
          <w:tcPr>
            <w:tcW w:w="1720" w:type="dxa"/>
            <w:vAlign w:val="bottom"/>
          </w:tcPr>
          <w:p>
            <w:pPr>
              <w:jc w:val="right"/>
              <w:spacing w:after="0"/>
              <w:rPr>
                <w:sz w:val="20"/>
                <w:szCs w:val="20"/>
                <w:color w:val="auto"/>
              </w:rPr>
            </w:pPr>
            <w:r>
              <w:rPr>
                <w:rFonts w:ascii="Arial" w:cs="Arial" w:eastAsia="Arial" w:hAnsi="Arial"/>
                <w:sz w:val="16"/>
                <w:szCs w:val="16"/>
                <w:color w:val="auto"/>
              </w:rPr>
              <w:t>0</w:t>
            </w:r>
          </w:p>
        </w:tc>
        <w:tc>
          <w:tcPr>
            <w:tcW w:w="1540" w:type="dxa"/>
            <w:vAlign w:val="bottom"/>
          </w:tcPr>
          <w:p>
            <w:pPr>
              <w:jc w:val="right"/>
              <w:spacing w:after="0"/>
              <w:rPr>
                <w:sz w:val="20"/>
                <w:szCs w:val="20"/>
                <w:color w:val="auto"/>
              </w:rPr>
            </w:pPr>
            <w:r>
              <w:rPr>
                <w:rFonts w:ascii="Arial" w:cs="Arial" w:eastAsia="Arial" w:hAnsi="Arial"/>
                <w:sz w:val="16"/>
                <w:szCs w:val="16"/>
                <w:color w:val="auto"/>
              </w:rPr>
              <w:t>547,678</w:t>
            </w:r>
          </w:p>
        </w:tc>
      </w:tr>
      <w:tr>
        <w:trPr>
          <w:trHeight w:val="28"/>
        </w:trPr>
        <w:tc>
          <w:tcPr>
            <w:tcW w:w="8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3"/>
        </w:trPr>
        <w:tc>
          <w:tcPr>
            <w:tcW w:w="880" w:type="dxa"/>
            <w:vAlign w:val="bottom"/>
            <w:tcBorders>
              <w:bottom w:val="single" w:sz="8" w:color="DBDBDB"/>
            </w:tcBorders>
            <w:shd w:val="clear" w:color="auto" w:fill="DBDBDB"/>
          </w:tcPr>
          <w:p>
            <w:pPr>
              <w:jc w:val="right"/>
              <w:ind w:right="421"/>
              <w:spacing w:after="0"/>
              <w:rPr>
                <w:sz w:val="20"/>
                <w:szCs w:val="20"/>
                <w:color w:val="auto"/>
              </w:rPr>
            </w:pPr>
            <w:r>
              <w:rPr>
                <w:rFonts w:ascii="Arial" w:cs="Arial" w:eastAsia="Arial" w:hAnsi="Arial"/>
                <w:sz w:val="16"/>
                <w:szCs w:val="16"/>
                <w:color w:val="auto"/>
              </w:rPr>
              <w:t>2022</w:t>
            </w:r>
          </w:p>
        </w:tc>
        <w:tc>
          <w:tcPr>
            <w:tcW w:w="1760" w:type="dxa"/>
            <w:vAlign w:val="bottom"/>
            <w:tcBorders>
              <w:bottom w:val="single" w:sz="8" w:color="DBDBDB"/>
            </w:tcBorders>
            <w:shd w:val="clear" w:color="auto" w:fill="DBDBDB"/>
          </w:tcPr>
          <w:p>
            <w:pPr>
              <w:jc w:val="right"/>
              <w:ind w:right="41"/>
              <w:spacing w:after="0"/>
              <w:rPr>
                <w:sz w:val="20"/>
                <w:szCs w:val="20"/>
                <w:color w:val="auto"/>
              </w:rPr>
            </w:pPr>
            <w:r>
              <w:rPr>
                <w:rFonts w:ascii="Arial" w:cs="Arial" w:eastAsia="Arial" w:hAnsi="Arial"/>
                <w:sz w:val="16"/>
                <w:szCs w:val="16"/>
                <w:color w:val="auto"/>
              </w:rPr>
              <w:t>7,311,953</w:t>
            </w:r>
          </w:p>
        </w:tc>
        <w:tc>
          <w:tcPr>
            <w:tcW w:w="1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(4,996,891)</w:t>
            </w:r>
          </w:p>
        </w:tc>
        <w:tc>
          <w:tcPr>
            <w:tcW w:w="15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8,127,075</w:t>
            </w:r>
          </w:p>
        </w:tc>
        <w:tc>
          <w:tcPr>
            <w:tcW w:w="1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10,442,137</w:t>
            </w:r>
          </w:p>
        </w:tc>
      </w:tr>
      <w:tr>
        <w:trPr>
          <w:trHeight w:val="215"/>
        </w:trPr>
        <w:tc>
          <w:tcPr>
            <w:tcW w:w="880" w:type="dxa"/>
            <w:vAlign w:val="bottom"/>
          </w:tcPr>
          <w:p>
            <w:pPr>
              <w:jc w:val="right"/>
              <w:ind w:right="421"/>
              <w:spacing w:after="0"/>
              <w:rPr>
                <w:sz w:val="20"/>
                <w:szCs w:val="20"/>
                <w:color w:val="auto"/>
              </w:rPr>
            </w:pPr>
            <w:r>
              <w:rPr>
                <w:rFonts w:ascii="Arial" w:cs="Arial" w:eastAsia="Arial" w:hAnsi="Arial"/>
                <w:sz w:val="16"/>
                <w:szCs w:val="16"/>
                <w:color w:val="auto"/>
              </w:rPr>
              <w:t>2021</w:t>
            </w:r>
          </w:p>
        </w:tc>
        <w:tc>
          <w:tcPr>
            <w:tcW w:w="1760" w:type="dxa"/>
            <w:vAlign w:val="bottom"/>
          </w:tcPr>
          <w:p>
            <w:pPr>
              <w:jc w:val="right"/>
              <w:ind w:right="41"/>
              <w:spacing w:after="0"/>
              <w:rPr>
                <w:sz w:val="20"/>
                <w:szCs w:val="20"/>
                <w:color w:val="auto"/>
              </w:rPr>
            </w:pPr>
            <w:r>
              <w:rPr>
                <w:rFonts w:ascii="Arial" w:cs="Arial" w:eastAsia="Arial" w:hAnsi="Arial"/>
                <w:sz w:val="16"/>
                <w:szCs w:val="16"/>
                <w:color w:val="auto"/>
              </w:rPr>
              <w:t>8,629,851</w:t>
            </w:r>
          </w:p>
        </w:tc>
        <w:tc>
          <w:tcPr>
            <w:tcW w:w="1720" w:type="dxa"/>
            <w:vAlign w:val="bottom"/>
          </w:tcPr>
          <w:p>
            <w:pPr>
              <w:jc w:val="right"/>
              <w:spacing w:after="0"/>
              <w:rPr>
                <w:sz w:val="20"/>
                <w:szCs w:val="20"/>
                <w:color w:val="auto"/>
              </w:rPr>
            </w:pPr>
            <w:r>
              <w:rPr>
                <w:rFonts w:ascii="Arial" w:cs="Arial" w:eastAsia="Arial" w:hAnsi="Arial"/>
                <w:sz w:val="16"/>
                <w:szCs w:val="16"/>
                <w:color w:val="auto"/>
              </w:rPr>
              <w:t>(5,187,602)</w:t>
            </w:r>
          </w:p>
        </w:tc>
        <w:tc>
          <w:tcPr>
            <w:tcW w:w="1500" w:type="dxa"/>
            <w:vAlign w:val="bottom"/>
          </w:tcPr>
          <w:p>
            <w:pPr>
              <w:jc w:val="right"/>
              <w:spacing w:after="0"/>
              <w:rPr>
                <w:sz w:val="20"/>
                <w:szCs w:val="20"/>
                <w:color w:val="auto"/>
              </w:rPr>
            </w:pPr>
            <w:r>
              <w:rPr>
                <w:rFonts w:ascii="Arial" w:cs="Arial" w:eastAsia="Arial" w:hAnsi="Arial"/>
                <w:sz w:val="16"/>
                <w:szCs w:val="16"/>
                <w:color w:val="auto"/>
              </w:rPr>
              <w:t>11,050,870</w:t>
            </w:r>
          </w:p>
        </w:tc>
        <w:tc>
          <w:tcPr>
            <w:tcW w:w="1740" w:type="dxa"/>
            <w:vAlign w:val="bottom"/>
          </w:tcPr>
          <w:p>
            <w:pPr>
              <w:jc w:val="right"/>
              <w:spacing w:after="0"/>
              <w:rPr>
                <w:sz w:val="20"/>
                <w:szCs w:val="20"/>
                <w:color w:val="auto"/>
              </w:rPr>
            </w:pPr>
            <w:r>
              <w:rPr>
                <w:rFonts w:ascii="Arial" w:cs="Arial" w:eastAsia="Arial" w:hAnsi="Arial"/>
                <w:sz w:val="16"/>
                <w:szCs w:val="16"/>
                <w:color w:val="auto"/>
              </w:rPr>
              <w:t>0</w:t>
            </w:r>
          </w:p>
        </w:tc>
        <w:tc>
          <w:tcPr>
            <w:tcW w:w="1720" w:type="dxa"/>
            <w:vAlign w:val="bottom"/>
          </w:tcPr>
          <w:p>
            <w:pPr>
              <w:jc w:val="right"/>
              <w:spacing w:after="0"/>
              <w:rPr>
                <w:sz w:val="20"/>
                <w:szCs w:val="20"/>
                <w:color w:val="auto"/>
              </w:rPr>
            </w:pPr>
            <w:r>
              <w:rPr>
                <w:rFonts w:ascii="Arial" w:cs="Arial" w:eastAsia="Arial" w:hAnsi="Arial"/>
                <w:sz w:val="16"/>
                <w:szCs w:val="16"/>
                <w:color w:val="auto"/>
              </w:rPr>
              <w:t>0</w:t>
            </w:r>
          </w:p>
        </w:tc>
        <w:tc>
          <w:tcPr>
            <w:tcW w:w="1540" w:type="dxa"/>
            <w:vAlign w:val="bottom"/>
          </w:tcPr>
          <w:p>
            <w:pPr>
              <w:jc w:val="right"/>
              <w:spacing w:after="0"/>
              <w:rPr>
                <w:sz w:val="20"/>
                <w:szCs w:val="20"/>
                <w:color w:val="auto"/>
              </w:rPr>
            </w:pPr>
            <w:r>
              <w:rPr>
                <w:rFonts w:ascii="Arial" w:cs="Arial" w:eastAsia="Arial" w:hAnsi="Arial"/>
                <w:sz w:val="16"/>
                <w:szCs w:val="16"/>
                <w:color w:val="auto"/>
              </w:rPr>
              <w:t>14,493,119</w:t>
            </w:r>
          </w:p>
        </w:tc>
      </w:tr>
    </w:tbl>
    <w:p>
      <w:pPr>
        <w:spacing w:after="0" w:line="1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Represents the year-over-year change in the fair value of equity awards provided to the PEO as summarized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shd w:val="clear" w:color="auto" w:fill="BF2115"/>
          </w:tcPr>
          <w:p>
            <w:pPr>
              <w:spacing w:after="0"/>
              <w:rPr>
                <w:sz w:val="14"/>
                <w:szCs w:val="14"/>
                <w:color w:val="auto"/>
              </w:rPr>
            </w:pPr>
          </w:p>
        </w:tc>
        <w:tc>
          <w:tcPr>
            <w:tcW w:w="1260" w:type="dxa"/>
            <w:vAlign w:val="bottom"/>
            <w:vMerge w:val="restart"/>
            <w:shd w:val="clear" w:color="auto" w:fill="BF2115"/>
          </w:tcPr>
          <w:p>
            <w:pPr>
              <w:jc w:val="center"/>
              <w:ind w:left="25"/>
              <w:spacing w:after="0"/>
              <w:rPr>
                <w:sz w:val="20"/>
                <w:szCs w:val="20"/>
                <w:color w:val="auto"/>
              </w:rPr>
            </w:pPr>
            <w:r>
              <w:rPr>
                <w:rFonts w:ascii="Arial" w:cs="Arial" w:eastAsia="Arial" w:hAnsi="Arial"/>
                <w:sz w:val="14"/>
                <w:szCs w:val="14"/>
                <w:color w:val="FFFFFF"/>
              </w:rPr>
              <w:t>Year End Fair</w:t>
            </w:r>
          </w:p>
        </w:tc>
        <w:tc>
          <w:tcPr>
            <w:tcW w:w="1440" w:type="dxa"/>
            <w:vAlign w:val="bottom"/>
            <w:shd w:val="clear" w:color="auto" w:fill="BF2115"/>
          </w:tcPr>
          <w:p>
            <w:pPr>
              <w:jc w:val="center"/>
              <w:spacing w:after="0"/>
              <w:rPr>
                <w:sz w:val="20"/>
                <w:szCs w:val="20"/>
                <w:color w:val="auto"/>
              </w:rPr>
            </w:pPr>
            <w:r>
              <w:rPr>
                <w:rFonts w:ascii="Arial" w:cs="Arial" w:eastAsia="Arial" w:hAnsi="Arial"/>
                <w:sz w:val="14"/>
                <w:szCs w:val="14"/>
                <w:color w:val="FFFFFF"/>
                <w:w w:val="99"/>
              </w:rPr>
              <w:t>Year over Year</w:t>
            </w:r>
          </w:p>
        </w:tc>
        <w:tc>
          <w:tcPr>
            <w:tcW w:w="122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Fair Value as of</w:t>
            </w:r>
          </w:p>
        </w:tc>
        <w:tc>
          <w:tcPr>
            <w:tcW w:w="1660" w:type="dxa"/>
            <w:vAlign w:val="bottom"/>
            <w:vMerge w:val="restart"/>
            <w:shd w:val="clear" w:color="auto" w:fill="BF2115"/>
          </w:tcPr>
          <w:p>
            <w:pPr>
              <w:jc w:val="center"/>
              <w:spacing w:after="0"/>
              <w:rPr>
                <w:sz w:val="20"/>
                <w:szCs w:val="20"/>
                <w:color w:val="auto"/>
              </w:rPr>
            </w:pPr>
            <w:r>
              <w:rPr>
                <w:rFonts w:ascii="Arial" w:cs="Arial" w:eastAsia="Arial" w:hAnsi="Arial"/>
                <w:sz w:val="14"/>
                <w:szCs w:val="14"/>
                <w:color w:val="FFFFFF"/>
              </w:rPr>
              <w:t>Year over Year Change</w:t>
            </w:r>
          </w:p>
        </w:tc>
        <w:tc>
          <w:tcPr>
            <w:tcW w:w="152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Fair Value at the End</w:t>
            </w:r>
          </w:p>
        </w:tc>
        <w:tc>
          <w:tcPr>
            <w:tcW w:w="1600" w:type="dxa"/>
            <w:vAlign w:val="bottom"/>
            <w:shd w:val="clear" w:color="auto" w:fill="BF2115"/>
          </w:tcPr>
          <w:p>
            <w:pPr>
              <w:jc w:val="center"/>
              <w:ind w:right="5"/>
              <w:spacing w:after="0"/>
              <w:rPr>
                <w:sz w:val="20"/>
                <w:szCs w:val="20"/>
                <w:color w:val="auto"/>
              </w:rPr>
            </w:pPr>
            <w:r>
              <w:rPr>
                <w:rFonts w:ascii="Arial" w:cs="Arial" w:eastAsia="Arial" w:hAnsi="Arial"/>
                <w:sz w:val="14"/>
                <w:szCs w:val="14"/>
                <w:color w:val="FFFFFF"/>
              </w:rPr>
              <w:t>Value of Dividends or</w:t>
            </w:r>
          </w:p>
        </w:tc>
        <w:tc>
          <w:tcPr>
            <w:tcW w:w="1400" w:type="dxa"/>
            <w:vAlign w:val="bottom"/>
            <w:shd w:val="clear" w:color="auto" w:fill="BF2115"/>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BF2115"/>
          </w:tcPr>
          <w:p>
            <w:pPr>
              <w:spacing w:after="0"/>
              <w:rPr>
                <w:sz w:val="12"/>
                <w:szCs w:val="12"/>
                <w:color w:val="auto"/>
              </w:rPr>
            </w:pPr>
          </w:p>
        </w:tc>
        <w:tc>
          <w:tcPr>
            <w:tcW w:w="1260" w:type="dxa"/>
            <w:vAlign w:val="bottom"/>
            <w:vMerge w:val="continue"/>
            <w:shd w:val="clear" w:color="auto" w:fill="BF2115"/>
          </w:tcPr>
          <w:p>
            <w:pPr>
              <w:spacing w:after="0"/>
              <w:rPr>
                <w:sz w:val="12"/>
                <w:szCs w:val="12"/>
                <w:color w:val="auto"/>
              </w:rPr>
            </w:pPr>
          </w:p>
        </w:tc>
        <w:tc>
          <w:tcPr>
            <w:tcW w:w="1440" w:type="dxa"/>
            <w:vAlign w:val="bottom"/>
            <w:shd w:val="clear" w:color="auto" w:fill="BF2115"/>
          </w:tcPr>
          <w:p>
            <w:pPr>
              <w:jc w:val="center"/>
              <w:spacing w:after="0" w:line="149" w:lineRule="exact"/>
              <w:rPr>
                <w:sz w:val="20"/>
                <w:szCs w:val="20"/>
                <w:color w:val="auto"/>
              </w:rPr>
            </w:pPr>
            <w:r>
              <w:rPr>
                <w:rFonts w:ascii="Arial" w:cs="Arial" w:eastAsia="Arial" w:hAnsi="Arial"/>
                <w:sz w:val="14"/>
                <w:szCs w:val="14"/>
                <w:color w:val="FFFFFF"/>
              </w:rPr>
              <w:t>Change in Fair Value</w:t>
            </w:r>
          </w:p>
        </w:tc>
        <w:tc>
          <w:tcPr>
            <w:tcW w:w="1220" w:type="dxa"/>
            <w:vAlign w:val="bottom"/>
            <w:shd w:val="clear" w:color="auto" w:fill="BF2115"/>
          </w:tcPr>
          <w:p>
            <w:pPr>
              <w:jc w:val="center"/>
              <w:spacing w:after="0" w:line="149" w:lineRule="exact"/>
              <w:rPr>
                <w:sz w:val="20"/>
                <w:szCs w:val="20"/>
                <w:color w:val="auto"/>
              </w:rPr>
            </w:pPr>
            <w:r>
              <w:rPr>
                <w:rFonts w:ascii="Arial" w:cs="Arial" w:eastAsia="Arial" w:hAnsi="Arial"/>
                <w:sz w:val="14"/>
                <w:szCs w:val="14"/>
                <w:color w:val="FFFFFF"/>
              </w:rPr>
              <w:t>Vesting Date of</w:t>
            </w:r>
          </w:p>
        </w:tc>
        <w:tc>
          <w:tcPr>
            <w:tcW w:w="1660" w:type="dxa"/>
            <w:vAlign w:val="bottom"/>
            <w:vMerge w:val="continue"/>
            <w:shd w:val="clear" w:color="auto" w:fill="BF2115"/>
          </w:tcPr>
          <w:p>
            <w:pPr>
              <w:spacing w:after="0"/>
              <w:rPr>
                <w:sz w:val="12"/>
                <w:szCs w:val="12"/>
                <w:color w:val="auto"/>
              </w:rPr>
            </w:pPr>
          </w:p>
        </w:tc>
        <w:tc>
          <w:tcPr>
            <w:tcW w:w="1520" w:type="dxa"/>
            <w:vAlign w:val="bottom"/>
            <w:shd w:val="clear" w:color="auto" w:fill="BF2115"/>
          </w:tcPr>
          <w:p>
            <w:pPr>
              <w:jc w:val="center"/>
              <w:spacing w:after="0" w:line="149" w:lineRule="exact"/>
              <w:rPr>
                <w:sz w:val="20"/>
                <w:szCs w:val="20"/>
                <w:color w:val="auto"/>
              </w:rPr>
            </w:pPr>
            <w:r>
              <w:rPr>
                <w:rFonts w:ascii="Arial" w:cs="Arial" w:eastAsia="Arial" w:hAnsi="Arial"/>
                <w:sz w:val="14"/>
                <w:szCs w:val="14"/>
                <w:color w:val="FFFFFF"/>
              </w:rPr>
              <w:t>of the Prior Year of</w:t>
            </w:r>
          </w:p>
        </w:tc>
        <w:tc>
          <w:tcPr>
            <w:tcW w:w="1600" w:type="dxa"/>
            <w:vAlign w:val="bottom"/>
            <w:shd w:val="clear" w:color="auto" w:fill="BF2115"/>
          </w:tcPr>
          <w:p>
            <w:pPr>
              <w:jc w:val="center"/>
              <w:ind w:right="5"/>
              <w:spacing w:after="0" w:line="149" w:lineRule="exact"/>
              <w:rPr>
                <w:sz w:val="20"/>
                <w:szCs w:val="20"/>
                <w:color w:val="auto"/>
              </w:rPr>
            </w:pPr>
            <w:r>
              <w:rPr>
                <w:rFonts w:ascii="Arial" w:cs="Arial" w:eastAsia="Arial" w:hAnsi="Arial"/>
                <w:sz w:val="14"/>
                <w:szCs w:val="14"/>
                <w:color w:val="FFFFFF"/>
              </w:rPr>
              <w:t>other Earnings Paid on</w:t>
            </w:r>
          </w:p>
        </w:tc>
        <w:tc>
          <w:tcPr>
            <w:tcW w:w="1400" w:type="dxa"/>
            <w:vAlign w:val="bottom"/>
            <w:shd w:val="clear" w:color="auto" w:fill="BF2115"/>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BF2115"/>
          </w:tcPr>
          <w:p>
            <w:pPr>
              <w:spacing w:after="0"/>
              <w:rPr>
                <w:sz w:val="14"/>
                <w:szCs w:val="14"/>
                <w:color w:val="auto"/>
              </w:rPr>
            </w:pPr>
          </w:p>
        </w:tc>
        <w:tc>
          <w:tcPr>
            <w:tcW w:w="1260" w:type="dxa"/>
            <w:vAlign w:val="bottom"/>
            <w:shd w:val="clear" w:color="auto" w:fill="BF2115"/>
          </w:tcPr>
          <w:p>
            <w:pPr>
              <w:jc w:val="center"/>
              <w:ind w:left="25"/>
              <w:spacing w:after="0"/>
              <w:rPr>
                <w:sz w:val="20"/>
                <w:szCs w:val="20"/>
                <w:color w:val="auto"/>
              </w:rPr>
            </w:pPr>
            <w:r>
              <w:rPr>
                <w:rFonts w:ascii="Arial" w:cs="Arial" w:eastAsia="Arial" w:hAnsi="Arial"/>
                <w:sz w:val="14"/>
                <w:szCs w:val="14"/>
                <w:color w:val="FFFFFF"/>
              </w:rPr>
              <w:t>Value of</w:t>
            </w:r>
          </w:p>
        </w:tc>
        <w:tc>
          <w:tcPr>
            <w:tcW w:w="144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of Outstanding</w:t>
            </w:r>
          </w:p>
        </w:tc>
        <w:tc>
          <w:tcPr>
            <w:tcW w:w="122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Equity Awards</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in Fair Value of Equity</w:t>
            </w:r>
          </w:p>
        </w:tc>
        <w:tc>
          <w:tcPr>
            <w:tcW w:w="152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Equity Awards that</w:t>
            </w:r>
          </w:p>
        </w:tc>
        <w:tc>
          <w:tcPr>
            <w:tcW w:w="1600" w:type="dxa"/>
            <w:vAlign w:val="bottom"/>
            <w:shd w:val="clear" w:color="auto" w:fill="BF2115"/>
          </w:tcPr>
          <w:p>
            <w:pPr>
              <w:jc w:val="center"/>
              <w:ind w:right="5"/>
              <w:spacing w:after="0"/>
              <w:rPr>
                <w:sz w:val="20"/>
                <w:szCs w:val="20"/>
                <w:color w:val="auto"/>
              </w:rPr>
            </w:pPr>
            <w:r>
              <w:rPr>
                <w:rFonts w:ascii="Arial" w:cs="Arial" w:eastAsia="Arial" w:hAnsi="Arial"/>
                <w:sz w:val="14"/>
                <w:szCs w:val="14"/>
                <w:color w:val="FFFFFF"/>
              </w:rPr>
              <w:t>Equity Awards not</w:t>
            </w:r>
          </w:p>
        </w:tc>
        <w:tc>
          <w:tcPr>
            <w:tcW w:w="1400" w:type="dxa"/>
            <w:vAlign w:val="bottom"/>
            <w:shd w:val="clear" w:color="auto" w:fill="BF211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BF2115"/>
          </w:tcPr>
          <w:p>
            <w:pPr>
              <w:spacing w:after="0"/>
              <w:rPr>
                <w:sz w:val="14"/>
                <w:szCs w:val="14"/>
                <w:color w:val="auto"/>
              </w:rPr>
            </w:pPr>
          </w:p>
        </w:tc>
        <w:tc>
          <w:tcPr>
            <w:tcW w:w="1260" w:type="dxa"/>
            <w:vAlign w:val="bottom"/>
            <w:shd w:val="clear" w:color="auto" w:fill="BF2115"/>
          </w:tcPr>
          <w:p>
            <w:pPr>
              <w:jc w:val="center"/>
              <w:ind w:left="25"/>
              <w:spacing w:after="0"/>
              <w:rPr>
                <w:sz w:val="20"/>
                <w:szCs w:val="20"/>
                <w:color w:val="auto"/>
              </w:rPr>
            </w:pPr>
            <w:r>
              <w:rPr>
                <w:rFonts w:ascii="Arial" w:cs="Arial" w:eastAsia="Arial" w:hAnsi="Arial"/>
                <w:sz w:val="14"/>
                <w:szCs w:val="14"/>
                <w:color w:val="FFFFFF"/>
              </w:rPr>
              <w:t>Unvested Equity</w:t>
            </w:r>
          </w:p>
        </w:tc>
        <w:tc>
          <w:tcPr>
            <w:tcW w:w="144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Unvested Equity</w:t>
            </w:r>
          </w:p>
        </w:tc>
        <w:tc>
          <w:tcPr>
            <w:tcW w:w="122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Granted and</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Awards Granted in Prior</w:t>
            </w:r>
          </w:p>
        </w:tc>
        <w:tc>
          <w:tcPr>
            <w:tcW w:w="152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Failed to Meet Vesting</w:t>
            </w:r>
          </w:p>
        </w:tc>
        <w:tc>
          <w:tcPr>
            <w:tcW w:w="1600" w:type="dxa"/>
            <w:vAlign w:val="bottom"/>
            <w:shd w:val="clear" w:color="auto" w:fill="BF2115"/>
          </w:tcPr>
          <w:p>
            <w:pPr>
              <w:jc w:val="center"/>
              <w:ind w:right="5"/>
              <w:spacing w:after="0"/>
              <w:rPr>
                <w:sz w:val="20"/>
                <w:szCs w:val="20"/>
                <w:color w:val="auto"/>
              </w:rPr>
            </w:pPr>
            <w:r>
              <w:rPr>
                <w:rFonts w:ascii="Arial" w:cs="Arial" w:eastAsia="Arial" w:hAnsi="Arial"/>
                <w:sz w:val="14"/>
                <w:szCs w:val="14"/>
                <w:color w:val="FFFFFF"/>
              </w:rPr>
              <w:t>Otherwise Reflected in</w:t>
            </w:r>
          </w:p>
        </w:tc>
        <w:tc>
          <w:tcPr>
            <w:tcW w:w="1400" w:type="dxa"/>
            <w:vAlign w:val="bottom"/>
            <w:shd w:val="clear" w:color="auto" w:fill="BF2115"/>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60" w:type="dxa"/>
            <w:vAlign w:val="bottom"/>
            <w:shd w:val="clear" w:color="auto" w:fill="BF2115"/>
          </w:tcPr>
          <w:p>
            <w:pPr>
              <w:spacing w:after="0"/>
              <w:rPr>
                <w:sz w:val="13"/>
                <w:szCs w:val="13"/>
                <w:color w:val="auto"/>
              </w:rPr>
            </w:pPr>
          </w:p>
        </w:tc>
        <w:tc>
          <w:tcPr>
            <w:tcW w:w="1260" w:type="dxa"/>
            <w:vAlign w:val="bottom"/>
            <w:shd w:val="clear" w:color="auto" w:fill="BF2115"/>
          </w:tcPr>
          <w:p>
            <w:pPr>
              <w:jc w:val="center"/>
              <w:ind w:left="25"/>
              <w:spacing w:after="0" w:line="158" w:lineRule="exact"/>
              <w:rPr>
                <w:sz w:val="20"/>
                <w:szCs w:val="20"/>
                <w:color w:val="auto"/>
              </w:rPr>
            </w:pPr>
            <w:r>
              <w:rPr>
                <w:rFonts w:ascii="Arial" w:cs="Arial" w:eastAsia="Arial" w:hAnsi="Arial"/>
                <w:sz w:val="14"/>
                <w:szCs w:val="14"/>
                <w:color w:val="FFFFFF"/>
              </w:rPr>
              <w:t>Awards Granted</w:t>
            </w:r>
          </w:p>
        </w:tc>
        <w:tc>
          <w:tcPr>
            <w:tcW w:w="1440" w:type="dxa"/>
            <w:vAlign w:val="bottom"/>
            <w:shd w:val="clear" w:color="auto" w:fill="BF2115"/>
          </w:tcPr>
          <w:p>
            <w:pPr>
              <w:jc w:val="center"/>
              <w:spacing w:after="0" w:line="158" w:lineRule="exact"/>
              <w:rPr>
                <w:sz w:val="20"/>
                <w:szCs w:val="20"/>
                <w:color w:val="auto"/>
              </w:rPr>
            </w:pPr>
            <w:r>
              <w:rPr>
                <w:rFonts w:ascii="Arial" w:cs="Arial" w:eastAsia="Arial" w:hAnsi="Arial"/>
                <w:sz w:val="14"/>
                <w:szCs w:val="14"/>
                <w:color w:val="FFFFFF"/>
              </w:rPr>
              <w:t>Awards Granted in</w:t>
            </w:r>
          </w:p>
        </w:tc>
        <w:tc>
          <w:tcPr>
            <w:tcW w:w="1220" w:type="dxa"/>
            <w:vAlign w:val="bottom"/>
            <w:shd w:val="clear" w:color="auto" w:fill="BF2115"/>
          </w:tcPr>
          <w:p>
            <w:pPr>
              <w:jc w:val="center"/>
              <w:spacing w:after="0" w:line="158" w:lineRule="exact"/>
              <w:rPr>
                <w:sz w:val="20"/>
                <w:szCs w:val="20"/>
                <w:color w:val="auto"/>
              </w:rPr>
            </w:pPr>
            <w:r>
              <w:rPr>
                <w:rFonts w:ascii="Arial" w:cs="Arial" w:eastAsia="Arial" w:hAnsi="Arial"/>
                <w:sz w:val="14"/>
                <w:szCs w:val="14"/>
                <w:color w:val="FFFFFF"/>
              </w:rPr>
              <w:t>Vested in the Year</w:t>
            </w:r>
          </w:p>
        </w:tc>
        <w:tc>
          <w:tcPr>
            <w:tcW w:w="1660" w:type="dxa"/>
            <w:vAlign w:val="bottom"/>
            <w:shd w:val="clear" w:color="auto" w:fill="BF2115"/>
          </w:tcPr>
          <w:p>
            <w:pPr>
              <w:jc w:val="center"/>
              <w:spacing w:after="0" w:line="158" w:lineRule="exact"/>
              <w:rPr>
                <w:sz w:val="20"/>
                <w:szCs w:val="20"/>
                <w:color w:val="auto"/>
              </w:rPr>
            </w:pPr>
            <w:r>
              <w:rPr>
                <w:rFonts w:ascii="Arial" w:cs="Arial" w:eastAsia="Arial" w:hAnsi="Arial"/>
                <w:sz w:val="14"/>
                <w:szCs w:val="14"/>
                <w:color w:val="FFFFFF"/>
              </w:rPr>
              <w:t>Years that Vested in the</w:t>
            </w:r>
          </w:p>
        </w:tc>
        <w:tc>
          <w:tcPr>
            <w:tcW w:w="1520" w:type="dxa"/>
            <w:vAlign w:val="bottom"/>
            <w:shd w:val="clear" w:color="auto" w:fill="BF2115"/>
          </w:tcPr>
          <w:p>
            <w:pPr>
              <w:jc w:val="center"/>
              <w:spacing w:after="0" w:line="158" w:lineRule="exact"/>
              <w:rPr>
                <w:sz w:val="20"/>
                <w:szCs w:val="20"/>
                <w:color w:val="auto"/>
              </w:rPr>
            </w:pPr>
            <w:r>
              <w:rPr>
                <w:rFonts w:ascii="Arial" w:cs="Arial" w:eastAsia="Arial" w:hAnsi="Arial"/>
                <w:sz w:val="14"/>
                <w:szCs w:val="14"/>
                <w:color w:val="FFFFFF"/>
              </w:rPr>
              <w:t>Conditions in the Year</w:t>
            </w:r>
          </w:p>
        </w:tc>
        <w:tc>
          <w:tcPr>
            <w:tcW w:w="1600" w:type="dxa"/>
            <w:vAlign w:val="bottom"/>
            <w:shd w:val="clear" w:color="auto" w:fill="BF2115"/>
          </w:tcPr>
          <w:p>
            <w:pPr>
              <w:jc w:val="center"/>
              <w:ind w:right="5"/>
              <w:spacing w:after="0" w:line="158" w:lineRule="exact"/>
              <w:rPr>
                <w:sz w:val="20"/>
                <w:szCs w:val="20"/>
                <w:color w:val="auto"/>
              </w:rPr>
            </w:pPr>
            <w:r>
              <w:rPr>
                <w:rFonts w:ascii="Arial" w:cs="Arial" w:eastAsia="Arial" w:hAnsi="Arial"/>
                <w:sz w:val="14"/>
                <w:szCs w:val="14"/>
                <w:color w:val="FFFFFF"/>
              </w:rPr>
              <w:t>Fair Value or Total</w:t>
            </w:r>
          </w:p>
        </w:tc>
        <w:tc>
          <w:tcPr>
            <w:tcW w:w="1400" w:type="dxa"/>
            <w:vAlign w:val="bottom"/>
            <w:shd w:val="clear" w:color="auto" w:fill="BF2115"/>
          </w:tcPr>
          <w:p>
            <w:pPr>
              <w:jc w:val="right"/>
              <w:ind w:right="63"/>
              <w:spacing w:after="0" w:line="158" w:lineRule="exact"/>
              <w:rPr>
                <w:sz w:val="20"/>
                <w:szCs w:val="20"/>
                <w:color w:val="auto"/>
              </w:rPr>
            </w:pPr>
            <w:r>
              <w:rPr>
                <w:rFonts w:ascii="Arial" w:cs="Arial" w:eastAsia="Arial" w:hAnsi="Arial"/>
                <w:sz w:val="14"/>
                <w:szCs w:val="14"/>
                <w:color w:val="FFFFFF"/>
              </w:rPr>
              <w:t>Total Equity Award</w:t>
            </w:r>
          </w:p>
        </w:tc>
        <w:tc>
          <w:tcPr>
            <w:tcW w:w="0" w:type="dxa"/>
            <w:vAlign w:val="bottom"/>
          </w:tcPr>
          <w:p>
            <w:pPr>
              <w:spacing w:after="0"/>
              <w:rPr>
                <w:sz w:val="1"/>
                <w:szCs w:val="1"/>
                <w:color w:val="auto"/>
              </w:rPr>
            </w:pPr>
          </w:p>
        </w:tc>
      </w:tr>
      <w:tr>
        <w:trPr>
          <w:trHeight w:val="216"/>
        </w:trPr>
        <w:tc>
          <w:tcPr>
            <w:tcW w:w="760" w:type="dxa"/>
            <w:vAlign w:val="bottom"/>
            <w:shd w:val="clear" w:color="auto" w:fill="BF2115"/>
          </w:tcPr>
          <w:p>
            <w:pPr>
              <w:jc w:val="right"/>
              <w:ind w:right="81"/>
              <w:spacing w:after="0"/>
              <w:rPr>
                <w:sz w:val="20"/>
                <w:szCs w:val="20"/>
                <w:color w:val="auto"/>
              </w:rPr>
            </w:pPr>
            <w:r>
              <w:rPr>
                <w:rFonts w:ascii="Arial" w:cs="Arial" w:eastAsia="Arial" w:hAnsi="Arial"/>
                <w:sz w:val="14"/>
                <w:szCs w:val="14"/>
                <w:b w:val="1"/>
                <w:bCs w:val="1"/>
                <w:color w:val="FFFFFF"/>
              </w:rPr>
              <w:t>Year</w:t>
            </w:r>
          </w:p>
        </w:tc>
        <w:tc>
          <w:tcPr>
            <w:tcW w:w="1260" w:type="dxa"/>
            <w:vAlign w:val="bottom"/>
            <w:shd w:val="clear" w:color="auto" w:fill="BF2115"/>
          </w:tcPr>
          <w:p>
            <w:pPr>
              <w:jc w:val="center"/>
              <w:ind w:left="25"/>
              <w:spacing w:after="0"/>
              <w:rPr>
                <w:sz w:val="20"/>
                <w:szCs w:val="20"/>
                <w:color w:val="auto"/>
              </w:rPr>
            </w:pPr>
            <w:r>
              <w:rPr>
                <w:rFonts w:ascii="Arial" w:cs="Arial" w:eastAsia="Arial" w:hAnsi="Arial"/>
                <w:sz w:val="14"/>
                <w:szCs w:val="14"/>
                <w:color w:val="FFFFFF"/>
                <w:w w:val="99"/>
              </w:rPr>
              <w:t>in the Year ($)</w:t>
            </w:r>
          </w:p>
        </w:tc>
        <w:tc>
          <w:tcPr>
            <w:tcW w:w="144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Prior Years ($)</w:t>
            </w:r>
          </w:p>
        </w:tc>
        <w:tc>
          <w:tcPr>
            <w:tcW w:w="1220" w:type="dxa"/>
            <w:vAlign w:val="bottom"/>
            <w:shd w:val="clear" w:color="auto" w:fill="BF2115"/>
          </w:tcPr>
          <w:p>
            <w:pPr>
              <w:jc w:val="center"/>
              <w:spacing w:after="0"/>
              <w:rPr>
                <w:sz w:val="20"/>
                <w:szCs w:val="20"/>
                <w:color w:val="auto"/>
              </w:rPr>
            </w:pPr>
            <w:r>
              <w:rPr>
                <w:rFonts w:ascii="Arial" w:cs="Arial" w:eastAsia="Arial" w:hAnsi="Arial"/>
                <w:sz w:val="14"/>
                <w:szCs w:val="14"/>
                <w:color w:val="FFFFFF"/>
                <w:w w:val="93"/>
              </w:rPr>
              <w:t>($)</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color w:val="FFFFFF"/>
                <w:w w:val="98"/>
              </w:rPr>
              <w:t>Year ($)</w:t>
            </w:r>
          </w:p>
        </w:tc>
        <w:tc>
          <w:tcPr>
            <w:tcW w:w="1520" w:type="dxa"/>
            <w:vAlign w:val="bottom"/>
            <w:shd w:val="clear" w:color="auto" w:fill="BF2115"/>
          </w:tcPr>
          <w:p>
            <w:pPr>
              <w:jc w:val="center"/>
              <w:spacing w:after="0"/>
              <w:rPr>
                <w:sz w:val="20"/>
                <w:szCs w:val="20"/>
                <w:color w:val="auto"/>
              </w:rPr>
            </w:pPr>
            <w:r>
              <w:rPr>
                <w:rFonts w:ascii="Arial" w:cs="Arial" w:eastAsia="Arial" w:hAnsi="Arial"/>
                <w:sz w:val="14"/>
                <w:szCs w:val="14"/>
                <w:color w:val="FFFFFF"/>
                <w:w w:val="93"/>
              </w:rPr>
              <w:t>($)</w:t>
            </w:r>
          </w:p>
        </w:tc>
        <w:tc>
          <w:tcPr>
            <w:tcW w:w="1600" w:type="dxa"/>
            <w:vAlign w:val="bottom"/>
            <w:shd w:val="clear" w:color="auto" w:fill="BF2115"/>
          </w:tcPr>
          <w:p>
            <w:pPr>
              <w:jc w:val="center"/>
              <w:ind w:right="5"/>
              <w:spacing w:after="0"/>
              <w:rPr>
                <w:sz w:val="20"/>
                <w:szCs w:val="20"/>
                <w:color w:val="auto"/>
              </w:rPr>
            </w:pPr>
            <w:r>
              <w:rPr>
                <w:rFonts w:ascii="Arial" w:cs="Arial" w:eastAsia="Arial" w:hAnsi="Arial"/>
                <w:sz w:val="14"/>
                <w:szCs w:val="14"/>
                <w:color w:val="FFFFFF"/>
              </w:rPr>
              <w:t>Compensation ($)</w:t>
            </w:r>
          </w:p>
        </w:tc>
        <w:tc>
          <w:tcPr>
            <w:tcW w:w="1400" w:type="dxa"/>
            <w:vAlign w:val="bottom"/>
            <w:shd w:val="clear" w:color="auto" w:fill="BF2115"/>
          </w:tcPr>
          <w:p>
            <w:pPr>
              <w:jc w:val="right"/>
              <w:ind w:right="143"/>
              <w:spacing w:after="0"/>
              <w:rPr>
                <w:sz w:val="20"/>
                <w:szCs w:val="20"/>
                <w:color w:val="auto"/>
              </w:rPr>
            </w:pPr>
            <w:r>
              <w:rPr>
                <w:rFonts w:ascii="Arial" w:cs="Arial" w:eastAsia="Arial" w:hAnsi="Arial"/>
                <w:sz w:val="14"/>
                <w:szCs w:val="14"/>
                <w:color w:val="FFFFFF"/>
              </w:rPr>
              <w:t>Adjustments ($)</w:t>
            </w:r>
          </w:p>
        </w:tc>
        <w:tc>
          <w:tcPr>
            <w:tcW w:w="0" w:type="dxa"/>
            <w:vAlign w:val="bottom"/>
          </w:tcPr>
          <w:p>
            <w:pPr>
              <w:spacing w:after="0"/>
              <w:rPr>
                <w:sz w:val="1"/>
                <w:szCs w:val="1"/>
                <w:color w:val="auto"/>
              </w:rPr>
            </w:pPr>
          </w:p>
        </w:tc>
      </w:tr>
      <w:tr>
        <w:trPr>
          <w:trHeight w:val="215"/>
        </w:trPr>
        <w:tc>
          <w:tcPr>
            <w:tcW w:w="760" w:type="dxa"/>
            <w:vAlign w:val="bottom"/>
          </w:tcPr>
          <w:p>
            <w:pPr>
              <w:jc w:val="right"/>
              <w:ind w:right="301"/>
              <w:spacing w:after="0"/>
              <w:rPr>
                <w:sz w:val="20"/>
                <w:szCs w:val="20"/>
                <w:color w:val="auto"/>
              </w:rPr>
            </w:pPr>
            <w:r>
              <w:rPr>
                <w:rFonts w:ascii="Arial" w:cs="Arial" w:eastAsia="Arial" w:hAnsi="Arial"/>
                <w:sz w:val="16"/>
                <w:szCs w:val="16"/>
                <w:color w:val="auto"/>
              </w:rPr>
              <w:t>2023</w:t>
            </w:r>
          </w:p>
        </w:tc>
        <w:tc>
          <w:tcPr>
            <w:tcW w:w="1260" w:type="dxa"/>
            <w:vAlign w:val="bottom"/>
          </w:tcPr>
          <w:p>
            <w:pPr>
              <w:jc w:val="right"/>
              <w:spacing w:after="0"/>
              <w:rPr>
                <w:sz w:val="20"/>
                <w:szCs w:val="20"/>
                <w:color w:val="auto"/>
              </w:rPr>
            </w:pPr>
            <w:r>
              <w:rPr>
                <w:rFonts w:ascii="Arial" w:cs="Arial" w:eastAsia="Arial" w:hAnsi="Arial"/>
                <w:sz w:val="16"/>
                <w:szCs w:val="16"/>
                <w:color w:val="auto"/>
              </w:rPr>
              <w:t>2,824,764</w:t>
            </w:r>
          </w:p>
        </w:tc>
        <w:tc>
          <w:tcPr>
            <w:tcW w:w="1440" w:type="dxa"/>
            <w:vAlign w:val="bottom"/>
          </w:tcPr>
          <w:p>
            <w:pPr>
              <w:jc w:val="right"/>
              <w:spacing w:after="0"/>
              <w:rPr>
                <w:sz w:val="20"/>
                <w:szCs w:val="20"/>
                <w:color w:val="auto"/>
              </w:rPr>
            </w:pPr>
            <w:r>
              <w:rPr>
                <w:rFonts w:ascii="Arial" w:cs="Arial" w:eastAsia="Arial" w:hAnsi="Arial"/>
                <w:sz w:val="16"/>
                <w:szCs w:val="16"/>
                <w:color w:val="auto"/>
              </w:rPr>
              <w:t>(2,977,151)</w:t>
            </w:r>
          </w:p>
        </w:tc>
        <w:tc>
          <w:tcPr>
            <w:tcW w:w="1220" w:type="dxa"/>
            <w:vAlign w:val="bottom"/>
          </w:tcPr>
          <w:p>
            <w:pPr>
              <w:jc w:val="right"/>
              <w:spacing w:after="0"/>
              <w:rPr>
                <w:sz w:val="20"/>
                <w:szCs w:val="20"/>
                <w:color w:val="auto"/>
              </w:rPr>
            </w:pPr>
            <w:r>
              <w:rPr>
                <w:rFonts w:ascii="Arial" w:cs="Arial" w:eastAsia="Arial" w:hAnsi="Arial"/>
                <w:sz w:val="16"/>
                <w:szCs w:val="16"/>
                <w:color w:val="auto"/>
              </w:rPr>
              <w:t>0</w:t>
            </w:r>
          </w:p>
        </w:tc>
        <w:tc>
          <w:tcPr>
            <w:tcW w:w="1660" w:type="dxa"/>
            <w:vAlign w:val="bottom"/>
          </w:tcPr>
          <w:p>
            <w:pPr>
              <w:jc w:val="right"/>
              <w:spacing w:after="0"/>
              <w:rPr>
                <w:sz w:val="20"/>
                <w:szCs w:val="20"/>
                <w:color w:val="auto"/>
              </w:rPr>
            </w:pPr>
            <w:r>
              <w:rPr>
                <w:rFonts w:ascii="Arial" w:cs="Arial" w:eastAsia="Arial" w:hAnsi="Arial"/>
                <w:sz w:val="16"/>
                <w:szCs w:val="16"/>
                <w:color w:val="auto"/>
              </w:rPr>
              <w:t>(1,034,000)</w:t>
            </w:r>
          </w:p>
        </w:tc>
        <w:tc>
          <w:tcPr>
            <w:tcW w:w="1520" w:type="dxa"/>
            <w:vAlign w:val="bottom"/>
          </w:tcPr>
          <w:p>
            <w:pPr>
              <w:jc w:val="right"/>
              <w:spacing w:after="0"/>
              <w:rPr>
                <w:sz w:val="20"/>
                <w:szCs w:val="20"/>
                <w:color w:val="auto"/>
              </w:rPr>
            </w:pPr>
            <w:r>
              <w:rPr>
                <w:rFonts w:ascii="Arial" w:cs="Arial" w:eastAsia="Arial" w:hAnsi="Arial"/>
                <w:sz w:val="16"/>
                <w:szCs w:val="16"/>
                <w:color w:val="auto"/>
              </w:rPr>
              <w:t>0</w:t>
            </w:r>
          </w:p>
        </w:tc>
        <w:tc>
          <w:tcPr>
            <w:tcW w:w="1600" w:type="dxa"/>
            <w:vAlign w:val="bottom"/>
          </w:tcPr>
          <w:p>
            <w:pPr>
              <w:jc w:val="right"/>
              <w:ind w:right="5"/>
              <w:spacing w:after="0"/>
              <w:rPr>
                <w:sz w:val="20"/>
                <w:szCs w:val="20"/>
                <w:color w:val="auto"/>
              </w:rPr>
            </w:pPr>
            <w:r>
              <w:rPr>
                <w:rFonts w:ascii="Arial" w:cs="Arial" w:eastAsia="Arial" w:hAnsi="Arial"/>
                <w:sz w:val="16"/>
                <w:szCs w:val="16"/>
                <w:color w:val="auto"/>
              </w:rPr>
              <w:t>0</w:t>
            </w:r>
          </w:p>
        </w:tc>
        <w:tc>
          <w:tcPr>
            <w:tcW w:w="1400" w:type="dxa"/>
            <w:vAlign w:val="bottom"/>
          </w:tcPr>
          <w:p>
            <w:pPr>
              <w:jc w:val="right"/>
              <w:spacing w:after="0"/>
              <w:rPr>
                <w:sz w:val="20"/>
                <w:szCs w:val="20"/>
                <w:color w:val="auto"/>
              </w:rPr>
            </w:pPr>
            <w:r>
              <w:rPr>
                <w:rFonts w:ascii="Arial" w:cs="Arial" w:eastAsia="Arial" w:hAnsi="Arial"/>
                <w:sz w:val="16"/>
                <w:szCs w:val="16"/>
                <w:color w:val="auto"/>
              </w:rPr>
              <w:t>(1,186,387)</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Borders>
              <w:bottom w:val="single" w:sz="8" w:color="DBDBDB"/>
            </w:tcBorders>
            <w:shd w:val="clear" w:color="auto" w:fill="DBDBDB"/>
          </w:tcPr>
          <w:p>
            <w:pPr>
              <w:jc w:val="right"/>
              <w:ind w:right="301"/>
              <w:spacing w:after="0"/>
              <w:rPr>
                <w:sz w:val="20"/>
                <w:szCs w:val="20"/>
                <w:color w:val="auto"/>
              </w:rPr>
            </w:pPr>
            <w:r>
              <w:rPr>
                <w:rFonts w:ascii="Arial" w:cs="Arial" w:eastAsia="Arial" w:hAnsi="Arial"/>
                <w:sz w:val="16"/>
                <w:szCs w:val="16"/>
                <w:color w:val="auto"/>
              </w:rPr>
              <w:t>2022</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6,061,704</w:t>
            </w:r>
          </w:p>
        </w:tc>
        <w:tc>
          <w:tcPr>
            <w:tcW w:w="14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2,062,723</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2,648</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00" w:type="dxa"/>
            <w:vAlign w:val="bottom"/>
            <w:tcBorders>
              <w:bottom w:val="single" w:sz="8" w:color="DBDBDB"/>
            </w:tcBorders>
            <w:shd w:val="clear" w:color="auto" w:fill="DBDBDB"/>
          </w:tcPr>
          <w:p>
            <w:pPr>
              <w:jc w:val="right"/>
              <w:ind w:right="5"/>
              <w:spacing w:after="0"/>
              <w:rPr>
                <w:sz w:val="20"/>
                <w:szCs w:val="20"/>
                <w:color w:val="auto"/>
              </w:rPr>
            </w:pPr>
            <w:r>
              <w:rPr>
                <w:rFonts w:ascii="Arial" w:cs="Arial" w:eastAsia="Arial" w:hAnsi="Arial"/>
                <w:sz w:val="16"/>
                <w:szCs w:val="16"/>
                <w:color w:val="auto"/>
              </w:rPr>
              <w:t>0</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8,127,075</w:t>
            </w:r>
          </w:p>
        </w:tc>
        <w:tc>
          <w:tcPr>
            <w:tcW w:w="0" w:type="dxa"/>
            <w:vAlign w:val="bottom"/>
          </w:tcPr>
          <w:p>
            <w:pPr>
              <w:spacing w:after="0"/>
              <w:rPr>
                <w:sz w:val="1"/>
                <w:szCs w:val="1"/>
                <w:color w:val="auto"/>
              </w:rPr>
            </w:pPr>
          </w:p>
        </w:tc>
      </w:tr>
      <w:tr>
        <w:trPr>
          <w:trHeight w:val="215"/>
        </w:trPr>
        <w:tc>
          <w:tcPr>
            <w:tcW w:w="760" w:type="dxa"/>
            <w:vAlign w:val="bottom"/>
          </w:tcPr>
          <w:p>
            <w:pPr>
              <w:jc w:val="right"/>
              <w:ind w:right="301"/>
              <w:spacing w:after="0"/>
              <w:rPr>
                <w:sz w:val="20"/>
                <w:szCs w:val="20"/>
                <w:color w:val="auto"/>
              </w:rPr>
            </w:pPr>
            <w:r>
              <w:rPr>
                <w:rFonts w:ascii="Arial" w:cs="Arial" w:eastAsia="Arial" w:hAnsi="Arial"/>
                <w:sz w:val="16"/>
                <w:szCs w:val="16"/>
                <w:color w:val="auto"/>
              </w:rPr>
              <w:t>2021</w:t>
            </w:r>
          </w:p>
        </w:tc>
        <w:tc>
          <w:tcPr>
            <w:tcW w:w="1260" w:type="dxa"/>
            <w:vAlign w:val="bottom"/>
          </w:tcPr>
          <w:p>
            <w:pPr>
              <w:jc w:val="right"/>
              <w:spacing w:after="0"/>
              <w:rPr>
                <w:sz w:val="20"/>
                <w:szCs w:val="20"/>
                <w:color w:val="auto"/>
              </w:rPr>
            </w:pPr>
            <w:r>
              <w:rPr>
                <w:rFonts w:ascii="Arial" w:cs="Arial" w:eastAsia="Arial" w:hAnsi="Arial"/>
                <w:sz w:val="16"/>
                <w:szCs w:val="16"/>
                <w:color w:val="auto"/>
              </w:rPr>
              <w:t>6,964,945</w:t>
            </w:r>
          </w:p>
        </w:tc>
        <w:tc>
          <w:tcPr>
            <w:tcW w:w="1440" w:type="dxa"/>
            <w:vAlign w:val="bottom"/>
          </w:tcPr>
          <w:p>
            <w:pPr>
              <w:jc w:val="right"/>
              <w:spacing w:after="0"/>
              <w:rPr>
                <w:sz w:val="20"/>
                <w:szCs w:val="20"/>
                <w:color w:val="auto"/>
              </w:rPr>
            </w:pPr>
            <w:r>
              <w:rPr>
                <w:rFonts w:ascii="Arial" w:cs="Arial" w:eastAsia="Arial" w:hAnsi="Arial"/>
                <w:sz w:val="16"/>
                <w:szCs w:val="16"/>
                <w:color w:val="auto"/>
              </w:rPr>
              <w:t>2,408,829</w:t>
            </w:r>
          </w:p>
        </w:tc>
        <w:tc>
          <w:tcPr>
            <w:tcW w:w="1220" w:type="dxa"/>
            <w:vAlign w:val="bottom"/>
          </w:tcPr>
          <w:p>
            <w:pPr>
              <w:jc w:val="right"/>
              <w:spacing w:after="0"/>
              <w:rPr>
                <w:sz w:val="20"/>
                <w:szCs w:val="20"/>
                <w:color w:val="auto"/>
              </w:rPr>
            </w:pPr>
            <w:r>
              <w:rPr>
                <w:rFonts w:ascii="Arial" w:cs="Arial" w:eastAsia="Arial" w:hAnsi="Arial"/>
                <w:sz w:val="16"/>
                <w:szCs w:val="16"/>
                <w:color w:val="auto"/>
              </w:rPr>
              <w:t>0</w:t>
            </w:r>
          </w:p>
        </w:tc>
        <w:tc>
          <w:tcPr>
            <w:tcW w:w="1660" w:type="dxa"/>
            <w:vAlign w:val="bottom"/>
          </w:tcPr>
          <w:p>
            <w:pPr>
              <w:jc w:val="right"/>
              <w:spacing w:after="0"/>
              <w:rPr>
                <w:sz w:val="20"/>
                <w:szCs w:val="20"/>
                <w:color w:val="auto"/>
              </w:rPr>
            </w:pPr>
            <w:r>
              <w:rPr>
                <w:rFonts w:ascii="Arial" w:cs="Arial" w:eastAsia="Arial" w:hAnsi="Arial"/>
                <w:sz w:val="16"/>
                <w:szCs w:val="16"/>
                <w:color w:val="auto"/>
              </w:rPr>
              <w:t>1,677,096</w:t>
            </w:r>
          </w:p>
        </w:tc>
        <w:tc>
          <w:tcPr>
            <w:tcW w:w="1520" w:type="dxa"/>
            <w:vAlign w:val="bottom"/>
          </w:tcPr>
          <w:p>
            <w:pPr>
              <w:jc w:val="right"/>
              <w:spacing w:after="0"/>
              <w:rPr>
                <w:sz w:val="20"/>
                <w:szCs w:val="20"/>
                <w:color w:val="auto"/>
              </w:rPr>
            </w:pPr>
            <w:r>
              <w:rPr>
                <w:rFonts w:ascii="Arial" w:cs="Arial" w:eastAsia="Arial" w:hAnsi="Arial"/>
                <w:sz w:val="16"/>
                <w:szCs w:val="16"/>
                <w:color w:val="auto"/>
              </w:rPr>
              <w:t>0</w:t>
            </w:r>
          </w:p>
        </w:tc>
        <w:tc>
          <w:tcPr>
            <w:tcW w:w="1600" w:type="dxa"/>
            <w:vAlign w:val="bottom"/>
          </w:tcPr>
          <w:p>
            <w:pPr>
              <w:jc w:val="right"/>
              <w:ind w:right="5"/>
              <w:spacing w:after="0"/>
              <w:rPr>
                <w:sz w:val="20"/>
                <w:szCs w:val="20"/>
                <w:color w:val="auto"/>
              </w:rPr>
            </w:pPr>
            <w:r>
              <w:rPr>
                <w:rFonts w:ascii="Arial" w:cs="Arial" w:eastAsia="Arial" w:hAnsi="Arial"/>
                <w:sz w:val="16"/>
                <w:szCs w:val="16"/>
                <w:color w:val="auto"/>
              </w:rPr>
              <w:t>0</w:t>
            </w:r>
          </w:p>
        </w:tc>
        <w:tc>
          <w:tcPr>
            <w:tcW w:w="1400" w:type="dxa"/>
            <w:vAlign w:val="bottom"/>
          </w:tcPr>
          <w:p>
            <w:pPr>
              <w:jc w:val="right"/>
              <w:spacing w:after="0"/>
              <w:rPr>
                <w:sz w:val="20"/>
                <w:szCs w:val="20"/>
                <w:color w:val="auto"/>
              </w:rPr>
            </w:pPr>
            <w:r>
              <w:rPr>
                <w:rFonts w:ascii="Arial" w:cs="Arial" w:eastAsia="Arial" w:hAnsi="Arial"/>
                <w:sz w:val="16"/>
                <w:szCs w:val="16"/>
                <w:color w:val="auto"/>
              </w:rPr>
              <w:t>11,050,870</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the table above, the equity values are computed in accordance with the methodologies used for financial reporting purposes, reflecting updated economic assumptions as of the valuation dates.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Average Non-PEO NEO Compensation. </w:t>
      </w:r>
      <w:r>
        <w:rPr>
          <w:rFonts w:ascii="Arial" w:cs="Arial" w:eastAsia="Arial" w:hAnsi="Arial"/>
          <w:sz w:val="18"/>
          <w:szCs w:val="18"/>
          <w:color w:val="auto"/>
        </w:rPr>
        <w:t>To determine the amounts in column (e) in the PvP table, the following adjustments were</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made to the Non-PEO NEO’s average total compensation as reported in the Summary Compensation Table, in accordance with Item 402(v) of Regulation S-K.</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360" w:type="dxa"/>
            <w:vAlign w:val="bottom"/>
            <w:shd w:val="clear" w:color="auto" w:fill="BF2115"/>
          </w:tcPr>
          <w:p>
            <w:pPr>
              <w:spacing w:after="0"/>
              <w:rPr>
                <w:sz w:val="14"/>
                <w:szCs w:val="14"/>
                <w:color w:val="auto"/>
              </w:rPr>
            </w:pPr>
          </w:p>
        </w:tc>
        <w:tc>
          <w:tcPr>
            <w:tcW w:w="1820" w:type="dxa"/>
            <w:vAlign w:val="bottom"/>
            <w:shd w:val="clear" w:color="auto" w:fill="BF2115"/>
          </w:tcPr>
          <w:p>
            <w:pPr>
              <w:spacing w:after="0"/>
              <w:rPr>
                <w:sz w:val="14"/>
                <w:szCs w:val="14"/>
                <w:color w:val="auto"/>
              </w:rPr>
            </w:pPr>
          </w:p>
        </w:tc>
        <w:tc>
          <w:tcPr>
            <w:tcW w:w="1620" w:type="dxa"/>
            <w:vAlign w:val="bottom"/>
            <w:shd w:val="clear" w:color="auto" w:fill="BF2115"/>
          </w:tcPr>
          <w:p>
            <w:pPr>
              <w:spacing w:after="0"/>
              <w:rPr>
                <w:sz w:val="14"/>
                <w:szCs w:val="14"/>
                <w:color w:val="auto"/>
              </w:rPr>
            </w:pPr>
          </w:p>
        </w:tc>
        <w:tc>
          <w:tcPr>
            <w:tcW w:w="1480" w:type="dxa"/>
            <w:vAlign w:val="bottom"/>
            <w:shd w:val="clear" w:color="auto" w:fill="BF2115"/>
          </w:tcPr>
          <w:p>
            <w:pPr>
              <w:spacing w:after="0"/>
              <w:rPr>
                <w:sz w:val="14"/>
                <w:szCs w:val="14"/>
                <w:color w:val="auto"/>
              </w:rPr>
            </w:pPr>
          </w:p>
        </w:tc>
        <w:tc>
          <w:tcPr>
            <w:tcW w:w="170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Change in the Actuarial</w:t>
            </w:r>
          </w:p>
        </w:tc>
        <w:tc>
          <w:tcPr>
            <w:tcW w:w="1480" w:type="dxa"/>
            <w:vAlign w:val="bottom"/>
            <w:shd w:val="clear" w:color="auto" w:fill="BF2115"/>
          </w:tcPr>
          <w:p>
            <w:pPr>
              <w:spacing w:after="0"/>
              <w:rPr>
                <w:sz w:val="14"/>
                <w:szCs w:val="14"/>
                <w:color w:val="auto"/>
              </w:rPr>
            </w:pPr>
          </w:p>
        </w:tc>
        <w:tc>
          <w:tcPr>
            <w:tcW w:w="1560" w:type="dxa"/>
            <w:vAlign w:val="bottom"/>
            <w:shd w:val="clear" w:color="auto" w:fill="BF2115"/>
          </w:tcPr>
          <w:p>
            <w:pPr>
              <w:spacing w:after="0"/>
              <w:rPr>
                <w:sz w:val="14"/>
                <w:szCs w:val="14"/>
                <w:color w:val="auto"/>
              </w:rPr>
            </w:pPr>
          </w:p>
        </w:tc>
      </w:tr>
      <w:tr>
        <w:trPr>
          <w:trHeight w:val="148"/>
        </w:trPr>
        <w:tc>
          <w:tcPr>
            <w:tcW w:w="1360" w:type="dxa"/>
            <w:vAlign w:val="bottom"/>
            <w:shd w:val="clear" w:color="auto" w:fill="BF2115"/>
          </w:tcPr>
          <w:p>
            <w:pPr>
              <w:spacing w:after="0"/>
              <w:rPr>
                <w:sz w:val="12"/>
                <w:szCs w:val="12"/>
                <w:color w:val="auto"/>
              </w:rPr>
            </w:pPr>
          </w:p>
        </w:tc>
        <w:tc>
          <w:tcPr>
            <w:tcW w:w="1820" w:type="dxa"/>
            <w:vAlign w:val="bottom"/>
            <w:shd w:val="clear" w:color="auto" w:fill="BF2115"/>
          </w:tcPr>
          <w:p>
            <w:pPr>
              <w:spacing w:after="0"/>
              <w:rPr>
                <w:sz w:val="12"/>
                <w:szCs w:val="12"/>
                <w:color w:val="auto"/>
              </w:rPr>
            </w:pPr>
          </w:p>
        </w:tc>
        <w:tc>
          <w:tcPr>
            <w:tcW w:w="1620" w:type="dxa"/>
            <w:vAlign w:val="bottom"/>
            <w:shd w:val="clear" w:color="auto" w:fill="BF2115"/>
          </w:tcPr>
          <w:p>
            <w:pPr>
              <w:jc w:val="center"/>
              <w:ind w:right="24"/>
              <w:spacing w:after="0" w:line="149" w:lineRule="exact"/>
              <w:rPr>
                <w:sz w:val="20"/>
                <w:szCs w:val="20"/>
                <w:color w:val="auto"/>
              </w:rPr>
            </w:pPr>
            <w:r>
              <w:rPr>
                <w:rFonts w:ascii="Arial" w:cs="Arial" w:eastAsia="Arial" w:hAnsi="Arial"/>
                <w:sz w:val="14"/>
                <w:szCs w:val="14"/>
                <w:color w:val="FFFFFF"/>
              </w:rPr>
              <w:t>SCT Reported Equity</w:t>
            </w:r>
          </w:p>
        </w:tc>
        <w:tc>
          <w:tcPr>
            <w:tcW w:w="1480" w:type="dxa"/>
            <w:vAlign w:val="bottom"/>
            <w:shd w:val="clear" w:color="auto" w:fill="BF2115"/>
          </w:tcPr>
          <w:p>
            <w:pPr>
              <w:jc w:val="center"/>
              <w:spacing w:after="0" w:line="149" w:lineRule="exact"/>
              <w:rPr>
                <w:sz w:val="20"/>
                <w:szCs w:val="20"/>
                <w:color w:val="auto"/>
              </w:rPr>
            </w:pPr>
            <w:r>
              <w:rPr>
                <w:rFonts w:ascii="Arial" w:cs="Arial" w:eastAsia="Arial" w:hAnsi="Arial"/>
                <w:sz w:val="14"/>
                <w:szCs w:val="14"/>
                <w:color w:val="FFFFFF"/>
              </w:rPr>
              <w:t>Equity Award</w:t>
            </w:r>
          </w:p>
        </w:tc>
        <w:tc>
          <w:tcPr>
            <w:tcW w:w="1700" w:type="dxa"/>
            <w:vAlign w:val="bottom"/>
            <w:shd w:val="clear" w:color="auto" w:fill="BF2115"/>
          </w:tcPr>
          <w:p>
            <w:pPr>
              <w:jc w:val="right"/>
              <w:ind w:right="4"/>
              <w:spacing w:after="0" w:line="149" w:lineRule="exact"/>
              <w:rPr>
                <w:sz w:val="20"/>
                <w:szCs w:val="20"/>
                <w:color w:val="auto"/>
              </w:rPr>
            </w:pPr>
            <w:r>
              <w:rPr>
                <w:rFonts w:ascii="Arial" w:cs="Arial" w:eastAsia="Arial" w:hAnsi="Arial"/>
                <w:sz w:val="14"/>
                <w:szCs w:val="14"/>
                <w:color w:val="FFFFFF"/>
              </w:rPr>
              <w:t>Present Value of Pension</w:t>
            </w:r>
          </w:p>
        </w:tc>
        <w:tc>
          <w:tcPr>
            <w:tcW w:w="1480" w:type="dxa"/>
            <w:vAlign w:val="bottom"/>
            <w:shd w:val="clear" w:color="auto" w:fill="BF2115"/>
          </w:tcPr>
          <w:p>
            <w:pPr>
              <w:jc w:val="center"/>
              <w:spacing w:after="0" w:line="149" w:lineRule="exact"/>
              <w:rPr>
                <w:sz w:val="20"/>
                <w:szCs w:val="20"/>
                <w:color w:val="auto"/>
              </w:rPr>
            </w:pPr>
            <w:r>
              <w:rPr>
                <w:rFonts w:ascii="Arial" w:cs="Arial" w:eastAsia="Arial" w:hAnsi="Arial"/>
                <w:sz w:val="14"/>
                <w:szCs w:val="14"/>
                <w:color w:val="FFFFFF"/>
              </w:rPr>
              <w:t>Pension Benefit</w:t>
            </w:r>
          </w:p>
        </w:tc>
        <w:tc>
          <w:tcPr>
            <w:tcW w:w="1560" w:type="dxa"/>
            <w:vAlign w:val="bottom"/>
            <w:shd w:val="clear" w:color="auto" w:fill="BF2115"/>
          </w:tcPr>
          <w:p>
            <w:pPr>
              <w:jc w:val="center"/>
              <w:spacing w:after="0" w:line="149" w:lineRule="exact"/>
              <w:rPr>
                <w:sz w:val="20"/>
                <w:szCs w:val="20"/>
                <w:color w:val="auto"/>
              </w:rPr>
            </w:pPr>
            <w:r>
              <w:rPr>
                <w:rFonts w:ascii="Arial" w:cs="Arial" w:eastAsia="Arial" w:hAnsi="Arial"/>
                <w:sz w:val="14"/>
                <w:szCs w:val="14"/>
                <w:color w:val="FFFFFF"/>
              </w:rPr>
              <w:t>Compensation Actually</w:t>
            </w:r>
          </w:p>
        </w:tc>
      </w:tr>
      <w:tr>
        <w:trPr>
          <w:trHeight w:val="171"/>
        </w:trPr>
        <w:tc>
          <w:tcPr>
            <w:tcW w:w="1360" w:type="dxa"/>
            <w:vAlign w:val="bottom"/>
            <w:shd w:val="clear" w:color="auto" w:fill="BF2115"/>
          </w:tcPr>
          <w:p>
            <w:pPr>
              <w:spacing w:after="0"/>
              <w:rPr>
                <w:sz w:val="14"/>
                <w:szCs w:val="14"/>
                <w:color w:val="auto"/>
              </w:rPr>
            </w:pPr>
          </w:p>
        </w:tc>
        <w:tc>
          <w:tcPr>
            <w:tcW w:w="1820" w:type="dxa"/>
            <w:vAlign w:val="bottom"/>
            <w:shd w:val="clear" w:color="auto" w:fill="BF2115"/>
          </w:tcPr>
          <w:p>
            <w:pPr>
              <w:jc w:val="right"/>
              <w:ind w:right="303"/>
              <w:spacing w:after="0"/>
              <w:rPr>
                <w:sz w:val="20"/>
                <w:szCs w:val="20"/>
                <w:color w:val="auto"/>
              </w:rPr>
            </w:pPr>
            <w:r>
              <w:rPr>
                <w:rFonts w:ascii="Arial" w:cs="Arial" w:eastAsia="Arial" w:hAnsi="Arial"/>
                <w:sz w:val="14"/>
                <w:szCs w:val="14"/>
                <w:color w:val="FFFFFF"/>
              </w:rPr>
              <w:t>SCT Total for</w:t>
            </w:r>
          </w:p>
        </w:tc>
        <w:tc>
          <w:tcPr>
            <w:tcW w:w="1620" w:type="dxa"/>
            <w:vAlign w:val="bottom"/>
            <w:shd w:val="clear" w:color="auto" w:fill="BF2115"/>
          </w:tcPr>
          <w:p>
            <w:pPr>
              <w:jc w:val="center"/>
              <w:ind w:right="24"/>
              <w:spacing w:after="0"/>
              <w:rPr>
                <w:sz w:val="20"/>
                <w:szCs w:val="20"/>
                <w:color w:val="auto"/>
              </w:rPr>
            </w:pPr>
            <w:r>
              <w:rPr>
                <w:rFonts w:ascii="Arial" w:cs="Arial" w:eastAsia="Arial" w:hAnsi="Arial"/>
                <w:sz w:val="14"/>
                <w:szCs w:val="14"/>
                <w:color w:val="FFFFFF"/>
              </w:rPr>
              <w:t>Award Value for Non-</w:t>
            </w:r>
          </w:p>
        </w:tc>
        <w:tc>
          <w:tcPr>
            <w:tcW w:w="148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Adjustments for Non-</w:t>
            </w:r>
          </w:p>
        </w:tc>
        <w:tc>
          <w:tcPr>
            <w:tcW w:w="170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Benefits for Non-PEO</w:t>
            </w:r>
          </w:p>
        </w:tc>
        <w:tc>
          <w:tcPr>
            <w:tcW w:w="148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Adjustments for Non</w:t>
            </w:r>
          </w:p>
        </w:tc>
        <w:tc>
          <w:tcPr>
            <w:tcW w:w="156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Paid to Non-PEO</w:t>
            </w:r>
          </w:p>
        </w:tc>
      </w:tr>
      <w:tr>
        <w:trPr>
          <w:trHeight w:val="203"/>
        </w:trPr>
        <w:tc>
          <w:tcPr>
            <w:tcW w:w="1360" w:type="dxa"/>
            <w:vAlign w:val="bottom"/>
            <w:shd w:val="clear" w:color="auto" w:fill="BF2115"/>
          </w:tcPr>
          <w:p>
            <w:pPr>
              <w:jc w:val="right"/>
              <w:ind w:right="301"/>
              <w:spacing w:after="0"/>
              <w:rPr>
                <w:sz w:val="20"/>
                <w:szCs w:val="20"/>
                <w:color w:val="auto"/>
              </w:rPr>
            </w:pPr>
            <w:r>
              <w:rPr>
                <w:rFonts w:ascii="Arial" w:cs="Arial" w:eastAsia="Arial" w:hAnsi="Arial"/>
                <w:sz w:val="14"/>
                <w:szCs w:val="14"/>
                <w:b w:val="1"/>
                <w:bCs w:val="1"/>
                <w:color w:val="FFFFFF"/>
              </w:rPr>
              <w:t>Year</w:t>
            </w:r>
          </w:p>
        </w:tc>
        <w:tc>
          <w:tcPr>
            <w:tcW w:w="1820" w:type="dxa"/>
            <w:vAlign w:val="bottom"/>
            <w:shd w:val="clear" w:color="auto" w:fill="BF2115"/>
          </w:tcPr>
          <w:p>
            <w:pPr>
              <w:jc w:val="right"/>
              <w:ind w:right="103"/>
              <w:spacing w:after="0"/>
              <w:rPr>
                <w:sz w:val="20"/>
                <w:szCs w:val="20"/>
                <w:color w:val="auto"/>
              </w:rPr>
            </w:pPr>
            <w:r>
              <w:rPr>
                <w:rFonts w:ascii="Arial" w:cs="Arial" w:eastAsia="Arial" w:hAnsi="Arial"/>
                <w:sz w:val="14"/>
                <w:szCs w:val="14"/>
                <w:color w:val="FFFFFF"/>
              </w:rPr>
              <w:t>Non-PEO NEOs ($)</w:t>
            </w:r>
          </w:p>
        </w:tc>
        <w:tc>
          <w:tcPr>
            <w:tcW w:w="1620" w:type="dxa"/>
            <w:vAlign w:val="bottom"/>
            <w:shd w:val="clear" w:color="auto" w:fill="BF2115"/>
          </w:tcPr>
          <w:p>
            <w:pPr>
              <w:jc w:val="center"/>
              <w:ind w:right="4"/>
              <w:spacing w:after="0"/>
              <w:rPr>
                <w:sz w:val="20"/>
                <w:szCs w:val="20"/>
                <w:color w:val="auto"/>
              </w:rPr>
            </w:pPr>
            <w:r>
              <w:rPr>
                <w:rFonts w:ascii="Arial" w:cs="Arial" w:eastAsia="Arial" w:hAnsi="Arial"/>
                <w:sz w:val="14"/>
                <w:szCs w:val="14"/>
                <w:color w:val="FFFFFF"/>
              </w:rPr>
              <w:t>PEO NEOs ($)</w:t>
            </w:r>
          </w:p>
        </w:tc>
        <w:tc>
          <w:tcPr>
            <w:tcW w:w="148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PEO NEOs ($)</w:t>
            </w:r>
            <w:r>
              <w:rPr>
                <w:rFonts w:ascii="Arial" w:cs="Arial" w:eastAsia="Arial" w:hAnsi="Arial"/>
                <w:sz w:val="9"/>
                <w:szCs w:val="9"/>
                <w:color w:val="FFFFFF"/>
              </w:rPr>
              <w:t>1</w:t>
            </w:r>
          </w:p>
        </w:tc>
        <w:tc>
          <w:tcPr>
            <w:tcW w:w="170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NEOs($)</w:t>
            </w:r>
          </w:p>
        </w:tc>
        <w:tc>
          <w:tcPr>
            <w:tcW w:w="148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PEO-NEOs($)</w:t>
            </w:r>
          </w:p>
        </w:tc>
        <w:tc>
          <w:tcPr>
            <w:tcW w:w="156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NEOs($)</w:t>
            </w:r>
          </w:p>
        </w:tc>
      </w:tr>
      <w:tr>
        <w:trPr>
          <w:trHeight w:val="215"/>
        </w:trPr>
        <w:tc>
          <w:tcPr>
            <w:tcW w:w="1360" w:type="dxa"/>
            <w:vAlign w:val="bottom"/>
          </w:tcPr>
          <w:p>
            <w:pPr>
              <w:jc w:val="right"/>
              <w:ind w:right="901"/>
              <w:spacing w:after="0"/>
              <w:rPr>
                <w:sz w:val="20"/>
                <w:szCs w:val="20"/>
                <w:color w:val="auto"/>
              </w:rPr>
            </w:pPr>
            <w:r>
              <w:rPr>
                <w:rFonts w:ascii="Arial" w:cs="Arial" w:eastAsia="Arial" w:hAnsi="Arial"/>
                <w:sz w:val="16"/>
                <w:szCs w:val="16"/>
                <w:color w:val="auto"/>
              </w:rPr>
              <w:t>2023</w:t>
            </w:r>
          </w:p>
        </w:tc>
        <w:tc>
          <w:tcPr>
            <w:tcW w:w="1820" w:type="dxa"/>
            <w:vAlign w:val="bottom"/>
          </w:tcPr>
          <w:p>
            <w:pPr>
              <w:jc w:val="right"/>
              <w:ind w:right="3"/>
              <w:spacing w:after="0"/>
              <w:rPr>
                <w:sz w:val="20"/>
                <w:szCs w:val="20"/>
                <w:color w:val="auto"/>
              </w:rPr>
            </w:pPr>
            <w:r>
              <w:rPr>
                <w:rFonts w:ascii="Arial" w:cs="Arial" w:eastAsia="Arial" w:hAnsi="Arial"/>
                <w:sz w:val="16"/>
                <w:szCs w:val="16"/>
                <w:color w:val="auto"/>
              </w:rPr>
              <w:t>1,905,612</w:t>
            </w:r>
          </w:p>
        </w:tc>
        <w:tc>
          <w:tcPr>
            <w:tcW w:w="1620" w:type="dxa"/>
            <w:vAlign w:val="bottom"/>
          </w:tcPr>
          <w:p>
            <w:pPr>
              <w:jc w:val="right"/>
              <w:spacing w:after="0"/>
              <w:rPr>
                <w:sz w:val="20"/>
                <w:szCs w:val="20"/>
                <w:color w:val="auto"/>
              </w:rPr>
            </w:pPr>
            <w:r>
              <w:rPr>
                <w:rFonts w:ascii="Arial" w:cs="Arial" w:eastAsia="Arial" w:hAnsi="Arial"/>
                <w:sz w:val="16"/>
                <w:szCs w:val="16"/>
                <w:color w:val="auto"/>
              </w:rPr>
              <w:t>(1,297,243)</w:t>
            </w:r>
          </w:p>
        </w:tc>
        <w:tc>
          <w:tcPr>
            <w:tcW w:w="1480" w:type="dxa"/>
            <w:vAlign w:val="bottom"/>
          </w:tcPr>
          <w:p>
            <w:pPr>
              <w:jc w:val="right"/>
              <w:spacing w:after="0"/>
              <w:rPr>
                <w:sz w:val="20"/>
                <w:szCs w:val="20"/>
                <w:color w:val="auto"/>
              </w:rPr>
            </w:pPr>
            <w:r>
              <w:rPr>
                <w:rFonts w:ascii="Arial" w:cs="Arial" w:eastAsia="Arial" w:hAnsi="Arial"/>
                <w:sz w:val="16"/>
                <w:szCs w:val="16"/>
                <w:color w:val="auto"/>
              </w:rPr>
              <w:t>(122,980)</w:t>
            </w:r>
          </w:p>
        </w:tc>
        <w:tc>
          <w:tcPr>
            <w:tcW w:w="1700" w:type="dxa"/>
            <w:vAlign w:val="bottom"/>
          </w:tcPr>
          <w:p>
            <w:pPr>
              <w:jc w:val="right"/>
              <w:spacing w:after="0"/>
              <w:rPr>
                <w:sz w:val="20"/>
                <w:szCs w:val="20"/>
                <w:color w:val="auto"/>
              </w:rPr>
            </w:pPr>
            <w:r>
              <w:rPr>
                <w:rFonts w:ascii="Arial" w:cs="Arial" w:eastAsia="Arial" w:hAnsi="Arial"/>
                <w:sz w:val="16"/>
                <w:szCs w:val="16"/>
                <w:color w:val="auto"/>
              </w:rPr>
              <w:t>0</w:t>
            </w:r>
          </w:p>
        </w:tc>
        <w:tc>
          <w:tcPr>
            <w:tcW w:w="1480" w:type="dxa"/>
            <w:vAlign w:val="bottom"/>
          </w:tcPr>
          <w:p>
            <w:pPr>
              <w:jc w:val="right"/>
              <w:spacing w:after="0"/>
              <w:rPr>
                <w:sz w:val="20"/>
                <w:szCs w:val="20"/>
                <w:color w:val="auto"/>
              </w:rPr>
            </w:pPr>
            <w:r>
              <w:rPr>
                <w:rFonts w:ascii="Arial" w:cs="Arial" w:eastAsia="Arial" w:hAnsi="Arial"/>
                <w:sz w:val="16"/>
                <w:szCs w:val="16"/>
                <w:color w:val="auto"/>
              </w:rPr>
              <w:t>0</w:t>
            </w:r>
          </w:p>
        </w:tc>
        <w:tc>
          <w:tcPr>
            <w:tcW w:w="1560" w:type="dxa"/>
            <w:vAlign w:val="bottom"/>
          </w:tcPr>
          <w:p>
            <w:pPr>
              <w:jc w:val="right"/>
              <w:spacing w:after="0"/>
              <w:rPr>
                <w:sz w:val="20"/>
                <w:szCs w:val="20"/>
                <w:color w:val="auto"/>
              </w:rPr>
            </w:pPr>
            <w:r>
              <w:rPr>
                <w:rFonts w:ascii="Arial" w:cs="Arial" w:eastAsia="Arial" w:hAnsi="Arial"/>
                <w:sz w:val="16"/>
                <w:szCs w:val="16"/>
                <w:color w:val="auto"/>
              </w:rPr>
              <w:t>485,389</w:t>
            </w:r>
          </w:p>
        </w:tc>
      </w:tr>
      <w:tr>
        <w:trPr>
          <w:trHeight w:val="28"/>
        </w:trPr>
        <w:tc>
          <w:tcPr>
            <w:tcW w:w="1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3"/>
        </w:trPr>
        <w:tc>
          <w:tcPr>
            <w:tcW w:w="1360" w:type="dxa"/>
            <w:vAlign w:val="bottom"/>
            <w:tcBorders>
              <w:bottom w:val="single" w:sz="8" w:color="DBDBDB"/>
            </w:tcBorders>
            <w:shd w:val="clear" w:color="auto" w:fill="DBDBDB"/>
          </w:tcPr>
          <w:p>
            <w:pPr>
              <w:jc w:val="right"/>
              <w:ind w:right="901"/>
              <w:spacing w:after="0"/>
              <w:rPr>
                <w:sz w:val="20"/>
                <w:szCs w:val="20"/>
                <w:color w:val="auto"/>
              </w:rPr>
            </w:pPr>
            <w:r>
              <w:rPr>
                <w:rFonts w:ascii="Arial" w:cs="Arial" w:eastAsia="Arial" w:hAnsi="Arial"/>
                <w:sz w:val="16"/>
                <w:szCs w:val="16"/>
                <w:color w:val="auto"/>
              </w:rPr>
              <w:t>2022</w:t>
            </w:r>
          </w:p>
        </w:tc>
        <w:tc>
          <w:tcPr>
            <w:tcW w:w="1820" w:type="dxa"/>
            <w:vAlign w:val="bottom"/>
            <w:tcBorders>
              <w:bottom w:val="single" w:sz="8" w:color="DBDBDB"/>
            </w:tcBorders>
            <w:shd w:val="clear" w:color="auto" w:fill="DBDBDB"/>
          </w:tcPr>
          <w:p>
            <w:pPr>
              <w:jc w:val="right"/>
              <w:ind w:right="3"/>
              <w:spacing w:after="0"/>
              <w:rPr>
                <w:sz w:val="20"/>
                <w:szCs w:val="20"/>
                <w:color w:val="auto"/>
              </w:rPr>
            </w:pPr>
            <w:r>
              <w:rPr>
                <w:rFonts w:ascii="Arial" w:cs="Arial" w:eastAsia="Arial" w:hAnsi="Arial"/>
                <w:sz w:val="16"/>
                <w:szCs w:val="16"/>
                <w:color w:val="auto"/>
              </w:rPr>
              <w:t>2,316,841</w:t>
            </w:r>
          </w:p>
        </w:tc>
        <w:tc>
          <w:tcPr>
            <w:tcW w:w="1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(1,315,478)</w:t>
            </w:r>
          </w:p>
        </w:tc>
        <w:tc>
          <w:tcPr>
            <w:tcW w:w="1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1,831,583</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2,831,673</w:t>
            </w:r>
          </w:p>
        </w:tc>
      </w:tr>
      <w:tr>
        <w:trPr>
          <w:trHeight w:val="215"/>
        </w:trPr>
        <w:tc>
          <w:tcPr>
            <w:tcW w:w="1360" w:type="dxa"/>
            <w:vAlign w:val="bottom"/>
          </w:tcPr>
          <w:p>
            <w:pPr>
              <w:jc w:val="right"/>
              <w:ind w:right="901"/>
              <w:spacing w:after="0"/>
              <w:rPr>
                <w:sz w:val="20"/>
                <w:szCs w:val="20"/>
                <w:color w:val="auto"/>
              </w:rPr>
            </w:pPr>
            <w:r>
              <w:rPr>
                <w:rFonts w:ascii="Arial" w:cs="Arial" w:eastAsia="Arial" w:hAnsi="Arial"/>
                <w:sz w:val="16"/>
                <w:szCs w:val="16"/>
                <w:color w:val="auto"/>
              </w:rPr>
              <w:t>2021</w:t>
            </w:r>
          </w:p>
        </w:tc>
        <w:tc>
          <w:tcPr>
            <w:tcW w:w="1820" w:type="dxa"/>
            <w:vAlign w:val="bottom"/>
          </w:tcPr>
          <w:p>
            <w:pPr>
              <w:jc w:val="right"/>
              <w:ind w:right="3"/>
              <w:spacing w:after="0"/>
              <w:rPr>
                <w:sz w:val="20"/>
                <w:szCs w:val="20"/>
                <w:color w:val="auto"/>
              </w:rPr>
            </w:pPr>
            <w:r>
              <w:rPr>
                <w:rFonts w:ascii="Arial" w:cs="Arial" w:eastAsia="Arial" w:hAnsi="Arial"/>
                <w:sz w:val="16"/>
                <w:szCs w:val="16"/>
                <w:color w:val="auto"/>
              </w:rPr>
              <w:t>2,244,282</w:t>
            </w:r>
          </w:p>
        </w:tc>
        <w:tc>
          <w:tcPr>
            <w:tcW w:w="1620" w:type="dxa"/>
            <w:vAlign w:val="bottom"/>
          </w:tcPr>
          <w:p>
            <w:pPr>
              <w:jc w:val="right"/>
              <w:spacing w:after="0"/>
              <w:rPr>
                <w:sz w:val="20"/>
                <w:szCs w:val="20"/>
                <w:color w:val="auto"/>
              </w:rPr>
            </w:pPr>
            <w:r>
              <w:rPr>
                <w:rFonts w:ascii="Arial" w:cs="Arial" w:eastAsia="Arial" w:hAnsi="Arial"/>
                <w:sz w:val="16"/>
                <w:szCs w:val="16"/>
                <w:color w:val="auto"/>
              </w:rPr>
              <w:t>(1,020,368)</w:t>
            </w:r>
          </w:p>
        </w:tc>
        <w:tc>
          <w:tcPr>
            <w:tcW w:w="1480" w:type="dxa"/>
            <w:vAlign w:val="bottom"/>
          </w:tcPr>
          <w:p>
            <w:pPr>
              <w:jc w:val="right"/>
              <w:spacing w:after="0"/>
              <w:rPr>
                <w:sz w:val="20"/>
                <w:szCs w:val="20"/>
                <w:color w:val="auto"/>
              </w:rPr>
            </w:pPr>
            <w:r>
              <w:rPr>
                <w:rFonts w:ascii="Arial" w:cs="Arial" w:eastAsia="Arial" w:hAnsi="Arial"/>
                <w:sz w:val="16"/>
                <w:szCs w:val="16"/>
                <w:color w:val="auto"/>
              </w:rPr>
              <w:t>2,110,094</w:t>
            </w:r>
          </w:p>
        </w:tc>
        <w:tc>
          <w:tcPr>
            <w:tcW w:w="1700" w:type="dxa"/>
            <w:vAlign w:val="bottom"/>
          </w:tcPr>
          <w:p>
            <w:pPr>
              <w:jc w:val="right"/>
              <w:spacing w:after="0"/>
              <w:rPr>
                <w:sz w:val="20"/>
                <w:szCs w:val="20"/>
                <w:color w:val="auto"/>
              </w:rPr>
            </w:pPr>
            <w:r>
              <w:rPr>
                <w:rFonts w:ascii="Arial" w:cs="Arial" w:eastAsia="Arial" w:hAnsi="Arial"/>
                <w:sz w:val="16"/>
                <w:szCs w:val="16"/>
                <w:color w:val="auto"/>
              </w:rPr>
              <w:t>0</w:t>
            </w:r>
          </w:p>
        </w:tc>
        <w:tc>
          <w:tcPr>
            <w:tcW w:w="1480" w:type="dxa"/>
            <w:vAlign w:val="bottom"/>
          </w:tcPr>
          <w:p>
            <w:pPr>
              <w:jc w:val="right"/>
              <w:spacing w:after="0"/>
              <w:rPr>
                <w:sz w:val="20"/>
                <w:szCs w:val="20"/>
                <w:color w:val="auto"/>
              </w:rPr>
            </w:pPr>
            <w:r>
              <w:rPr>
                <w:rFonts w:ascii="Arial" w:cs="Arial" w:eastAsia="Arial" w:hAnsi="Arial"/>
                <w:sz w:val="16"/>
                <w:szCs w:val="16"/>
                <w:color w:val="auto"/>
              </w:rPr>
              <w:t>0</w:t>
            </w:r>
          </w:p>
        </w:tc>
        <w:tc>
          <w:tcPr>
            <w:tcW w:w="1560" w:type="dxa"/>
            <w:vAlign w:val="bottom"/>
          </w:tcPr>
          <w:p>
            <w:pPr>
              <w:jc w:val="right"/>
              <w:spacing w:after="0"/>
              <w:rPr>
                <w:sz w:val="20"/>
                <w:szCs w:val="20"/>
                <w:color w:val="auto"/>
              </w:rPr>
            </w:pPr>
            <w:r>
              <w:rPr>
                <w:rFonts w:ascii="Arial" w:cs="Arial" w:eastAsia="Arial" w:hAnsi="Arial"/>
                <w:sz w:val="16"/>
                <w:szCs w:val="16"/>
                <w:color w:val="auto"/>
              </w:rPr>
              <w:t>3,334,008</w:t>
            </w:r>
          </w:p>
        </w:tc>
      </w:tr>
    </w:tbl>
    <w:p>
      <w:pPr>
        <w:spacing w:after="0" w:line="99" w:lineRule="exact"/>
        <w:rPr>
          <w:sz w:val="20"/>
          <w:szCs w:val="20"/>
          <w:color w:val="auto"/>
        </w:rPr>
      </w:pPr>
    </w:p>
    <w:p>
      <w:pPr>
        <w:ind w:left="320" w:hanging="312"/>
        <w:spacing w:after="0"/>
        <w:tabs>
          <w:tab w:leader="none" w:pos="320" w:val="left"/>
        </w:tabs>
        <w:numPr>
          <w:ilvl w:val="0"/>
          <w:numId w:val="75"/>
        </w:numPr>
        <w:rPr>
          <w:rFonts w:ascii="Calibri" w:cs="Calibri" w:eastAsia="Calibri" w:hAnsi="Calibri"/>
          <w:sz w:val="20"/>
          <w:szCs w:val="20"/>
          <w:color w:val="auto"/>
        </w:rPr>
      </w:pPr>
      <w:r>
        <w:rPr>
          <w:rFonts w:ascii="Arial" w:cs="Arial" w:eastAsia="Arial" w:hAnsi="Arial"/>
          <w:sz w:val="18"/>
          <w:szCs w:val="18"/>
          <w:color w:val="auto"/>
        </w:rPr>
        <w:t>Represents the average of the year-over-year change in the fair value of equity awards to our Non-PEO NEOs as summarized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shd w:val="clear" w:color="auto" w:fill="BF2115"/>
          </w:tcPr>
          <w:p>
            <w:pPr>
              <w:spacing w:after="0"/>
              <w:rPr>
                <w:sz w:val="14"/>
                <w:szCs w:val="14"/>
                <w:color w:val="auto"/>
              </w:rPr>
            </w:pPr>
          </w:p>
        </w:tc>
        <w:tc>
          <w:tcPr>
            <w:tcW w:w="1260" w:type="dxa"/>
            <w:vAlign w:val="bottom"/>
            <w:vMerge w:val="restart"/>
            <w:shd w:val="clear" w:color="auto" w:fill="BF2115"/>
          </w:tcPr>
          <w:p>
            <w:pPr>
              <w:jc w:val="center"/>
              <w:ind w:left="25"/>
              <w:spacing w:after="0"/>
              <w:rPr>
                <w:sz w:val="20"/>
                <w:szCs w:val="20"/>
                <w:color w:val="auto"/>
              </w:rPr>
            </w:pPr>
            <w:r>
              <w:rPr>
                <w:rFonts w:ascii="Arial" w:cs="Arial" w:eastAsia="Arial" w:hAnsi="Arial"/>
                <w:sz w:val="14"/>
                <w:szCs w:val="14"/>
                <w:color w:val="FFFFFF"/>
              </w:rPr>
              <w:t>Year End Fair</w:t>
            </w:r>
          </w:p>
        </w:tc>
        <w:tc>
          <w:tcPr>
            <w:tcW w:w="1440" w:type="dxa"/>
            <w:vAlign w:val="bottom"/>
            <w:shd w:val="clear" w:color="auto" w:fill="BF2115"/>
          </w:tcPr>
          <w:p>
            <w:pPr>
              <w:jc w:val="center"/>
              <w:spacing w:after="0"/>
              <w:rPr>
                <w:sz w:val="20"/>
                <w:szCs w:val="20"/>
                <w:color w:val="auto"/>
              </w:rPr>
            </w:pPr>
            <w:r>
              <w:rPr>
                <w:rFonts w:ascii="Arial" w:cs="Arial" w:eastAsia="Arial" w:hAnsi="Arial"/>
                <w:sz w:val="14"/>
                <w:szCs w:val="14"/>
                <w:color w:val="FFFFFF"/>
                <w:w w:val="99"/>
              </w:rPr>
              <w:t>Year over Year</w:t>
            </w:r>
          </w:p>
        </w:tc>
        <w:tc>
          <w:tcPr>
            <w:tcW w:w="122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Fair Value as of</w:t>
            </w:r>
          </w:p>
        </w:tc>
        <w:tc>
          <w:tcPr>
            <w:tcW w:w="1660" w:type="dxa"/>
            <w:vAlign w:val="bottom"/>
            <w:vMerge w:val="restart"/>
            <w:shd w:val="clear" w:color="auto" w:fill="BF2115"/>
          </w:tcPr>
          <w:p>
            <w:pPr>
              <w:jc w:val="center"/>
              <w:spacing w:after="0"/>
              <w:rPr>
                <w:sz w:val="20"/>
                <w:szCs w:val="20"/>
                <w:color w:val="auto"/>
              </w:rPr>
            </w:pPr>
            <w:r>
              <w:rPr>
                <w:rFonts w:ascii="Arial" w:cs="Arial" w:eastAsia="Arial" w:hAnsi="Arial"/>
                <w:sz w:val="14"/>
                <w:szCs w:val="14"/>
                <w:color w:val="FFFFFF"/>
              </w:rPr>
              <w:t>Year over Year Change</w:t>
            </w:r>
          </w:p>
        </w:tc>
        <w:tc>
          <w:tcPr>
            <w:tcW w:w="152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Fair Value at the End</w:t>
            </w:r>
          </w:p>
        </w:tc>
        <w:tc>
          <w:tcPr>
            <w:tcW w:w="1600" w:type="dxa"/>
            <w:vAlign w:val="bottom"/>
            <w:shd w:val="clear" w:color="auto" w:fill="BF2115"/>
          </w:tcPr>
          <w:p>
            <w:pPr>
              <w:jc w:val="center"/>
              <w:ind w:right="5"/>
              <w:spacing w:after="0"/>
              <w:rPr>
                <w:sz w:val="20"/>
                <w:szCs w:val="20"/>
                <w:color w:val="auto"/>
              </w:rPr>
            </w:pPr>
            <w:r>
              <w:rPr>
                <w:rFonts w:ascii="Arial" w:cs="Arial" w:eastAsia="Arial" w:hAnsi="Arial"/>
                <w:sz w:val="14"/>
                <w:szCs w:val="14"/>
                <w:color w:val="FFFFFF"/>
              </w:rPr>
              <w:t>Value of Dividends or</w:t>
            </w:r>
          </w:p>
        </w:tc>
        <w:tc>
          <w:tcPr>
            <w:tcW w:w="1400" w:type="dxa"/>
            <w:vAlign w:val="bottom"/>
            <w:shd w:val="clear" w:color="auto" w:fill="BF2115"/>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BF2115"/>
          </w:tcPr>
          <w:p>
            <w:pPr>
              <w:spacing w:after="0"/>
              <w:rPr>
                <w:sz w:val="12"/>
                <w:szCs w:val="12"/>
                <w:color w:val="auto"/>
              </w:rPr>
            </w:pPr>
          </w:p>
        </w:tc>
        <w:tc>
          <w:tcPr>
            <w:tcW w:w="1260" w:type="dxa"/>
            <w:vAlign w:val="bottom"/>
            <w:vMerge w:val="continue"/>
            <w:shd w:val="clear" w:color="auto" w:fill="BF2115"/>
          </w:tcPr>
          <w:p>
            <w:pPr>
              <w:spacing w:after="0"/>
              <w:rPr>
                <w:sz w:val="12"/>
                <w:szCs w:val="12"/>
                <w:color w:val="auto"/>
              </w:rPr>
            </w:pPr>
          </w:p>
        </w:tc>
        <w:tc>
          <w:tcPr>
            <w:tcW w:w="1440" w:type="dxa"/>
            <w:vAlign w:val="bottom"/>
            <w:shd w:val="clear" w:color="auto" w:fill="BF2115"/>
          </w:tcPr>
          <w:p>
            <w:pPr>
              <w:jc w:val="center"/>
              <w:spacing w:after="0" w:line="149" w:lineRule="exact"/>
              <w:rPr>
                <w:sz w:val="20"/>
                <w:szCs w:val="20"/>
                <w:color w:val="auto"/>
              </w:rPr>
            </w:pPr>
            <w:r>
              <w:rPr>
                <w:rFonts w:ascii="Arial" w:cs="Arial" w:eastAsia="Arial" w:hAnsi="Arial"/>
                <w:sz w:val="14"/>
                <w:szCs w:val="14"/>
                <w:color w:val="FFFFFF"/>
              </w:rPr>
              <w:t>Change in Fair Value</w:t>
            </w:r>
          </w:p>
        </w:tc>
        <w:tc>
          <w:tcPr>
            <w:tcW w:w="1220" w:type="dxa"/>
            <w:vAlign w:val="bottom"/>
            <w:shd w:val="clear" w:color="auto" w:fill="BF2115"/>
          </w:tcPr>
          <w:p>
            <w:pPr>
              <w:jc w:val="center"/>
              <w:spacing w:after="0" w:line="149" w:lineRule="exact"/>
              <w:rPr>
                <w:sz w:val="20"/>
                <w:szCs w:val="20"/>
                <w:color w:val="auto"/>
              </w:rPr>
            </w:pPr>
            <w:r>
              <w:rPr>
                <w:rFonts w:ascii="Arial" w:cs="Arial" w:eastAsia="Arial" w:hAnsi="Arial"/>
                <w:sz w:val="14"/>
                <w:szCs w:val="14"/>
                <w:color w:val="FFFFFF"/>
              </w:rPr>
              <w:t>Vesting Date of</w:t>
            </w:r>
          </w:p>
        </w:tc>
        <w:tc>
          <w:tcPr>
            <w:tcW w:w="1660" w:type="dxa"/>
            <w:vAlign w:val="bottom"/>
            <w:vMerge w:val="continue"/>
            <w:shd w:val="clear" w:color="auto" w:fill="BF2115"/>
          </w:tcPr>
          <w:p>
            <w:pPr>
              <w:spacing w:after="0"/>
              <w:rPr>
                <w:sz w:val="12"/>
                <w:szCs w:val="12"/>
                <w:color w:val="auto"/>
              </w:rPr>
            </w:pPr>
          </w:p>
        </w:tc>
        <w:tc>
          <w:tcPr>
            <w:tcW w:w="1520" w:type="dxa"/>
            <w:vAlign w:val="bottom"/>
            <w:shd w:val="clear" w:color="auto" w:fill="BF2115"/>
          </w:tcPr>
          <w:p>
            <w:pPr>
              <w:jc w:val="center"/>
              <w:spacing w:after="0" w:line="149" w:lineRule="exact"/>
              <w:rPr>
                <w:sz w:val="20"/>
                <w:szCs w:val="20"/>
                <w:color w:val="auto"/>
              </w:rPr>
            </w:pPr>
            <w:r>
              <w:rPr>
                <w:rFonts w:ascii="Arial" w:cs="Arial" w:eastAsia="Arial" w:hAnsi="Arial"/>
                <w:sz w:val="14"/>
                <w:szCs w:val="14"/>
                <w:color w:val="FFFFFF"/>
              </w:rPr>
              <w:t>of the Prior Year of</w:t>
            </w:r>
          </w:p>
        </w:tc>
        <w:tc>
          <w:tcPr>
            <w:tcW w:w="1600" w:type="dxa"/>
            <w:vAlign w:val="bottom"/>
            <w:shd w:val="clear" w:color="auto" w:fill="BF2115"/>
          </w:tcPr>
          <w:p>
            <w:pPr>
              <w:jc w:val="center"/>
              <w:ind w:right="5"/>
              <w:spacing w:after="0" w:line="149" w:lineRule="exact"/>
              <w:rPr>
                <w:sz w:val="20"/>
                <w:szCs w:val="20"/>
                <w:color w:val="auto"/>
              </w:rPr>
            </w:pPr>
            <w:r>
              <w:rPr>
                <w:rFonts w:ascii="Arial" w:cs="Arial" w:eastAsia="Arial" w:hAnsi="Arial"/>
                <w:sz w:val="14"/>
                <w:szCs w:val="14"/>
                <w:color w:val="FFFFFF"/>
              </w:rPr>
              <w:t>other Earnings Paid on</w:t>
            </w:r>
          </w:p>
        </w:tc>
        <w:tc>
          <w:tcPr>
            <w:tcW w:w="1400" w:type="dxa"/>
            <w:vAlign w:val="bottom"/>
            <w:shd w:val="clear" w:color="auto" w:fill="BF2115"/>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60" w:type="dxa"/>
            <w:vAlign w:val="bottom"/>
            <w:shd w:val="clear" w:color="auto" w:fill="BF2115"/>
          </w:tcPr>
          <w:p>
            <w:pPr>
              <w:spacing w:after="0"/>
              <w:rPr>
                <w:sz w:val="12"/>
                <w:szCs w:val="12"/>
                <w:color w:val="auto"/>
              </w:rPr>
            </w:pPr>
          </w:p>
        </w:tc>
        <w:tc>
          <w:tcPr>
            <w:tcW w:w="1260" w:type="dxa"/>
            <w:vAlign w:val="bottom"/>
            <w:shd w:val="clear" w:color="auto" w:fill="BF2115"/>
          </w:tcPr>
          <w:p>
            <w:pPr>
              <w:jc w:val="center"/>
              <w:ind w:left="25"/>
              <w:spacing w:after="0" w:line="139" w:lineRule="exact"/>
              <w:rPr>
                <w:sz w:val="20"/>
                <w:szCs w:val="20"/>
                <w:color w:val="auto"/>
              </w:rPr>
            </w:pPr>
            <w:r>
              <w:rPr>
                <w:rFonts w:ascii="Arial" w:cs="Arial" w:eastAsia="Arial" w:hAnsi="Arial"/>
                <w:sz w:val="14"/>
                <w:szCs w:val="14"/>
                <w:color w:val="FFFFFF"/>
              </w:rPr>
              <w:t>Value of</w:t>
            </w:r>
          </w:p>
        </w:tc>
        <w:tc>
          <w:tcPr>
            <w:tcW w:w="1440" w:type="dxa"/>
            <w:vAlign w:val="bottom"/>
            <w:shd w:val="clear" w:color="auto" w:fill="BF2115"/>
          </w:tcPr>
          <w:p>
            <w:pPr>
              <w:jc w:val="center"/>
              <w:spacing w:after="0" w:line="139" w:lineRule="exact"/>
              <w:rPr>
                <w:sz w:val="20"/>
                <w:szCs w:val="20"/>
                <w:color w:val="auto"/>
              </w:rPr>
            </w:pPr>
            <w:r>
              <w:rPr>
                <w:rFonts w:ascii="Arial" w:cs="Arial" w:eastAsia="Arial" w:hAnsi="Arial"/>
                <w:sz w:val="14"/>
                <w:szCs w:val="14"/>
                <w:color w:val="FFFFFF"/>
              </w:rPr>
              <w:t>of Outstanding</w:t>
            </w:r>
          </w:p>
        </w:tc>
        <w:tc>
          <w:tcPr>
            <w:tcW w:w="1220" w:type="dxa"/>
            <w:vAlign w:val="bottom"/>
            <w:shd w:val="clear" w:color="auto" w:fill="BF2115"/>
          </w:tcPr>
          <w:p>
            <w:pPr>
              <w:jc w:val="center"/>
              <w:spacing w:after="0" w:line="139" w:lineRule="exact"/>
              <w:rPr>
                <w:sz w:val="20"/>
                <w:szCs w:val="20"/>
                <w:color w:val="auto"/>
              </w:rPr>
            </w:pPr>
            <w:r>
              <w:rPr>
                <w:rFonts w:ascii="Arial" w:cs="Arial" w:eastAsia="Arial" w:hAnsi="Arial"/>
                <w:sz w:val="14"/>
                <w:szCs w:val="14"/>
                <w:color w:val="FFFFFF"/>
              </w:rPr>
              <w:t>Equity Awards</w:t>
            </w:r>
          </w:p>
        </w:tc>
        <w:tc>
          <w:tcPr>
            <w:tcW w:w="1660" w:type="dxa"/>
            <w:vAlign w:val="bottom"/>
            <w:shd w:val="clear" w:color="auto" w:fill="BF2115"/>
          </w:tcPr>
          <w:p>
            <w:pPr>
              <w:jc w:val="center"/>
              <w:spacing w:after="0" w:line="139" w:lineRule="exact"/>
              <w:rPr>
                <w:sz w:val="20"/>
                <w:szCs w:val="20"/>
                <w:color w:val="auto"/>
              </w:rPr>
            </w:pPr>
            <w:r>
              <w:rPr>
                <w:rFonts w:ascii="Arial" w:cs="Arial" w:eastAsia="Arial" w:hAnsi="Arial"/>
                <w:sz w:val="14"/>
                <w:szCs w:val="14"/>
                <w:color w:val="FFFFFF"/>
              </w:rPr>
              <w:t>in Fair Value of Equity</w:t>
            </w:r>
          </w:p>
        </w:tc>
        <w:tc>
          <w:tcPr>
            <w:tcW w:w="1520" w:type="dxa"/>
            <w:vAlign w:val="bottom"/>
            <w:shd w:val="clear" w:color="auto" w:fill="BF2115"/>
          </w:tcPr>
          <w:p>
            <w:pPr>
              <w:jc w:val="center"/>
              <w:spacing w:after="0" w:line="139" w:lineRule="exact"/>
              <w:rPr>
                <w:sz w:val="20"/>
                <w:szCs w:val="20"/>
                <w:color w:val="auto"/>
              </w:rPr>
            </w:pPr>
            <w:r>
              <w:rPr>
                <w:rFonts w:ascii="Arial" w:cs="Arial" w:eastAsia="Arial" w:hAnsi="Arial"/>
                <w:sz w:val="14"/>
                <w:szCs w:val="14"/>
                <w:color w:val="FFFFFF"/>
              </w:rPr>
              <w:t>Equity Awards that</w:t>
            </w:r>
          </w:p>
        </w:tc>
        <w:tc>
          <w:tcPr>
            <w:tcW w:w="1600" w:type="dxa"/>
            <w:vAlign w:val="bottom"/>
            <w:shd w:val="clear" w:color="auto" w:fill="BF2115"/>
          </w:tcPr>
          <w:p>
            <w:pPr>
              <w:jc w:val="center"/>
              <w:ind w:right="5"/>
              <w:spacing w:after="0" w:line="139" w:lineRule="exact"/>
              <w:rPr>
                <w:sz w:val="20"/>
                <w:szCs w:val="20"/>
                <w:color w:val="auto"/>
              </w:rPr>
            </w:pPr>
            <w:r>
              <w:rPr>
                <w:rFonts w:ascii="Arial" w:cs="Arial" w:eastAsia="Arial" w:hAnsi="Arial"/>
                <w:sz w:val="14"/>
                <w:szCs w:val="14"/>
                <w:color w:val="FFFFFF"/>
              </w:rPr>
              <w:t>Equity Awards not</w:t>
            </w:r>
          </w:p>
        </w:tc>
        <w:tc>
          <w:tcPr>
            <w:tcW w:w="1400" w:type="dxa"/>
            <w:vAlign w:val="bottom"/>
            <w:shd w:val="clear" w:color="auto" w:fill="BF2115"/>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shd w:val="clear" w:color="auto" w:fill="BF2115"/>
          </w:tcPr>
          <w:p>
            <w:pPr>
              <w:spacing w:after="0"/>
              <w:rPr>
                <w:sz w:val="12"/>
                <w:szCs w:val="12"/>
                <w:color w:val="auto"/>
              </w:rPr>
            </w:pPr>
          </w:p>
        </w:tc>
        <w:tc>
          <w:tcPr>
            <w:tcW w:w="1260" w:type="dxa"/>
            <w:vAlign w:val="bottom"/>
            <w:shd w:val="clear" w:color="auto" w:fill="BF2115"/>
          </w:tcPr>
          <w:p>
            <w:pPr>
              <w:jc w:val="center"/>
              <w:ind w:left="25"/>
              <w:spacing w:after="0" w:line="145" w:lineRule="exact"/>
              <w:rPr>
                <w:sz w:val="20"/>
                <w:szCs w:val="20"/>
                <w:color w:val="auto"/>
              </w:rPr>
            </w:pPr>
            <w:r>
              <w:rPr>
                <w:rFonts w:ascii="Arial" w:cs="Arial" w:eastAsia="Arial" w:hAnsi="Arial"/>
                <w:sz w:val="14"/>
                <w:szCs w:val="14"/>
                <w:color w:val="FFFFFF"/>
              </w:rPr>
              <w:t>Unvested Equity</w:t>
            </w:r>
          </w:p>
        </w:tc>
        <w:tc>
          <w:tcPr>
            <w:tcW w:w="1440" w:type="dxa"/>
            <w:vAlign w:val="bottom"/>
            <w:shd w:val="clear" w:color="auto" w:fill="BF2115"/>
          </w:tcPr>
          <w:p>
            <w:pPr>
              <w:jc w:val="center"/>
              <w:spacing w:after="0" w:line="145" w:lineRule="exact"/>
              <w:rPr>
                <w:sz w:val="20"/>
                <w:szCs w:val="20"/>
                <w:color w:val="auto"/>
              </w:rPr>
            </w:pPr>
            <w:r>
              <w:rPr>
                <w:rFonts w:ascii="Arial" w:cs="Arial" w:eastAsia="Arial" w:hAnsi="Arial"/>
                <w:sz w:val="14"/>
                <w:szCs w:val="14"/>
                <w:color w:val="FFFFFF"/>
              </w:rPr>
              <w:t>Unvested Equity</w:t>
            </w:r>
          </w:p>
        </w:tc>
        <w:tc>
          <w:tcPr>
            <w:tcW w:w="1220" w:type="dxa"/>
            <w:vAlign w:val="bottom"/>
            <w:shd w:val="clear" w:color="auto" w:fill="BF2115"/>
          </w:tcPr>
          <w:p>
            <w:pPr>
              <w:jc w:val="center"/>
              <w:spacing w:after="0" w:line="145" w:lineRule="exact"/>
              <w:rPr>
                <w:sz w:val="20"/>
                <w:szCs w:val="20"/>
                <w:color w:val="auto"/>
              </w:rPr>
            </w:pPr>
            <w:r>
              <w:rPr>
                <w:rFonts w:ascii="Arial" w:cs="Arial" w:eastAsia="Arial" w:hAnsi="Arial"/>
                <w:sz w:val="14"/>
                <w:szCs w:val="14"/>
                <w:color w:val="FFFFFF"/>
              </w:rPr>
              <w:t>Granted and</w:t>
            </w:r>
          </w:p>
        </w:tc>
        <w:tc>
          <w:tcPr>
            <w:tcW w:w="1660" w:type="dxa"/>
            <w:vAlign w:val="bottom"/>
            <w:shd w:val="clear" w:color="auto" w:fill="BF2115"/>
          </w:tcPr>
          <w:p>
            <w:pPr>
              <w:jc w:val="center"/>
              <w:spacing w:after="0" w:line="145" w:lineRule="exact"/>
              <w:rPr>
                <w:sz w:val="20"/>
                <w:szCs w:val="20"/>
                <w:color w:val="auto"/>
              </w:rPr>
            </w:pPr>
            <w:r>
              <w:rPr>
                <w:rFonts w:ascii="Arial" w:cs="Arial" w:eastAsia="Arial" w:hAnsi="Arial"/>
                <w:sz w:val="14"/>
                <w:szCs w:val="14"/>
                <w:color w:val="FFFFFF"/>
              </w:rPr>
              <w:t>Awards Granted in Prior</w:t>
            </w:r>
          </w:p>
        </w:tc>
        <w:tc>
          <w:tcPr>
            <w:tcW w:w="1520" w:type="dxa"/>
            <w:vAlign w:val="bottom"/>
            <w:shd w:val="clear" w:color="auto" w:fill="BF2115"/>
          </w:tcPr>
          <w:p>
            <w:pPr>
              <w:jc w:val="center"/>
              <w:spacing w:after="0" w:line="145" w:lineRule="exact"/>
              <w:rPr>
                <w:sz w:val="20"/>
                <w:szCs w:val="20"/>
                <w:color w:val="auto"/>
              </w:rPr>
            </w:pPr>
            <w:r>
              <w:rPr>
                <w:rFonts w:ascii="Arial" w:cs="Arial" w:eastAsia="Arial" w:hAnsi="Arial"/>
                <w:sz w:val="14"/>
                <w:szCs w:val="14"/>
                <w:color w:val="FFFFFF"/>
              </w:rPr>
              <w:t>Failed to Meet Vesting</w:t>
            </w:r>
          </w:p>
        </w:tc>
        <w:tc>
          <w:tcPr>
            <w:tcW w:w="1600" w:type="dxa"/>
            <w:vAlign w:val="bottom"/>
            <w:shd w:val="clear" w:color="auto" w:fill="BF2115"/>
          </w:tcPr>
          <w:p>
            <w:pPr>
              <w:jc w:val="center"/>
              <w:ind w:right="5"/>
              <w:spacing w:after="0" w:line="145" w:lineRule="exact"/>
              <w:rPr>
                <w:sz w:val="20"/>
                <w:szCs w:val="20"/>
                <w:color w:val="auto"/>
              </w:rPr>
            </w:pPr>
            <w:r>
              <w:rPr>
                <w:rFonts w:ascii="Arial" w:cs="Arial" w:eastAsia="Arial" w:hAnsi="Arial"/>
                <w:sz w:val="14"/>
                <w:szCs w:val="14"/>
                <w:color w:val="FFFFFF"/>
              </w:rPr>
              <w:t>Otherwise Reflected in</w:t>
            </w:r>
          </w:p>
        </w:tc>
        <w:tc>
          <w:tcPr>
            <w:tcW w:w="1400" w:type="dxa"/>
            <w:vAlign w:val="bottom"/>
            <w:vMerge w:val="restart"/>
            <w:shd w:val="clear" w:color="auto" w:fill="BF2115"/>
          </w:tcPr>
          <w:p>
            <w:pPr>
              <w:jc w:val="right"/>
              <w:ind w:right="63"/>
              <w:spacing w:after="0"/>
              <w:rPr>
                <w:sz w:val="20"/>
                <w:szCs w:val="20"/>
                <w:color w:val="auto"/>
              </w:rPr>
            </w:pPr>
            <w:r>
              <w:rPr>
                <w:rFonts w:ascii="Arial" w:cs="Arial" w:eastAsia="Arial" w:hAnsi="Arial"/>
                <w:sz w:val="14"/>
                <w:szCs w:val="14"/>
                <w:color w:val="FFFFFF"/>
              </w:rPr>
              <w:t>Total Equity Award</w:t>
            </w:r>
          </w:p>
        </w:tc>
        <w:tc>
          <w:tcPr>
            <w:tcW w:w="0" w:type="dxa"/>
            <w:vAlign w:val="bottom"/>
          </w:tcPr>
          <w:p>
            <w:pPr>
              <w:spacing w:after="0"/>
              <w:rPr>
                <w:sz w:val="1"/>
                <w:szCs w:val="1"/>
                <w:color w:val="auto"/>
              </w:rPr>
            </w:pPr>
          </w:p>
        </w:tc>
      </w:tr>
      <w:tr>
        <w:trPr>
          <w:trHeight w:val="148"/>
        </w:trPr>
        <w:tc>
          <w:tcPr>
            <w:tcW w:w="760" w:type="dxa"/>
            <w:vAlign w:val="bottom"/>
            <w:vMerge w:val="restart"/>
            <w:shd w:val="clear" w:color="auto" w:fill="BF2115"/>
          </w:tcPr>
          <w:p>
            <w:pPr>
              <w:jc w:val="right"/>
              <w:ind w:right="81"/>
              <w:spacing w:after="0"/>
              <w:rPr>
                <w:sz w:val="20"/>
                <w:szCs w:val="20"/>
                <w:color w:val="auto"/>
              </w:rPr>
            </w:pPr>
            <w:r>
              <w:rPr>
                <w:rFonts w:ascii="Arial" w:cs="Arial" w:eastAsia="Arial" w:hAnsi="Arial"/>
                <w:sz w:val="14"/>
                <w:szCs w:val="14"/>
                <w:b w:val="1"/>
                <w:bCs w:val="1"/>
                <w:color w:val="FFFFFF"/>
              </w:rPr>
              <w:t>Year</w:t>
            </w:r>
          </w:p>
        </w:tc>
        <w:tc>
          <w:tcPr>
            <w:tcW w:w="1260" w:type="dxa"/>
            <w:vAlign w:val="bottom"/>
            <w:shd w:val="clear" w:color="auto" w:fill="BF2115"/>
          </w:tcPr>
          <w:p>
            <w:pPr>
              <w:jc w:val="center"/>
              <w:ind w:left="25"/>
              <w:spacing w:after="0" w:line="149" w:lineRule="exact"/>
              <w:rPr>
                <w:sz w:val="20"/>
                <w:szCs w:val="20"/>
                <w:color w:val="auto"/>
              </w:rPr>
            </w:pPr>
            <w:r>
              <w:rPr>
                <w:rFonts w:ascii="Arial" w:cs="Arial" w:eastAsia="Arial" w:hAnsi="Arial"/>
                <w:sz w:val="14"/>
                <w:szCs w:val="14"/>
                <w:color w:val="FFFFFF"/>
              </w:rPr>
              <w:t>Awards Granted</w:t>
            </w:r>
          </w:p>
        </w:tc>
        <w:tc>
          <w:tcPr>
            <w:tcW w:w="1440" w:type="dxa"/>
            <w:vAlign w:val="bottom"/>
            <w:shd w:val="clear" w:color="auto" w:fill="BF2115"/>
          </w:tcPr>
          <w:p>
            <w:pPr>
              <w:jc w:val="center"/>
              <w:spacing w:after="0" w:line="149" w:lineRule="exact"/>
              <w:rPr>
                <w:sz w:val="20"/>
                <w:szCs w:val="20"/>
                <w:color w:val="auto"/>
              </w:rPr>
            </w:pPr>
            <w:r>
              <w:rPr>
                <w:rFonts w:ascii="Arial" w:cs="Arial" w:eastAsia="Arial" w:hAnsi="Arial"/>
                <w:sz w:val="14"/>
                <w:szCs w:val="14"/>
                <w:color w:val="FFFFFF"/>
              </w:rPr>
              <w:t>Awards Granted in</w:t>
            </w:r>
          </w:p>
        </w:tc>
        <w:tc>
          <w:tcPr>
            <w:tcW w:w="1220" w:type="dxa"/>
            <w:vAlign w:val="bottom"/>
            <w:shd w:val="clear" w:color="auto" w:fill="BF2115"/>
          </w:tcPr>
          <w:p>
            <w:pPr>
              <w:jc w:val="center"/>
              <w:spacing w:after="0" w:line="149" w:lineRule="exact"/>
              <w:rPr>
                <w:sz w:val="20"/>
                <w:szCs w:val="20"/>
                <w:color w:val="auto"/>
              </w:rPr>
            </w:pPr>
            <w:r>
              <w:rPr>
                <w:rFonts w:ascii="Arial" w:cs="Arial" w:eastAsia="Arial" w:hAnsi="Arial"/>
                <w:sz w:val="14"/>
                <w:szCs w:val="14"/>
                <w:color w:val="FFFFFF"/>
              </w:rPr>
              <w:t>Vested in the Year</w:t>
            </w:r>
          </w:p>
        </w:tc>
        <w:tc>
          <w:tcPr>
            <w:tcW w:w="1660" w:type="dxa"/>
            <w:vAlign w:val="bottom"/>
            <w:shd w:val="clear" w:color="auto" w:fill="BF2115"/>
          </w:tcPr>
          <w:p>
            <w:pPr>
              <w:jc w:val="center"/>
              <w:spacing w:after="0" w:line="149" w:lineRule="exact"/>
              <w:rPr>
                <w:sz w:val="20"/>
                <w:szCs w:val="20"/>
                <w:color w:val="auto"/>
              </w:rPr>
            </w:pPr>
            <w:r>
              <w:rPr>
                <w:rFonts w:ascii="Arial" w:cs="Arial" w:eastAsia="Arial" w:hAnsi="Arial"/>
                <w:sz w:val="14"/>
                <w:szCs w:val="14"/>
                <w:color w:val="FFFFFF"/>
              </w:rPr>
              <w:t>Years that Vested in the</w:t>
            </w:r>
          </w:p>
        </w:tc>
        <w:tc>
          <w:tcPr>
            <w:tcW w:w="1520" w:type="dxa"/>
            <w:vAlign w:val="bottom"/>
            <w:shd w:val="clear" w:color="auto" w:fill="BF2115"/>
          </w:tcPr>
          <w:p>
            <w:pPr>
              <w:jc w:val="center"/>
              <w:spacing w:after="0" w:line="149" w:lineRule="exact"/>
              <w:rPr>
                <w:sz w:val="20"/>
                <w:szCs w:val="20"/>
                <w:color w:val="auto"/>
              </w:rPr>
            </w:pPr>
            <w:r>
              <w:rPr>
                <w:rFonts w:ascii="Arial" w:cs="Arial" w:eastAsia="Arial" w:hAnsi="Arial"/>
                <w:sz w:val="14"/>
                <w:szCs w:val="14"/>
                <w:color w:val="FFFFFF"/>
              </w:rPr>
              <w:t>Conditions in the Year</w:t>
            </w:r>
          </w:p>
        </w:tc>
        <w:tc>
          <w:tcPr>
            <w:tcW w:w="1600" w:type="dxa"/>
            <w:vAlign w:val="bottom"/>
            <w:shd w:val="clear" w:color="auto" w:fill="BF2115"/>
          </w:tcPr>
          <w:p>
            <w:pPr>
              <w:jc w:val="center"/>
              <w:ind w:right="5"/>
              <w:spacing w:after="0" w:line="149" w:lineRule="exact"/>
              <w:rPr>
                <w:sz w:val="20"/>
                <w:szCs w:val="20"/>
                <w:color w:val="auto"/>
              </w:rPr>
            </w:pPr>
            <w:r>
              <w:rPr>
                <w:rFonts w:ascii="Arial" w:cs="Arial" w:eastAsia="Arial" w:hAnsi="Arial"/>
                <w:sz w:val="14"/>
                <w:szCs w:val="14"/>
                <w:color w:val="FFFFFF"/>
              </w:rPr>
              <w:t>Fair Value or Total</w:t>
            </w:r>
          </w:p>
        </w:tc>
        <w:tc>
          <w:tcPr>
            <w:tcW w:w="1400" w:type="dxa"/>
            <w:vAlign w:val="bottom"/>
            <w:vMerge w:val="continue"/>
            <w:shd w:val="clear" w:color="auto" w:fill="BF2115"/>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vMerge w:val="continue"/>
            <w:shd w:val="clear" w:color="auto" w:fill="BF2115"/>
          </w:tcPr>
          <w:p>
            <w:pPr>
              <w:spacing w:after="0"/>
              <w:rPr>
                <w:sz w:val="16"/>
                <w:szCs w:val="16"/>
                <w:color w:val="auto"/>
              </w:rPr>
            </w:pPr>
          </w:p>
        </w:tc>
        <w:tc>
          <w:tcPr>
            <w:tcW w:w="1260" w:type="dxa"/>
            <w:vAlign w:val="bottom"/>
            <w:shd w:val="clear" w:color="auto" w:fill="BF2115"/>
          </w:tcPr>
          <w:p>
            <w:pPr>
              <w:jc w:val="center"/>
              <w:ind w:left="25"/>
              <w:spacing w:after="0"/>
              <w:rPr>
                <w:sz w:val="20"/>
                <w:szCs w:val="20"/>
                <w:color w:val="auto"/>
              </w:rPr>
            </w:pPr>
            <w:r>
              <w:rPr>
                <w:rFonts w:ascii="Arial" w:cs="Arial" w:eastAsia="Arial" w:hAnsi="Arial"/>
                <w:sz w:val="14"/>
                <w:szCs w:val="14"/>
                <w:color w:val="FFFFFF"/>
                <w:w w:val="99"/>
              </w:rPr>
              <w:t>in the Year ($)</w:t>
            </w:r>
          </w:p>
        </w:tc>
        <w:tc>
          <w:tcPr>
            <w:tcW w:w="144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Prior Years ($)</w:t>
            </w:r>
          </w:p>
        </w:tc>
        <w:tc>
          <w:tcPr>
            <w:tcW w:w="1220" w:type="dxa"/>
            <w:vAlign w:val="bottom"/>
            <w:shd w:val="clear" w:color="auto" w:fill="BF2115"/>
          </w:tcPr>
          <w:p>
            <w:pPr>
              <w:jc w:val="center"/>
              <w:spacing w:after="0"/>
              <w:rPr>
                <w:sz w:val="20"/>
                <w:szCs w:val="20"/>
                <w:color w:val="auto"/>
              </w:rPr>
            </w:pPr>
            <w:r>
              <w:rPr>
                <w:rFonts w:ascii="Arial" w:cs="Arial" w:eastAsia="Arial" w:hAnsi="Arial"/>
                <w:sz w:val="14"/>
                <w:szCs w:val="14"/>
                <w:color w:val="FFFFFF"/>
                <w:w w:val="93"/>
              </w:rPr>
              <w:t>($)</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color w:val="FFFFFF"/>
                <w:w w:val="98"/>
              </w:rPr>
              <w:t>Year ($)</w:t>
            </w:r>
          </w:p>
        </w:tc>
        <w:tc>
          <w:tcPr>
            <w:tcW w:w="1520" w:type="dxa"/>
            <w:vAlign w:val="bottom"/>
            <w:shd w:val="clear" w:color="auto" w:fill="BF2115"/>
          </w:tcPr>
          <w:p>
            <w:pPr>
              <w:jc w:val="center"/>
              <w:spacing w:after="0"/>
              <w:rPr>
                <w:sz w:val="20"/>
                <w:szCs w:val="20"/>
                <w:color w:val="auto"/>
              </w:rPr>
            </w:pPr>
            <w:r>
              <w:rPr>
                <w:rFonts w:ascii="Arial" w:cs="Arial" w:eastAsia="Arial" w:hAnsi="Arial"/>
                <w:sz w:val="14"/>
                <w:szCs w:val="14"/>
                <w:color w:val="FFFFFF"/>
                <w:w w:val="93"/>
              </w:rPr>
              <w:t>($)</w:t>
            </w:r>
          </w:p>
        </w:tc>
        <w:tc>
          <w:tcPr>
            <w:tcW w:w="1600" w:type="dxa"/>
            <w:vAlign w:val="bottom"/>
            <w:shd w:val="clear" w:color="auto" w:fill="BF2115"/>
          </w:tcPr>
          <w:p>
            <w:pPr>
              <w:jc w:val="center"/>
              <w:ind w:right="5"/>
              <w:spacing w:after="0"/>
              <w:rPr>
                <w:sz w:val="20"/>
                <w:szCs w:val="20"/>
                <w:color w:val="auto"/>
              </w:rPr>
            </w:pPr>
            <w:r>
              <w:rPr>
                <w:rFonts w:ascii="Arial" w:cs="Arial" w:eastAsia="Arial" w:hAnsi="Arial"/>
                <w:sz w:val="14"/>
                <w:szCs w:val="14"/>
                <w:color w:val="FFFFFF"/>
              </w:rPr>
              <w:t>Compensation ($)</w:t>
            </w:r>
          </w:p>
        </w:tc>
        <w:tc>
          <w:tcPr>
            <w:tcW w:w="1400" w:type="dxa"/>
            <w:vAlign w:val="bottom"/>
            <w:shd w:val="clear" w:color="auto" w:fill="BF2115"/>
          </w:tcPr>
          <w:p>
            <w:pPr>
              <w:jc w:val="right"/>
              <w:ind w:right="143"/>
              <w:spacing w:after="0"/>
              <w:rPr>
                <w:sz w:val="20"/>
                <w:szCs w:val="20"/>
                <w:color w:val="auto"/>
              </w:rPr>
            </w:pPr>
            <w:r>
              <w:rPr>
                <w:rFonts w:ascii="Arial" w:cs="Arial" w:eastAsia="Arial" w:hAnsi="Arial"/>
                <w:sz w:val="14"/>
                <w:szCs w:val="14"/>
                <w:color w:val="FFFFFF"/>
              </w:rPr>
              <w:t>Adjustments ($)</w:t>
            </w:r>
          </w:p>
        </w:tc>
        <w:tc>
          <w:tcPr>
            <w:tcW w:w="0" w:type="dxa"/>
            <w:vAlign w:val="bottom"/>
          </w:tcPr>
          <w:p>
            <w:pPr>
              <w:spacing w:after="0"/>
              <w:rPr>
                <w:sz w:val="1"/>
                <w:szCs w:val="1"/>
                <w:color w:val="auto"/>
              </w:rPr>
            </w:pPr>
          </w:p>
        </w:tc>
      </w:tr>
      <w:tr>
        <w:trPr>
          <w:trHeight w:val="215"/>
        </w:trPr>
        <w:tc>
          <w:tcPr>
            <w:tcW w:w="760" w:type="dxa"/>
            <w:vAlign w:val="bottom"/>
          </w:tcPr>
          <w:p>
            <w:pPr>
              <w:jc w:val="right"/>
              <w:ind w:right="301"/>
              <w:spacing w:after="0"/>
              <w:rPr>
                <w:sz w:val="20"/>
                <w:szCs w:val="20"/>
                <w:color w:val="auto"/>
              </w:rPr>
            </w:pPr>
            <w:r>
              <w:rPr>
                <w:rFonts w:ascii="Arial" w:cs="Arial" w:eastAsia="Arial" w:hAnsi="Arial"/>
                <w:sz w:val="16"/>
                <w:szCs w:val="16"/>
                <w:color w:val="auto"/>
              </w:rPr>
              <w:t>2023</w:t>
            </w:r>
          </w:p>
        </w:tc>
        <w:tc>
          <w:tcPr>
            <w:tcW w:w="1260" w:type="dxa"/>
            <w:vAlign w:val="bottom"/>
          </w:tcPr>
          <w:p>
            <w:pPr>
              <w:jc w:val="right"/>
              <w:spacing w:after="0"/>
              <w:rPr>
                <w:sz w:val="20"/>
                <w:szCs w:val="20"/>
                <w:color w:val="auto"/>
              </w:rPr>
            </w:pPr>
            <w:r>
              <w:rPr>
                <w:rFonts w:ascii="Arial" w:cs="Arial" w:eastAsia="Arial" w:hAnsi="Arial"/>
                <w:sz w:val="16"/>
                <w:szCs w:val="16"/>
                <w:color w:val="auto"/>
              </w:rPr>
              <w:t>466,643</w:t>
            </w:r>
          </w:p>
        </w:tc>
        <w:tc>
          <w:tcPr>
            <w:tcW w:w="1440" w:type="dxa"/>
            <w:vAlign w:val="bottom"/>
          </w:tcPr>
          <w:p>
            <w:pPr>
              <w:jc w:val="right"/>
              <w:spacing w:after="0"/>
              <w:rPr>
                <w:sz w:val="20"/>
                <w:szCs w:val="20"/>
                <w:color w:val="auto"/>
              </w:rPr>
            </w:pPr>
            <w:r>
              <w:rPr>
                <w:rFonts w:ascii="Arial" w:cs="Arial" w:eastAsia="Arial" w:hAnsi="Arial"/>
                <w:sz w:val="16"/>
                <w:szCs w:val="16"/>
                <w:color w:val="auto"/>
              </w:rPr>
              <w:t>(327,514)</w:t>
            </w:r>
          </w:p>
        </w:tc>
        <w:tc>
          <w:tcPr>
            <w:tcW w:w="1220" w:type="dxa"/>
            <w:vAlign w:val="bottom"/>
          </w:tcPr>
          <w:p>
            <w:pPr>
              <w:jc w:val="right"/>
              <w:spacing w:after="0"/>
              <w:rPr>
                <w:sz w:val="20"/>
                <w:szCs w:val="20"/>
                <w:color w:val="auto"/>
              </w:rPr>
            </w:pPr>
            <w:r>
              <w:rPr>
                <w:rFonts w:ascii="Arial" w:cs="Arial" w:eastAsia="Arial" w:hAnsi="Arial"/>
                <w:sz w:val="16"/>
                <w:szCs w:val="16"/>
                <w:color w:val="auto"/>
              </w:rPr>
              <w:t>0</w:t>
            </w:r>
          </w:p>
        </w:tc>
        <w:tc>
          <w:tcPr>
            <w:tcW w:w="1660" w:type="dxa"/>
            <w:vAlign w:val="bottom"/>
          </w:tcPr>
          <w:p>
            <w:pPr>
              <w:jc w:val="right"/>
              <w:spacing w:after="0"/>
              <w:rPr>
                <w:sz w:val="20"/>
                <w:szCs w:val="20"/>
                <w:color w:val="auto"/>
              </w:rPr>
            </w:pPr>
            <w:r>
              <w:rPr>
                <w:rFonts w:ascii="Arial" w:cs="Arial" w:eastAsia="Arial" w:hAnsi="Arial"/>
                <w:sz w:val="16"/>
                <w:szCs w:val="16"/>
                <w:color w:val="auto"/>
              </w:rPr>
              <w:t>(120,273)</w:t>
            </w:r>
          </w:p>
        </w:tc>
        <w:tc>
          <w:tcPr>
            <w:tcW w:w="1520" w:type="dxa"/>
            <w:vAlign w:val="bottom"/>
          </w:tcPr>
          <w:p>
            <w:pPr>
              <w:jc w:val="right"/>
              <w:spacing w:after="0"/>
              <w:rPr>
                <w:sz w:val="20"/>
                <w:szCs w:val="20"/>
                <w:color w:val="auto"/>
              </w:rPr>
            </w:pPr>
            <w:r>
              <w:rPr>
                <w:rFonts w:ascii="Arial" w:cs="Arial" w:eastAsia="Arial" w:hAnsi="Arial"/>
                <w:sz w:val="16"/>
                <w:szCs w:val="16"/>
                <w:color w:val="auto"/>
              </w:rPr>
              <w:t>(144,551)</w:t>
            </w:r>
          </w:p>
        </w:tc>
        <w:tc>
          <w:tcPr>
            <w:tcW w:w="1600" w:type="dxa"/>
            <w:vAlign w:val="bottom"/>
          </w:tcPr>
          <w:p>
            <w:pPr>
              <w:jc w:val="right"/>
              <w:ind w:right="5"/>
              <w:spacing w:after="0"/>
              <w:rPr>
                <w:sz w:val="20"/>
                <w:szCs w:val="20"/>
                <w:color w:val="auto"/>
              </w:rPr>
            </w:pPr>
            <w:r>
              <w:rPr>
                <w:rFonts w:ascii="Arial" w:cs="Arial" w:eastAsia="Arial" w:hAnsi="Arial"/>
                <w:sz w:val="16"/>
                <w:szCs w:val="16"/>
                <w:color w:val="auto"/>
              </w:rPr>
              <w:t>2,716</w:t>
            </w:r>
          </w:p>
        </w:tc>
        <w:tc>
          <w:tcPr>
            <w:tcW w:w="1400" w:type="dxa"/>
            <w:vAlign w:val="bottom"/>
          </w:tcPr>
          <w:p>
            <w:pPr>
              <w:jc w:val="right"/>
              <w:spacing w:after="0"/>
              <w:rPr>
                <w:sz w:val="20"/>
                <w:szCs w:val="20"/>
                <w:color w:val="auto"/>
              </w:rPr>
            </w:pPr>
            <w:r>
              <w:rPr>
                <w:rFonts w:ascii="Arial" w:cs="Arial" w:eastAsia="Arial" w:hAnsi="Arial"/>
                <w:sz w:val="16"/>
                <w:szCs w:val="16"/>
                <w:color w:val="auto"/>
              </w:rPr>
              <w:t>(122,980)</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Borders>
              <w:bottom w:val="single" w:sz="8" w:color="DBDBDB"/>
            </w:tcBorders>
            <w:shd w:val="clear" w:color="auto" w:fill="DBDBDB"/>
          </w:tcPr>
          <w:p>
            <w:pPr>
              <w:jc w:val="right"/>
              <w:ind w:right="301"/>
              <w:spacing w:after="0"/>
              <w:rPr>
                <w:sz w:val="20"/>
                <w:szCs w:val="20"/>
                <w:color w:val="auto"/>
              </w:rPr>
            </w:pPr>
            <w:r>
              <w:rPr>
                <w:rFonts w:ascii="Arial" w:cs="Arial" w:eastAsia="Arial" w:hAnsi="Arial"/>
                <w:sz w:val="16"/>
                <w:szCs w:val="16"/>
                <w:color w:val="auto"/>
              </w:rPr>
              <w:t>2022</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1,533,967</w:t>
            </w:r>
          </w:p>
        </w:tc>
        <w:tc>
          <w:tcPr>
            <w:tcW w:w="14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329,900</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(38,169)</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00" w:type="dxa"/>
            <w:vAlign w:val="bottom"/>
            <w:tcBorders>
              <w:bottom w:val="single" w:sz="8" w:color="DBDBDB"/>
            </w:tcBorders>
            <w:shd w:val="clear" w:color="auto" w:fill="DBDBDB"/>
          </w:tcPr>
          <w:p>
            <w:pPr>
              <w:jc w:val="right"/>
              <w:ind w:right="5"/>
              <w:spacing w:after="0"/>
              <w:rPr>
                <w:sz w:val="20"/>
                <w:szCs w:val="20"/>
                <w:color w:val="auto"/>
              </w:rPr>
            </w:pPr>
            <w:r>
              <w:rPr>
                <w:rFonts w:ascii="Arial" w:cs="Arial" w:eastAsia="Arial" w:hAnsi="Arial"/>
                <w:sz w:val="16"/>
                <w:szCs w:val="16"/>
                <w:color w:val="auto"/>
              </w:rPr>
              <w:t>5,885</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1,831,583</w:t>
            </w:r>
          </w:p>
        </w:tc>
        <w:tc>
          <w:tcPr>
            <w:tcW w:w="0" w:type="dxa"/>
            <w:vAlign w:val="bottom"/>
          </w:tcPr>
          <w:p>
            <w:pPr>
              <w:spacing w:after="0"/>
              <w:rPr>
                <w:sz w:val="1"/>
                <w:szCs w:val="1"/>
                <w:color w:val="auto"/>
              </w:rPr>
            </w:pPr>
          </w:p>
        </w:tc>
      </w:tr>
      <w:tr>
        <w:trPr>
          <w:trHeight w:val="215"/>
        </w:trPr>
        <w:tc>
          <w:tcPr>
            <w:tcW w:w="760" w:type="dxa"/>
            <w:vAlign w:val="bottom"/>
          </w:tcPr>
          <w:p>
            <w:pPr>
              <w:jc w:val="right"/>
              <w:ind w:right="301"/>
              <w:spacing w:after="0"/>
              <w:rPr>
                <w:sz w:val="20"/>
                <w:szCs w:val="20"/>
                <w:color w:val="auto"/>
              </w:rPr>
            </w:pPr>
            <w:r>
              <w:rPr>
                <w:rFonts w:ascii="Arial" w:cs="Arial" w:eastAsia="Arial" w:hAnsi="Arial"/>
                <w:sz w:val="16"/>
                <w:szCs w:val="16"/>
                <w:color w:val="auto"/>
              </w:rPr>
              <w:t>2021</w:t>
            </w:r>
          </w:p>
        </w:tc>
        <w:tc>
          <w:tcPr>
            <w:tcW w:w="1260" w:type="dxa"/>
            <w:vAlign w:val="bottom"/>
          </w:tcPr>
          <w:p>
            <w:pPr>
              <w:jc w:val="right"/>
              <w:spacing w:after="0"/>
              <w:rPr>
                <w:sz w:val="20"/>
                <w:szCs w:val="20"/>
                <w:color w:val="auto"/>
              </w:rPr>
            </w:pPr>
            <w:r>
              <w:rPr>
                <w:rFonts w:ascii="Arial" w:cs="Arial" w:eastAsia="Arial" w:hAnsi="Arial"/>
                <w:sz w:val="16"/>
                <w:szCs w:val="16"/>
                <w:color w:val="auto"/>
              </w:rPr>
              <w:t>1,369,547</w:t>
            </w:r>
          </w:p>
        </w:tc>
        <w:tc>
          <w:tcPr>
            <w:tcW w:w="1440" w:type="dxa"/>
            <w:vAlign w:val="bottom"/>
          </w:tcPr>
          <w:p>
            <w:pPr>
              <w:jc w:val="right"/>
              <w:spacing w:after="0"/>
              <w:rPr>
                <w:sz w:val="20"/>
                <w:szCs w:val="20"/>
                <w:color w:val="auto"/>
              </w:rPr>
            </w:pPr>
            <w:r>
              <w:rPr>
                <w:rFonts w:ascii="Arial" w:cs="Arial" w:eastAsia="Arial" w:hAnsi="Arial"/>
                <w:sz w:val="16"/>
                <w:szCs w:val="16"/>
                <w:color w:val="auto"/>
              </w:rPr>
              <w:t>434,551</w:t>
            </w:r>
          </w:p>
        </w:tc>
        <w:tc>
          <w:tcPr>
            <w:tcW w:w="1220" w:type="dxa"/>
            <w:vAlign w:val="bottom"/>
          </w:tcPr>
          <w:p>
            <w:pPr>
              <w:jc w:val="right"/>
              <w:spacing w:after="0"/>
              <w:rPr>
                <w:sz w:val="20"/>
                <w:szCs w:val="20"/>
                <w:color w:val="auto"/>
              </w:rPr>
            </w:pPr>
            <w:r>
              <w:rPr>
                <w:rFonts w:ascii="Arial" w:cs="Arial" w:eastAsia="Arial" w:hAnsi="Arial"/>
                <w:sz w:val="16"/>
                <w:szCs w:val="16"/>
                <w:color w:val="auto"/>
              </w:rPr>
              <w:t>0</w:t>
            </w:r>
          </w:p>
        </w:tc>
        <w:tc>
          <w:tcPr>
            <w:tcW w:w="1660" w:type="dxa"/>
            <w:vAlign w:val="bottom"/>
          </w:tcPr>
          <w:p>
            <w:pPr>
              <w:jc w:val="right"/>
              <w:spacing w:after="0"/>
              <w:rPr>
                <w:sz w:val="20"/>
                <w:szCs w:val="20"/>
                <w:color w:val="auto"/>
              </w:rPr>
            </w:pPr>
            <w:r>
              <w:rPr>
                <w:rFonts w:ascii="Arial" w:cs="Arial" w:eastAsia="Arial" w:hAnsi="Arial"/>
                <w:sz w:val="16"/>
                <w:szCs w:val="16"/>
                <w:color w:val="auto"/>
              </w:rPr>
              <w:t>304,589</w:t>
            </w:r>
          </w:p>
        </w:tc>
        <w:tc>
          <w:tcPr>
            <w:tcW w:w="1520" w:type="dxa"/>
            <w:vAlign w:val="bottom"/>
          </w:tcPr>
          <w:p>
            <w:pPr>
              <w:jc w:val="right"/>
              <w:spacing w:after="0"/>
              <w:rPr>
                <w:sz w:val="20"/>
                <w:szCs w:val="20"/>
                <w:color w:val="auto"/>
              </w:rPr>
            </w:pPr>
            <w:r>
              <w:rPr>
                <w:rFonts w:ascii="Arial" w:cs="Arial" w:eastAsia="Arial" w:hAnsi="Arial"/>
                <w:sz w:val="16"/>
                <w:szCs w:val="16"/>
                <w:color w:val="auto"/>
              </w:rPr>
              <w:t>0</w:t>
            </w:r>
          </w:p>
        </w:tc>
        <w:tc>
          <w:tcPr>
            <w:tcW w:w="1600" w:type="dxa"/>
            <w:vAlign w:val="bottom"/>
          </w:tcPr>
          <w:p>
            <w:pPr>
              <w:jc w:val="right"/>
              <w:ind w:right="5"/>
              <w:spacing w:after="0"/>
              <w:rPr>
                <w:sz w:val="20"/>
                <w:szCs w:val="20"/>
                <w:color w:val="auto"/>
              </w:rPr>
            </w:pPr>
            <w:r>
              <w:rPr>
                <w:rFonts w:ascii="Arial" w:cs="Arial" w:eastAsia="Arial" w:hAnsi="Arial"/>
                <w:sz w:val="16"/>
                <w:szCs w:val="16"/>
                <w:color w:val="auto"/>
              </w:rPr>
              <w:t>1,407</w:t>
            </w:r>
          </w:p>
        </w:tc>
        <w:tc>
          <w:tcPr>
            <w:tcW w:w="1400" w:type="dxa"/>
            <w:vAlign w:val="bottom"/>
          </w:tcPr>
          <w:p>
            <w:pPr>
              <w:jc w:val="right"/>
              <w:spacing w:after="0"/>
              <w:rPr>
                <w:sz w:val="20"/>
                <w:szCs w:val="20"/>
                <w:color w:val="auto"/>
              </w:rPr>
            </w:pPr>
            <w:r>
              <w:rPr>
                <w:rFonts w:ascii="Arial" w:cs="Arial" w:eastAsia="Arial" w:hAnsi="Arial"/>
                <w:sz w:val="16"/>
                <w:szCs w:val="16"/>
                <w:color w:val="auto"/>
              </w:rPr>
              <w:t>2,110,094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72" w:name="page73"/>
    <w:bookmarkEnd w:id="72"/>
    <w:p>
      <w:pPr>
        <w:ind w:right="20" w:firstLine="324"/>
        <w:spacing w:after="0" w:line="271" w:lineRule="auto"/>
        <w:rPr>
          <w:sz w:val="20"/>
          <w:szCs w:val="20"/>
          <w:color w:val="auto"/>
        </w:rPr>
      </w:pPr>
      <w:r>
        <w:rPr>
          <w:rFonts w:ascii="Arial" w:cs="Arial" w:eastAsia="Arial" w:hAnsi="Arial"/>
          <w:sz w:val="18"/>
          <w:szCs w:val="18"/>
          <w:color w:val="auto"/>
        </w:rPr>
        <w:t>In the table above, the equity values are computed in accordance with the methodologies used for financial reporting purposes, reflecting updated economic assumptions as of the valuation dates.</w:t>
      </w:r>
    </w:p>
    <w:p>
      <w:pPr>
        <w:spacing w:after="0" w:line="32"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b w:val="1"/>
          <w:bCs w:val="1"/>
          <w:color w:val="auto"/>
        </w:rPr>
        <w:t xml:space="preserve">Company-Selected Measure and Other Financial Performance Measures. </w:t>
      </w:r>
      <w:r>
        <w:rPr>
          <w:rFonts w:ascii="Arial" w:cs="Arial" w:eastAsia="Arial" w:hAnsi="Arial"/>
          <w:sz w:val="18"/>
          <w:szCs w:val="18"/>
          <w:color w:val="auto"/>
        </w:rPr>
        <w:t>The following financial performance measures are used to</w:t>
      </w:r>
      <w:r>
        <w:rPr>
          <w:rFonts w:ascii="Arial" w:cs="Arial" w:eastAsia="Arial" w:hAnsi="Arial"/>
          <w:sz w:val="18"/>
          <w:szCs w:val="18"/>
          <w:b w:val="1"/>
          <w:bCs w:val="1"/>
          <w:color w:val="auto"/>
        </w:rPr>
        <w:t xml:space="preserve"> </w:t>
      </w:r>
      <w:r>
        <w:rPr>
          <w:rFonts w:ascii="Arial" w:cs="Arial" w:eastAsia="Arial" w:hAnsi="Arial"/>
          <w:sz w:val="18"/>
          <w:szCs w:val="18"/>
          <w:color w:val="auto"/>
        </w:rPr>
        <w:t>link NEO CAP to company performance during the most recently completed fiscal year.</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28925"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28925"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Diluted EPS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and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28925"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28925"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Working Capital as a Percent of Sales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Plus After-Tax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28925"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28925" cy="154305"/>
                    </a:xfrm>
                    <a:prstGeom prst="rect">
                      <a:avLst/>
                    </a:prstGeom>
                    <a:noFill/>
                  </pic:spPr>
                </pic:pic>
              </a:graphicData>
            </a:graphic>
          </wp:anchor>
        </w:drawing>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Relationship of Compensation Actually Paid and Performance Measures. </w:t>
      </w:r>
      <w:r>
        <w:rPr>
          <w:rFonts w:ascii="Arial" w:cs="Arial" w:eastAsia="Arial" w:hAnsi="Arial"/>
          <w:sz w:val="18"/>
          <w:szCs w:val="18"/>
          <w:color w:val="auto"/>
        </w:rPr>
        <w:t>The following charts describe the relationship of CAP to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performance measures listed in the PvP Table above. Generally, CAP has low correlation with the financial measures for the years shown</w:t>
      </w:r>
    </w:p>
    <w:p>
      <w:pPr>
        <w:spacing w:after="0" w:line="7"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in the charts below. We place significant emphasis on equity compensation and at least two-thirds of our executive compensation is tied to TTC performance and the market value of our common stock. Due to the sensitivity of CAP to stock price changes, the timing of the grants</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and the changes in stock price thereafter significantly influence the Compensation Actually Paid each year, as determined under Item 402(v) of Regulation S-K.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 vs. TTC 3-year Cumulative TSR vs. Peer 3-year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5760720" cy="29317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6072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Compensation Actually Paid (CAP)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5760720" cy="34290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6072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Actually Paid (CAP) vs.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5760720" cy="3591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60720" cy="3591560"/>
                    </a:xfrm>
                    <a:prstGeom prst="rect">
                      <a:avLst/>
                    </a:prstGeom>
                    <a:noFill/>
                  </pic:spPr>
                </pic:pic>
              </a:graphicData>
            </a:graphic>
          </wp:anchor>
        </w:drawing>
      </w:r>
    </w:p>
    <w:p>
      <w:pPr>
        <w:sectPr>
          <w:pgSz w:w="11900" w:h="16838" w:orient="portrait"/>
          <w:cols w:equalWidth="0" w:num="1">
            <w:col w:w="10139"/>
          </w:cols>
          <w:pgMar w:left="320" w:top="1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6" w:right="1440"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20"/>
          <w:szCs w:val="20"/>
          <w:b w:val="1"/>
          <w:bCs w:val="1"/>
          <w:color w:val="C00000"/>
        </w:rPr>
        <w:t>Potential Payments Upon Termination or Change In Control</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The following discussion describes the payments and benefits to which our NEOs are entitled in various termination of</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employment and change in control situations. The intent of this discussion is to describe those payments and benefits for which the amount, vesting or time of payment is altered by the termination of employment or change in control situation. Therefore, this discussion does not</w:t>
      </w:r>
    </w:p>
    <w:p>
      <w:pPr>
        <w:spacing w:after="0" w:line="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describe all payments and benefits an NEO may receive following a termination or change in control, such as the following accrued, vested or non-forfeitable compensation and benefits:</w:t>
      </w:r>
    </w:p>
    <w:p>
      <w:pPr>
        <w:spacing w:after="0" w:line="1" w:lineRule="exact"/>
        <w:rPr>
          <w:sz w:val="20"/>
          <w:szCs w:val="20"/>
          <w:color w:val="auto"/>
        </w:rPr>
      </w:pPr>
    </w:p>
    <w:p>
      <w:pPr>
        <w:ind w:left="660" w:hanging="328"/>
        <w:spacing w:after="0" w:line="266"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 of individual contributions to our Deferred Plan and Deferred Plan for Officers in accordance with prior distribution elections, as described under “Nonqualified Deferred Compensation for Fiscal 2023”;</w:t>
      </w:r>
    </w:p>
    <w:p>
      <w:pPr>
        <w:ind w:left="660" w:right="300" w:hanging="328"/>
        <w:spacing w:after="0" w:line="256"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 of Company contributions on behalf of the NEO under our Supplemental Benefit Plan, as described under “Nonqualified Deferred Compensation for Fiscal 2023”;</w:t>
      </w:r>
    </w:p>
    <w:p>
      <w:pPr>
        <w:spacing w:after="0" w:line="3" w:lineRule="exact"/>
        <w:rPr>
          <w:rFonts w:ascii="Arial" w:cs="Arial" w:eastAsia="Arial" w:hAnsi="Arial"/>
          <w:sz w:val="18"/>
          <w:szCs w:val="18"/>
          <w:color w:val="auto"/>
        </w:rPr>
      </w:pPr>
    </w:p>
    <w:p>
      <w:pPr>
        <w:ind w:left="660" w:right="160" w:hanging="328"/>
        <w:spacing w:after="0" w:line="273" w:lineRule="auto"/>
        <w:tabs>
          <w:tab w:leader="none" w:pos="655" w:val="left"/>
        </w:tabs>
        <w:numPr>
          <w:ilvl w:val="0"/>
          <w:numId w:val="76"/>
        </w:numPr>
        <w:rPr>
          <w:rFonts w:ascii="Arial" w:cs="Arial" w:eastAsia="Arial" w:hAnsi="Arial"/>
          <w:sz w:val="17"/>
          <w:szCs w:val="17"/>
          <w:color w:val="auto"/>
        </w:rPr>
      </w:pPr>
      <w:r>
        <w:rPr>
          <w:rFonts w:ascii="Arial" w:cs="Arial" w:eastAsia="Arial" w:hAnsi="Arial"/>
          <w:sz w:val="17"/>
          <w:szCs w:val="17"/>
          <w:color w:val="auto"/>
        </w:rPr>
        <w:t>Payment of individual contributions and vested Company investment fund contributions on behalf of the NEO under our Retirement Plan, as described under “Health, Welfare and Retirement Benefits and All Other Compensation—Retirement Benefits”;</w:t>
      </w:r>
    </w:p>
    <w:p>
      <w:pPr>
        <w:ind w:left="660" w:right="400" w:hanging="328"/>
        <w:spacing w:after="0" w:line="266"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 of annual cash incentive awards if employed on the last day of the fiscal year and if threshold levels are met and at the percentage of the target achieved, as described under “Annual Cash Incentives”;</w:t>
      </w:r>
    </w:p>
    <w:p>
      <w:pPr>
        <w:ind w:left="660" w:right="260" w:hanging="328"/>
        <w:spacing w:after="0" w:line="256"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Payout for performance share awards if employed on the last day of the performance period and if threshold levels are met and at the percentage of the target achieved, as described under “Long-Term Incentives—Performance Share Awards”;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Exercise of stock options that had vested prior to the date of termination; and</w:t>
      </w:r>
    </w:p>
    <w:p>
      <w:pPr>
        <w:spacing w:after="0" w:line="49" w:lineRule="exact"/>
        <w:rPr>
          <w:rFonts w:ascii="Arial" w:cs="Arial" w:eastAsia="Arial" w:hAnsi="Arial"/>
          <w:sz w:val="18"/>
          <w:szCs w:val="18"/>
          <w:color w:val="auto"/>
        </w:rPr>
      </w:pPr>
    </w:p>
    <w:p>
      <w:pPr>
        <w:ind w:left="660" w:right="300" w:hanging="328"/>
        <w:spacing w:after="0" w:line="256"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Payouts under, and continuation of, health and welfare benefits under plans generally applicable to our U.S.-based office salaried employees.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 of our executive officers have any employment or severance agreements or arrangements other than as provided for in our CIC</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policy and other than certain change in control provisions in our equity plans. Accordingly, our NEOs do not have the right to cash severance or additional benefits in connection with a termination of employment except in connection with a change in control of our Company, as</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described under "Potential Payments Upon Termination or Change in Control—Change in Control". Each of our executive officers is a party to our standard confidentiality, invention and non-compete agreement.</w:t>
      </w:r>
    </w:p>
    <w:p>
      <w:pPr>
        <w:spacing w:after="0" w:line="50" w:lineRule="exact"/>
        <w:rPr>
          <w:sz w:val="20"/>
          <w:szCs w:val="20"/>
          <w:color w:val="auto"/>
        </w:rPr>
      </w:pPr>
    </w:p>
    <w:p>
      <w:pPr>
        <w:ind w:right="80" w:firstLine="324"/>
        <w:spacing w:after="0" w:line="245" w:lineRule="auto"/>
        <w:rPr>
          <w:sz w:val="20"/>
          <w:szCs w:val="20"/>
          <w:color w:val="auto"/>
        </w:rPr>
      </w:pPr>
      <w:r>
        <w:rPr>
          <w:rFonts w:ascii="Arial" w:cs="Arial" w:eastAsia="Arial" w:hAnsi="Arial"/>
          <w:sz w:val="18"/>
          <w:szCs w:val="18"/>
          <w:b w:val="1"/>
          <w:bCs w:val="1"/>
          <w:color w:val="auto"/>
        </w:rPr>
        <w:t xml:space="preserve">Voluntary Resignation and Retirement. </w:t>
      </w:r>
      <w:r>
        <w:rPr>
          <w:rFonts w:ascii="Arial" w:cs="Arial" w:eastAsia="Arial" w:hAnsi="Arial"/>
          <w:sz w:val="18"/>
          <w:szCs w:val="18"/>
          <w:color w:val="auto"/>
        </w:rPr>
        <w:t>In the event of an NEO's voluntary resignation or retirement, we would not be obligated to pay</w:t>
      </w:r>
      <w:r>
        <w:rPr>
          <w:rFonts w:ascii="Arial" w:cs="Arial" w:eastAsia="Arial" w:hAnsi="Arial"/>
          <w:sz w:val="18"/>
          <w:szCs w:val="18"/>
          <w:b w:val="1"/>
          <w:bCs w:val="1"/>
          <w:color w:val="auto"/>
        </w:rPr>
        <w:t xml:space="preserve"> </w:t>
      </w:r>
      <w:r>
        <w:rPr>
          <w:rFonts w:ascii="Arial" w:cs="Arial" w:eastAsia="Arial" w:hAnsi="Arial"/>
          <w:sz w:val="18"/>
          <w:szCs w:val="18"/>
          <w:color w:val="auto"/>
        </w:rPr>
        <w:t>or provide any additional payments or benefits, unless the NEO meets the criteria for "retirement" in connection with his or her voluntary</w:t>
      </w:r>
    </w:p>
    <w:p>
      <w:pPr>
        <w:ind w:right="260"/>
        <w:spacing w:after="0" w:line="237" w:lineRule="auto"/>
        <w:rPr>
          <w:sz w:val="20"/>
          <w:szCs w:val="20"/>
          <w:color w:val="auto"/>
        </w:rPr>
      </w:pPr>
      <w:r>
        <w:rPr>
          <w:rFonts w:ascii="Arial" w:cs="Arial" w:eastAsia="Arial" w:hAnsi="Arial"/>
          <w:sz w:val="18"/>
          <w:szCs w:val="18"/>
          <w:color w:val="auto"/>
        </w:rPr>
        <w:t>resignation. For purposes of our compensation arrangements, "retirement" generally means the voluntary termination of employment at or after the age of 55 and with a number of years of service that, when added together with the NEO's age, equals at least 65.</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an NEO meets the criteria for "retirement" in connection with his or her voluntary resignation, the NEO generally would be entitled to or,</w:t>
      </w:r>
    </w:p>
    <w:p>
      <w:pPr>
        <w:spacing w:after="0" w:line="25"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in the case of annual cash incentive awards and performance share awards, may receive upon approval by the Compensation &amp; Human Resources Committee, the following additional payments and benefits:</w:t>
      </w:r>
    </w:p>
    <w:p>
      <w:pPr>
        <w:spacing w:after="0" w:line="19" w:lineRule="exact"/>
        <w:rPr>
          <w:sz w:val="20"/>
          <w:szCs w:val="20"/>
          <w:color w:val="auto"/>
        </w:rPr>
      </w:pPr>
    </w:p>
    <w:p>
      <w:pPr>
        <w:ind w:left="660" w:right="360" w:hanging="328"/>
        <w:spacing w:after="0" w:line="256"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Extended vesting and exercise period of four additional years (or the remaining term of the option, whichever is shorter) after the retirement date for all outstanding stock options held on the retirement date;</w:t>
      </w:r>
    </w:p>
    <w:p>
      <w:pPr>
        <w:spacing w:after="0" w:line="3" w:lineRule="exact"/>
        <w:rPr>
          <w:rFonts w:ascii="Arial" w:cs="Arial" w:eastAsia="Arial" w:hAnsi="Arial"/>
          <w:sz w:val="18"/>
          <w:szCs w:val="18"/>
          <w:color w:val="auto"/>
        </w:rPr>
      </w:pPr>
    </w:p>
    <w:p>
      <w:pPr>
        <w:ind w:left="660" w:right="40" w:hanging="328"/>
        <w:spacing w:after="0"/>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Extended perquisites consisting of reimbursement for amounts incurred for: (i) one additional year of financial planning expenses; (ii) one additional executive physical; (iii) twelve additional months, or through the end of the lease term, whichever is shorter, of lease payments for a Company-leased automobile; and (iv) certain Company products for personal use at no cost for five years following the NEO’s retirement; provided, however, that the NEO is responsible for payment of applicable taxes attributed to the value of such products;</w:t>
      </w:r>
    </w:p>
    <w:p>
      <w:pPr>
        <w:spacing w:after="0" w:line="4" w:lineRule="exact"/>
        <w:rPr>
          <w:rFonts w:ascii="Arial" w:cs="Arial" w:eastAsia="Arial" w:hAnsi="Arial"/>
          <w:sz w:val="18"/>
          <w:szCs w:val="18"/>
          <w:color w:val="auto"/>
        </w:rPr>
      </w:pPr>
    </w:p>
    <w:p>
      <w:pPr>
        <w:ind w:left="660" w:right="20" w:hanging="328"/>
        <w:spacing w:after="0" w:line="241"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Prorated payment of an outstanding annual cash incentive award if the NEO retires prior to the date payment is made in settlement of the annual cash incentive award, which is typically in early December, but only (i) if threshold levels are met and at the percentage of the target achieved; and (ii) in an amount that is proportionate to the portion of the fiscal year performance period that was completed as of the retirement date; and</w:t>
      </w:r>
    </w:p>
    <w:p>
      <w:pPr>
        <w:spacing w:after="0" w:line="19" w:lineRule="exact"/>
        <w:rPr>
          <w:rFonts w:ascii="Arial" w:cs="Arial" w:eastAsia="Arial" w:hAnsi="Arial"/>
          <w:sz w:val="18"/>
          <w:szCs w:val="18"/>
          <w:color w:val="auto"/>
        </w:rPr>
      </w:pPr>
    </w:p>
    <w:p>
      <w:pPr>
        <w:ind w:left="660" w:right="100" w:hanging="328"/>
        <w:spacing w:after="0" w:line="245"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Prorated payment of outstanding performance share awards if the NEO retires after completion of at least one fiscal year of our current three-fiscal year performance period, but only (i) if threshold levels are met and at the percentage of the target achieved and (ii) in an amount that is proportionate to the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5" w:right="359" w:bottom="1440" w:gutter="0" w:footer="0" w:header="0"/>
        </w:sectPr>
      </w:pPr>
    </w:p>
    <w:bookmarkStart w:id="75" w:name="page76"/>
    <w:bookmarkEnd w:id="75"/>
    <w:p>
      <w:pPr>
        <w:ind w:left="660" w:right="480"/>
        <w:spacing w:after="0" w:line="271" w:lineRule="auto"/>
        <w:rPr>
          <w:sz w:val="20"/>
          <w:szCs w:val="20"/>
          <w:color w:val="auto"/>
        </w:rPr>
      </w:pPr>
      <w:r>
        <w:rPr>
          <w:rFonts w:ascii="Arial" w:cs="Arial" w:eastAsia="Arial" w:hAnsi="Arial"/>
          <w:sz w:val="18"/>
          <w:szCs w:val="18"/>
          <w:color w:val="auto"/>
        </w:rPr>
        <w:t>the performance period based on the number of months or years that the NEO was employed or performed services during the performance period as of the NEO’s retirement date.</w:t>
      </w:r>
    </w:p>
    <w:p>
      <w:pPr>
        <w:spacing w:after="0" w:line="32" w:lineRule="exact"/>
        <w:rPr>
          <w:sz w:val="20"/>
          <w:szCs w:val="20"/>
          <w:color w:val="auto"/>
        </w:rPr>
      </w:pPr>
    </w:p>
    <w:p>
      <w:pPr>
        <w:jc w:val="both"/>
        <w:ind w:right="80" w:firstLine="324"/>
        <w:spacing w:after="0" w:line="253" w:lineRule="auto"/>
        <w:rPr>
          <w:sz w:val="20"/>
          <w:szCs w:val="20"/>
          <w:color w:val="auto"/>
        </w:rPr>
      </w:pPr>
      <w:r>
        <w:rPr>
          <w:rFonts w:ascii="Arial" w:cs="Arial" w:eastAsia="Arial" w:hAnsi="Arial"/>
          <w:sz w:val="18"/>
          <w:szCs w:val="18"/>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 the meeting following the completion of the applicable performance period.</w:t>
      </w:r>
    </w:p>
    <w:p>
      <w:pPr>
        <w:spacing w:after="0" w:line="47" w:lineRule="exact"/>
        <w:rPr>
          <w:sz w:val="20"/>
          <w:szCs w:val="20"/>
          <w:color w:val="auto"/>
        </w:rPr>
      </w:pPr>
    </w:p>
    <w:p>
      <w:pPr>
        <w:ind w:right="300" w:firstLine="324"/>
        <w:spacing w:after="0" w:line="250" w:lineRule="auto"/>
        <w:rPr>
          <w:sz w:val="20"/>
          <w:szCs w:val="20"/>
          <w:color w:val="auto"/>
        </w:rPr>
      </w:pPr>
      <w:r>
        <w:rPr>
          <w:rFonts w:ascii="Arial" w:cs="Arial" w:eastAsia="Arial" w:hAnsi="Arial"/>
          <w:sz w:val="18"/>
          <w:szCs w:val="18"/>
          <w:b w:val="1"/>
          <w:bCs w:val="1"/>
          <w:color w:val="auto"/>
        </w:rPr>
        <w:t xml:space="preserve">Disability or Death. </w:t>
      </w:r>
      <w:r>
        <w:rPr>
          <w:rFonts w:ascii="Arial" w:cs="Arial" w:eastAsia="Arial" w:hAnsi="Arial"/>
          <w:sz w:val="18"/>
          <w:szCs w:val="18"/>
          <w:color w:val="auto"/>
        </w:rPr>
        <w:t>In the event of a termination as the result of the disability or death of an NEO, the NEO, or his or her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would be entitled to or, in the case of annual cash incentive awards and performance share awards, may receive upon approval by the Compensation &amp; Human Resources Committee, the following additional payments and benefits:</w:t>
      </w:r>
    </w:p>
    <w:p>
      <w:pPr>
        <w:spacing w:after="0" w:line="1" w:lineRule="exact"/>
        <w:rPr>
          <w:sz w:val="20"/>
          <w:szCs w:val="20"/>
          <w:color w:val="auto"/>
        </w:rPr>
      </w:pPr>
    </w:p>
    <w:p>
      <w:pPr>
        <w:ind w:left="660" w:right="60" w:hanging="328"/>
        <w:spacing w:after="0" w:line="266"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Immediate vesting of all outstanding stock options held as of the termination date and stock options may be exercised for a period of up to one year (or the remaining term of the option, whichever is shorter) after the termination date;</w:t>
      </w:r>
    </w:p>
    <w:p>
      <w:pPr>
        <w:ind w:left="660" w:right="60" w:hanging="328"/>
        <w:spacing w:after="0" w:line="241"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Prorated payment of an outstanding annual cash incentive award if the termination of the NEO is prior to the date payment is made in settlement of the annual cash incentive award, but only (i) if threshold levels are met and at the percentage of the target achieved; and (ii) in an amount that is proportionate to the portion of the fiscal year performance period that was completed as of the termination date; and</w:t>
      </w:r>
    </w:p>
    <w:p>
      <w:pPr>
        <w:spacing w:after="0" w:line="5" w:lineRule="exact"/>
        <w:rPr>
          <w:rFonts w:ascii="Arial" w:cs="Arial" w:eastAsia="Arial" w:hAnsi="Arial"/>
          <w:sz w:val="18"/>
          <w:szCs w:val="18"/>
          <w:color w:val="auto"/>
        </w:rPr>
      </w:pPr>
    </w:p>
    <w:p>
      <w:pPr>
        <w:ind w:left="660" w:right="20" w:hanging="328"/>
        <w:spacing w:after="0" w:line="241"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Prorated payment of outstanding performance share awards if the NEO was employed for at least one fiscal year of our current three-fiscal year performance period, but only (i) if threshold levels are met and at the percentage of the target achieved and (ii) in an amount that is proportionate to the portion of the performance period based on the number of months or years that the NEO was employed or performed services during the performance period as of the NEO’s termination date.</w:t>
      </w:r>
    </w:p>
    <w:p>
      <w:pPr>
        <w:spacing w:after="0" w:line="73" w:lineRule="exact"/>
        <w:rPr>
          <w:sz w:val="20"/>
          <w:szCs w:val="20"/>
          <w:color w:val="auto"/>
        </w:rPr>
      </w:pPr>
    </w:p>
    <w:p>
      <w:pPr>
        <w:ind w:right="80" w:firstLine="324"/>
        <w:spacing w:after="0" w:line="251" w:lineRule="auto"/>
        <w:rPr>
          <w:sz w:val="20"/>
          <w:szCs w:val="20"/>
          <w:color w:val="auto"/>
        </w:rPr>
      </w:pPr>
      <w:r>
        <w:rPr>
          <w:rFonts w:ascii="Arial" w:cs="Arial" w:eastAsia="Arial" w:hAnsi="Arial"/>
          <w:sz w:val="17"/>
          <w:szCs w:val="17"/>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meeting following the completion of the applicable performance period.</w:t>
      </w:r>
    </w:p>
    <w:p>
      <w:pPr>
        <w:spacing w:after="0" w:line="86" w:lineRule="exact"/>
        <w:rPr>
          <w:sz w:val="20"/>
          <w:szCs w:val="20"/>
          <w:color w:val="auto"/>
        </w:rPr>
      </w:pPr>
    </w:p>
    <w:p>
      <w:pPr>
        <w:ind w:right="220" w:firstLine="324"/>
        <w:spacing w:after="0" w:line="237" w:lineRule="auto"/>
        <w:rPr>
          <w:sz w:val="20"/>
          <w:szCs w:val="20"/>
          <w:color w:val="auto"/>
        </w:rPr>
      </w:pPr>
      <w:r>
        <w:rPr>
          <w:rFonts w:ascii="Arial" w:cs="Arial" w:eastAsia="Arial" w:hAnsi="Arial"/>
          <w:sz w:val="18"/>
          <w:szCs w:val="18"/>
          <w:b w:val="1"/>
          <w:bCs w:val="1"/>
          <w:color w:val="auto"/>
        </w:rPr>
        <w:t xml:space="preserve">Involuntary Termination by TTC. </w:t>
      </w:r>
      <w:r>
        <w:rPr>
          <w:rFonts w:ascii="Arial" w:cs="Arial" w:eastAsia="Arial" w:hAnsi="Arial"/>
          <w:sz w:val="18"/>
          <w:szCs w:val="18"/>
          <w:color w:val="auto"/>
        </w:rPr>
        <w:t>Since our NEOs do not have employment or severance agreements or arrangements other than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in our CIC policy, we would not be obligated to provide any additional payments or benefits to our NEOs in the event of an</w:t>
      </w:r>
    </w:p>
    <w:p>
      <w:pPr>
        <w:spacing w:after="0" w:line="1"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involuntary termination of employment by us. Any negotiated separation arrangement typically requires that the NEO sign a release and waiver of claims and comply with confidentiality and non-compete restrictions.</w:t>
      </w:r>
    </w:p>
    <w:p>
      <w:pPr>
        <w:spacing w:after="0" w:line="50" w:lineRule="exact"/>
        <w:rPr>
          <w:sz w:val="20"/>
          <w:szCs w:val="20"/>
          <w:color w:val="auto"/>
        </w:rPr>
      </w:pPr>
    </w:p>
    <w:p>
      <w:pPr>
        <w:jc w:val="both"/>
        <w:ind w:right="300" w:firstLine="324"/>
        <w:spacing w:after="0" w:line="253" w:lineRule="auto"/>
        <w:rPr>
          <w:sz w:val="20"/>
          <w:szCs w:val="20"/>
          <w:color w:val="auto"/>
        </w:rPr>
      </w:pPr>
      <w:r>
        <w:rPr>
          <w:rFonts w:ascii="Arial" w:cs="Arial" w:eastAsia="Arial" w:hAnsi="Arial"/>
          <w:sz w:val="18"/>
          <w:szCs w:val="18"/>
          <w:b w:val="1"/>
          <w:bCs w:val="1"/>
          <w:color w:val="auto"/>
        </w:rPr>
        <w:t xml:space="preserve">Termination by TTC for Cause. </w:t>
      </w:r>
      <w:r>
        <w:rPr>
          <w:rFonts w:ascii="Arial" w:cs="Arial" w:eastAsia="Arial" w:hAnsi="Arial"/>
          <w:sz w:val="18"/>
          <w:szCs w:val="18"/>
          <w:color w:val="auto"/>
        </w:rPr>
        <w:t>In the event of a termination of an NEO's employment by us for cause, we would not be obligated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any additional payments or benefits to the executive. In addition, we may have certain clawback rights, as described below under "Clawback Provisions."</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We have a CIC policy generally applicable to our executive officers. Our CIC policy incorporates a "double trigger"</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mechanism and provides for a cash severance payment and certain other benefits if within three years after a change in control the NEO's employment is terminated by us without just cause or the NEO terminates his or her employment for good reason, or if such termination</w:t>
      </w:r>
    </w:p>
    <w:p>
      <w:pPr>
        <w:spacing w:after="0" w:line="2"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occurs at the request of a third party who had taken steps reasonably calculated to effect the change in control. The payments and benefits the NEO would be entitled to receive include:</w:t>
      </w:r>
    </w:p>
    <w:p>
      <w:pPr>
        <w:spacing w:after="0" w:line="1" w:lineRule="exact"/>
        <w:rPr>
          <w:sz w:val="20"/>
          <w:szCs w:val="20"/>
          <w:color w:val="auto"/>
        </w:rPr>
      </w:pPr>
    </w:p>
    <w:p>
      <w:pPr>
        <w:ind w:left="660" w:right="20" w:hanging="328"/>
        <w:spacing w:after="0" w:line="266"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lump sum cash severance payment equal to two times (or three times for the CEO) the sum of the NEO’s then current annual base salary and target annual cash incentive award;</w:t>
      </w:r>
    </w:p>
    <w:p>
      <w:pPr>
        <w:ind w:left="660" w:hanging="328"/>
        <w:spacing w:after="0" w:line="245"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lump sum cash payment in an amount equal to the NEO’s pro-rated target annual cash incentive award for the fiscal year in which the termination date occurs, reduced by any amounts paid under the terms of the applicable equity compensation policy for the same period of time;</w:t>
      </w:r>
    </w:p>
    <w:p>
      <w:pPr>
        <w:spacing w:after="0" w:line="14" w:lineRule="exact"/>
        <w:rPr>
          <w:rFonts w:ascii="Arial" w:cs="Arial" w:eastAsia="Arial" w:hAnsi="Arial"/>
          <w:sz w:val="18"/>
          <w:szCs w:val="18"/>
          <w:color w:val="auto"/>
        </w:rPr>
      </w:pPr>
    </w:p>
    <w:p>
      <w:pPr>
        <w:jc w:val="both"/>
        <w:ind w:left="660" w:right="240" w:hanging="328"/>
        <w:spacing w:after="0" w:line="245"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eligibility for continuation coverage under our medical, dental and other group health plans for a period of three years following the termination date and reimbursement for any costs incurred in securing such continuation coverage that are in excess of costs that would have been incurred by the NEO immediately prior to his or her termination date to obtain such coverage; and</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two years of outplacement services.</w:t>
      </w:r>
    </w:p>
    <w:p>
      <w:pPr>
        <w:spacing w:after="0" w:line="90" w:lineRule="exact"/>
        <w:rPr>
          <w:sz w:val="20"/>
          <w:szCs w:val="20"/>
          <w:color w:val="auto"/>
        </w:rPr>
      </w:pPr>
    </w:p>
    <w:p>
      <w:pPr>
        <w:ind w:right="400" w:firstLine="324"/>
        <w:spacing w:after="0" w:line="253" w:lineRule="auto"/>
        <w:rPr>
          <w:sz w:val="20"/>
          <w:szCs w:val="20"/>
          <w:color w:val="auto"/>
        </w:rPr>
      </w:pPr>
      <w:r>
        <w:rPr>
          <w:rFonts w:ascii="Arial" w:cs="Arial" w:eastAsia="Arial" w:hAnsi="Arial"/>
          <w:sz w:val="18"/>
          <w:szCs w:val="18"/>
          <w:color w:val="auto"/>
        </w:rPr>
        <w:t>Our CIC policy does not provide a "gross-up" for 280G excise tax and, as a condition to the payment of any severance payment, the NEO must execute a release of claims against us. If a change in control, as generally defined below, has not occurred, our Board may terminate our CIC policy after two years' advance notice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76" w:name="page77"/>
    <w:bookmarkEnd w:id="76"/>
    <w:p>
      <w:pPr>
        <w:ind w:right="700" w:firstLine="324"/>
        <w:spacing w:after="0" w:line="258" w:lineRule="auto"/>
        <w:rPr>
          <w:sz w:val="20"/>
          <w:szCs w:val="20"/>
          <w:color w:val="auto"/>
        </w:rPr>
      </w:pPr>
      <w:r>
        <w:rPr>
          <w:rFonts w:ascii="Arial" w:cs="Arial" w:eastAsia="Arial" w:hAnsi="Arial"/>
          <w:sz w:val="18"/>
          <w:szCs w:val="18"/>
          <w:color w:val="auto"/>
        </w:rPr>
        <w:t>In addition to our CIC policy, our 2022 Plan provides that if we experience a change in control, as generally defined below, and if outstanding awards are continued, assumed, or substituted, whether or not there is a qualifying termination of employment:</w:t>
      </w:r>
    </w:p>
    <w:p>
      <w:pPr>
        <w:ind w:left="660" w:right="20" w:hanging="328"/>
        <w:spacing w:after="0" w:line="266"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stock options immediately vest, become exercisable in full and remain exercisable for their remaining term following the change in control;</w:t>
      </w:r>
    </w:p>
    <w:p>
      <w:pPr>
        <w:jc w:val="both"/>
        <w:ind w:left="660" w:right="220" w:hanging="328"/>
        <w:spacing w:after="0" w:line="245"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outstanding annual cash incentive awards for performance periods in progress at the time of the change in control immediately vest and become immediately payable in cash based on the greater of (i) achievement at target, or (ii) actual achievement through the date of the change in control;</w:t>
      </w:r>
    </w:p>
    <w:p>
      <w:pPr>
        <w:spacing w:after="0" w:line="14" w:lineRule="exact"/>
        <w:rPr>
          <w:rFonts w:ascii="Arial" w:cs="Arial" w:eastAsia="Arial" w:hAnsi="Arial"/>
          <w:sz w:val="18"/>
          <w:szCs w:val="18"/>
          <w:color w:val="auto"/>
        </w:rPr>
      </w:pPr>
    </w:p>
    <w:p>
      <w:pPr>
        <w:ind w:left="660" w:right="120" w:hanging="328"/>
        <w:spacing w:after="0" w:line="245"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outstanding performance share awards for performance periods in progress at the time of the change in control immediately vest and become payable in shares of our common stock, at the greater of (i) target, or (ii) actual achievement of performance goals through the date of the change in control; and</w:t>
      </w:r>
    </w:p>
    <w:p>
      <w:pPr>
        <w:spacing w:after="0" w:line="14" w:lineRule="exact"/>
        <w:rPr>
          <w:rFonts w:ascii="Arial" w:cs="Arial" w:eastAsia="Arial" w:hAnsi="Arial"/>
          <w:sz w:val="18"/>
          <w:szCs w:val="18"/>
          <w:color w:val="auto"/>
        </w:rPr>
      </w:pPr>
    </w:p>
    <w:p>
      <w:pPr>
        <w:ind w:left="660" w:right="200" w:hanging="328"/>
        <w:spacing w:after="0" w:line="245"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outstanding shares of restricted stock and restricted stock unit awards with vesting based solely on the participant’s continued service immediately vest and become non-forfeitable or issuable, as the case may be, and shall be settled in cash or shares of our common stock.</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outstanding equity based awards are not continued, assumed or substituted:</w:t>
      </w:r>
    </w:p>
    <w:p>
      <w:pPr>
        <w:spacing w:after="0" w:line="36" w:lineRule="exact"/>
        <w:rPr>
          <w:sz w:val="20"/>
          <w:szCs w:val="20"/>
          <w:color w:val="auto"/>
        </w:rPr>
      </w:pPr>
    </w:p>
    <w:p>
      <w:pPr>
        <w:ind w:left="660" w:right="80" w:hanging="328"/>
        <w:spacing w:after="0"/>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stock options immediately vest and become exercisable and the Compensation &amp; Human Resources Committee shall (i) give the participant a reasonable opportunity to exercise the option prior to the change in control, and (ii) pay the participant in cash for each unexercised option, the excess, if any, between the option exercise price and the per share consideration payable to shareholders, provided the participant shall receive payment of the fair market value of any contingent or delayed consideration on the basis of the Committee’s good faith estimate of the present value of the probable future value of such consideration;</w:t>
      </w:r>
    </w:p>
    <w:p>
      <w:pPr>
        <w:spacing w:after="0" w:line="4" w:lineRule="exact"/>
        <w:rPr>
          <w:rFonts w:ascii="Arial" w:cs="Arial" w:eastAsia="Arial" w:hAnsi="Arial"/>
          <w:sz w:val="18"/>
          <w:szCs w:val="18"/>
          <w:color w:val="auto"/>
        </w:rPr>
      </w:pPr>
    </w:p>
    <w:p>
      <w:pPr>
        <w:ind w:left="660" w:right="20" w:hanging="328"/>
        <w:spacing w:after="0"/>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restricted stock awards and restricted stock unit awards with vesting based solely on the participant’s continued service will immediately vest and be settled in cash or shares of our common stock, provided, if payment is to be made in shares of our common stock, the participant will receive the excess, if any, between the consideration received by shareholders of our Company for shares of our Company in connection with the change in control and the purchase price, if any, of the restricted stock or restricted stock unit award, multiplied by the number of shares subject to such award; and</w:t>
      </w:r>
    </w:p>
    <w:p>
      <w:pPr>
        <w:spacing w:after="0" w:line="18" w:lineRule="exact"/>
        <w:rPr>
          <w:rFonts w:ascii="Arial" w:cs="Arial" w:eastAsia="Arial" w:hAnsi="Arial"/>
          <w:sz w:val="18"/>
          <w:szCs w:val="18"/>
          <w:color w:val="auto"/>
        </w:rPr>
      </w:pPr>
    </w:p>
    <w:p>
      <w:pPr>
        <w:ind w:left="660" w:right="80" w:hanging="328"/>
        <w:spacing w:after="0" w:line="236"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outstanding performance share awards for performance periods in progress at the time of the change in control will immediately vest and become payable in shares of our common stock, at the greater of (i) target, or (ii) actual achievement of performance goals through the date of the change in control, provided, for the payment to be made in shares of our common stock, the participant will receive the consideration received by shareholders of our Company for shares of our Company in connection with the change in control.</w:t>
      </w:r>
    </w:p>
    <w:p>
      <w:pPr>
        <w:spacing w:after="0" w:line="76" w:lineRule="exact"/>
        <w:rPr>
          <w:sz w:val="20"/>
          <w:szCs w:val="20"/>
          <w:color w:val="auto"/>
        </w:rPr>
      </w:pPr>
    </w:p>
    <w:p>
      <w:pPr>
        <w:ind w:right="240" w:firstLine="324"/>
        <w:spacing w:after="0" w:line="258" w:lineRule="auto"/>
        <w:rPr>
          <w:sz w:val="20"/>
          <w:szCs w:val="20"/>
          <w:color w:val="auto"/>
        </w:rPr>
      </w:pPr>
      <w:r>
        <w:rPr>
          <w:rFonts w:ascii="Arial" w:cs="Arial" w:eastAsia="Arial" w:hAnsi="Arial"/>
          <w:sz w:val="18"/>
          <w:szCs w:val="18"/>
          <w:color w:val="auto"/>
        </w:rPr>
        <w:t>Our prior 2010 Plan provides that if we experience a change in control, as generally defined below, whether or not there is a qualifying termination of employment:</w:t>
      </w:r>
    </w:p>
    <w:p>
      <w:pPr>
        <w:ind w:left="660" w:right="20" w:hanging="328"/>
        <w:spacing w:after="0" w:line="266"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stock options immediately vest, become exercisable in full and remain exercisable for their remaining term following the change in control;</w:t>
      </w:r>
    </w:p>
    <w:p>
      <w:pPr>
        <w:ind w:left="660" w:right="280" w:hanging="328"/>
        <w:spacing w:after="0" w:line="256"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outstanding annual cash incentive awards for performance periods in progress at the time of the change in control immediately vest and become immediately payable at target in cash;</w:t>
      </w:r>
    </w:p>
    <w:p>
      <w:pPr>
        <w:spacing w:after="0" w:line="3" w:lineRule="exact"/>
        <w:rPr>
          <w:rFonts w:ascii="Arial" w:cs="Arial" w:eastAsia="Arial" w:hAnsi="Arial"/>
          <w:sz w:val="18"/>
          <w:szCs w:val="18"/>
          <w:color w:val="auto"/>
        </w:rPr>
      </w:pPr>
    </w:p>
    <w:p>
      <w:pPr>
        <w:ind w:left="660" w:hanging="328"/>
        <w:spacing w:after="0" w:line="241"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outstanding performance share awards for performance periods in progress at the time of the change in control immediately vest and become payable at maximum levels of performance in shares of our common stock, provided, however, that the CIC policy provides that for executive officers covered by the CIC policy, any such performance share awards are payable at target (not in full or at maximum); and</w:t>
      </w:r>
    </w:p>
    <w:p>
      <w:pPr>
        <w:spacing w:after="0" w:line="19" w:lineRule="exact"/>
        <w:rPr>
          <w:rFonts w:ascii="Arial" w:cs="Arial" w:eastAsia="Arial" w:hAnsi="Arial"/>
          <w:sz w:val="18"/>
          <w:szCs w:val="18"/>
          <w:color w:val="auto"/>
        </w:rPr>
      </w:pPr>
    </w:p>
    <w:p>
      <w:pPr>
        <w:ind w:left="660" w:right="180" w:hanging="328"/>
        <w:spacing w:after="0" w:line="256"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outstanding shares of restricted stock and restricted stock unit awards immediately vest and become non-forfeitable or issuable, as the case may be.</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Alternatively, the Compensation &amp; Human Resources Committee may elect to terminate such options, restricted stock awards, restricted</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stock unit awards or performance share awards in exchange for a cash payment for each option, restricted stock, restricted stock unit or performance share award in an amount equal to the excess, if any, between the consideration received by shareholders of our Company for</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shares of our Company in connection with the change in control and the exercise or purchase price, if any, of the option, restricted stock, restricted stock unit award or performance share award, multiplied by the number of shares subject to such option or award.</w:t>
      </w:r>
    </w:p>
    <w:p>
      <w:pPr>
        <w:spacing w:after="0" w:line="50" w:lineRule="exact"/>
        <w:rPr>
          <w:sz w:val="20"/>
          <w:szCs w:val="20"/>
          <w:color w:val="auto"/>
        </w:rPr>
      </w:pPr>
    </w:p>
    <w:p>
      <w:pPr>
        <w:ind w:right="60" w:firstLine="324"/>
        <w:spacing w:after="0" w:line="271" w:lineRule="auto"/>
        <w:rPr>
          <w:sz w:val="20"/>
          <w:szCs w:val="20"/>
          <w:color w:val="auto"/>
        </w:rPr>
      </w:pPr>
      <w:r>
        <w:rPr>
          <w:rFonts w:ascii="Arial" w:cs="Arial" w:eastAsia="Arial" w:hAnsi="Arial"/>
          <w:sz w:val="18"/>
          <w:szCs w:val="18"/>
          <w:color w:val="auto"/>
        </w:rPr>
        <w:t>Neither our 2022 Plan nor our 2010 Plan provides a "gross-up" for 280G excise tax, but does provide for a reduction of payments if such payments would result in lower higher after-tax income taking into consideration the 280G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77" w:name="page78"/>
    <w:bookmarkEnd w:id="77"/>
    <w:p>
      <w:pPr>
        <w:ind w:left="340"/>
        <w:spacing w:after="0"/>
        <w:rPr>
          <w:sz w:val="20"/>
          <w:szCs w:val="20"/>
          <w:color w:val="auto"/>
        </w:rPr>
      </w:pPr>
      <w:r>
        <w:rPr>
          <w:rFonts w:ascii="Arial" w:cs="Arial" w:eastAsia="Arial" w:hAnsi="Arial"/>
          <w:sz w:val="18"/>
          <w:szCs w:val="18"/>
          <w:color w:val="auto"/>
        </w:rPr>
        <w:t>For purposes of our CIC policy, 2022 Plan and 2010 Plan, and subject to limited exceptions, a "change in control" occurs if:</w:t>
      </w:r>
    </w:p>
    <w:p>
      <w:pPr>
        <w:spacing w:after="0" w:line="50" w:lineRule="exact"/>
        <w:rPr>
          <w:sz w:val="20"/>
          <w:szCs w:val="20"/>
          <w:color w:val="auto"/>
        </w:rPr>
      </w:pPr>
    </w:p>
    <w:p>
      <w:pPr>
        <w:ind w:left="660" w:right="240" w:hanging="328"/>
        <w:spacing w:after="0" w:line="256"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another person becomes the beneficial owner of 20% of our then-outstanding common stock or the combined voting power of our then-outstanding voting stock;</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majority of our Board becomes comprised of persons other than those for whom election proxies have been solicited by our Board;</w:t>
      </w:r>
    </w:p>
    <w:p>
      <w:pPr>
        <w:spacing w:after="0" w:line="61" w:lineRule="exact"/>
        <w:rPr>
          <w:rFonts w:ascii="Arial" w:cs="Arial" w:eastAsia="Arial" w:hAnsi="Arial"/>
          <w:sz w:val="17"/>
          <w:szCs w:val="17"/>
          <w:color w:val="auto"/>
        </w:rPr>
      </w:pPr>
    </w:p>
    <w:p>
      <w:pPr>
        <w:ind w:left="660" w:right="100" w:hanging="328"/>
        <w:spacing w:after="0" w:line="241"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completion of certain business combinations, including a reorganization, merger, consolidation,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w:t>
      </w:r>
    </w:p>
    <w:p>
      <w:pPr>
        <w:spacing w:after="0" w:line="5"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shareholders approve a complete liquidation or dissolution of our Company.</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under our nonqualified deferred compensation and retirement plans, upon the occurrence of a change in control, we must</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transfer cash or property to a "rabbi" trust for the benefit of plan participants in an amount sufficient to cause the trust to be funded at a level equal to the present value of all accumulated or accrued benefits then payable to or on behalf of plan participants.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Potential Payments Upon Termination or Change In Control. </w:t>
      </w:r>
      <w:r>
        <w:rPr>
          <w:rFonts w:ascii="Arial" w:cs="Arial" w:eastAsia="Arial" w:hAnsi="Arial"/>
          <w:sz w:val="18"/>
          <w:szCs w:val="18"/>
          <w:color w:val="auto"/>
        </w:rPr>
        <w:t>The following table quantifies the payments and benefits for which the</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amount, vesting or time of payment is altered by each of the foregoing termination of employment or change in control situations. For purposes of quantifying payments and benefits, amounts are calculated (i) for each NEO as if the termination or change in control occurred</w:t>
      </w:r>
    </w:p>
    <w:p>
      <w:pPr>
        <w:spacing w:after="0" w:line="236" w:lineRule="auto"/>
        <w:rPr>
          <w:sz w:val="20"/>
          <w:szCs w:val="20"/>
          <w:color w:val="auto"/>
        </w:rPr>
      </w:pPr>
      <w:r>
        <w:rPr>
          <w:rFonts w:ascii="Arial" w:cs="Arial" w:eastAsia="Arial" w:hAnsi="Arial"/>
          <w:sz w:val="18"/>
          <w:szCs w:val="18"/>
          <w:color w:val="auto"/>
        </w:rPr>
        <w:t>on October 31, 2023, the last day of our 2023 fiscal year; and (ii) using a per share value of $80.84, which represents the closing price of our</w:t>
      </w:r>
    </w:p>
    <w:p>
      <w:pPr>
        <w:spacing w:after="0" w:line="1"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common stock, on October 31, 2023. Material assumptions used in calculating the estimated payments and benefits are described in footnotes to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49530</wp:posOffset>
            </wp:positionV>
            <wp:extent cx="6831965" cy="7118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711835"/>
                    </a:xfrm>
                    <a:prstGeom prst="rect">
                      <a:avLst/>
                    </a:prstGeom>
                    <a:noFill/>
                  </pic:spPr>
                </pic:pic>
              </a:graphicData>
            </a:graphic>
          </wp:anchor>
        </w:drawing>
      </w:r>
    </w:p>
    <w:p>
      <w:pPr>
        <w:spacing w:after="0" w:line="121" w:lineRule="exact"/>
        <w:rPr>
          <w:sz w:val="20"/>
          <w:szCs w:val="20"/>
          <w:color w:val="auto"/>
        </w:rPr>
      </w:pPr>
    </w:p>
    <w:p>
      <w:pPr>
        <w:ind w:left="8960"/>
        <w:spacing w:after="0"/>
        <w:rPr>
          <w:sz w:val="20"/>
          <w:szCs w:val="20"/>
          <w:color w:val="auto"/>
        </w:rPr>
      </w:pPr>
      <w:r>
        <w:rPr>
          <w:rFonts w:ascii="Arial" w:cs="Arial" w:eastAsia="Arial" w:hAnsi="Arial"/>
          <w:sz w:val="13"/>
          <w:szCs w:val="13"/>
          <w:b w:val="1"/>
          <w:bCs w:val="1"/>
          <w:color w:val="FFFFFF"/>
        </w:rPr>
        <w:t>Change in Control</w:t>
      </w:r>
    </w:p>
    <w:p>
      <w:pPr>
        <w:spacing w:after="0" w:line="44" w:lineRule="exact"/>
        <w:rPr>
          <w:sz w:val="20"/>
          <w:szCs w:val="20"/>
          <w:color w:val="auto"/>
        </w:rPr>
      </w:pPr>
    </w:p>
    <w:tbl>
      <w:tblPr>
        <w:tblLayout w:type="fixed"/>
        <w:tblInd w:w="260" w:type="dxa"/>
        <w:tblCellMar>
          <w:top w:w="0" w:type="dxa"/>
          <w:left w:w="0" w:type="dxa"/>
          <w:bottom w:w="0" w:type="dxa"/>
          <w:right w:w="0" w:type="dxa"/>
        </w:tblCellMar>
      </w:tblPr>
      <w:tr>
        <w:trPr>
          <w:trHeight w:val="198"/>
        </w:trPr>
        <w:tc>
          <w:tcPr>
            <w:tcW w:w="3260" w:type="dxa"/>
            <w:vAlign w:val="bottom"/>
          </w:tcPr>
          <w:p>
            <w:pPr>
              <w:spacing w:after="0"/>
              <w:rPr>
                <w:sz w:val="17"/>
                <w:szCs w:val="17"/>
                <w:color w:val="auto"/>
              </w:rPr>
            </w:pPr>
          </w:p>
        </w:tc>
        <w:tc>
          <w:tcPr>
            <w:tcW w:w="880" w:type="dxa"/>
            <w:vAlign w:val="bottom"/>
            <w:shd w:val="clear" w:color="auto" w:fill="BF2115"/>
          </w:tcPr>
          <w:p>
            <w:pPr>
              <w:spacing w:after="0"/>
              <w:rPr>
                <w:sz w:val="17"/>
                <w:szCs w:val="17"/>
                <w:color w:val="auto"/>
              </w:rPr>
            </w:pPr>
          </w:p>
        </w:tc>
        <w:tc>
          <w:tcPr>
            <w:tcW w:w="40" w:type="dxa"/>
            <w:vAlign w:val="bottom"/>
            <w:shd w:val="clear" w:color="auto" w:fill="BF2115"/>
          </w:tcPr>
          <w:p>
            <w:pPr>
              <w:spacing w:after="0"/>
              <w:rPr>
                <w:sz w:val="17"/>
                <w:szCs w:val="17"/>
                <w:color w:val="auto"/>
              </w:rPr>
            </w:pPr>
          </w:p>
        </w:tc>
        <w:tc>
          <w:tcPr>
            <w:tcW w:w="280" w:type="dxa"/>
            <w:vAlign w:val="bottom"/>
            <w:shd w:val="clear" w:color="auto" w:fill="BF2115"/>
          </w:tcPr>
          <w:p>
            <w:pPr>
              <w:spacing w:after="0"/>
              <w:rPr>
                <w:sz w:val="17"/>
                <w:szCs w:val="17"/>
                <w:color w:val="auto"/>
              </w:rPr>
            </w:pPr>
          </w:p>
        </w:tc>
        <w:tc>
          <w:tcPr>
            <w:tcW w:w="800" w:type="dxa"/>
            <w:vAlign w:val="bottom"/>
            <w:shd w:val="clear" w:color="auto" w:fill="BF2115"/>
          </w:tcPr>
          <w:p>
            <w:pPr>
              <w:spacing w:after="0"/>
              <w:rPr>
                <w:sz w:val="17"/>
                <w:szCs w:val="17"/>
                <w:color w:val="auto"/>
              </w:rPr>
            </w:pPr>
          </w:p>
        </w:tc>
        <w:tc>
          <w:tcPr>
            <w:tcW w:w="380" w:type="dxa"/>
            <w:vAlign w:val="bottom"/>
            <w:shd w:val="clear" w:color="auto" w:fill="BF2115"/>
          </w:tcPr>
          <w:p>
            <w:pPr>
              <w:spacing w:after="0"/>
              <w:rPr>
                <w:sz w:val="17"/>
                <w:szCs w:val="17"/>
                <w:color w:val="auto"/>
              </w:rPr>
            </w:pPr>
          </w:p>
        </w:tc>
        <w:tc>
          <w:tcPr>
            <w:tcW w:w="660" w:type="dxa"/>
            <w:vAlign w:val="bottom"/>
            <w:shd w:val="clear" w:color="auto" w:fill="BF2115"/>
          </w:tcPr>
          <w:p>
            <w:pPr>
              <w:spacing w:after="0"/>
              <w:rPr>
                <w:sz w:val="17"/>
                <w:szCs w:val="17"/>
                <w:color w:val="auto"/>
              </w:rPr>
            </w:pPr>
          </w:p>
        </w:tc>
        <w:tc>
          <w:tcPr>
            <w:tcW w:w="360" w:type="dxa"/>
            <w:vAlign w:val="bottom"/>
            <w:shd w:val="clear" w:color="auto" w:fill="BF2115"/>
          </w:tcPr>
          <w:p>
            <w:pPr>
              <w:spacing w:after="0"/>
              <w:rPr>
                <w:sz w:val="17"/>
                <w:szCs w:val="17"/>
                <w:color w:val="auto"/>
              </w:rPr>
            </w:pPr>
          </w:p>
        </w:tc>
        <w:tc>
          <w:tcPr>
            <w:tcW w:w="640" w:type="dxa"/>
            <w:vAlign w:val="bottom"/>
            <w:shd w:val="clear" w:color="auto" w:fill="BF2115"/>
          </w:tcPr>
          <w:p>
            <w:pPr>
              <w:spacing w:after="0"/>
              <w:rPr>
                <w:sz w:val="17"/>
                <w:szCs w:val="17"/>
                <w:color w:val="auto"/>
              </w:rPr>
            </w:pPr>
          </w:p>
        </w:tc>
        <w:tc>
          <w:tcPr>
            <w:tcW w:w="460" w:type="dxa"/>
            <w:vAlign w:val="bottom"/>
            <w:shd w:val="clear" w:color="auto" w:fill="BF2115"/>
          </w:tcPr>
          <w:p>
            <w:pPr>
              <w:spacing w:after="0"/>
              <w:rPr>
                <w:sz w:val="17"/>
                <w:szCs w:val="17"/>
                <w:color w:val="auto"/>
              </w:rPr>
            </w:pPr>
          </w:p>
        </w:tc>
        <w:tc>
          <w:tcPr>
            <w:tcW w:w="1040" w:type="dxa"/>
            <w:vAlign w:val="bottom"/>
            <w:shd w:val="clear" w:color="auto" w:fill="BF2115"/>
          </w:tcPr>
          <w:p>
            <w:pPr>
              <w:spacing w:after="0"/>
              <w:rPr>
                <w:sz w:val="17"/>
                <w:szCs w:val="17"/>
                <w:color w:val="auto"/>
              </w:rPr>
            </w:pPr>
          </w:p>
        </w:tc>
        <w:tc>
          <w:tcPr>
            <w:tcW w:w="360" w:type="dxa"/>
            <w:vAlign w:val="bottom"/>
            <w:shd w:val="clear" w:color="auto" w:fill="BF2115"/>
          </w:tcPr>
          <w:p>
            <w:pPr>
              <w:spacing w:after="0"/>
              <w:rPr>
                <w:sz w:val="17"/>
                <w:szCs w:val="17"/>
                <w:color w:val="auto"/>
              </w:rPr>
            </w:pPr>
          </w:p>
        </w:tc>
        <w:tc>
          <w:tcPr>
            <w:tcW w:w="1600" w:type="dxa"/>
            <w:vAlign w:val="bottom"/>
            <w:gridSpan w:val="2"/>
            <w:shd w:val="clear" w:color="auto" w:fill="BF2115"/>
          </w:tcPr>
          <w:p>
            <w:pPr>
              <w:jc w:val="center"/>
              <w:spacing w:after="0"/>
              <w:rPr>
                <w:sz w:val="20"/>
                <w:szCs w:val="20"/>
                <w:color w:val="auto"/>
              </w:rPr>
            </w:pPr>
            <w:r>
              <w:rPr>
                <w:rFonts w:ascii="Arial" w:cs="Arial" w:eastAsia="Arial" w:hAnsi="Arial"/>
                <w:sz w:val="13"/>
                <w:szCs w:val="13"/>
                <w:b w:val="1"/>
                <w:bCs w:val="1"/>
                <w:color w:val="FFFFFF"/>
                <w:w w:val="96"/>
              </w:rPr>
              <w:t>Termination Without</w:t>
            </w:r>
          </w:p>
        </w:tc>
      </w:tr>
      <w:tr>
        <w:trPr>
          <w:trHeight w:val="148"/>
        </w:trPr>
        <w:tc>
          <w:tcPr>
            <w:tcW w:w="3260" w:type="dxa"/>
            <w:vAlign w:val="bottom"/>
          </w:tcPr>
          <w:p>
            <w:pPr>
              <w:spacing w:after="0"/>
              <w:rPr>
                <w:sz w:val="12"/>
                <w:szCs w:val="12"/>
                <w:color w:val="auto"/>
              </w:rPr>
            </w:pPr>
          </w:p>
        </w:tc>
        <w:tc>
          <w:tcPr>
            <w:tcW w:w="920" w:type="dxa"/>
            <w:vAlign w:val="bottom"/>
            <w:gridSpan w:val="2"/>
            <w:shd w:val="clear" w:color="auto" w:fill="BF2115"/>
          </w:tcPr>
          <w:p>
            <w:pPr>
              <w:jc w:val="center"/>
              <w:ind w:left="197"/>
              <w:spacing w:after="0"/>
              <w:rPr>
                <w:sz w:val="20"/>
                <w:szCs w:val="20"/>
                <w:color w:val="auto"/>
              </w:rPr>
            </w:pPr>
            <w:r>
              <w:rPr>
                <w:rFonts w:ascii="Arial" w:cs="Arial" w:eastAsia="Arial" w:hAnsi="Arial"/>
                <w:sz w:val="13"/>
                <w:szCs w:val="13"/>
                <w:b w:val="1"/>
                <w:bCs w:val="1"/>
                <w:color w:val="FFFFFF"/>
                <w:w w:val="96"/>
              </w:rPr>
              <w:t>Voluntary</w:t>
            </w:r>
          </w:p>
        </w:tc>
        <w:tc>
          <w:tcPr>
            <w:tcW w:w="280" w:type="dxa"/>
            <w:vAlign w:val="bottom"/>
            <w:shd w:val="clear" w:color="auto" w:fill="BF2115"/>
          </w:tcPr>
          <w:p>
            <w:pPr>
              <w:spacing w:after="0"/>
              <w:rPr>
                <w:sz w:val="12"/>
                <w:szCs w:val="12"/>
                <w:color w:val="auto"/>
              </w:rPr>
            </w:pPr>
          </w:p>
        </w:tc>
        <w:tc>
          <w:tcPr>
            <w:tcW w:w="800" w:type="dxa"/>
            <w:vAlign w:val="bottom"/>
            <w:shd w:val="clear" w:color="auto" w:fill="BF2115"/>
          </w:tcPr>
          <w:p>
            <w:pPr>
              <w:spacing w:after="0"/>
              <w:rPr>
                <w:sz w:val="12"/>
                <w:szCs w:val="12"/>
                <w:color w:val="auto"/>
              </w:rPr>
            </w:pPr>
          </w:p>
        </w:tc>
        <w:tc>
          <w:tcPr>
            <w:tcW w:w="380" w:type="dxa"/>
            <w:vAlign w:val="bottom"/>
            <w:shd w:val="clear" w:color="auto" w:fill="BF2115"/>
          </w:tcPr>
          <w:p>
            <w:pPr>
              <w:spacing w:after="0"/>
              <w:rPr>
                <w:sz w:val="12"/>
                <w:szCs w:val="12"/>
                <w:color w:val="auto"/>
              </w:rPr>
            </w:pPr>
          </w:p>
        </w:tc>
        <w:tc>
          <w:tcPr>
            <w:tcW w:w="1020" w:type="dxa"/>
            <w:vAlign w:val="bottom"/>
            <w:gridSpan w:val="2"/>
            <w:shd w:val="clear" w:color="auto" w:fill="BF2115"/>
          </w:tcPr>
          <w:p>
            <w:pPr>
              <w:jc w:val="center"/>
              <w:ind w:right="20"/>
              <w:spacing w:after="0"/>
              <w:rPr>
                <w:sz w:val="20"/>
                <w:szCs w:val="20"/>
                <w:color w:val="auto"/>
              </w:rPr>
            </w:pPr>
            <w:r>
              <w:rPr>
                <w:rFonts w:ascii="Arial" w:cs="Arial" w:eastAsia="Arial" w:hAnsi="Arial"/>
                <w:sz w:val="13"/>
                <w:szCs w:val="13"/>
                <w:b w:val="1"/>
                <w:bCs w:val="1"/>
                <w:color w:val="FFFFFF"/>
                <w:w w:val="96"/>
              </w:rPr>
              <w:t>Involuntary</w:t>
            </w:r>
          </w:p>
        </w:tc>
        <w:tc>
          <w:tcPr>
            <w:tcW w:w="1100" w:type="dxa"/>
            <w:vAlign w:val="bottom"/>
            <w:gridSpan w:val="2"/>
            <w:shd w:val="clear" w:color="auto" w:fill="BF2115"/>
          </w:tcPr>
          <w:p>
            <w:pPr>
              <w:jc w:val="center"/>
              <w:spacing w:after="0"/>
              <w:rPr>
                <w:sz w:val="20"/>
                <w:szCs w:val="20"/>
                <w:color w:val="auto"/>
              </w:rPr>
            </w:pPr>
            <w:r>
              <w:rPr>
                <w:rFonts w:ascii="Arial" w:cs="Arial" w:eastAsia="Arial" w:hAnsi="Arial"/>
                <w:sz w:val="13"/>
                <w:szCs w:val="13"/>
                <w:b w:val="1"/>
                <w:bCs w:val="1"/>
                <w:color w:val="FFFFFF"/>
                <w:w w:val="94"/>
              </w:rPr>
              <w:t>Termination</w:t>
            </w:r>
          </w:p>
        </w:tc>
        <w:tc>
          <w:tcPr>
            <w:tcW w:w="1040" w:type="dxa"/>
            <w:vAlign w:val="bottom"/>
            <w:shd w:val="clear" w:color="auto" w:fill="BF2115"/>
          </w:tcPr>
          <w:p>
            <w:pPr>
              <w:spacing w:after="0"/>
              <w:rPr>
                <w:sz w:val="12"/>
                <w:szCs w:val="12"/>
                <w:color w:val="auto"/>
              </w:rPr>
            </w:pPr>
          </w:p>
        </w:tc>
        <w:tc>
          <w:tcPr>
            <w:tcW w:w="360" w:type="dxa"/>
            <w:vAlign w:val="bottom"/>
            <w:shd w:val="clear" w:color="auto" w:fill="BF2115"/>
          </w:tcPr>
          <w:p>
            <w:pPr>
              <w:spacing w:after="0"/>
              <w:rPr>
                <w:sz w:val="12"/>
                <w:szCs w:val="12"/>
                <w:color w:val="auto"/>
              </w:rPr>
            </w:pPr>
          </w:p>
        </w:tc>
        <w:tc>
          <w:tcPr>
            <w:tcW w:w="1600" w:type="dxa"/>
            <w:vAlign w:val="bottom"/>
            <w:gridSpan w:val="2"/>
            <w:shd w:val="clear" w:color="auto" w:fill="BF2115"/>
          </w:tcPr>
          <w:p>
            <w:pPr>
              <w:jc w:val="center"/>
              <w:spacing w:after="0"/>
              <w:rPr>
                <w:sz w:val="20"/>
                <w:szCs w:val="20"/>
                <w:color w:val="auto"/>
              </w:rPr>
            </w:pPr>
            <w:r>
              <w:rPr>
                <w:rFonts w:ascii="Arial" w:cs="Arial" w:eastAsia="Arial" w:hAnsi="Arial"/>
                <w:sz w:val="13"/>
                <w:szCs w:val="13"/>
                <w:b w:val="1"/>
                <w:bCs w:val="1"/>
                <w:color w:val="FFFFFF"/>
                <w:w w:val="96"/>
              </w:rPr>
              <w:t>Cause by TTC or by</w:t>
            </w:r>
          </w:p>
        </w:tc>
      </w:tr>
      <w:tr>
        <w:trPr>
          <w:trHeight w:val="162"/>
        </w:trPr>
        <w:tc>
          <w:tcPr>
            <w:tcW w:w="3260" w:type="dxa"/>
            <w:vAlign w:val="bottom"/>
          </w:tcPr>
          <w:p>
            <w:pPr>
              <w:spacing w:after="0"/>
              <w:rPr>
                <w:sz w:val="14"/>
                <w:szCs w:val="14"/>
                <w:color w:val="auto"/>
              </w:rPr>
            </w:pPr>
          </w:p>
        </w:tc>
        <w:tc>
          <w:tcPr>
            <w:tcW w:w="1200" w:type="dxa"/>
            <w:vAlign w:val="bottom"/>
            <w:gridSpan w:val="3"/>
            <w:shd w:val="clear" w:color="auto" w:fill="BF2115"/>
          </w:tcPr>
          <w:p>
            <w:pPr>
              <w:jc w:val="center"/>
              <w:spacing w:after="0"/>
              <w:rPr>
                <w:sz w:val="20"/>
                <w:szCs w:val="20"/>
                <w:color w:val="auto"/>
              </w:rPr>
            </w:pPr>
            <w:r>
              <w:rPr>
                <w:rFonts w:ascii="Arial" w:cs="Arial" w:eastAsia="Arial" w:hAnsi="Arial"/>
                <w:sz w:val="13"/>
                <w:szCs w:val="13"/>
                <w:b w:val="1"/>
                <w:bCs w:val="1"/>
                <w:color w:val="FFFFFF"/>
                <w:w w:val="95"/>
              </w:rPr>
              <w:t>Resignation /</w:t>
            </w:r>
          </w:p>
        </w:tc>
        <w:tc>
          <w:tcPr>
            <w:tcW w:w="1180" w:type="dxa"/>
            <w:vAlign w:val="bottom"/>
            <w:gridSpan w:val="2"/>
            <w:shd w:val="clear" w:color="auto" w:fill="BF2115"/>
          </w:tcPr>
          <w:p>
            <w:pPr>
              <w:jc w:val="center"/>
              <w:spacing w:after="0"/>
              <w:rPr>
                <w:sz w:val="20"/>
                <w:szCs w:val="20"/>
                <w:color w:val="auto"/>
              </w:rPr>
            </w:pPr>
            <w:r>
              <w:rPr>
                <w:rFonts w:ascii="Arial" w:cs="Arial" w:eastAsia="Arial" w:hAnsi="Arial"/>
                <w:sz w:val="13"/>
                <w:szCs w:val="13"/>
                <w:b w:val="1"/>
                <w:bCs w:val="1"/>
                <w:color w:val="FFFFFF"/>
                <w:w w:val="96"/>
              </w:rPr>
              <w:t>Disability or</w:t>
            </w:r>
          </w:p>
        </w:tc>
        <w:tc>
          <w:tcPr>
            <w:tcW w:w="1020" w:type="dxa"/>
            <w:vAlign w:val="bottom"/>
            <w:gridSpan w:val="2"/>
            <w:shd w:val="clear" w:color="auto" w:fill="BF2115"/>
          </w:tcPr>
          <w:p>
            <w:pPr>
              <w:jc w:val="center"/>
              <w:ind w:right="20"/>
              <w:spacing w:after="0"/>
              <w:rPr>
                <w:sz w:val="20"/>
                <w:szCs w:val="20"/>
                <w:color w:val="auto"/>
              </w:rPr>
            </w:pPr>
            <w:r>
              <w:rPr>
                <w:rFonts w:ascii="Arial" w:cs="Arial" w:eastAsia="Arial" w:hAnsi="Arial"/>
                <w:sz w:val="13"/>
                <w:szCs w:val="13"/>
                <w:b w:val="1"/>
                <w:bCs w:val="1"/>
                <w:color w:val="FFFFFF"/>
                <w:w w:val="94"/>
              </w:rPr>
              <w:t>Termination by</w:t>
            </w:r>
          </w:p>
        </w:tc>
        <w:tc>
          <w:tcPr>
            <w:tcW w:w="1100" w:type="dxa"/>
            <w:vAlign w:val="bottom"/>
            <w:gridSpan w:val="2"/>
            <w:shd w:val="clear" w:color="auto" w:fill="BF2115"/>
          </w:tcPr>
          <w:p>
            <w:pPr>
              <w:jc w:val="center"/>
              <w:spacing w:after="0"/>
              <w:rPr>
                <w:sz w:val="20"/>
                <w:szCs w:val="20"/>
                <w:color w:val="auto"/>
              </w:rPr>
            </w:pPr>
            <w:r>
              <w:rPr>
                <w:rFonts w:ascii="Arial" w:cs="Arial" w:eastAsia="Arial" w:hAnsi="Arial"/>
                <w:sz w:val="13"/>
                <w:szCs w:val="13"/>
                <w:b w:val="1"/>
                <w:bCs w:val="1"/>
                <w:color w:val="FFFFFF"/>
                <w:w w:val="95"/>
              </w:rPr>
              <w:t>by TTC for</w:t>
            </w:r>
          </w:p>
        </w:tc>
        <w:tc>
          <w:tcPr>
            <w:tcW w:w="1400" w:type="dxa"/>
            <w:vAlign w:val="bottom"/>
            <w:gridSpan w:val="2"/>
            <w:shd w:val="clear" w:color="auto" w:fill="BF2115"/>
          </w:tcPr>
          <w:p>
            <w:pPr>
              <w:jc w:val="center"/>
              <w:spacing w:after="0"/>
              <w:rPr>
                <w:sz w:val="20"/>
                <w:szCs w:val="20"/>
                <w:color w:val="auto"/>
              </w:rPr>
            </w:pPr>
            <w:r>
              <w:rPr>
                <w:rFonts w:ascii="Arial" w:cs="Arial" w:eastAsia="Arial" w:hAnsi="Arial"/>
                <w:sz w:val="13"/>
                <w:szCs w:val="13"/>
                <w:b w:val="1"/>
                <w:bCs w:val="1"/>
                <w:color w:val="FFFFFF"/>
                <w:w w:val="96"/>
              </w:rPr>
              <w:t>No Termination</w:t>
            </w:r>
          </w:p>
        </w:tc>
        <w:tc>
          <w:tcPr>
            <w:tcW w:w="1600" w:type="dxa"/>
            <w:vAlign w:val="bottom"/>
            <w:gridSpan w:val="2"/>
            <w:shd w:val="clear" w:color="auto" w:fill="BF2115"/>
          </w:tcPr>
          <w:p>
            <w:pPr>
              <w:jc w:val="center"/>
              <w:spacing w:after="0"/>
              <w:rPr>
                <w:sz w:val="20"/>
                <w:szCs w:val="20"/>
                <w:color w:val="auto"/>
              </w:rPr>
            </w:pPr>
            <w:r>
              <w:rPr>
                <w:rFonts w:ascii="Arial" w:cs="Arial" w:eastAsia="Arial" w:hAnsi="Arial"/>
                <w:sz w:val="13"/>
                <w:szCs w:val="13"/>
                <w:b w:val="1"/>
                <w:bCs w:val="1"/>
                <w:color w:val="FFFFFF"/>
                <w:w w:val="95"/>
              </w:rPr>
              <w:t>Executive for Good</w:t>
            </w:r>
          </w:p>
        </w:tc>
      </w:tr>
      <w:tr>
        <w:trPr>
          <w:trHeight w:val="162"/>
        </w:trPr>
        <w:tc>
          <w:tcPr>
            <w:tcW w:w="3260" w:type="dxa"/>
            <w:vAlign w:val="bottom"/>
          </w:tcPr>
          <w:p>
            <w:pPr>
              <w:spacing w:after="0"/>
              <w:rPr>
                <w:sz w:val="14"/>
                <w:szCs w:val="14"/>
                <w:color w:val="auto"/>
              </w:rPr>
            </w:pPr>
          </w:p>
        </w:tc>
        <w:tc>
          <w:tcPr>
            <w:tcW w:w="1200" w:type="dxa"/>
            <w:vAlign w:val="bottom"/>
            <w:gridSpan w:val="3"/>
            <w:shd w:val="clear" w:color="auto" w:fill="BF2115"/>
          </w:tcPr>
          <w:p>
            <w:pPr>
              <w:jc w:val="center"/>
              <w:spacing w:after="0" w:line="162" w:lineRule="exact"/>
              <w:rPr>
                <w:sz w:val="20"/>
                <w:szCs w:val="20"/>
                <w:color w:val="auto"/>
              </w:rPr>
            </w:pPr>
            <w:r>
              <w:rPr>
                <w:rFonts w:ascii="Arial" w:cs="Arial" w:eastAsia="Arial" w:hAnsi="Arial"/>
                <w:sz w:val="13"/>
                <w:szCs w:val="13"/>
                <w:b w:val="1"/>
                <w:bCs w:val="1"/>
                <w:color w:val="FFFFFF"/>
                <w:w w:val="93"/>
              </w:rPr>
              <w:t>Retirement</w:t>
            </w:r>
            <w:r>
              <w:rPr>
                <w:rFonts w:ascii="Arial" w:cs="Arial" w:eastAsia="Arial" w:hAnsi="Arial"/>
                <w:sz w:val="16"/>
                <w:szCs w:val="16"/>
                <w:b w:val="1"/>
                <w:bCs w:val="1"/>
                <w:color w:val="FFFFFF"/>
                <w:w w:val="93"/>
                <w:vertAlign w:val="superscript"/>
              </w:rPr>
              <w:t>(1)</w:t>
            </w:r>
          </w:p>
        </w:tc>
        <w:tc>
          <w:tcPr>
            <w:tcW w:w="800" w:type="dxa"/>
            <w:vAlign w:val="bottom"/>
            <w:shd w:val="clear" w:color="auto" w:fill="BF2115"/>
          </w:tcPr>
          <w:p>
            <w:pPr>
              <w:jc w:val="center"/>
              <w:ind w:left="297"/>
              <w:spacing w:after="0"/>
              <w:rPr>
                <w:sz w:val="20"/>
                <w:szCs w:val="20"/>
                <w:color w:val="auto"/>
              </w:rPr>
            </w:pPr>
            <w:r>
              <w:rPr>
                <w:rFonts w:ascii="Arial" w:cs="Arial" w:eastAsia="Arial" w:hAnsi="Arial"/>
                <w:sz w:val="13"/>
                <w:szCs w:val="13"/>
                <w:b w:val="1"/>
                <w:bCs w:val="1"/>
                <w:color w:val="FFFFFF"/>
                <w:w w:val="99"/>
              </w:rPr>
              <w:t>Death</w:t>
            </w:r>
          </w:p>
        </w:tc>
        <w:tc>
          <w:tcPr>
            <w:tcW w:w="380" w:type="dxa"/>
            <w:vAlign w:val="bottom"/>
            <w:shd w:val="clear" w:color="auto" w:fill="BF2115"/>
          </w:tcPr>
          <w:p>
            <w:pPr>
              <w:spacing w:after="0"/>
              <w:rPr>
                <w:sz w:val="14"/>
                <w:szCs w:val="14"/>
                <w:color w:val="auto"/>
              </w:rPr>
            </w:pPr>
          </w:p>
        </w:tc>
        <w:tc>
          <w:tcPr>
            <w:tcW w:w="1020" w:type="dxa"/>
            <w:vAlign w:val="bottom"/>
            <w:gridSpan w:val="2"/>
            <w:shd w:val="clear" w:color="auto" w:fill="BF2115"/>
          </w:tcPr>
          <w:p>
            <w:pPr>
              <w:jc w:val="center"/>
              <w:ind w:right="20"/>
              <w:spacing w:after="0"/>
              <w:rPr>
                <w:sz w:val="20"/>
                <w:szCs w:val="20"/>
                <w:color w:val="auto"/>
              </w:rPr>
            </w:pPr>
            <w:r>
              <w:rPr>
                <w:rFonts w:ascii="Arial" w:cs="Arial" w:eastAsia="Arial" w:hAnsi="Arial"/>
                <w:sz w:val="13"/>
                <w:szCs w:val="13"/>
                <w:b w:val="1"/>
                <w:bCs w:val="1"/>
                <w:color w:val="FFFFFF"/>
                <w:w w:val="94"/>
              </w:rPr>
              <w:t>TTC</w:t>
            </w:r>
          </w:p>
        </w:tc>
        <w:tc>
          <w:tcPr>
            <w:tcW w:w="1100" w:type="dxa"/>
            <w:vAlign w:val="bottom"/>
            <w:gridSpan w:val="2"/>
            <w:shd w:val="clear" w:color="auto" w:fill="BF2115"/>
          </w:tcPr>
          <w:p>
            <w:pPr>
              <w:jc w:val="center"/>
              <w:spacing w:after="0"/>
              <w:rPr>
                <w:sz w:val="20"/>
                <w:szCs w:val="20"/>
                <w:color w:val="auto"/>
              </w:rPr>
            </w:pPr>
            <w:r>
              <w:rPr>
                <w:rFonts w:ascii="Arial" w:cs="Arial" w:eastAsia="Arial" w:hAnsi="Arial"/>
                <w:sz w:val="13"/>
                <w:szCs w:val="13"/>
                <w:b w:val="1"/>
                <w:bCs w:val="1"/>
                <w:color w:val="FFFFFF"/>
                <w:w w:val="97"/>
              </w:rPr>
              <w:t>Cause</w:t>
            </w:r>
          </w:p>
        </w:tc>
        <w:tc>
          <w:tcPr>
            <w:tcW w:w="1040" w:type="dxa"/>
            <w:vAlign w:val="bottom"/>
            <w:shd w:val="clear" w:color="auto" w:fill="BF2115"/>
          </w:tcPr>
          <w:p>
            <w:pPr>
              <w:jc w:val="center"/>
              <w:ind w:left="277"/>
              <w:spacing w:after="0"/>
              <w:rPr>
                <w:sz w:val="20"/>
                <w:szCs w:val="20"/>
                <w:color w:val="auto"/>
              </w:rPr>
            </w:pPr>
            <w:r>
              <w:rPr>
                <w:rFonts w:ascii="Arial" w:cs="Arial" w:eastAsia="Arial" w:hAnsi="Arial"/>
                <w:sz w:val="13"/>
                <w:szCs w:val="13"/>
                <w:b w:val="1"/>
                <w:bCs w:val="1"/>
                <w:color w:val="FFFFFF"/>
                <w:w w:val="95"/>
              </w:rPr>
              <w:t>Event</w:t>
            </w:r>
          </w:p>
        </w:tc>
        <w:tc>
          <w:tcPr>
            <w:tcW w:w="360" w:type="dxa"/>
            <w:vAlign w:val="bottom"/>
            <w:shd w:val="clear" w:color="auto" w:fill="BF2115"/>
          </w:tcPr>
          <w:p>
            <w:pPr>
              <w:spacing w:after="0"/>
              <w:rPr>
                <w:sz w:val="14"/>
                <w:szCs w:val="14"/>
                <w:color w:val="auto"/>
              </w:rPr>
            </w:pPr>
          </w:p>
        </w:tc>
        <w:tc>
          <w:tcPr>
            <w:tcW w:w="1220" w:type="dxa"/>
            <w:vAlign w:val="bottom"/>
            <w:shd w:val="clear" w:color="auto" w:fill="BF2115"/>
          </w:tcPr>
          <w:p>
            <w:pPr>
              <w:jc w:val="center"/>
              <w:ind w:left="297"/>
              <w:spacing w:after="0"/>
              <w:rPr>
                <w:sz w:val="20"/>
                <w:szCs w:val="20"/>
                <w:color w:val="auto"/>
              </w:rPr>
            </w:pPr>
            <w:r>
              <w:rPr>
                <w:rFonts w:ascii="Arial" w:cs="Arial" w:eastAsia="Arial" w:hAnsi="Arial"/>
                <w:sz w:val="13"/>
                <w:szCs w:val="13"/>
                <w:b w:val="1"/>
                <w:bCs w:val="1"/>
                <w:color w:val="FFFFFF"/>
                <w:w w:val="97"/>
              </w:rPr>
              <w:t>Reason</w:t>
            </w:r>
          </w:p>
        </w:tc>
        <w:tc>
          <w:tcPr>
            <w:tcW w:w="380" w:type="dxa"/>
            <w:vAlign w:val="bottom"/>
            <w:shd w:val="clear" w:color="auto" w:fill="BF2115"/>
          </w:tcPr>
          <w:p>
            <w:pPr>
              <w:spacing w:after="0"/>
              <w:rPr>
                <w:sz w:val="14"/>
                <w:szCs w:val="14"/>
                <w:color w:val="auto"/>
              </w:rPr>
            </w:pPr>
          </w:p>
        </w:tc>
      </w:tr>
      <w:tr>
        <w:trPr>
          <w:trHeight w:val="173"/>
        </w:trPr>
        <w:tc>
          <w:tcPr>
            <w:tcW w:w="3260" w:type="dxa"/>
            <w:vAlign w:val="bottom"/>
          </w:tcPr>
          <w:p>
            <w:pPr>
              <w:spacing w:after="0"/>
              <w:rPr>
                <w:sz w:val="20"/>
                <w:szCs w:val="20"/>
                <w:color w:val="auto"/>
              </w:rPr>
            </w:pPr>
            <w:r>
              <w:rPr>
                <w:rFonts w:ascii="Arial" w:cs="Arial" w:eastAsia="Arial" w:hAnsi="Arial"/>
                <w:sz w:val="13"/>
                <w:szCs w:val="13"/>
                <w:b w:val="1"/>
                <w:bCs w:val="1"/>
                <w:color w:val="FFFFFF"/>
              </w:rPr>
              <w:t>Name/Payment Type</w:t>
            </w:r>
          </w:p>
        </w:tc>
        <w:tc>
          <w:tcPr>
            <w:tcW w:w="880" w:type="dxa"/>
            <w:vAlign w:val="bottom"/>
            <w:tcBorders>
              <w:bottom w:val="single" w:sz="8" w:color="BF2115"/>
            </w:tcBorders>
            <w:shd w:val="clear" w:color="auto" w:fill="BF2115"/>
          </w:tcPr>
          <w:p>
            <w:pPr>
              <w:jc w:val="center"/>
              <w:ind w:left="237"/>
              <w:spacing w:after="0"/>
              <w:rPr>
                <w:sz w:val="20"/>
                <w:szCs w:val="20"/>
                <w:color w:val="auto"/>
              </w:rPr>
            </w:pPr>
            <w:r>
              <w:rPr>
                <w:rFonts w:ascii="Arial" w:cs="Arial" w:eastAsia="Arial" w:hAnsi="Arial"/>
                <w:sz w:val="13"/>
                <w:szCs w:val="13"/>
                <w:b w:val="1"/>
                <w:bCs w:val="1"/>
                <w:color w:val="FFFFFF"/>
                <w:w w:val="87"/>
              </w:rPr>
              <w:t>($)</w:t>
            </w:r>
          </w:p>
        </w:tc>
        <w:tc>
          <w:tcPr>
            <w:tcW w:w="40" w:type="dxa"/>
            <w:vAlign w:val="bottom"/>
            <w:tcBorders>
              <w:bottom w:val="single" w:sz="8" w:color="BF2115"/>
            </w:tcBorders>
            <w:shd w:val="clear" w:color="auto" w:fill="BF2115"/>
          </w:tcPr>
          <w:p>
            <w:pPr>
              <w:spacing w:after="0"/>
              <w:rPr>
                <w:sz w:val="15"/>
                <w:szCs w:val="15"/>
                <w:color w:val="auto"/>
              </w:rPr>
            </w:pPr>
          </w:p>
        </w:tc>
        <w:tc>
          <w:tcPr>
            <w:tcW w:w="280" w:type="dxa"/>
            <w:vAlign w:val="bottom"/>
            <w:tcBorders>
              <w:bottom w:val="single" w:sz="8" w:color="BF2115"/>
            </w:tcBorders>
            <w:shd w:val="clear" w:color="auto" w:fill="BF2115"/>
          </w:tcPr>
          <w:p>
            <w:pPr>
              <w:spacing w:after="0"/>
              <w:rPr>
                <w:sz w:val="15"/>
                <w:szCs w:val="15"/>
                <w:color w:val="auto"/>
              </w:rPr>
            </w:pPr>
          </w:p>
        </w:tc>
        <w:tc>
          <w:tcPr>
            <w:tcW w:w="800" w:type="dxa"/>
            <w:vAlign w:val="bottom"/>
            <w:tcBorders>
              <w:bottom w:val="single" w:sz="8" w:color="BF2115"/>
            </w:tcBorders>
            <w:shd w:val="clear" w:color="auto" w:fill="BF2115"/>
          </w:tcPr>
          <w:p>
            <w:pPr>
              <w:jc w:val="center"/>
              <w:ind w:left="297"/>
              <w:spacing w:after="0"/>
              <w:rPr>
                <w:sz w:val="20"/>
                <w:szCs w:val="20"/>
                <w:color w:val="auto"/>
              </w:rPr>
            </w:pPr>
            <w:r>
              <w:rPr>
                <w:rFonts w:ascii="Arial" w:cs="Arial" w:eastAsia="Arial" w:hAnsi="Arial"/>
                <w:sz w:val="13"/>
                <w:szCs w:val="13"/>
                <w:b w:val="1"/>
                <w:bCs w:val="1"/>
                <w:color w:val="FFFFFF"/>
              </w:rPr>
              <w:t>($)</w:t>
            </w:r>
          </w:p>
        </w:tc>
        <w:tc>
          <w:tcPr>
            <w:tcW w:w="380" w:type="dxa"/>
            <w:vAlign w:val="bottom"/>
            <w:tcBorders>
              <w:bottom w:val="single" w:sz="8" w:color="BF2115"/>
            </w:tcBorders>
            <w:shd w:val="clear" w:color="auto" w:fill="BF2115"/>
          </w:tcPr>
          <w:p>
            <w:pPr>
              <w:spacing w:after="0"/>
              <w:rPr>
                <w:sz w:val="15"/>
                <w:szCs w:val="15"/>
                <w:color w:val="auto"/>
              </w:rPr>
            </w:pPr>
          </w:p>
        </w:tc>
        <w:tc>
          <w:tcPr>
            <w:tcW w:w="660" w:type="dxa"/>
            <w:vAlign w:val="bottom"/>
            <w:tcBorders>
              <w:bottom w:val="single" w:sz="8" w:color="BF2115"/>
            </w:tcBorders>
            <w:shd w:val="clear" w:color="auto" w:fill="BF2115"/>
          </w:tcPr>
          <w:p>
            <w:pPr>
              <w:jc w:val="center"/>
              <w:ind w:left="277"/>
              <w:spacing w:after="0"/>
              <w:rPr>
                <w:sz w:val="20"/>
                <w:szCs w:val="20"/>
                <w:color w:val="auto"/>
              </w:rPr>
            </w:pPr>
            <w:r>
              <w:rPr>
                <w:rFonts w:ascii="Arial" w:cs="Arial" w:eastAsia="Arial" w:hAnsi="Arial"/>
                <w:sz w:val="13"/>
                <w:szCs w:val="13"/>
                <w:b w:val="1"/>
                <w:bCs w:val="1"/>
                <w:color w:val="FFFFFF"/>
              </w:rPr>
              <w:t>($)</w:t>
            </w:r>
          </w:p>
        </w:tc>
        <w:tc>
          <w:tcPr>
            <w:tcW w:w="360" w:type="dxa"/>
            <w:vAlign w:val="bottom"/>
            <w:tcBorders>
              <w:bottom w:val="single" w:sz="8" w:color="BF2115"/>
            </w:tcBorders>
            <w:shd w:val="clear" w:color="auto" w:fill="BF2115"/>
          </w:tcPr>
          <w:p>
            <w:pPr>
              <w:spacing w:after="0"/>
              <w:rPr>
                <w:sz w:val="15"/>
                <w:szCs w:val="15"/>
                <w:color w:val="auto"/>
              </w:rPr>
            </w:pPr>
          </w:p>
        </w:tc>
        <w:tc>
          <w:tcPr>
            <w:tcW w:w="640" w:type="dxa"/>
            <w:vAlign w:val="bottom"/>
            <w:tcBorders>
              <w:bottom w:val="single" w:sz="8" w:color="BF2115"/>
            </w:tcBorders>
            <w:shd w:val="clear" w:color="auto" w:fill="BF2115"/>
          </w:tcPr>
          <w:p>
            <w:pPr>
              <w:jc w:val="right"/>
              <w:spacing w:after="0"/>
              <w:rPr>
                <w:sz w:val="20"/>
                <w:szCs w:val="20"/>
                <w:color w:val="auto"/>
              </w:rPr>
            </w:pPr>
            <w:r>
              <w:rPr>
                <w:rFonts w:ascii="Arial" w:cs="Arial" w:eastAsia="Arial" w:hAnsi="Arial"/>
                <w:sz w:val="13"/>
                <w:szCs w:val="13"/>
                <w:b w:val="1"/>
                <w:bCs w:val="1"/>
                <w:color w:val="FFFFFF"/>
              </w:rPr>
              <w:t>($)</w:t>
            </w:r>
          </w:p>
        </w:tc>
        <w:tc>
          <w:tcPr>
            <w:tcW w:w="460" w:type="dxa"/>
            <w:vAlign w:val="bottom"/>
            <w:tcBorders>
              <w:bottom w:val="single" w:sz="8" w:color="BF2115"/>
            </w:tcBorders>
            <w:shd w:val="clear" w:color="auto" w:fill="BF2115"/>
          </w:tcPr>
          <w:p>
            <w:pPr>
              <w:spacing w:after="0"/>
              <w:rPr>
                <w:sz w:val="15"/>
                <w:szCs w:val="15"/>
                <w:color w:val="auto"/>
              </w:rPr>
            </w:pPr>
          </w:p>
        </w:tc>
        <w:tc>
          <w:tcPr>
            <w:tcW w:w="1040" w:type="dxa"/>
            <w:vAlign w:val="bottom"/>
            <w:tcBorders>
              <w:bottom w:val="single" w:sz="8" w:color="BF2115"/>
            </w:tcBorders>
            <w:shd w:val="clear" w:color="auto" w:fill="BF2115"/>
          </w:tcPr>
          <w:p>
            <w:pPr>
              <w:jc w:val="center"/>
              <w:ind w:left="297"/>
              <w:spacing w:after="0"/>
              <w:rPr>
                <w:sz w:val="20"/>
                <w:szCs w:val="20"/>
                <w:color w:val="auto"/>
              </w:rPr>
            </w:pPr>
            <w:r>
              <w:rPr>
                <w:rFonts w:ascii="Arial" w:cs="Arial" w:eastAsia="Arial" w:hAnsi="Arial"/>
                <w:sz w:val="13"/>
                <w:szCs w:val="13"/>
                <w:b w:val="1"/>
                <w:bCs w:val="1"/>
                <w:color w:val="FFFFFF"/>
              </w:rPr>
              <w:t>($)</w:t>
            </w:r>
          </w:p>
        </w:tc>
        <w:tc>
          <w:tcPr>
            <w:tcW w:w="360" w:type="dxa"/>
            <w:vAlign w:val="bottom"/>
            <w:tcBorders>
              <w:bottom w:val="single" w:sz="8" w:color="BF2115"/>
            </w:tcBorders>
            <w:shd w:val="clear" w:color="auto" w:fill="BF2115"/>
          </w:tcPr>
          <w:p>
            <w:pPr>
              <w:spacing w:after="0"/>
              <w:rPr>
                <w:sz w:val="15"/>
                <w:szCs w:val="15"/>
                <w:color w:val="auto"/>
              </w:rPr>
            </w:pPr>
          </w:p>
        </w:tc>
        <w:tc>
          <w:tcPr>
            <w:tcW w:w="1220" w:type="dxa"/>
            <w:vAlign w:val="bottom"/>
            <w:tcBorders>
              <w:bottom w:val="single" w:sz="8" w:color="BF2115"/>
            </w:tcBorders>
            <w:shd w:val="clear" w:color="auto" w:fill="BF2115"/>
          </w:tcPr>
          <w:p>
            <w:pPr>
              <w:jc w:val="center"/>
              <w:ind w:left="297"/>
              <w:spacing w:after="0"/>
              <w:rPr>
                <w:sz w:val="20"/>
                <w:szCs w:val="20"/>
                <w:color w:val="auto"/>
              </w:rPr>
            </w:pPr>
            <w:r>
              <w:rPr>
                <w:rFonts w:ascii="Arial" w:cs="Arial" w:eastAsia="Arial" w:hAnsi="Arial"/>
                <w:sz w:val="13"/>
                <w:szCs w:val="13"/>
                <w:b w:val="1"/>
                <w:bCs w:val="1"/>
                <w:color w:val="FFFFFF"/>
                <w:w w:val="87"/>
              </w:rPr>
              <w:t>($)</w:t>
            </w:r>
          </w:p>
        </w:tc>
        <w:tc>
          <w:tcPr>
            <w:tcW w:w="380" w:type="dxa"/>
            <w:vAlign w:val="bottom"/>
            <w:tcBorders>
              <w:bottom w:val="single" w:sz="8" w:color="BF2115"/>
            </w:tcBorders>
            <w:shd w:val="clear" w:color="auto" w:fill="BF2115"/>
          </w:tcPr>
          <w:p>
            <w:pPr>
              <w:spacing w:after="0"/>
              <w:rPr>
                <w:sz w:val="15"/>
                <w:szCs w:val="15"/>
                <w:color w:val="auto"/>
              </w:rPr>
            </w:pPr>
          </w:p>
        </w:tc>
      </w:tr>
      <w:tr>
        <w:trPr>
          <w:trHeight w:val="175"/>
        </w:trPr>
        <w:tc>
          <w:tcPr>
            <w:tcW w:w="3260" w:type="dxa"/>
            <w:vAlign w:val="bottom"/>
          </w:tcPr>
          <w:p>
            <w:pPr>
              <w:spacing w:after="0"/>
              <w:rPr>
                <w:sz w:val="20"/>
                <w:szCs w:val="20"/>
                <w:color w:val="auto"/>
              </w:rPr>
            </w:pPr>
            <w:r>
              <w:rPr>
                <w:rFonts w:ascii="Arial" w:cs="Arial" w:eastAsia="Arial" w:hAnsi="Arial"/>
                <w:sz w:val="13"/>
                <w:szCs w:val="13"/>
                <w:color w:val="auto"/>
              </w:rPr>
              <w:t>Richard M. Olson</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66"/>
        </w:trPr>
        <w:tc>
          <w:tcPr>
            <w:tcW w:w="3260" w:type="dxa"/>
            <w:vAlign w:val="bottom"/>
          </w:tcPr>
          <w:p>
            <w:pPr>
              <w:ind w:left="200"/>
              <w:spacing w:after="0"/>
              <w:rPr>
                <w:sz w:val="20"/>
                <w:szCs w:val="20"/>
                <w:color w:val="auto"/>
              </w:rPr>
            </w:pPr>
            <w:r>
              <w:rPr>
                <w:rFonts w:ascii="Arial" w:cs="Arial" w:eastAsia="Arial" w:hAnsi="Arial"/>
                <w:sz w:val="13"/>
                <w:szCs w:val="13"/>
                <w:color w:val="auto"/>
              </w:rPr>
              <w:t>Cash Severance Payment</w:t>
            </w:r>
            <w:r>
              <w:rPr>
                <w:rFonts w:ascii="Arial" w:cs="Arial" w:eastAsia="Arial" w:hAnsi="Arial"/>
                <w:sz w:val="16"/>
                <w:szCs w:val="16"/>
                <w:color w:val="auto"/>
                <w:vertAlign w:val="superscript"/>
              </w:rPr>
              <w:t>2</w:t>
            </w:r>
          </w:p>
        </w:tc>
        <w:tc>
          <w:tcPr>
            <w:tcW w:w="88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7,900,500</w:t>
            </w:r>
          </w:p>
        </w:tc>
        <w:tc>
          <w:tcPr>
            <w:tcW w:w="380" w:type="dxa"/>
            <w:vAlign w:val="bottom"/>
          </w:tcPr>
          <w:p>
            <w:pPr>
              <w:spacing w:after="0"/>
              <w:rPr>
                <w:sz w:val="23"/>
                <w:szCs w:val="23"/>
                <w:color w:val="auto"/>
              </w:rPr>
            </w:pPr>
          </w:p>
        </w:tc>
      </w:tr>
      <w:tr>
        <w:trPr>
          <w:trHeight w:val="203"/>
        </w:trPr>
        <w:tc>
          <w:tcPr>
            <w:tcW w:w="3260" w:type="dxa"/>
            <w:vAlign w:val="bottom"/>
          </w:tcPr>
          <w:p>
            <w:pPr>
              <w:ind w:left="200"/>
              <w:spacing w:after="0"/>
              <w:rPr>
                <w:sz w:val="20"/>
                <w:szCs w:val="20"/>
                <w:color w:val="auto"/>
              </w:rPr>
            </w:pPr>
            <w:r>
              <w:rPr>
                <w:rFonts w:ascii="Arial" w:cs="Arial" w:eastAsia="Arial" w:hAnsi="Arial"/>
                <w:sz w:val="13"/>
                <w:szCs w:val="13"/>
                <w:color w:val="auto"/>
              </w:rPr>
              <w:t>Unvested &amp; Accelerated Stock Options</w:t>
            </w:r>
            <w:r>
              <w:rPr>
                <w:rFonts w:ascii="Arial" w:cs="Arial" w:eastAsia="Arial" w:hAnsi="Arial"/>
                <w:sz w:val="16"/>
                <w:szCs w:val="16"/>
                <w:color w:val="auto"/>
                <w:vertAlign w:val="superscript"/>
              </w:rPr>
              <w:t>3</w:t>
            </w:r>
          </w:p>
        </w:tc>
        <w:tc>
          <w:tcPr>
            <w:tcW w:w="88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7"/>
                <w:szCs w:val="17"/>
                <w:color w:val="auto"/>
              </w:rPr>
            </w:pPr>
          </w:p>
        </w:tc>
      </w:tr>
      <w:tr>
        <w:trPr>
          <w:trHeight w:val="166"/>
        </w:trPr>
        <w:tc>
          <w:tcPr>
            <w:tcW w:w="3260" w:type="dxa"/>
            <w:vAlign w:val="bottom"/>
          </w:tcPr>
          <w:p>
            <w:pPr>
              <w:ind w:left="200"/>
              <w:spacing w:after="0"/>
              <w:rPr>
                <w:sz w:val="20"/>
                <w:szCs w:val="20"/>
                <w:color w:val="auto"/>
              </w:rPr>
            </w:pPr>
            <w:r>
              <w:rPr>
                <w:rFonts w:ascii="Arial" w:cs="Arial" w:eastAsia="Arial" w:hAnsi="Arial"/>
                <w:sz w:val="13"/>
                <w:szCs w:val="13"/>
                <w:color w:val="auto"/>
              </w:rPr>
              <w:t>Performance Share Award Payouts</w:t>
            </w:r>
          </w:p>
        </w:tc>
        <w:tc>
          <w:tcPr>
            <w:tcW w:w="880" w:type="dxa"/>
            <w:vAlign w:val="bottom"/>
          </w:tcPr>
          <w:p>
            <w:pPr>
              <w:jc w:val="right"/>
              <w:spacing w:after="0"/>
              <w:rPr>
                <w:sz w:val="20"/>
                <w:szCs w:val="20"/>
                <w:color w:val="auto"/>
              </w:rPr>
            </w:pPr>
            <w:r>
              <w:rPr>
                <w:rFonts w:ascii="Arial" w:cs="Arial" w:eastAsia="Arial" w:hAnsi="Arial"/>
                <w:sz w:val="13"/>
                <w:szCs w:val="13"/>
                <w:color w:val="auto"/>
              </w:rPr>
              <w:t>1,572,823</w:t>
            </w:r>
          </w:p>
        </w:tc>
        <w:tc>
          <w:tcPr>
            <w:tcW w:w="40" w:type="dxa"/>
            <w:vAlign w:val="bottom"/>
          </w:tcPr>
          <w:p>
            <w:pPr>
              <w:spacing w:after="0"/>
              <w:rPr>
                <w:sz w:val="14"/>
                <w:szCs w:val="14"/>
                <w:color w:val="auto"/>
              </w:rPr>
            </w:pP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800" w:type="dxa"/>
            <w:vAlign w:val="bottom"/>
          </w:tcPr>
          <w:p>
            <w:pPr>
              <w:jc w:val="right"/>
              <w:spacing w:after="0"/>
              <w:rPr>
                <w:sz w:val="20"/>
                <w:szCs w:val="20"/>
                <w:color w:val="auto"/>
              </w:rPr>
            </w:pPr>
            <w:r>
              <w:rPr>
                <w:rFonts w:ascii="Arial" w:cs="Arial" w:eastAsia="Arial" w:hAnsi="Arial"/>
                <w:sz w:val="13"/>
                <w:szCs w:val="13"/>
                <w:color w:val="auto"/>
              </w:rPr>
              <w:t>1,572,823</w:t>
            </w: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660" w:type="dxa"/>
            <w:vAlign w:val="bottom"/>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4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2,228,435</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20" w:type="dxa"/>
            <w:vAlign w:val="bottom"/>
          </w:tcPr>
          <w:p>
            <w:pPr>
              <w:jc w:val="right"/>
              <w:spacing w:after="0"/>
              <w:rPr>
                <w:sz w:val="20"/>
                <w:szCs w:val="20"/>
                <w:color w:val="auto"/>
              </w:rPr>
            </w:pPr>
            <w:r>
              <w:rPr>
                <w:rFonts w:ascii="Arial" w:cs="Arial" w:eastAsia="Arial" w:hAnsi="Arial"/>
                <w:sz w:val="13"/>
                <w:szCs w:val="13"/>
                <w:color w:val="auto"/>
              </w:rPr>
              <w:t>2,228,435</w:t>
            </w: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(5)</w:t>
            </w:r>
          </w:p>
        </w:tc>
      </w:tr>
      <w:tr>
        <w:trPr>
          <w:trHeight w:val="266"/>
        </w:trPr>
        <w:tc>
          <w:tcPr>
            <w:tcW w:w="3260" w:type="dxa"/>
            <w:vAlign w:val="bottom"/>
          </w:tcPr>
          <w:p>
            <w:pPr>
              <w:ind w:left="200"/>
              <w:spacing w:after="0"/>
              <w:rPr>
                <w:sz w:val="20"/>
                <w:szCs w:val="20"/>
                <w:color w:val="auto"/>
              </w:rPr>
            </w:pPr>
            <w:r>
              <w:rPr>
                <w:rFonts w:ascii="Arial" w:cs="Arial" w:eastAsia="Arial" w:hAnsi="Arial"/>
                <w:sz w:val="13"/>
                <w:szCs w:val="13"/>
                <w:color w:val="auto"/>
              </w:rPr>
              <w:t>Welfare Plan Benefits</w:t>
            </w:r>
            <w:r>
              <w:rPr>
                <w:rFonts w:ascii="Arial" w:cs="Arial" w:eastAsia="Arial" w:hAnsi="Arial"/>
                <w:sz w:val="16"/>
                <w:szCs w:val="16"/>
                <w:color w:val="auto"/>
                <w:vertAlign w:val="superscript"/>
              </w:rPr>
              <w:t>6</w:t>
            </w:r>
          </w:p>
        </w:tc>
        <w:tc>
          <w:tcPr>
            <w:tcW w:w="88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67,515</w:t>
            </w:r>
          </w:p>
        </w:tc>
        <w:tc>
          <w:tcPr>
            <w:tcW w:w="380" w:type="dxa"/>
            <w:vAlign w:val="bottom"/>
          </w:tcPr>
          <w:p>
            <w:pPr>
              <w:spacing w:after="0"/>
              <w:rPr>
                <w:sz w:val="23"/>
                <w:szCs w:val="23"/>
                <w:color w:val="auto"/>
              </w:rPr>
            </w:pPr>
          </w:p>
        </w:tc>
      </w:tr>
      <w:tr>
        <w:trPr>
          <w:trHeight w:val="216"/>
        </w:trPr>
        <w:tc>
          <w:tcPr>
            <w:tcW w:w="3260" w:type="dxa"/>
            <w:vAlign w:val="bottom"/>
          </w:tcPr>
          <w:p>
            <w:pPr>
              <w:ind w:left="200"/>
              <w:spacing w:after="0"/>
              <w:rPr>
                <w:sz w:val="20"/>
                <w:szCs w:val="20"/>
                <w:color w:val="auto"/>
              </w:rPr>
            </w:pPr>
            <w:r>
              <w:rPr>
                <w:rFonts w:ascii="Arial" w:cs="Arial" w:eastAsia="Arial" w:hAnsi="Arial"/>
                <w:sz w:val="13"/>
                <w:szCs w:val="13"/>
                <w:color w:val="auto"/>
              </w:rPr>
              <w:t>Outplacement Services</w:t>
            </w:r>
            <w:r>
              <w:rPr>
                <w:rFonts w:ascii="Arial" w:cs="Arial" w:eastAsia="Arial" w:hAnsi="Arial"/>
                <w:sz w:val="16"/>
                <w:szCs w:val="16"/>
                <w:color w:val="auto"/>
                <w:vertAlign w:val="superscript"/>
              </w:rPr>
              <w:t>7</w:t>
            </w:r>
          </w:p>
        </w:tc>
        <w:tc>
          <w:tcPr>
            <w:tcW w:w="88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30,000</w:t>
            </w:r>
          </w:p>
        </w:tc>
        <w:tc>
          <w:tcPr>
            <w:tcW w:w="380" w:type="dxa"/>
            <w:vAlign w:val="bottom"/>
          </w:tcPr>
          <w:p>
            <w:pPr>
              <w:spacing w:after="0"/>
              <w:rPr>
                <w:sz w:val="18"/>
                <w:szCs w:val="18"/>
                <w:color w:val="auto"/>
              </w:rPr>
            </w:pPr>
          </w:p>
        </w:tc>
      </w:tr>
      <w:tr>
        <w:trPr>
          <w:trHeight w:val="193"/>
        </w:trPr>
        <w:tc>
          <w:tcPr>
            <w:tcW w:w="3260" w:type="dxa"/>
            <w:vAlign w:val="bottom"/>
          </w:tcPr>
          <w:p>
            <w:pPr>
              <w:ind w:left="200"/>
              <w:spacing w:after="0"/>
              <w:rPr>
                <w:sz w:val="20"/>
                <w:szCs w:val="20"/>
                <w:color w:val="auto"/>
              </w:rPr>
            </w:pPr>
            <w:r>
              <w:rPr>
                <w:rFonts w:ascii="Arial" w:cs="Arial" w:eastAsia="Arial" w:hAnsi="Arial"/>
                <w:sz w:val="13"/>
                <w:szCs w:val="13"/>
                <w:color w:val="auto"/>
              </w:rPr>
              <w:t>Perquisites</w:t>
            </w:r>
            <w:r>
              <w:rPr>
                <w:rFonts w:ascii="Arial" w:cs="Arial" w:eastAsia="Arial" w:hAnsi="Arial"/>
                <w:sz w:val="16"/>
                <w:szCs w:val="16"/>
                <w:color w:val="auto"/>
                <w:vertAlign w:val="superscript"/>
              </w:rPr>
              <w:t>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29,729</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46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6"/>
                <w:szCs w:val="16"/>
                <w:color w:val="auto"/>
              </w:rPr>
            </w:pPr>
          </w:p>
        </w:tc>
      </w:tr>
      <w:tr>
        <w:trPr>
          <w:trHeight w:val="174"/>
        </w:trPr>
        <w:tc>
          <w:tcPr>
            <w:tcW w:w="326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1,602,552</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1,572,823</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0</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0</w:t>
            </w:r>
          </w:p>
        </w:tc>
        <w:tc>
          <w:tcPr>
            <w:tcW w:w="4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2,228,435</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10,226,450</w:t>
            </w:r>
          </w:p>
        </w:tc>
        <w:tc>
          <w:tcPr>
            <w:tcW w:w="380" w:type="dxa"/>
            <w:vAlign w:val="bottom"/>
          </w:tcPr>
          <w:p>
            <w:pPr>
              <w:spacing w:after="0"/>
              <w:rPr>
                <w:sz w:val="15"/>
                <w:szCs w:val="15"/>
                <w:color w:val="auto"/>
              </w:rPr>
            </w:pPr>
          </w:p>
        </w:tc>
      </w:tr>
      <w:tr>
        <w:trPr>
          <w:trHeight w:val="22"/>
        </w:trPr>
        <w:tc>
          <w:tcPr>
            <w:tcW w:w="3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3260" w:type="dxa"/>
            <w:vAlign w:val="bottom"/>
            <w:shd w:val="clear" w:color="auto" w:fill="DBDBDB"/>
          </w:tcPr>
          <w:p>
            <w:pPr>
              <w:spacing w:after="0"/>
              <w:rPr>
                <w:sz w:val="20"/>
                <w:szCs w:val="20"/>
                <w:color w:val="auto"/>
              </w:rPr>
            </w:pPr>
            <w:r>
              <w:rPr>
                <w:rFonts w:ascii="Arial" w:cs="Arial" w:eastAsia="Arial" w:hAnsi="Arial"/>
                <w:sz w:val="13"/>
                <w:szCs w:val="13"/>
                <w:color w:val="auto"/>
              </w:rPr>
              <w:t>Angela C. Drake</w:t>
            </w:r>
          </w:p>
        </w:tc>
        <w:tc>
          <w:tcPr>
            <w:tcW w:w="88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r>
      <w:tr>
        <w:trPr>
          <w:trHeight w:val="244"/>
        </w:trPr>
        <w:tc>
          <w:tcPr>
            <w:tcW w:w="3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Cash Severance Payment</w:t>
            </w:r>
            <w:r>
              <w:rPr>
                <w:rFonts w:ascii="Arial" w:cs="Arial" w:eastAsia="Arial" w:hAnsi="Arial"/>
                <w:sz w:val="16"/>
                <w:szCs w:val="16"/>
                <w:color w:val="auto"/>
                <w:vertAlign w:val="superscript"/>
              </w:rPr>
              <w:t>2</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shd w:val="clear" w:color="auto" w:fill="DBDBDB"/>
          </w:tcPr>
          <w:p>
            <w:pPr>
              <w:spacing w:after="0"/>
              <w:rPr>
                <w:sz w:val="21"/>
                <w:szCs w:val="21"/>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21"/>
                <w:szCs w:val="21"/>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2,796,750</w:t>
            </w:r>
          </w:p>
        </w:tc>
        <w:tc>
          <w:tcPr>
            <w:tcW w:w="380" w:type="dxa"/>
            <w:vAlign w:val="bottom"/>
            <w:shd w:val="clear" w:color="auto" w:fill="DBDBDB"/>
          </w:tcPr>
          <w:p>
            <w:pPr>
              <w:spacing w:after="0"/>
              <w:rPr>
                <w:sz w:val="21"/>
                <w:szCs w:val="21"/>
                <w:color w:val="auto"/>
              </w:rPr>
            </w:pPr>
          </w:p>
        </w:tc>
      </w:tr>
      <w:tr>
        <w:trPr>
          <w:trHeight w:val="216"/>
        </w:trPr>
        <w:tc>
          <w:tcPr>
            <w:tcW w:w="3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Unvested &amp; Accelerated Stock Options</w:t>
            </w:r>
            <w:r>
              <w:rPr>
                <w:rFonts w:ascii="Arial" w:cs="Arial" w:eastAsia="Arial" w:hAnsi="Arial"/>
                <w:sz w:val="16"/>
                <w:szCs w:val="16"/>
                <w:color w:val="auto"/>
                <w:vertAlign w:val="superscript"/>
              </w:rPr>
              <w:t>3</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shd w:val="clear" w:color="auto" w:fill="DBDBDB"/>
          </w:tcPr>
          <w:p>
            <w:pPr>
              <w:spacing w:after="0"/>
              <w:rPr>
                <w:sz w:val="18"/>
                <w:szCs w:val="18"/>
                <w:color w:val="auto"/>
              </w:rPr>
            </w:pPr>
          </w:p>
        </w:tc>
      </w:tr>
      <w:tr>
        <w:trPr>
          <w:trHeight w:val="203"/>
        </w:trPr>
        <w:tc>
          <w:tcPr>
            <w:tcW w:w="3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Unvested &amp; Accelerated Restricted Stock Units</w:t>
            </w:r>
            <w:r>
              <w:rPr>
                <w:rFonts w:ascii="Arial" w:cs="Arial" w:eastAsia="Arial" w:hAnsi="Arial"/>
                <w:sz w:val="16"/>
                <w:szCs w:val="16"/>
                <w:color w:val="auto"/>
                <w:vertAlign w:val="superscript"/>
              </w:rPr>
              <w:t>9</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635,322</w:t>
            </w:r>
          </w:p>
        </w:tc>
        <w:tc>
          <w:tcPr>
            <w:tcW w:w="36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635,322</w:t>
            </w:r>
          </w:p>
        </w:tc>
        <w:tc>
          <w:tcPr>
            <w:tcW w:w="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w:t>
            </w:r>
          </w:p>
        </w:tc>
      </w:tr>
      <w:tr>
        <w:trPr>
          <w:trHeight w:val="175"/>
        </w:trPr>
        <w:tc>
          <w:tcPr>
            <w:tcW w:w="3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Performance Share Award Payouts</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84,235</w:t>
            </w:r>
          </w:p>
        </w:tc>
        <w:tc>
          <w:tcPr>
            <w:tcW w:w="40" w:type="dxa"/>
            <w:vAlign w:val="bottom"/>
            <w:shd w:val="clear" w:color="auto" w:fill="DBDBDB"/>
          </w:tcPr>
          <w:p>
            <w:pPr>
              <w:spacing w:after="0"/>
              <w:rPr>
                <w:sz w:val="15"/>
                <w:szCs w:val="15"/>
                <w:color w:val="auto"/>
              </w:rPr>
            </w:pPr>
          </w:p>
        </w:tc>
        <w:tc>
          <w:tcPr>
            <w:tcW w:w="28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(4)</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84,235</w:t>
            </w:r>
          </w:p>
        </w:tc>
        <w:tc>
          <w:tcPr>
            <w:tcW w:w="38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(4)</w:t>
            </w: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121,179</w:t>
            </w:r>
          </w:p>
        </w:tc>
        <w:tc>
          <w:tcPr>
            <w:tcW w:w="36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(5)</w:t>
            </w: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121,179</w:t>
            </w:r>
          </w:p>
        </w:tc>
        <w:tc>
          <w:tcPr>
            <w:tcW w:w="380" w:type="dxa"/>
            <w:vAlign w:val="bottom"/>
            <w:shd w:val="clear" w:color="auto" w:fill="DBDBDB"/>
          </w:tcPr>
          <w:p>
            <w:pPr>
              <w:spacing w:after="0"/>
              <w:rPr>
                <w:sz w:val="15"/>
                <w:szCs w:val="15"/>
                <w:color w:val="auto"/>
              </w:rPr>
            </w:pPr>
          </w:p>
        </w:tc>
      </w:tr>
      <w:tr>
        <w:trPr>
          <w:trHeight w:val="243"/>
        </w:trPr>
        <w:tc>
          <w:tcPr>
            <w:tcW w:w="3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Welfare Plan Benefits</w:t>
            </w:r>
            <w:r>
              <w:rPr>
                <w:rFonts w:ascii="Arial" w:cs="Arial" w:eastAsia="Arial" w:hAnsi="Arial"/>
                <w:sz w:val="16"/>
                <w:szCs w:val="16"/>
                <w:color w:val="auto"/>
                <w:vertAlign w:val="superscript"/>
              </w:rPr>
              <w:t>6</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shd w:val="clear" w:color="auto" w:fill="DBDBDB"/>
          </w:tcPr>
          <w:p>
            <w:pPr>
              <w:spacing w:after="0"/>
              <w:rPr>
                <w:sz w:val="21"/>
                <w:szCs w:val="21"/>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21"/>
                <w:szCs w:val="21"/>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65,220</w:t>
            </w:r>
          </w:p>
        </w:tc>
        <w:tc>
          <w:tcPr>
            <w:tcW w:w="380" w:type="dxa"/>
            <w:vAlign w:val="bottom"/>
            <w:shd w:val="clear" w:color="auto" w:fill="DBDBDB"/>
          </w:tcPr>
          <w:p>
            <w:pPr>
              <w:spacing w:after="0"/>
              <w:rPr>
                <w:sz w:val="21"/>
                <w:szCs w:val="21"/>
                <w:color w:val="auto"/>
              </w:rPr>
            </w:pPr>
          </w:p>
        </w:tc>
      </w:tr>
      <w:tr>
        <w:trPr>
          <w:trHeight w:val="216"/>
        </w:trPr>
        <w:tc>
          <w:tcPr>
            <w:tcW w:w="3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Outplacement Services</w:t>
            </w:r>
            <w:r>
              <w:rPr>
                <w:rFonts w:ascii="Arial" w:cs="Arial" w:eastAsia="Arial" w:hAnsi="Arial"/>
                <w:sz w:val="16"/>
                <w:szCs w:val="16"/>
                <w:color w:val="auto"/>
                <w:vertAlign w:val="superscript"/>
              </w:rPr>
              <w:t>7</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30,000</w:t>
            </w:r>
          </w:p>
        </w:tc>
        <w:tc>
          <w:tcPr>
            <w:tcW w:w="380" w:type="dxa"/>
            <w:vAlign w:val="bottom"/>
            <w:shd w:val="clear" w:color="auto" w:fill="DBDBDB"/>
          </w:tcPr>
          <w:p>
            <w:pPr>
              <w:spacing w:after="0"/>
              <w:rPr>
                <w:sz w:val="18"/>
                <w:szCs w:val="18"/>
                <w:color w:val="auto"/>
              </w:rPr>
            </w:pPr>
          </w:p>
        </w:tc>
      </w:tr>
      <w:tr>
        <w:trPr>
          <w:trHeight w:val="216"/>
        </w:trPr>
        <w:tc>
          <w:tcPr>
            <w:tcW w:w="326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3"/>
                <w:szCs w:val="13"/>
                <w:color w:val="auto"/>
              </w:rPr>
              <w:t>Perquisites</w:t>
            </w:r>
            <w:r>
              <w:rPr>
                <w:rFonts w:ascii="Arial" w:cs="Arial" w:eastAsia="Arial" w:hAnsi="Arial"/>
                <w:sz w:val="16"/>
                <w:szCs w:val="16"/>
                <w:color w:val="auto"/>
                <w:vertAlign w:val="superscript"/>
              </w:rPr>
              <w:t>8</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29,481</w:t>
            </w:r>
          </w:p>
        </w:tc>
        <w:tc>
          <w:tcPr>
            <w:tcW w:w="4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tcBorders>
              <w:bottom w:val="single" w:sz="8" w:color="DBDBDB"/>
            </w:tcBorders>
            <w:shd w:val="clear" w:color="auto" w:fill="DBDBDB"/>
          </w:tcPr>
          <w:p>
            <w:pPr>
              <w:spacing w:after="0"/>
              <w:rPr>
                <w:sz w:val="18"/>
                <w:szCs w:val="18"/>
                <w:color w:val="auto"/>
              </w:rPr>
            </w:pPr>
          </w:p>
        </w:tc>
      </w:tr>
      <w:tr>
        <w:trPr>
          <w:trHeight w:val="176"/>
        </w:trPr>
        <w:tc>
          <w:tcPr>
            <w:tcW w:w="32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b w:val="1"/>
                <w:bCs w:val="1"/>
                <w:color w:val="auto"/>
              </w:rPr>
              <w:t>Total</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113,716</w:t>
            </w:r>
          </w:p>
        </w:tc>
        <w:tc>
          <w:tcPr>
            <w:tcW w:w="4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84,235</w:t>
            </w:r>
          </w:p>
        </w:tc>
        <w:tc>
          <w:tcPr>
            <w:tcW w:w="38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0</w:t>
            </w:r>
          </w:p>
        </w:tc>
        <w:tc>
          <w:tcPr>
            <w:tcW w:w="36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0</w:t>
            </w:r>
          </w:p>
        </w:tc>
        <w:tc>
          <w:tcPr>
            <w:tcW w:w="46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756,501</w:t>
            </w:r>
          </w:p>
        </w:tc>
        <w:tc>
          <w:tcPr>
            <w:tcW w:w="36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3,648,471</w:t>
            </w:r>
          </w:p>
        </w:tc>
        <w:tc>
          <w:tcPr>
            <w:tcW w:w="380" w:type="dxa"/>
            <w:vAlign w:val="bottom"/>
            <w:tcBorders>
              <w:bottom w:val="single" w:sz="8" w:color="DBDBDB"/>
            </w:tcBorders>
            <w:shd w:val="clear" w:color="auto" w:fill="DBDBDB"/>
          </w:tcPr>
          <w:p>
            <w:pPr>
              <w:spacing w:after="0"/>
              <w:rPr>
                <w:sz w:val="15"/>
                <w:szCs w:val="15"/>
                <w:color w:val="auto"/>
              </w:rPr>
            </w:pPr>
          </w:p>
        </w:tc>
      </w:tr>
      <w:tr>
        <w:trPr>
          <w:trHeight w:val="175"/>
        </w:trPr>
        <w:tc>
          <w:tcPr>
            <w:tcW w:w="3260" w:type="dxa"/>
            <w:vAlign w:val="bottom"/>
          </w:tcPr>
          <w:p>
            <w:pPr>
              <w:spacing w:after="0"/>
              <w:rPr>
                <w:sz w:val="20"/>
                <w:szCs w:val="20"/>
                <w:color w:val="auto"/>
              </w:rPr>
            </w:pPr>
            <w:r>
              <w:rPr>
                <w:rFonts w:ascii="Arial" w:cs="Arial" w:eastAsia="Arial" w:hAnsi="Arial"/>
                <w:sz w:val="13"/>
                <w:szCs w:val="13"/>
                <w:color w:val="auto"/>
              </w:rPr>
              <w:t>Renee J. Peterson</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66"/>
        </w:trPr>
        <w:tc>
          <w:tcPr>
            <w:tcW w:w="3260" w:type="dxa"/>
            <w:vAlign w:val="bottom"/>
          </w:tcPr>
          <w:p>
            <w:pPr>
              <w:ind w:left="200"/>
              <w:spacing w:after="0"/>
              <w:rPr>
                <w:sz w:val="20"/>
                <w:szCs w:val="20"/>
                <w:color w:val="auto"/>
              </w:rPr>
            </w:pPr>
            <w:r>
              <w:rPr>
                <w:rFonts w:ascii="Arial" w:cs="Arial" w:eastAsia="Arial" w:hAnsi="Arial"/>
                <w:sz w:val="13"/>
                <w:szCs w:val="13"/>
                <w:color w:val="auto"/>
              </w:rPr>
              <w:t>Cash Severance Payment</w:t>
            </w:r>
            <w:r>
              <w:rPr>
                <w:rFonts w:ascii="Arial" w:cs="Arial" w:eastAsia="Arial" w:hAnsi="Arial"/>
                <w:sz w:val="16"/>
                <w:szCs w:val="16"/>
                <w:color w:val="auto"/>
                <w:vertAlign w:val="superscript"/>
              </w:rPr>
              <w:t>2</w:t>
            </w:r>
          </w:p>
        </w:tc>
        <w:tc>
          <w:tcPr>
            <w:tcW w:w="88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23"/>
                <w:szCs w:val="2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N/A</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color w:val="auto"/>
              </w:rPr>
              <w:t>N/A</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23"/>
                <w:szCs w:val="23"/>
                <w:color w:val="auto"/>
              </w:rPr>
            </w:pPr>
          </w:p>
        </w:tc>
      </w:tr>
      <w:tr>
        <w:trPr>
          <w:trHeight w:val="203"/>
        </w:trPr>
        <w:tc>
          <w:tcPr>
            <w:tcW w:w="3260" w:type="dxa"/>
            <w:vAlign w:val="bottom"/>
          </w:tcPr>
          <w:p>
            <w:pPr>
              <w:ind w:left="200"/>
              <w:spacing w:after="0"/>
              <w:rPr>
                <w:sz w:val="20"/>
                <w:szCs w:val="20"/>
                <w:color w:val="auto"/>
              </w:rPr>
            </w:pPr>
            <w:r>
              <w:rPr>
                <w:rFonts w:ascii="Arial" w:cs="Arial" w:eastAsia="Arial" w:hAnsi="Arial"/>
                <w:sz w:val="13"/>
                <w:szCs w:val="13"/>
                <w:color w:val="auto"/>
              </w:rPr>
              <w:t>Unvested &amp; Accelerated Stock Options</w:t>
            </w:r>
            <w:r>
              <w:rPr>
                <w:rFonts w:ascii="Arial" w:cs="Arial" w:eastAsia="Arial" w:hAnsi="Arial"/>
                <w:sz w:val="16"/>
                <w:szCs w:val="16"/>
                <w:color w:val="auto"/>
                <w:vertAlign w:val="superscript"/>
              </w:rPr>
              <w:t>3</w:t>
            </w:r>
          </w:p>
        </w:tc>
        <w:tc>
          <w:tcPr>
            <w:tcW w:w="88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N/A</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color w:val="auto"/>
              </w:rPr>
              <w:t>N/A</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17"/>
                <w:szCs w:val="17"/>
                <w:color w:val="auto"/>
              </w:rPr>
            </w:pPr>
          </w:p>
        </w:tc>
      </w:tr>
      <w:tr>
        <w:trPr>
          <w:trHeight w:val="166"/>
        </w:trPr>
        <w:tc>
          <w:tcPr>
            <w:tcW w:w="3260" w:type="dxa"/>
            <w:vAlign w:val="bottom"/>
          </w:tcPr>
          <w:p>
            <w:pPr>
              <w:ind w:left="200"/>
              <w:spacing w:after="0"/>
              <w:rPr>
                <w:sz w:val="20"/>
                <w:szCs w:val="20"/>
                <w:color w:val="auto"/>
              </w:rPr>
            </w:pPr>
            <w:r>
              <w:rPr>
                <w:rFonts w:ascii="Arial" w:cs="Arial" w:eastAsia="Arial" w:hAnsi="Arial"/>
                <w:sz w:val="13"/>
                <w:szCs w:val="13"/>
                <w:color w:val="auto"/>
              </w:rPr>
              <w:t>Performance Share Award Payouts</w:t>
            </w:r>
          </w:p>
        </w:tc>
        <w:tc>
          <w:tcPr>
            <w:tcW w:w="880" w:type="dxa"/>
            <w:vAlign w:val="bottom"/>
          </w:tcPr>
          <w:p>
            <w:pPr>
              <w:jc w:val="right"/>
              <w:spacing w:after="0"/>
              <w:rPr>
                <w:sz w:val="20"/>
                <w:szCs w:val="20"/>
                <w:color w:val="auto"/>
              </w:rPr>
            </w:pPr>
            <w:r>
              <w:rPr>
                <w:rFonts w:ascii="Arial" w:cs="Arial" w:eastAsia="Arial" w:hAnsi="Arial"/>
                <w:sz w:val="13"/>
                <w:szCs w:val="13"/>
                <w:color w:val="auto"/>
              </w:rPr>
              <w:t>166,450</w:t>
            </w:r>
          </w:p>
        </w:tc>
        <w:tc>
          <w:tcPr>
            <w:tcW w:w="40" w:type="dxa"/>
            <w:vAlign w:val="bottom"/>
          </w:tcPr>
          <w:p>
            <w:pPr>
              <w:spacing w:after="0"/>
              <w:rPr>
                <w:sz w:val="14"/>
                <w:szCs w:val="14"/>
                <w:color w:val="auto"/>
              </w:rPr>
            </w:pP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80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N/A</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color w:val="auto"/>
              </w:rPr>
              <w:t>N/A</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2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(5)</w:t>
            </w:r>
          </w:p>
        </w:tc>
      </w:tr>
      <w:tr>
        <w:trPr>
          <w:trHeight w:val="266"/>
        </w:trPr>
        <w:tc>
          <w:tcPr>
            <w:tcW w:w="3260" w:type="dxa"/>
            <w:vAlign w:val="bottom"/>
          </w:tcPr>
          <w:p>
            <w:pPr>
              <w:ind w:left="200"/>
              <w:spacing w:after="0"/>
              <w:rPr>
                <w:sz w:val="20"/>
                <w:szCs w:val="20"/>
                <w:color w:val="auto"/>
              </w:rPr>
            </w:pPr>
            <w:r>
              <w:rPr>
                <w:rFonts w:ascii="Arial" w:cs="Arial" w:eastAsia="Arial" w:hAnsi="Arial"/>
                <w:sz w:val="13"/>
                <w:szCs w:val="13"/>
                <w:color w:val="auto"/>
              </w:rPr>
              <w:t>Welfare Plan Benefits</w:t>
            </w:r>
            <w:r>
              <w:rPr>
                <w:rFonts w:ascii="Arial" w:cs="Arial" w:eastAsia="Arial" w:hAnsi="Arial"/>
                <w:sz w:val="16"/>
                <w:szCs w:val="16"/>
                <w:color w:val="auto"/>
                <w:vertAlign w:val="superscript"/>
              </w:rPr>
              <w:t>6</w:t>
            </w:r>
          </w:p>
        </w:tc>
        <w:tc>
          <w:tcPr>
            <w:tcW w:w="88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23"/>
                <w:szCs w:val="2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N/A</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color w:val="auto"/>
              </w:rPr>
              <w:t>N/A</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23"/>
                <w:szCs w:val="23"/>
                <w:color w:val="auto"/>
              </w:rPr>
            </w:pPr>
          </w:p>
        </w:tc>
      </w:tr>
      <w:tr>
        <w:trPr>
          <w:trHeight w:val="216"/>
        </w:trPr>
        <w:tc>
          <w:tcPr>
            <w:tcW w:w="3260" w:type="dxa"/>
            <w:vAlign w:val="bottom"/>
          </w:tcPr>
          <w:p>
            <w:pPr>
              <w:ind w:left="200"/>
              <w:spacing w:after="0"/>
              <w:rPr>
                <w:sz w:val="20"/>
                <w:szCs w:val="20"/>
                <w:color w:val="auto"/>
              </w:rPr>
            </w:pPr>
            <w:r>
              <w:rPr>
                <w:rFonts w:ascii="Arial" w:cs="Arial" w:eastAsia="Arial" w:hAnsi="Arial"/>
                <w:sz w:val="13"/>
                <w:szCs w:val="13"/>
                <w:color w:val="auto"/>
              </w:rPr>
              <w:t>Outplacement Services</w:t>
            </w:r>
            <w:r>
              <w:rPr>
                <w:rFonts w:ascii="Arial" w:cs="Arial" w:eastAsia="Arial" w:hAnsi="Arial"/>
                <w:sz w:val="16"/>
                <w:szCs w:val="16"/>
                <w:color w:val="auto"/>
                <w:vertAlign w:val="superscript"/>
              </w:rPr>
              <w:t>7</w:t>
            </w:r>
          </w:p>
        </w:tc>
        <w:tc>
          <w:tcPr>
            <w:tcW w:w="88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N/A</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color w:val="auto"/>
              </w:rPr>
              <w:t>N/A</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18"/>
                <w:szCs w:val="18"/>
                <w:color w:val="auto"/>
              </w:rPr>
            </w:pPr>
          </w:p>
        </w:tc>
      </w:tr>
      <w:tr>
        <w:trPr>
          <w:trHeight w:val="193"/>
        </w:trPr>
        <w:tc>
          <w:tcPr>
            <w:tcW w:w="3260" w:type="dxa"/>
            <w:vAlign w:val="bottom"/>
          </w:tcPr>
          <w:p>
            <w:pPr>
              <w:ind w:left="200"/>
              <w:spacing w:after="0"/>
              <w:rPr>
                <w:sz w:val="20"/>
                <w:szCs w:val="20"/>
                <w:color w:val="auto"/>
              </w:rPr>
            </w:pPr>
            <w:r>
              <w:rPr>
                <w:rFonts w:ascii="Arial" w:cs="Arial" w:eastAsia="Arial" w:hAnsi="Arial"/>
                <w:sz w:val="13"/>
                <w:szCs w:val="13"/>
                <w:color w:val="auto"/>
              </w:rPr>
              <w:t>Perquisites</w:t>
            </w:r>
            <w:r>
              <w:rPr>
                <w:rFonts w:ascii="Arial" w:cs="Arial" w:eastAsia="Arial" w:hAnsi="Arial"/>
                <w:sz w:val="16"/>
                <w:szCs w:val="16"/>
                <w:color w:val="auto"/>
                <w:vertAlign w:val="superscript"/>
              </w:rPr>
              <w:t>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34,222</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46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16"/>
                <w:szCs w:val="16"/>
                <w:color w:val="auto"/>
              </w:rPr>
            </w:pPr>
          </w:p>
        </w:tc>
      </w:tr>
      <w:tr>
        <w:trPr>
          <w:trHeight w:val="175"/>
        </w:trPr>
        <w:tc>
          <w:tcPr>
            <w:tcW w:w="326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200,672</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N/A</w:t>
            </w:r>
          </w:p>
        </w:tc>
        <w:tc>
          <w:tcPr>
            <w:tcW w:w="38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N/A</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N/A</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N/A</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N/A</w:t>
            </w:r>
          </w:p>
        </w:tc>
        <w:tc>
          <w:tcPr>
            <w:tcW w:w="3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6" w:right="399" w:bottom="1440" w:gutter="0" w:footer="0" w:header="0"/>
        </w:sectPr>
      </w:pPr>
    </w:p>
    <w:bookmarkStart w:id="78" w:name="page79"/>
    <w:bookmarkEnd w:id="78"/>
    <w:tbl>
      <w:tblPr>
        <w:tblLayout w:type="fixed"/>
        <w:tblInd w:w="252" w:type="dxa"/>
        <w:tblCellMar>
          <w:top w:w="0" w:type="dxa"/>
          <w:left w:w="0" w:type="dxa"/>
          <w:bottom w:w="0" w:type="dxa"/>
          <w:right w:w="0" w:type="dxa"/>
        </w:tblCellMar>
      </w:tblPr>
      <w:tr>
        <w:trPr>
          <w:trHeight w:val="192"/>
        </w:trPr>
        <w:tc>
          <w:tcPr>
            <w:tcW w:w="3260" w:type="dxa"/>
            <w:vAlign w:val="bottom"/>
            <w:shd w:val="clear" w:color="auto" w:fill="BF2115"/>
          </w:tcPr>
          <w:p>
            <w:pPr>
              <w:spacing w:after="0"/>
              <w:rPr>
                <w:sz w:val="16"/>
                <w:szCs w:val="16"/>
                <w:color w:val="auto"/>
              </w:rPr>
            </w:pPr>
          </w:p>
        </w:tc>
        <w:tc>
          <w:tcPr>
            <w:tcW w:w="880" w:type="dxa"/>
            <w:vAlign w:val="bottom"/>
            <w:shd w:val="clear" w:color="auto" w:fill="BF2115"/>
          </w:tcPr>
          <w:p>
            <w:pPr>
              <w:spacing w:after="0"/>
              <w:rPr>
                <w:sz w:val="16"/>
                <w:szCs w:val="16"/>
                <w:color w:val="auto"/>
              </w:rPr>
            </w:pPr>
          </w:p>
        </w:tc>
        <w:tc>
          <w:tcPr>
            <w:tcW w:w="40" w:type="dxa"/>
            <w:vAlign w:val="bottom"/>
            <w:shd w:val="clear" w:color="auto" w:fill="BF2115"/>
          </w:tcPr>
          <w:p>
            <w:pPr>
              <w:spacing w:after="0"/>
              <w:rPr>
                <w:sz w:val="16"/>
                <w:szCs w:val="16"/>
                <w:color w:val="auto"/>
              </w:rPr>
            </w:pPr>
          </w:p>
        </w:tc>
        <w:tc>
          <w:tcPr>
            <w:tcW w:w="280" w:type="dxa"/>
            <w:vAlign w:val="bottom"/>
            <w:shd w:val="clear" w:color="auto" w:fill="BF2115"/>
          </w:tcPr>
          <w:p>
            <w:pPr>
              <w:spacing w:after="0"/>
              <w:rPr>
                <w:sz w:val="16"/>
                <w:szCs w:val="16"/>
                <w:color w:val="auto"/>
              </w:rPr>
            </w:pPr>
          </w:p>
        </w:tc>
        <w:tc>
          <w:tcPr>
            <w:tcW w:w="800" w:type="dxa"/>
            <w:vAlign w:val="bottom"/>
            <w:shd w:val="clear" w:color="auto" w:fill="BF2115"/>
          </w:tcPr>
          <w:p>
            <w:pPr>
              <w:spacing w:after="0"/>
              <w:rPr>
                <w:sz w:val="16"/>
                <w:szCs w:val="16"/>
                <w:color w:val="auto"/>
              </w:rPr>
            </w:pPr>
          </w:p>
        </w:tc>
        <w:tc>
          <w:tcPr>
            <w:tcW w:w="380" w:type="dxa"/>
            <w:vAlign w:val="bottom"/>
            <w:shd w:val="clear" w:color="auto" w:fill="BF2115"/>
          </w:tcPr>
          <w:p>
            <w:pPr>
              <w:spacing w:after="0"/>
              <w:rPr>
                <w:sz w:val="16"/>
                <w:szCs w:val="16"/>
                <w:color w:val="auto"/>
              </w:rPr>
            </w:pPr>
          </w:p>
        </w:tc>
        <w:tc>
          <w:tcPr>
            <w:tcW w:w="660" w:type="dxa"/>
            <w:vAlign w:val="bottom"/>
            <w:shd w:val="clear" w:color="auto" w:fill="BF2115"/>
          </w:tcPr>
          <w:p>
            <w:pPr>
              <w:spacing w:after="0"/>
              <w:rPr>
                <w:sz w:val="16"/>
                <w:szCs w:val="16"/>
                <w:color w:val="auto"/>
              </w:rPr>
            </w:pPr>
          </w:p>
        </w:tc>
        <w:tc>
          <w:tcPr>
            <w:tcW w:w="360" w:type="dxa"/>
            <w:vAlign w:val="bottom"/>
            <w:shd w:val="clear" w:color="auto" w:fill="BF2115"/>
          </w:tcPr>
          <w:p>
            <w:pPr>
              <w:spacing w:after="0"/>
              <w:rPr>
                <w:sz w:val="16"/>
                <w:szCs w:val="16"/>
                <w:color w:val="auto"/>
              </w:rPr>
            </w:pPr>
          </w:p>
        </w:tc>
        <w:tc>
          <w:tcPr>
            <w:tcW w:w="640" w:type="dxa"/>
            <w:vAlign w:val="bottom"/>
            <w:shd w:val="clear" w:color="auto" w:fill="BF2115"/>
          </w:tcPr>
          <w:p>
            <w:pPr>
              <w:spacing w:after="0"/>
              <w:rPr>
                <w:sz w:val="16"/>
                <w:szCs w:val="16"/>
                <w:color w:val="auto"/>
              </w:rPr>
            </w:pPr>
          </w:p>
        </w:tc>
        <w:tc>
          <w:tcPr>
            <w:tcW w:w="460" w:type="dxa"/>
            <w:vAlign w:val="bottom"/>
            <w:shd w:val="clear" w:color="auto" w:fill="BF2115"/>
          </w:tcPr>
          <w:p>
            <w:pPr>
              <w:spacing w:after="0"/>
              <w:rPr>
                <w:sz w:val="16"/>
                <w:szCs w:val="16"/>
                <w:color w:val="auto"/>
              </w:rPr>
            </w:pPr>
          </w:p>
        </w:tc>
        <w:tc>
          <w:tcPr>
            <w:tcW w:w="2620" w:type="dxa"/>
            <w:vAlign w:val="bottom"/>
            <w:gridSpan w:val="3"/>
            <w:shd w:val="clear" w:color="auto" w:fill="BF2115"/>
          </w:tcPr>
          <w:p>
            <w:pPr>
              <w:jc w:val="right"/>
              <w:ind w:right="517"/>
              <w:spacing w:after="0"/>
              <w:rPr>
                <w:sz w:val="20"/>
                <w:szCs w:val="20"/>
                <w:color w:val="auto"/>
              </w:rPr>
            </w:pPr>
            <w:r>
              <w:rPr>
                <w:rFonts w:ascii="Arial" w:cs="Arial" w:eastAsia="Arial" w:hAnsi="Arial"/>
                <w:sz w:val="13"/>
                <w:szCs w:val="13"/>
                <w:b w:val="1"/>
                <w:bCs w:val="1"/>
                <w:color w:val="FFFFFF"/>
              </w:rPr>
              <w:t>Change in Control</w:t>
            </w:r>
          </w:p>
        </w:tc>
        <w:tc>
          <w:tcPr>
            <w:tcW w:w="380" w:type="dxa"/>
            <w:vAlign w:val="bottom"/>
            <w:shd w:val="clear" w:color="auto" w:fill="BF2115"/>
          </w:tcPr>
          <w:p>
            <w:pPr>
              <w:spacing w:after="0"/>
              <w:rPr>
                <w:sz w:val="16"/>
                <w:szCs w:val="16"/>
                <w:color w:val="auto"/>
              </w:rPr>
            </w:pPr>
          </w:p>
        </w:tc>
      </w:tr>
      <w:tr>
        <w:trPr>
          <w:trHeight w:val="209"/>
        </w:trPr>
        <w:tc>
          <w:tcPr>
            <w:tcW w:w="3260" w:type="dxa"/>
            <w:vAlign w:val="bottom"/>
            <w:shd w:val="clear" w:color="auto" w:fill="BF2115"/>
          </w:tcPr>
          <w:p>
            <w:pPr>
              <w:spacing w:after="0"/>
              <w:rPr>
                <w:sz w:val="18"/>
                <w:szCs w:val="18"/>
                <w:color w:val="auto"/>
              </w:rPr>
            </w:pPr>
          </w:p>
        </w:tc>
        <w:tc>
          <w:tcPr>
            <w:tcW w:w="880" w:type="dxa"/>
            <w:vAlign w:val="bottom"/>
            <w:shd w:val="clear" w:color="auto" w:fill="BF2115"/>
          </w:tcPr>
          <w:p>
            <w:pPr>
              <w:spacing w:after="0"/>
              <w:rPr>
                <w:sz w:val="18"/>
                <w:szCs w:val="18"/>
                <w:color w:val="auto"/>
              </w:rPr>
            </w:pPr>
          </w:p>
        </w:tc>
        <w:tc>
          <w:tcPr>
            <w:tcW w:w="40" w:type="dxa"/>
            <w:vAlign w:val="bottom"/>
            <w:shd w:val="clear" w:color="auto" w:fill="BF2115"/>
          </w:tcPr>
          <w:p>
            <w:pPr>
              <w:spacing w:after="0"/>
              <w:rPr>
                <w:sz w:val="18"/>
                <w:szCs w:val="18"/>
                <w:color w:val="auto"/>
              </w:rPr>
            </w:pPr>
          </w:p>
        </w:tc>
        <w:tc>
          <w:tcPr>
            <w:tcW w:w="280" w:type="dxa"/>
            <w:vAlign w:val="bottom"/>
            <w:shd w:val="clear" w:color="auto" w:fill="BF2115"/>
          </w:tcPr>
          <w:p>
            <w:pPr>
              <w:spacing w:after="0"/>
              <w:rPr>
                <w:sz w:val="18"/>
                <w:szCs w:val="18"/>
                <w:color w:val="auto"/>
              </w:rPr>
            </w:pPr>
          </w:p>
        </w:tc>
        <w:tc>
          <w:tcPr>
            <w:tcW w:w="800" w:type="dxa"/>
            <w:vAlign w:val="bottom"/>
            <w:shd w:val="clear" w:color="auto" w:fill="BF2115"/>
          </w:tcPr>
          <w:p>
            <w:pPr>
              <w:spacing w:after="0"/>
              <w:rPr>
                <w:sz w:val="18"/>
                <w:szCs w:val="18"/>
                <w:color w:val="auto"/>
              </w:rPr>
            </w:pPr>
          </w:p>
        </w:tc>
        <w:tc>
          <w:tcPr>
            <w:tcW w:w="380" w:type="dxa"/>
            <w:vAlign w:val="bottom"/>
            <w:shd w:val="clear" w:color="auto" w:fill="BF2115"/>
          </w:tcPr>
          <w:p>
            <w:pPr>
              <w:spacing w:after="0"/>
              <w:rPr>
                <w:sz w:val="18"/>
                <w:szCs w:val="18"/>
                <w:color w:val="auto"/>
              </w:rPr>
            </w:pPr>
          </w:p>
        </w:tc>
        <w:tc>
          <w:tcPr>
            <w:tcW w:w="660" w:type="dxa"/>
            <w:vAlign w:val="bottom"/>
            <w:shd w:val="clear" w:color="auto" w:fill="BF2115"/>
          </w:tcPr>
          <w:p>
            <w:pPr>
              <w:spacing w:after="0"/>
              <w:rPr>
                <w:sz w:val="18"/>
                <w:szCs w:val="18"/>
                <w:color w:val="auto"/>
              </w:rPr>
            </w:pPr>
          </w:p>
        </w:tc>
        <w:tc>
          <w:tcPr>
            <w:tcW w:w="360" w:type="dxa"/>
            <w:vAlign w:val="bottom"/>
            <w:shd w:val="clear" w:color="auto" w:fill="BF2115"/>
          </w:tcPr>
          <w:p>
            <w:pPr>
              <w:spacing w:after="0"/>
              <w:rPr>
                <w:sz w:val="18"/>
                <w:szCs w:val="18"/>
                <w:color w:val="auto"/>
              </w:rPr>
            </w:pPr>
          </w:p>
        </w:tc>
        <w:tc>
          <w:tcPr>
            <w:tcW w:w="640" w:type="dxa"/>
            <w:vAlign w:val="bottom"/>
            <w:shd w:val="clear" w:color="auto" w:fill="BF2115"/>
          </w:tcPr>
          <w:p>
            <w:pPr>
              <w:spacing w:after="0"/>
              <w:rPr>
                <w:sz w:val="18"/>
                <w:szCs w:val="18"/>
                <w:color w:val="auto"/>
              </w:rPr>
            </w:pPr>
          </w:p>
        </w:tc>
        <w:tc>
          <w:tcPr>
            <w:tcW w:w="460" w:type="dxa"/>
            <w:vAlign w:val="bottom"/>
            <w:shd w:val="clear" w:color="auto" w:fill="BF2115"/>
          </w:tcPr>
          <w:p>
            <w:pPr>
              <w:spacing w:after="0"/>
              <w:rPr>
                <w:sz w:val="18"/>
                <w:szCs w:val="18"/>
                <w:color w:val="auto"/>
              </w:rPr>
            </w:pPr>
          </w:p>
        </w:tc>
        <w:tc>
          <w:tcPr>
            <w:tcW w:w="1040" w:type="dxa"/>
            <w:vAlign w:val="bottom"/>
            <w:shd w:val="clear" w:color="auto" w:fill="BF2115"/>
          </w:tcPr>
          <w:p>
            <w:pPr>
              <w:spacing w:after="0"/>
              <w:rPr>
                <w:sz w:val="18"/>
                <w:szCs w:val="18"/>
                <w:color w:val="auto"/>
              </w:rPr>
            </w:pPr>
          </w:p>
        </w:tc>
        <w:tc>
          <w:tcPr>
            <w:tcW w:w="360" w:type="dxa"/>
            <w:vAlign w:val="bottom"/>
            <w:shd w:val="clear" w:color="auto" w:fill="BF2115"/>
          </w:tcPr>
          <w:p>
            <w:pPr>
              <w:spacing w:after="0"/>
              <w:rPr>
                <w:sz w:val="18"/>
                <w:szCs w:val="18"/>
                <w:color w:val="auto"/>
              </w:rPr>
            </w:pPr>
          </w:p>
        </w:tc>
        <w:tc>
          <w:tcPr>
            <w:tcW w:w="1600" w:type="dxa"/>
            <w:vAlign w:val="bottom"/>
            <w:gridSpan w:val="2"/>
            <w:shd w:val="clear" w:color="auto" w:fill="BF2115"/>
          </w:tcPr>
          <w:p>
            <w:pPr>
              <w:jc w:val="center"/>
              <w:spacing w:after="0"/>
              <w:rPr>
                <w:sz w:val="20"/>
                <w:szCs w:val="20"/>
                <w:color w:val="auto"/>
              </w:rPr>
            </w:pPr>
            <w:r>
              <w:rPr>
                <w:rFonts w:ascii="Arial" w:cs="Arial" w:eastAsia="Arial" w:hAnsi="Arial"/>
                <w:sz w:val="13"/>
                <w:szCs w:val="13"/>
                <w:b w:val="1"/>
                <w:bCs w:val="1"/>
                <w:color w:val="FFFFFF"/>
                <w:w w:val="96"/>
              </w:rPr>
              <w:t>Termination Without</w:t>
            </w:r>
          </w:p>
        </w:tc>
      </w:tr>
      <w:tr>
        <w:trPr>
          <w:trHeight w:val="149"/>
        </w:trPr>
        <w:tc>
          <w:tcPr>
            <w:tcW w:w="3260" w:type="dxa"/>
            <w:vAlign w:val="bottom"/>
            <w:shd w:val="clear" w:color="auto" w:fill="BF2115"/>
          </w:tcPr>
          <w:p>
            <w:pPr>
              <w:spacing w:after="0"/>
              <w:rPr>
                <w:sz w:val="12"/>
                <w:szCs w:val="12"/>
                <w:color w:val="auto"/>
              </w:rPr>
            </w:pPr>
          </w:p>
        </w:tc>
        <w:tc>
          <w:tcPr>
            <w:tcW w:w="920" w:type="dxa"/>
            <w:vAlign w:val="bottom"/>
            <w:gridSpan w:val="2"/>
            <w:shd w:val="clear" w:color="auto" w:fill="BF2115"/>
          </w:tcPr>
          <w:p>
            <w:pPr>
              <w:jc w:val="center"/>
              <w:ind w:left="197"/>
              <w:spacing w:after="0"/>
              <w:rPr>
                <w:sz w:val="20"/>
                <w:szCs w:val="20"/>
                <w:color w:val="auto"/>
              </w:rPr>
            </w:pPr>
            <w:r>
              <w:rPr>
                <w:rFonts w:ascii="Arial" w:cs="Arial" w:eastAsia="Arial" w:hAnsi="Arial"/>
                <w:sz w:val="13"/>
                <w:szCs w:val="13"/>
                <w:b w:val="1"/>
                <w:bCs w:val="1"/>
                <w:color w:val="FFFFFF"/>
                <w:w w:val="96"/>
              </w:rPr>
              <w:t>Voluntary</w:t>
            </w:r>
          </w:p>
        </w:tc>
        <w:tc>
          <w:tcPr>
            <w:tcW w:w="280" w:type="dxa"/>
            <w:vAlign w:val="bottom"/>
            <w:shd w:val="clear" w:color="auto" w:fill="BF2115"/>
          </w:tcPr>
          <w:p>
            <w:pPr>
              <w:spacing w:after="0"/>
              <w:rPr>
                <w:sz w:val="12"/>
                <w:szCs w:val="12"/>
                <w:color w:val="auto"/>
              </w:rPr>
            </w:pPr>
          </w:p>
        </w:tc>
        <w:tc>
          <w:tcPr>
            <w:tcW w:w="800" w:type="dxa"/>
            <w:vAlign w:val="bottom"/>
            <w:shd w:val="clear" w:color="auto" w:fill="BF2115"/>
          </w:tcPr>
          <w:p>
            <w:pPr>
              <w:spacing w:after="0"/>
              <w:rPr>
                <w:sz w:val="12"/>
                <w:szCs w:val="12"/>
                <w:color w:val="auto"/>
              </w:rPr>
            </w:pPr>
          </w:p>
        </w:tc>
        <w:tc>
          <w:tcPr>
            <w:tcW w:w="380" w:type="dxa"/>
            <w:vAlign w:val="bottom"/>
            <w:shd w:val="clear" w:color="auto" w:fill="BF2115"/>
          </w:tcPr>
          <w:p>
            <w:pPr>
              <w:spacing w:after="0"/>
              <w:rPr>
                <w:sz w:val="12"/>
                <w:szCs w:val="12"/>
                <w:color w:val="auto"/>
              </w:rPr>
            </w:pPr>
          </w:p>
        </w:tc>
        <w:tc>
          <w:tcPr>
            <w:tcW w:w="1020" w:type="dxa"/>
            <w:vAlign w:val="bottom"/>
            <w:gridSpan w:val="2"/>
            <w:shd w:val="clear" w:color="auto" w:fill="BF2115"/>
          </w:tcPr>
          <w:p>
            <w:pPr>
              <w:jc w:val="center"/>
              <w:ind w:right="20"/>
              <w:spacing w:after="0"/>
              <w:rPr>
                <w:sz w:val="20"/>
                <w:szCs w:val="20"/>
                <w:color w:val="auto"/>
              </w:rPr>
            </w:pPr>
            <w:r>
              <w:rPr>
                <w:rFonts w:ascii="Arial" w:cs="Arial" w:eastAsia="Arial" w:hAnsi="Arial"/>
                <w:sz w:val="13"/>
                <w:szCs w:val="13"/>
                <w:b w:val="1"/>
                <w:bCs w:val="1"/>
                <w:color w:val="FFFFFF"/>
                <w:w w:val="96"/>
              </w:rPr>
              <w:t>Involuntary</w:t>
            </w:r>
          </w:p>
        </w:tc>
        <w:tc>
          <w:tcPr>
            <w:tcW w:w="1100" w:type="dxa"/>
            <w:vAlign w:val="bottom"/>
            <w:gridSpan w:val="2"/>
            <w:shd w:val="clear" w:color="auto" w:fill="BF2115"/>
          </w:tcPr>
          <w:p>
            <w:pPr>
              <w:jc w:val="center"/>
              <w:spacing w:after="0"/>
              <w:rPr>
                <w:sz w:val="20"/>
                <w:szCs w:val="20"/>
                <w:color w:val="auto"/>
              </w:rPr>
            </w:pPr>
            <w:r>
              <w:rPr>
                <w:rFonts w:ascii="Arial" w:cs="Arial" w:eastAsia="Arial" w:hAnsi="Arial"/>
                <w:sz w:val="13"/>
                <w:szCs w:val="13"/>
                <w:b w:val="1"/>
                <w:bCs w:val="1"/>
                <w:color w:val="FFFFFF"/>
                <w:w w:val="94"/>
              </w:rPr>
              <w:t>Termination</w:t>
            </w:r>
          </w:p>
        </w:tc>
        <w:tc>
          <w:tcPr>
            <w:tcW w:w="1040" w:type="dxa"/>
            <w:vAlign w:val="bottom"/>
            <w:shd w:val="clear" w:color="auto" w:fill="BF2115"/>
          </w:tcPr>
          <w:p>
            <w:pPr>
              <w:spacing w:after="0"/>
              <w:rPr>
                <w:sz w:val="12"/>
                <w:szCs w:val="12"/>
                <w:color w:val="auto"/>
              </w:rPr>
            </w:pPr>
          </w:p>
        </w:tc>
        <w:tc>
          <w:tcPr>
            <w:tcW w:w="360" w:type="dxa"/>
            <w:vAlign w:val="bottom"/>
            <w:shd w:val="clear" w:color="auto" w:fill="BF2115"/>
          </w:tcPr>
          <w:p>
            <w:pPr>
              <w:spacing w:after="0"/>
              <w:rPr>
                <w:sz w:val="12"/>
                <w:szCs w:val="12"/>
                <w:color w:val="auto"/>
              </w:rPr>
            </w:pPr>
          </w:p>
        </w:tc>
        <w:tc>
          <w:tcPr>
            <w:tcW w:w="1600" w:type="dxa"/>
            <w:vAlign w:val="bottom"/>
            <w:gridSpan w:val="2"/>
            <w:shd w:val="clear" w:color="auto" w:fill="BF2115"/>
          </w:tcPr>
          <w:p>
            <w:pPr>
              <w:jc w:val="center"/>
              <w:spacing w:after="0"/>
              <w:rPr>
                <w:sz w:val="20"/>
                <w:szCs w:val="20"/>
                <w:color w:val="auto"/>
              </w:rPr>
            </w:pPr>
            <w:r>
              <w:rPr>
                <w:rFonts w:ascii="Arial" w:cs="Arial" w:eastAsia="Arial" w:hAnsi="Arial"/>
                <w:sz w:val="13"/>
                <w:szCs w:val="13"/>
                <w:b w:val="1"/>
                <w:bCs w:val="1"/>
                <w:color w:val="FFFFFF"/>
                <w:w w:val="96"/>
              </w:rPr>
              <w:t>Cause by TTC or by</w:t>
            </w:r>
          </w:p>
        </w:tc>
      </w:tr>
      <w:tr>
        <w:trPr>
          <w:trHeight w:val="162"/>
        </w:trPr>
        <w:tc>
          <w:tcPr>
            <w:tcW w:w="3260" w:type="dxa"/>
            <w:vAlign w:val="bottom"/>
            <w:shd w:val="clear" w:color="auto" w:fill="BF2115"/>
          </w:tcPr>
          <w:p>
            <w:pPr>
              <w:spacing w:after="0"/>
              <w:rPr>
                <w:sz w:val="14"/>
                <w:szCs w:val="14"/>
                <w:color w:val="auto"/>
              </w:rPr>
            </w:pPr>
          </w:p>
        </w:tc>
        <w:tc>
          <w:tcPr>
            <w:tcW w:w="1200" w:type="dxa"/>
            <w:vAlign w:val="bottom"/>
            <w:gridSpan w:val="3"/>
            <w:shd w:val="clear" w:color="auto" w:fill="BF2115"/>
          </w:tcPr>
          <w:p>
            <w:pPr>
              <w:jc w:val="center"/>
              <w:spacing w:after="0"/>
              <w:rPr>
                <w:sz w:val="20"/>
                <w:szCs w:val="20"/>
                <w:color w:val="auto"/>
              </w:rPr>
            </w:pPr>
            <w:r>
              <w:rPr>
                <w:rFonts w:ascii="Arial" w:cs="Arial" w:eastAsia="Arial" w:hAnsi="Arial"/>
                <w:sz w:val="13"/>
                <w:szCs w:val="13"/>
                <w:b w:val="1"/>
                <w:bCs w:val="1"/>
                <w:color w:val="FFFFFF"/>
                <w:w w:val="95"/>
              </w:rPr>
              <w:t>Resignation /</w:t>
            </w:r>
          </w:p>
        </w:tc>
        <w:tc>
          <w:tcPr>
            <w:tcW w:w="1180" w:type="dxa"/>
            <w:vAlign w:val="bottom"/>
            <w:gridSpan w:val="2"/>
            <w:shd w:val="clear" w:color="auto" w:fill="BF2115"/>
          </w:tcPr>
          <w:p>
            <w:pPr>
              <w:jc w:val="center"/>
              <w:spacing w:after="0"/>
              <w:rPr>
                <w:sz w:val="20"/>
                <w:szCs w:val="20"/>
                <w:color w:val="auto"/>
              </w:rPr>
            </w:pPr>
            <w:r>
              <w:rPr>
                <w:rFonts w:ascii="Arial" w:cs="Arial" w:eastAsia="Arial" w:hAnsi="Arial"/>
                <w:sz w:val="13"/>
                <w:szCs w:val="13"/>
                <w:b w:val="1"/>
                <w:bCs w:val="1"/>
                <w:color w:val="FFFFFF"/>
                <w:w w:val="96"/>
              </w:rPr>
              <w:t>Disability or</w:t>
            </w:r>
          </w:p>
        </w:tc>
        <w:tc>
          <w:tcPr>
            <w:tcW w:w="1020" w:type="dxa"/>
            <w:vAlign w:val="bottom"/>
            <w:gridSpan w:val="2"/>
            <w:shd w:val="clear" w:color="auto" w:fill="BF2115"/>
          </w:tcPr>
          <w:p>
            <w:pPr>
              <w:jc w:val="center"/>
              <w:ind w:right="20"/>
              <w:spacing w:after="0"/>
              <w:rPr>
                <w:sz w:val="20"/>
                <w:szCs w:val="20"/>
                <w:color w:val="auto"/>
              </w:rPr>
            </w:pPr>
            <w:r>
              <w:rPr>
                <w:rFonts w:ascii="Arial" w:cs="Arial" w:eastAsia="Arial" w:hAnsi="Arial"/>
                <w:sz w:val="13"/>
                <w:szCs w:val="13"/>
                <w:b w:val="1"/>
                <w:bCs w:val="1"/>
                <w:color w:val="FFFFFF"/>
                <w:w w:val="94"/>
              </w:rPr>
              <w:t>Termination by</w:t>
            </w:r>
          </w:p>
        </w:tc>
        <w:tc>
          <w:tcPr>
            <w:tcW w:w="1100" w:type="dxa"/>
            <w:vAlign w:val="bottom"/>
            <w:gridSpan w:val="2"/>
            <w:shd w:val="clear" w:color="auto" w:fill="BF2115"/>
          </w:tcPr>
          <w:p>
            <w:pPr>
              <w:jc w:val="center"/>
              <w:spacing w:after="0"/>
              <w:rPr>
                <w:sz w:val="20"/>
                <w:szCs w:val="20"/>
                <w:color w:val="auto"/>
              </w:rPr>
            </w:pPr>
            <w:r>
              <w:rPr>
                <w:rFonts w:ascii="Arial" w:cs="Arial" w:eastAsia="Arial" w:hAnsi="Arial"/>
                <w:sz w:val="13"/>
                <w:szCs w:val="13"/>
                <w:b w:val="1"/>
                <w:bCs w:val="1"/>
                <w:color w:val="FFFFFF"/>
                <w:w w:val="95"/>
              </w:rPr>
              <w:t>by TTC for</w:t>
            </w:r>
          </w:p>
        </w:tc>
        <w:tc>
          <w:tcPr>
            <w:tcW w:w="1400" w:type="dxa"/>
            <w:vAlign w:val="bottom"/>
            <w:gridSpan w:val="2"/>
            <w:shd w:val="clear" w:color="auto" w:fill="BF2115"/>
          </w:tcPr>
          <w:p>
            <w:pPr>
              <w:jc w:val="center"/>
              <w:spacing w:after="0"/>
              <w:rPr>
                <w:sz w:val="20"/>
                <w:szCs w:val="20"/>
                <w:color w:val="auto"/>
              </w:rPr>
            </w:pPr>
            <w:r>
              <w:rPr>
                <w:rFonts w:ascii="Arial" w:cs="Arial" w:eastAsia="Arial" w:hAnsi="Arial"/>
                <w:sz w:val="13"/>
                <w:szCs w:val="13"/>
                <w:b w:val="1"/>
                <w:bCs w:val="1"/>
                <w:color w:val="FFFFFF"/>
                <w:w w:val="96"/>
              </w:rPr>
              <w:t>No Termination</w:t>
            </w:r>
          </w:p>
        </w:tc>
        <w:tc>
          <w:tcPr>
            <w:tcW w:w="1600" w:type="dxa"/>
            <w:vAlign w:val="bottom"/>
            <w:gridSpan w:val="2"/>
            <w:shd w:val="clear" w:color="auto" w:fill="BF2115"/>
          </w:tcPr>
          <w:p>
            <w:pPr>
              <w:jc w:val="center"/>
              <w:spacing w:after="0"/>
              <w:rPr>
                <w:sz w:val="20"/>
                <w:szCs w:val="20"/>
                <w:color w:val="auto"/>
              </w:rPr>
            </w:pPr>
            <w:r>
              <w:rPr>
                <w:rFonts w:ascii="Arial" w:cs="Arial" w:eastAsia="Arial" w:hAnsi="Arial"/>
                <w:sz w:val="13"/>
                <w:szCs w:val="13"/>
                <w:b w:val="1"/>
                <w:bCs w:val="1"/>
                <w:color w:val="FFFFFF"/>
                <w:w w:val="95"/>
              </w:rPr>
              <w:t>Executive for Good</w:t>
            </w:r>
          </w:p>
        </w:tc>
      </w:tr>
      <w:tr>
        <w:trPr>
          <w:trHeight w:val="162"/>
        </w:trPr>
        <w:tc>
          <w:tcPr>
            <w:tcW w:w="3260" w:type="dxa"/>
            <w:vAlign w:val="bottom"/>
            <w:shd w:val="clear" w:color="auto" w:fill="BF2115"/>
          </w:tcPr>
          <w:p>
            <w:pPr>
              <w:spacing w:after="0"/>
              <w:rPr>
                <w:sz w:val="14"/>
                <w:szCs w:val="14"/>
                <w:color w:val="auto"/>
              </w:rPr>
            </w:pPr>
          </w:p>
        </w:tc>
        <w:tc>
          <w:tcPr>
            <w:tcW w:w="1200" w:type="dxa"/>
            <w:vAlign w:val="bottom"/>
            <w:gridSpan w:val="3"/>
            <w:shd w:val="clear" w:color="auto" w:fill="BF2115"/>
          </w:tcPr>
          <w:p>
            <w:pPr>
              <w:jc w:val="center"/>
              <w:spacing w:after="0" w:line="162" w:lineRule="exact"/>
              <w:rPr>
                <w:sz w:val="20"/>
                <w:szCs w:val="20"/>
                <w:color w:val="auto"/>
              </w:rPr>
            </w:pPr>
            <w:r>
              <w:rPr>
                <w:rFonts w:ascii="Arial" w:cs="Arial" w:eastAsia="Arial" w:hAnsi="Arial"/>
                <w:sz w:val="13"/>
                <w:szCs w:val="13"/>
                <w:b w:val="1"/>
                <w:bCs w:val="1"/>
                <w:color w:val="FFFFFF"/>
                <w:w w:val="93"/>
              </w:rPr>
              <w:t>Retirement</w:t>
            </w:r>
            <w:r>
              <w:rPr>
                <w:rFonts w:ascii="Arial" w:cs="Arial" w:eastAsia="Arial" w:hAnsi="Arial"/>
                <w:sz w:val="16"/>
                <w:szCs w:val="16"/>
                <w:b w:val="1"/>
                <w:bCs w:val="1"/>
                <w:color w:val="FFFFFF"/>
                <w:w w:val="93"/>
                <w:vertAlign w:val="superscript"/>
              </w:rPr>
              <w:t>(1)</w:t>
            </w:r>
          </w:p>
        </w:tc>
        <w:tc>
          <w:tcPr>
            <w:tcW w:w="800" w:type="dxa"/>
            <w:vAlign w:val="bottom"/>
            <w:shd w:val="clear" w:color="auto" w:fill="BF2115"/>
          </w:tcPr>
          <w:p>
            <w:pPr>
              <w:jc w:val="center"/>
              <w:ind w:left="297"/>
              <w:spacing w:after="0"/>
              <w:rPr>
                <w:sz w:val="20"/>
                <w:szCs w:val="20"/>
                <w:color w:val="auto"/>
              </w:rPr>
            </w:pPr>
            <w:r>
              <w:rPr>
                <w:rFonts w:ascii="Arial" w:cs="Arial" w:eastAsia="Arial" w:hAnsi="Arial"/>
                <w:sz w:val="13"/>
                <w:szCs w:val="13"/>
                <w:b w:val="1"/>
                <w:bCs w:val="1"/>
                <w:color w:val="FFFFFF"/>
                <w:w w:val="99"/>
              </w:rPr>
              <w:t>Death</w:t>
            </w:r>
          </w:p>
        </w:tc>
        <w:tc>
          <w:tcPr>
            <w:tcW w:w="380" w:type="dxa"/>
            <w:vAlign w:val="bottom"/>
            <w:shd w:val="clear" w:color="auto" w:fill="BF2115"/>
          </w:tcPr>
          <w:p>
            <w:pPr>
              <w:spacing w:after="0"/>
              <w:rPr>
                <w:sz w:val="14"/>
                <w:szCs w:val="14"/>
                <w:color w:val="auto"/>
              </w:rPr>
            </w:pPr>
          </w:p>
        </w:tc>
        <w:tc>
          <w:tcPr>
            <w:tcW w:w="1020" w:type="dxa"/>
            <w:vAlign w:val="bottom"/>
            <w:gridSpan w:val="2"/>
            <w:shd w:val="clear" w:color="auto" w:fill="BF2115"/>
          </w:tcPr>
          <w:p>
            <w:pPr>
              <w:jc w:val="center"/>
              <w:ind w:right="20"/>
              <w:spacing w:after="0"/>
              <w:rPr>
                <w:sz w:val="20"/>
                <w:szCs w:val="20"/>
                <w:color w:val="auto"/>
              </w:rPr>
            </w:pPr>
            <w:r>
              <w:rPr>
                <w:rFonts w:ascii="Arial" w:cs="Arial" w:eastAsia="Arial" w:hAnsi="Arial"/>
                <w:sz w:val="13"/>
                <w:szCs w:val="13"/>
                <w:b w:val="1"/>
                <w:bCs w:val="1"/>
                <w:color w:val="FFFFFF"/>
                <w:w w:val="94"/>
              </w:rPr>
              <w:t>TTC</w:t>
            </w:r>
          </w:p>
        </w:tc>
        <w:tc>
          <w:tcPr>
            <w:tcW w:w="1100" w:type="dxa"/>
            <w:vAlign w:val="bottom"/>
            <w:gridSpan w:val="2"/>
            <w:shd w:val="clear" w:color="auto" w:fill="BF2115"/>
          </w:tcPr>
          <w:p>
            <w:pPr>
              <w:jc w:val="center"/>
              <w:spacing w:after="0"/>
              <w:rPr>
                <w:sz w:val="20"/>
                <w:szCs w:val="20"/>
                <w:color w:val="auto"/>
              </w:rPr>
            </w:pPr>
            <w:r>
              <w:rPr>
                <w:rFonts w:ascii="Arial" w:cs="Arial" w:eastAsia="Arial" w:hAnsi="Arial"/>
                <w:sz w:val="13"/>
                <w:szCs w:val="13"/>
                <w:b w:val="1"/>
                <w:bCs w:val="1"/>
                <w:color w:val="FFFFFF"/>
                <w:w w:val="97"/>
              </w:rPr>
              <w:t>Cause</w:t>
            </w:r>
          </w:p>
        </w:tc>
        <w:tc>
          <w:tcPr>
            <w:tcW w:w="1040" w:type="dxa"/>
            <w:vAlign w:val="bottom"/>
            <w:shd w:val="clear" w:color="auto" w:fill="BF2115"/>
          </w:tcPr>
          <w:p>
            <w:pPr>
              <w:jc w:val="center"/>
              <w:ind w:left="277"/>
              <w:spacing w:after="0"/>
              <w:rPr>
                <w:sz w:val="20"/>
                <w:szCs w:val="20"/>
                <w:color w:val="auto"/>
              </w:rPr>
            </w:pPr>
            <w:r>
              <w:rPr>
                <w:rFonts w:ascii="Arial" w:cs="Arial" w:eastAsia="Arial" w:hAnsi="Arial"/>
                <w:sz w:val="13"/>
                <w:szCs w:val="13"/>
                <w:b w:val="1"/>
                <w:bCs w:val="1"/>
                <w:color w:val="FFFFFF"/>
                <w:w w:val="95"/>
              </w:rPr>
              <w:t>Event</w:t>
            </w:r>
          </w:p>
        </w:tc>
        <w:tc>
          <w:tcPr>
            <w:tcW w:w="360" w:type="dxa"/>
            <w:vAlign w:val="bottom"/>
            <w:shd w:val="clear" w:color="auto" w:fill="BF2115"/>
          </w:tcPr>
          <w:p>
            <w:pPr>
              <w:spacing w:after="0"/>
              <w:rPr>
                <w:sz w:val="14"/>
                <w:szCs w:val="14"/>
                <w:color w:val="auto"/>
              </w:rPr>
            </w:pPr>
          </w:p>
        </w:tc>
        <w:tc>
          <w:tcPr>
            <w:tcW w:w="1220" w:type="dxa"/>
            <w:vAlign w:val="bottom"/>
            <w:shd w:val="clear" w:color="auto" w:fill="BF2115"/>
          </w:tcPr>
          <w:p>
            <w:pPr>
              <w:jc w:val="center"/>
              <w:ind w:left="297"/>
              <w:spacing w:after="0"/>
              <w:rPr>
                <w:sz w:val="20"/>
                <w:szCs w:val="20"/>
                <w:color w:val="auto"/>
              </w:rPr>
            </w:pPr>
            <w:r>
              <w:rPr>
                <w:rFonts w:ascii="Arial" w:cs="Arial" w:eastAsia="Arial" w:hAnsi="Arial"/>
                <w:sz w:val="13"/>
                <w:szCs w:val="13"/>
                <w:b w:val="1"/>
                <w:bCs w:val="1"/>
                <w:color w:val="FFFFFF"/>
                <w:w w:val="97"/>
              </w:rPr>
              <w:t>Reason</w:t>
            </w:r>
          </w:p>
        </w:tc>
        <w:tc>
          <w:tcPr>
            <w:tcW w:w="380" w:type="dxa"/>
            <w:vAlign w:val="bottom"/>
            <w:shd w:val="clear" w:color="auto" w:fill="BF2115"/>
          </w:tcPr>
          <w:p>
            <w:pPr>
              <w:spacing w:after="0"/>
              <w:rPr>
                <w:sz w:val="14"/>
                <w:szCs w:val="14"/>
                <w:color w:val="auto"/>
              </w:rPr>
            </w:pPr>
          </w:p>
        </w:tc>
      </w:tr>
      <w:tr>
        <w:trPr>
          <w:trHeight w:val="173"/>
        </w:trPr>
        <w:tc>
          <w:tcPr>
            <w:tcW w:w="3260" w:type="dxa"/>
            <w:vAlign w:val="bottom"/>
            <w:tcBorders>
              <w:bottom w:val="single" w:sz="8" w:color="BF2115"/>
            </w:tcBorders>
            <w:shd w:val="clear" w:color="auto" w:fill="BF2115"/>
          </w:tcPr>
          <w:p>
            <w:pPr>
              <w:spacing w:after="0"/>
              <w:rPr>
                <w:sz w:val="20"/>
                <w:szCs w:val="20"/>
                <w:color w:val="auto"/>
              </w:rPr>
            </w:pPr>
            <w:r>
              <w:rPr>
                <w:rFonts w:ascii="Arial" w:cs="Arial" w:eastAsia="Arial" w:hAnsi="Arial"/>
                <w:sz w:val="13"/>
                <w:szCs w:val="13"/>
                <w:b w:val="1"/>
                <w:bCs w:val="1"/>
                <w:color w:val="FFFFFF"/>
              </w:rPr>
              <w:t>Name/Payment Type</w:t>
            </w:r>
          </w:p>
        </w:tc>
        <w:tc>
          <w:tcPr>
            <w:tcW w:w="880" w:type="dxa"/>
            <w:vAlign w:val="bottom"/>
            <w:tcBorders>
              <w:bottom w:val="single" w:sz="8" w:color="BF2115"/>
            </w:tcBorders>
            <w:shd w:val="clear" w:color="auto" w:fill="BF2115"/>
          </w:tcPr>
          <w:p>
            <w:pPr>
              <w:jc w:val="center"/>
              <w:ind w:left="237"/>
              <w:spacing w:after="0"/>
              <w:rPr>
                <w:sz w:val="20"/>
                <w:szCs w:val="20"/>
                <w:color w:val="auto"/>
              </w:rPr>
            </w:pPr>
            <w:r>
              <w:rPr>
                <w:rFonts w:ascii="Arial" w:cs="Arial" w:eastAsia="Arial" w:hAnsi="Arial"/>
                <w:sz w:val="13"/>
                <w:szCs w:val="13"/>
                <w:b w:val="1"/>
                <w:bCs w:val="1"/>
                <w:color w:val="FFFFFF"/>
                <w:w w:val="87"/>
              </w:rPr>
              <w:t>($)</w:t>
            </w:r>
          </w:p>
        </w:tc>
        <w:tc>
          <w:tcPr>
            <w:tcW w:w="40" w:type="dxa"/>
            <w:vAlign w:val="bottom"/>
            <w:tcBorders>
              <w:bottom w:val="single" w:sz="8" w:color="BF2115"/>
            </w:tcBorders>
            <w:shd w:val="clear" w:color="auto" w:fill="BF2115"/>
          </w:tcPr>
          <w:p>
            <w:pPr>
              <w:spacing w:after="0"/>
              <w:rPr>
                <w:sz w:val="15"/>
                <w:szCs w:val="15"/>
                <w:color w:val="auto"/>
              </w:rPr>
            </w:pPr>
          </w:p>
        </w:tc>
        <w:tc>
          <w:tcPr>
            <w:tcW w:w="280" w:type="dxa"/>
            <w:vAlign w:val="bottom"/>
            <w:tcBorders>
              <w:bottom w:val="single" w:sz="8" w:color="BF2115"/>
            </w:tcBorders>
            <w:shd w:val="clear" w:color="auto" w:fill="BF2115"/>
          </w:tcPr>
          <w:p>
            <w:pPr>
              <w:spacing w:after="0"/>
              <w:rPr>
                <w:sz w:val="15"/>
                <w:szCs w:val="15"/>
                <w:color w:val="auto"/>
              </w:rPr>
            </w:pPr>
          </w:p>
        </w:tc>
        <w:tc>
          <w:tcPr>
            <w:tcW w:w="800" w:type="dxa"/>
            <w:vAlign w:val="bottom"/>
            <w:tcBorders>
              <w:bottom w:val="single" w:sz="8" w:color="BF2115"/>
            </w:tcBorders>
            <w:shd w:val="clear" w:color="auto" w:fill="BF2115"/>
          </w:tcPr>
          <w:p>
            <w:pPr>
              <w:jc w:val="center"/>
              <w:ind w:left="297"/>
              <w:spacing w:after="0"/>
              <w:rPr>
                <w:sz w:val="20"/>
                <w:szCs w:val="20"/>
                <w:color w:val="auto"/>
              </w:rPr>
            </w:pPr>
            <w:r>
              <w:rPr>
                <w:rFonts w:ascii="Arial" w:cs="Arial" w:eastAsia="Arial" w:hAnsi="Arial"/>
                <w:sz w:val="13"/>
                <w:szCs w:val="13"/>
                <w:b w:val="1"/>
                <w:bCs w:val="1"/>
                <w:color w:val="FFFFFF"/>
              </w:rPr>
              <w:t>($)</w:t>
            </w:r>
          </w:p>
        </w:tc>
        <w:tc>
          <w:tcPr>
            <w:tcW w:w="380" w:type="dxa"/>
            <w:vAlign w:val="bottom"/>
            <w:tcBorders>
              <w:bottom w:val="single" w:sz="8" w:color="BF2115"/>
            </w:tcBorders>
            <w:shd w:val="clear" w:color="auto" w:fill="BF2115"/>
          </w:tcPr>
          <w:p>
            <w:pPr>
              <w:spacing w:after="0"/>
              <w:rPr>
                <w:sz w:val="15"/>
                <w:szCs w:val="15"/>
                <w:color w:val="auto"/>
              </w:rPr>
            </w:pPr>
          </w:p>
        </w:tc>
        <w:tc>
          <w:tcPr>
            <w:tcW w:w="660" w:type="dxa"/>
            <w:vAlign w:val="bottom"/>
            <w:tcBorders>
              <w:bottom w:val="single" w:sz="8" w:color="BF2115"/>
            </w:tcBorders>
            <w:shd w:val="clear" w:color="auto" w:fill="BF2115"/>
          </w:tcPr>
          <w:p>
            <w:pPr>
              <w:jc w:val="center"/>
              <w:ind w:left="277"/>
              <w:spacing w:after="0"/>
              <w:rPr>
                <w:sz w:val="20"/>
                <w:szCs w:val="20"/>
                <w:color w:val="auto"/>
              </w:rPr>
            </w:pPr>
            <w:r>
              <w:rPr>
                <w:rFonts w:ascii="Arial" w:cs="Arial" w:eastAsia="Arial" w:hAnsi="Arial"/>
                <w:sz w:val="13"/>
                <w:szCs w:val="13"/>
                <w:b w:val="1"/>
                <w:bCs w:val="1"/>
                <w:color w:val="FFFFFF"/>
              </w:rPr>
              <w:t>($)</w:t>
            </w:r>
          </w:p>
        </w:tc>
        <w:tc>
          <w:tcPr>
            <w:tcW w:w="360" w:type="dxa"/>
            <w:vAlign w:val="bottom"/>
            <w:tcBorders>
              <w:bottom w:val="single" w:sz="8" w:color="BF2115"/>
            </w:tcBorders>
            <w:shd w:val="clear" w:color="auto" w:fill="BF2115"/>
          </w:tcPr>
          <w:p>
            <w:pPr>
              <w:spacing w:after="0"/>
              <w:rPr>
                <w:sz w:val="15"/>
                <w:szCs w:val="15"/>
                <w:color w:val="auto"/>
              </w:rPr>
            </w:pPr>
          </w:p>
        </w:tc>
        <w:tc>
          <w:tcPr>
            <w:tcW w:w="640" w:type="dxa"/>
            <w:vAlign w:val="bottom"/>
            <w:tcBorders>
              <w:bottom w:val="single" w:sz="8" w:color="BF2115"/>
            </w:tcBorders>
            <w:shd w:val="clear" w:color="auto" w:fill="BF2115"/>
          </w:tcPr>
          <w:p>
            <w:pPr>
              <w:jc w:val="right"/>
              <w:spacing w:after="0"/>
              <w:rPr>
                <w:sz w:val="20"/>
                <w:szCs w:val="20"/>
                <w:color w:val="auto"/>
              </w:rPr>
            </w:pPr>
            <w:r>
              <w:rPr>
                <w:rFonts w:ascii="Arial" w:cs="Arial" w:eastAsia="Arial" w:hAnsi="Arial"/>
                <w:sz w:val="13"/>
                <w:szCs w:val="13"/>
                <w:b w:val="1"/>
                <w:bCs w:val="1"/>
                <w:color w:val="FFFFFF"/>
              </w:rPr>
              <w:t>($)</w:t>
            </w:r>
          </w:p>
        </w:tc>
        <w:tc>
          <w:tcPr>
            <w:tcW w:w="460" w:type="dxa"/>
            <w:vAlign w:val="bottom"/>
            <w:tcBorders>
              <w:bottom w:val="single" w:sz="8" w:color="BF2115"/>
            </w:tcBorders>
            <w:shd w:val="clear" w:color="auto" w:fill="BF2115"/>
          </w:tcPr>
          <w:p>
            <w:pPr>
              <w:spacing w:after="0"/>
              <w:rPr>
                <w:sz w:val="15"/>
                <w:szCs w:val="15"/>
                <w:color w:val="auto"/>
              </w:rPr>
            </w:pPr>
          </w:p>
        </w:tc>
        <w:tc>
          <w:tcPr>
            <w:tcW w:w="1040" w:type="dxa"/>
            <w:vAlign w:val="bottom"/>
            <w:tcBorders>
              <w:bottom w:val="single" w:sz="8" w:color="BF2115"/>
            </w:tcBorders>
            <w:shd w:val="clear" w:color="auto" w:fill="BF2115"/>
          </w:tcPr>
          <w:p>
            <w:pPr>
              <w:jc w:val="center"/>
              <w:ind w:left="297"/>
              <w:spacing w:after="0"/>
              <w:rPr>
                <w:sz w:val="20"/>
                <w:szCs w:val="20"/>
                <w:color w:val="auto"/>
              </w:rPr>
            </w:pPr>
            <w:r>
              <w:rPr>
                <w:rFonts w:ascii="Arial" w:cs="Arial" w:eastAsia="Arial" w:hAnsi="Arial"/>
                <w:sz w:val="13"/>
                <w:szCs w:val="13"/>
                <w:b w:val="1"/>
                <w:bCs w:val="1"/>
                <w:color w:val="FFFFFF"/>
              </w:rPr>
              <w:t>($)</w:t>
            </w:r>
          </w:p>
        </w:tc>
        <w:tc>
          <w:tcPr>
            <w:tcW w:w="360" w:type="dxa"/>
            <w:vAlign w:val="bottom"/>
            <w:tcBorders>
              <w:bottom w:val="single" w:sz="8" w:color="BF2115"/>
            </w:tcBorders>
            <w:shd w:val="clear" w:color="auto" w:fill="BF2115"/>
          </w:tcPr>
          <w:p>
            <w:pPr>
              <w:spacing w:after="0"/>
              <w:rPr>
                <w:sz w:val="15"/>
                <w:szCs w:val="15"/>
                <w:color w:val="auto"/>
              </w:rPr>
            </w:pPr>
          </w:p>
        </w:tc>
        <w:tc>
          <w:tcPr>
            <w:tcW w:w="1220" w:type="dxa"/>
            <w:vAlign w:val="bottom"/>
            <w:tcBorders>
              <w:bottom w:val="single" w:sz="8" w:color="BF2115"/>
            </w:tcBorders>
            <w:shd w:val="clear" w:color="auto" w:fill="BF2115"/>
          </w:tcPr>
          <w:p>
            <w:pPr>
              <w:jc w:val="center"/>
              <w:ind w:left="297"/>
              <w:spacing w:after="0"/>
              <w:rPr>
                <w:sz w:val="20"/>
                <w:szCs w:val="20"/>
                <w:color w:val="auto"/>
              </w:rPr>
            </w:pPr>
            <w:r>
              <w:rPr>
                <w:rFonts w:ascii="Arial" w:cs="Arial" w:eastAsia="Arial" w:hAnsi="Arial"/>
                <w:sz w:val="13"/>
                <w:szCs w:val="13"/>
                <w:b w:val="1"/>
                <w:bCs w:val="1"/>
                <w:color w:val="FFFFFF"/>
                <w:w w:val="87"/>
              </w:rPr>
              <w:t>($)</w:t>
            </w:r>
          </w:p>
        </w:tc>
        <w:tc>
          <w:tcPr>
            <w:tcW w:w="380" w:type="dxa"/>
            <w:vAlign w:val="bottom"/>
            <w:tcBorders>
              <w:bottom w:val="single" w:sz="8" w:color="BF2115"/>
            </w:tcBorders>
            <w:shd w:val="clear" w:color="auto" w:fill="BF2115"/>
          </w:tcPr>
          <w:p>
            <w:pPr>
              <w:spacing w:after="0"/>
              <w:rPr>
                <w:sz w:val="15"/>
                <w:szCs w:val="15"/>
                <w:color w:val="auto"/>
              </w:rPr>
            </w:pPr>
          </w:p>
        </w:tc>
      </w:tr>
      <w:tr>
        <w:trPr>
          <w:trHeight w:val="175"/>
        </w:trPr>
        <w:tc>
          <w:tcPr>
            <w:tcW w:w="3260" w:type="dxa"/>
            <w:vAlign w:val="bottom"/>
            <w:shd w:val="clear" w:color="auto" w:fill="DBDBDB"/>
          </w:tcPr>
          <w:p>
            <w:pPr>
              <w:spacing w:after="0"/>
              <w:rPr>
                <w:sz w:val="20"/>
                <w:szCs w:val="20"/>
                <w:color w:val="auto"/>
              </w:rPr>
            </w:pPr>
            <w:r>
              <w:rPr>
                <w:rFonts w:ascii="Arial" w:cs="Arial" w:eastAsia="Arial" w:hAnsi="Arial"/>
                <w:sz w:val="13"/>
                <w:szCs w:val="13"/>
                <w:color w:val="auto"/>
              </w:rPr>
              <w:t>Joanna M. Totsky</w:t>
            </w:r>
          </w:p>
        </w:tc>
        <w:tc>
          <w:tcPr>
            <w:tcW w:w="88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r>
      <w:tr>
        <w:trPr>
          <w:trHeight w:val="243"/>
        </w:trPr>
        <w:tc>
          <w:tcPr>
            <w:tcW w:w="3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Cash Severance Payment</w:t>
            </w:r>
            <w:r>
              <w:rPr>
                <w:rFonts w:ascii="Arial" w:cs="Arial" w:eastAsia="Arial" w:hAnsi="Arial"/>
                <w:sz w:val="16"/>
                <w:szCs w:val="16"/>
                <w:color w:val="auto"/>
                <w:vertAlign w:val="superscript"/>
              </w:rPr>
              <w:t>2</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shd w:val="clear" w:color="auto" w:fill="DBDBDB"/>
          </w:tcPr>
          <w:p>
            <w:pPr>
              <w:spacing w:after="0"/>
              <w:rPr>
                <w:sz w:val="21"/>
                <w:szCs w:val="21"/>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21"/>
                <w:szCs w:val="21"/>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1,815,000</w:t>
            </w:r>
          </w:p>
        </w:tc>
        <w:tc>
          <w:tcPr>
            <w:tcW w:w="380" w:type="dxa"/>
            <w:vAlign w:val="bottom"/>
            <w:shd w:val="clear" w:color="auto" w:fill="DBDBDB"/>
          </w:tcPr>
          <w:p>
            <w:pPr>
              <w:spacing w:after="0"/>
              <w:rPr>
                <w:sz w:val="21"/>
                <w:szCs w:val="21"/>
                <w:color w:val="auto"/>
              </w:rPr>
            </w:pPr>
          </w:p>
        </w:tc>
      </w:tr>
      <w:tr>
        <w:trPr>
          <w:trHeight w:val="216"/>
        </w:trPr>
        <w:tc>
          <w:tcPr>
            <w:tcW w:w="3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Unvested &amp; Accelerated Stock Options</w:t>
            </w:r>
            <w:r>
              <w:rPr>
                <w:rFonts w:ascii="Arial" w:cs="Arial" w:eastAsia="Arial" w:hAnsi="Arial"/>
                <w:sz w:val="16"/>
                <w:szCs w:val="16"/>
                <w:color w:val="auto"/>
                <w:vertAlign w:val="superscript"/>
              </w:rPr>
              <w:t>3</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N/A</w:t>
            </w:r>
          </w:p>
        </w:tc>
        <w:tc>
          <w:tcPr>
            <w:tcW w:w="3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N/A</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N/A</w:t>
            </w:r>
          </w:p>
        </w:tc>
        <w:tc>
          <w:tcPr>
            <w:tcW w:w="380" w:type="dxa"/>
            <w:vAlign w:val="bottom"/>
            <w:shd w:val="clear" w:color="auto" w:fill="DBDBDB"/>
          </w:tcPr>
          <w:p>
            <w:pPr>
              <w:spacing w:after="0"/>
              <w:rPr>
                <w:sz w:val="18"/>
                <w:szCs w:val="18"/>
                <w:color w:val="auto"/>
              </w:rPr>
            </w:pPr>
          </w:p>
        </w:tc>
      </w:tr>
      <w:tr>
        <w:trPr>
          <w:trHeight w:val="216"/>
        </w:trPr>
        <w:tc>
          <w:tcPr>
            <w:tcW w:w="3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Unvested &amp; Accelerated Restricted Stock Units</w:t>
            </w:r>
            <w:r>
              <w:rPr>
                <w:rFonts w:ascii="Arial" w:cs="Arial" w:eastAsia="Arial" w:hAnsi="Arial"/>
                <w:sz w:val="16"/>
                <w:szCs w:val="16"/>
                <w:color w:val="auto"/>
                <w:vertAlign w:val="superscript"/>
              </w:rPr>
              <w:t>9</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1,126,344</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1,126,344</w:t>
            </w:r>
          </w:p>
        </w:tc>
        <w:tc>
          <w:tcPr>
            <w:tcW w:w="38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(9)</w:t>
            </w:r>
          </w:p>
        </w:tc>
      </w:tr>
      <w:tr>
        <w:trPr>
          <w:trHeight w:val="175"/>
        </w:trPr>
        <w:tc>
          <w:tcPr>
            <w:tcW w:w="3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Performance Share Award Payouts</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N/A</w:t>
            </w:r>
          </w:p>
        </w:tc>
        <w:tc>
          <w:tcPr>
            <w:tcW w:w="40" w:type="dxa"/>
            <w:vAlign w:val="bottom"/>
            <w:shd w:val="clear" w:color="auto" w:fill="DBDBDB"/>
          </w:tcPr>
          <w:p>
            <w:pPr>
              <w:spacing w:after="0"/>
              <w:rPr>
                <w:sz w:val="15"/>
                <w:szCs w:val="15"/>
                <w:color w:val="auto"/>
              </w:rPr>
            </w:pPr>
          </w:p>
        </w:tc>
        <w:tc>
          <w:tcPr>
            <w:tcW w:w="28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(4)</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N/A</w:t>
            </w:r>
          </w:p>
        </w:tc>
        <w:tc>
          <w:tcPr>
            <w:tcW w:w="38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(4)</w:t>
            </w: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N/A</w:t>
            </w:r>
          </w:p>
        </w:tc>
        <w:tc>
          <w:tcPr>
            <w:tcW w:w="36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(5)</w:t>
            </w: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N/A</w:t>
            </w:r>
          </w:p>
        </w:tc>
        <w:tc>
          <w:tcPr>
            <w:tcW w:w="380" w:type="dxa"/>
            <w:vAlign w:val="bottom"/>
            <w:shd w:val="clear" w:color="auto" w:fill="DBDBDB"/>
          </w:tcPr>
          <w:p>
            <w:pPr>
              <w:spacing w:after="0"/>
              <w:rPr>
                <w:sz w:val="15"/>
                <w:szCs w:val="15"/>
                <w:color w:val="auto"/>
              </w:rPr>
            </w:pPr>
          </w:p>
        </w:tc>
      </w:tr>
      <w:tr>
        <w:trPr>
          <w:trHeight w:val="243"/>
        </w:trPr>
        <w:tc>
          <w:tcPr>
            <w:tcW w:w="3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Welfare Plan Benefits</w:t>
            </w:r>
            <w:r>
              <w:rPr>
                <w:rFonts w:ascii="Arial" w:cs="Arial" w:eastAsia="Arial" w:hAnsi="Arial"/>
                <w:sz w:val="16"/>
                <w:szCs w:val="16"/>
                <w:color w:val="auto"/>
                <w:vertAlign w:val="superscript"/>
              </w:rPr>
              <w:t>6</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shd w:val="clear" w:color="auto" w:fill="DBDBDB"/>
          </w:tcPr>
          <w:p>
            <w:pPr>
              <w:spacing w:after="0"/>
              <w:rPr>
                <w:sz w:val="21"/>
                <w:szCs w:val="21"/>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21"/>
                <w:szCs w:val="21"/>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41,352</w:t>
            </w:r>
          </w:p>
        </w:tc>
        <w:tc>
          <w:tcPr>
            <w:tcW w:w="380" w:type="dxa"/>
            <w:vAlign w:val="bottom"/>
            <w:shd w:val="clear" w:color="auto" w:fill="DBDBDB"/>
          </w:tcPr>
          <w:p>
            <w:pPr>
              <w:spacing w:after="0"/>
              <w:rPr>
                <w:sz w:val="21"/>
                <w:szCs w:val="21"/>
                <w:color w:val="auto"/>
              </w:rPr>
            </w:pPr>
          </w:p>
        </w:tc>
      </w:tr>
      <w:tr>
        <w:trPr>
          <w:trHeight w:val="216"/>
        </w:trPr>
        <w:tc>
          <w:tcPr>
            <w:tcW w:w="3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Outplacement Services</w:t>
            </w:r>
            <w:r>
              <w:rPr>
                <w:rFonts w:ascii="Arial" w:cs="Arial" w:eastAsia="Arial" w:hAnsi="Arial"/>
                <w:sz w:val="16"/>
                <w:szCs w:val="16"/>
                <w:color w:val="auto"/>
                <w:vertAlign w:val="superscript"/>
              </w:rPr>
              <w:t>7</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30,000</w:t>
            </w:r>
          </w:p>
        </w:tc>
        <w:tc>
          <w:tcPr>
            <w:tcW w:w="380" w:type="dxa"/>
            <w:vAlign w:val="bottom"/>
            <w:shd w:val="clear" w:color="auto" w:fill="DBDBDB"/>
          </w:tcPr>
          <w:p>
            <w:pPr>
              <w:spacing w:after="0"/>
              <w:rPr>
                <w:sz w:val="18"/>
                <w:szCs w:val="18"/>
                <w:color w:val="auto"/>
              </w:rPr>
            </w:pPr>
          </w:p>
        </w:tc>
      </w:tr>
      <w:tr>
        <w:trPr>
          <w:trHeight w:val="216"/>
        </w:trPr>
        <w:tc>
          <w:tcPr>
            <w:tcW w:w="326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3"/>
                <w:szCs w:val="13"/>
                <w:color w:val="auto"/>
              </w:rPr>
              <w:t>Perquisites</w:t>
            </w:r>
            <w:r>
              <w:rPr>
                <w:rFonts w:ascii="Arial" w:cs="Arial" w:eastAsia="Arial" w:hAnsi="Arial"/>
                <w:sz w:val="16"/>
                <w:szCs w:val="16"/>
                <w:color w:val="auto"/>
                <w:vertAlign w:val="superscript"/>
              </w:rPr>
              <w:t>8</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14,000</w:t>
            </w:r>
          </w:p>
        </w:tc>
        <w:tc>
          <w:tcPr>
            <w:tcW w:w="4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tcBorders>
              <w:bottom w:val="single" w:sz="8" w:color="DBDBDB"/>
            </w:tcBorders>
            <w:shd w:val="clear" w:color="auto" w:fill="DBDBDB"/>
          </w:tcPr>
          <w:p>
            <w:pPr>
              <w:spacing w:after="0"/>
              <w:rPr>
                <w:sz w:val="18"/>
                <w:szCs w:val="18"/>
                <w:color w:val="auto"/>
              </w:rPr>
            </w:pPr>
          </w:p>
        </w:tc>
      </w:tr>
      <w:tr>
        <w:trPr>
          <w:trHeight w:val="176"/>
        </w:trPr>
        <w:tc>
          <w:tcPr>
            <w:tcW w:w="32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b w:val="1"/>
                <w:bCs w:val="1"/>
                <w:color w:val="auto"/>
              </w:rPr>
              <w:t>Total</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14,000</w:t>
            </w:r>
          </w:p>
        </w:tc>
        <w:tc>
          <w:tcPr>
            <w:tcW w:w="4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0</w:t>
            </w:r>
          </w:p>
        </w:tc>
        <w:tc>
          <w:tcPr>
            <w:tcW w:w="38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0</w:t>
            </w:r>
          </w:p>
        </w:tc>
        <w:tc>
          <w:tcPr>
            <w:tcW w:w="36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0</w:t>
            </w:r>
          </w:p>
        </w:tc>
        <w:tc>
          <w:tcPr>
            <w:tcW w:w="46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1,126,344</w:t>
            </w:r>
          </w:p>
        </w:tc>
        <w:tc>
          <w:tcPr>
            <w:tcW w:w="36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3,012,696</w:t>
            </w:r>
          </w:p>
        </w:tc>
        <w:tc>
          <w:tcPr>
            <w:tcW w:w="380" w:type="dxa"/>
            <w:vAlign w:val="bottom"/>
            <w:tcBorders>
              <w:bottom w:val="single" w:sz="8" w:color="DBDBDB"/>
            </w:tcBorders>
            <w:shd w:val="clear" w:color="auto" w:fill="DBDBDB"/>
          </w:tcPr>
          <w:p>
            <w:pPr>
              <w:spacing w:after="0"/>
              <w:rPr>
                <w:sz w:val="15"/>
                <w:szCs w:val="15"/>
                <w:color w:val="auto"/>
              </w:rPr>
            </w:pPr>
          </w:p>
        </w:tc>
      </w:tr>
      <w:tr>
        <w:trPr>
          <w:trHeight w:val="175"/>
        </w:trPr>
        <w:tc>
          <w:tcPr>
            <w:tcW w:w="3260" w:type="dxa"/>
            <w:vAlign w:val="bottom"/>
          </w:tcPr>
          <w:p>
            <w:pPr>
              <w:spacing w:after="0"/>
              <w:rPr>
                <w:sz w:val="20"/>
                <w:szCs w:val="20"/>
                <w:color w:val="auto"/>
              </w:rPr>
            </w:pPr>
            <w:r>
              <w:rPr>
                <w:rFonts w:ascii="Arial" w:cs="Arial" w:eastAsia="Arial" w:hAnsi="Arial"/>
                <w:sz w:val="13"/>
                <w:szCs w:val="13"/>
                <w:color w:val="auto"/>
              </w:rPr>
              <w:t>Amy E. Dahl</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66"/>
        </w:trPr>
        <w:tc>
          <w:tcPr>
            <w:tcW w:w="3260" w:type="dxa"/>
            <w:vAlign w:val="bottom"/>
          </w:tcPr>
          <w:p>
            <w:pPr>
              <w:ind w:left="200"/>
              <w:spacing w:after="0"/>
              <w:rPr>
                <w:sz w:val="20"/>
                <w:szCs w:val="20"/>
                <w:color w:val="auto"/>
              </w:rPr>
            </w:pPr>
            <w:r>
              <w:rPr>
                <w:rFonts w:ascii="Arial" w:cs="Arial" w:eastAsia="Arial" w:hAnsi="Arial"/>
                <w:sz w:val="13"/>
                <w:szCs w:val="13"/>
                <w:color w:val="auto"/>
              </w:rPr>
              <w:t>Cash Severance Payment</w:t>
            </w:r>
            <w:r>
              <w:rPr>
                <w:rFonts w:ascii="Arial" w:cs="Arial" w:eastAsia="Arial" w:hAnsi="Arial"/>
                <w:sz w:val="16"/>
                <w:szCs w:val="16"/>
                <w:color w:val="auto"/>
                <w:vertAlign w:val="superscript"/>
              </w:rPr>
              <w:t>2</w:t>
            </w:r>
          </w:p>
        </w:tc>
        <w:tc>
          <w:tcPr>
            <w:tcW w:w="88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1,752,300</w:t>
            </w:r>
          </w:p>
        </w:tc>
        <w:tc>
          <w:tcPr>
            <w:tcW w:w="380" w:type="dxa"/>
            <w:vAlign w:val="bottom"/>
          </w:tcPr>
          <w:p>
            <w:pPr>
              <w:spacing w:after="0"/>
              <w:rPr>
                <w:sz w:val="23"/>
                <w:szCs w:val="23"/>
                <w:color w:val="auto"/>
              </w:rPr>
            </w:pPr>
          </w:p>
        </w:tc>
      </w:tr>
      <w:tr>
        <w:trPr>
          <w:trHeight w:val="203"/>
        </w:trPr>
        <w:tc>
          <w:tcPr>
            <w:tcW w:w="3260" w:type="dxa"/>
            <w:vAlign w:val="bottom"/>
          </w:tcPr>
          <w:p>
            <w:pPr>
              <w:ind w:left="200"/>
              <w:spacing w:after="0"/>
              <w:rPr>
                <w:sz w:val="20"/>
                <w:szCs w:val="20"/>
                <w:color w:val="auto"/>
              </w:rPr>
            </w:pPr>
            <w:r>
              <w:rPr>
                <w:rFonts w:ascii="Arial" w:cs="Arial" w:eastAsia="Arial" w:hAnsi="Arial"/>
                <w:sz w:val="13"/>
                <w:szCs w:val="13"/>
                <w:color w:val="auto"/>
              </w:rPr>
              <w:t>Unvested &amp; Accelerated Stock Options</w:t>
            </w:r>
            <w:r>
              <w:rPr>
                <w:rFonts w:ascii="Arial" w:cs="Arial" w:eastAsia="Arial" w:hAnsi="Arial"/>
                <w:sz w:val="16"/>
                <w:szCs w:val="16"/>
                <w:color w:val="auto"/>
                <w:vertAlign w:val="superscript"/>
              </w:rPr>
              <w:t>3</w:t>
            </w:r>
          </w:p>
        </w:tc>
        <w:tc>
          <w:tcPr>
            <w:tcW w:w="88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7"/>
                <w:szCs w:val="17"/>
                <w:color w:val="auto"/>
              </w:rPr>
            </w:pPr>
          </w:p>
        </w:tc>
      </w:tr>
      <w:tr>
        <w:trPr>
          <w:trHeight w:val="166"/>
        </w:trPr>
        <w:tc>
          <w:tcPr>
            <w:tcW w:w="3260" w:type="dxa"/>
            <w:vAlign w:val="bottom"/>
          </w:tcPr>
          <w:p>
            <w:pPr>
              <w:ind w:left="200"/>
              <w:spacing w:after="0"/>
              <w:rPr>
                <w:sz w:val="20"/>
                <w:szCs w:val="20"/>
                <w:color w:val="auto"/>
              </w:rPr>
            </w:pPr>
            <w:r>
              <w:rPr>
                <w:rFonts w:ascii="Arial" w:cs="Arial" w:eastAsia="Arial" w:hAnsi="Arial"/>
                <w:sz w:val="13"/>
                <w:szCs w:val="13"/>
                <w:color w:val="auto"/>
              </w:rPr>
              <w:t>Performance Share Award Payouts</w:t>
            </w:r>
          </w:p>
        </w:tc>
        <w:tc>
          <w:tcPr>
            <w:tcW w:w="880" w:type="dxa"/>
            <w:vAlign w:val="bottom"/>
          </w:tcPr>
          <w:p>
            <w:pPr>
              <w:jc w:val="right"/>
              <w:spacing w:after="0"/>
              <w:rPr>
                <w:sz w:val="20"/>
                <w:szCs w:val="20"/>
                <w:color w:val="auto"/>
              </w:rPr>
            </w:pPr>
            <w:r>
              <w:rPr>
                <w:rFonts w:ascii="Arial" w:cs="Arial" w:eastAsia="Arial" w:hAnsi="Arial"/>
                <w:sz w:val="13"/>
                <w:szCs w:val="13"/>
                <w:color w:val="auto"/>
              </w:rPr>
              <w:t>236,295</w:t>
            </w:r>
          </w:p>
        </w:tc>
        <w:tc>
          <w:tcPr>
            <w:tcW w:w="40" w:type="dxa"/>
            <w:vAlign w:val="bottom"/>
          </w:tcPr>
          <w:p>
            <w:pPr>
              <w:spacing w:after="0"/>
              <w:rPr>
                <w:sz w:val="14"/>
                <w:szCs w:val="14"/>
                <w:color w:val="auto"/>
              </w:rPr>
            </w:pP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800" w:type="dxa"/>
            <w:vAlign w:val="bottom"/>
          </w:tcPr>
          <w:p>
            <w:pPr>
              <w:jc w:val="right"/>
              <w:spacing w:after="0"/>
              <w:rPr>
                <w:sz w:val="20"/>
                <w:szCs w:val="20"/>
                <w:color w:val="auto"/>
              </w:rPr>
            </w:pPr>
            <w:r>
              <w:rPr>
                <w:rFonts w:ascii="Arial" w:cs="Arial" w:eastAsia="Arial" w:hAnsi="Arial"/>
                <w:sz w:val="13"/>
                <w:szCs w:val="13"/>
                <w:color w:val="auto"/>
              </w:rPr>
              <w:t>236,295</w:t>
            </w: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660" w:type="dxa"/>
            <w:vAlign w:val="bottom"/>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4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331,444</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20" w:type="dxa"/>
            <w:vAlign w:val="bottom"/>
          </w:tcPr>
          <w:p>
            <w:pPr>
              <w:jc w:val="right"/>
              <w:spacing w:after="0"/>
              <w:rPr>
                <w:sz w:val="20"/>
                <w:szCs w:val="20"/>
                <w:color w:val="auto"/>
              </w:rPr>
            </w:pPr>
            <w:r>
              <w:rPr>
                <w:rFonts w:ascii="Arial" w:cs="Arial" w:eastAsia="Arial" w:hAnsi="Arial"/>
                <w:sz w:val="13"/>
                <w:szCs w:val="13"/>
                <w:color w:val="auto"/>
              </w:rPr>
              <w:t>331,444</w:t>
            </w: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(5)</w:t>
            </w:r>
          </w:p>
        </w:tc>
      </w:tr>
      <w:tr>
        <w:trPr>
          <w:trHeight w:val="266"/>
        </w:trPr>
        <w:tc>
          <w:tcPr>
            <w:tcW w:w="3260" w:type="dxa"/>
            <w:vAlign w:val="bottom"/>
          </w:tcPr>
          <w:p>
            <w:pPr>
              <w:ind w:left="200"/>
              <w:spacing w:after="0"/>
              <w:rPr>
                <w:sz w:val="20"/>
                <w:szCs w:val="20"/>
                <w:color w:val="auto"/>
              </w:rPr>
            </w:pPr>
            <w:r>
              <w:rPr>
                <w:rFonts w:ascii="Arial" w:cs="Arial" w:eastAsia="Arial" w:hAnsi="Arial"/>
                <w:sz w:val="13"/>
                <w:szCs w:val="13"/>
                <w:color w:val="auto"/>
              </w:rPr>
              <w:t>Welfare Plan Benefits</w:t>
            </w:r>
            <w:r>
              <w:rPr>
                <w:rFonts w:ascii="Arial" w:cs="Arial" w:eastAsia="Arial" w:hAnsi="Arial"/>
                <w:sz w:val="16"/>
                <w:szCs w:val="16"/>
                <w:color w:val="auto"/>
                <w:vertAlign w:val="superscript"/>
              </w:rPr>
              <w:t>6</w:t>
            </w:r>
          </w:p>
        </w:tc>
        <w:tc>
          <w:tcPr>
            <w:tcW w:w="88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20,946</w:t>
            </w:r>
          </w:p>
        </w:tc>
        <w:tc>
          <w:tcPr>
            <w:tcW w:w="380" w:type="dxa"/>
            <w:vAlign w:val="bottom"/>
          </w:tcPr>
          <w:p>
            <w:pPr>
              <w:spacing w:after="0"/>
              <w:rPr>
                <w:sz w:val="23"/>
                <w:szCs w:val="23"/>
                <w:color w:val="auto"/>
              </w:rPr>
            </w:pPr>
          </w:p>
        </w:tc>
      </w:tr>
      <w:tr>
        <w:trPr>
          <w:trHeight w:val="216"/>
        </w:trPr>
        <w:tc>
          <w:tcPr>
            <w:tcW w:w="3260" w:type="dxa"/>
            <w:vAlign w:val="bottom"/>
          </w:tcPr>
          <w:p>
            <w:pPr>
              <w:ind w:left="200"/>
              <w:spacing w:after="0"/>
              <w:rPr>
                <w:sz w:val="20"/>
                <w:szCs w:val="20"/>
                <w:color w:val="auto"/>
              </w:rPr>
            </w:pPr>
            <w:r>
              <w:rPr>
                <w:rFonts w:ascii="Arial" w:cs="Arial" w:eastAsia="Arial" w:hAnsi="Arial"/>
                <w:sz w:val="13"/>
                <w:szCs w:val="13"/>
                <w:color w:val="auto"/>
              </w:rPr>
              <w:t>Outplacement Services</w:t>
            </w:r>
            <w:r>
              <w:rPr>
                <w:rFonts w:ascii="Arial" w:cs="Arial" w:eastAsia="Arial" w:hAnsi="Arial"/>
                <w:sz w:val="16"/>
                <w:szCs w:val="16"/>
                <w:color w:val="auto"/>
                <w:vertAlign w:val="superscript"/>
              </w:rPr>
              <w:t>7</w:t>
            </w:r>
          </w:p>
        </w:tc>
        <w:tc>
          <w:tcPr>
            <w:tcW w:w="88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30,000</w:t>
            </w:r>
          </w:p>
        </w:tc>
        <w:tc>
          <w:tcPr>
            <w:tcW w:w="380" w:type="dxa"/>
            <w:vAlign w:val="bottom"/>
          </w:tcPr>
          <w:p>
            <w:pPr>
              <w:spacing w:after="0"/>
              <w:rPr>
                <w:sz w:val="18"/>
                <w:szCs w:val="18"/>
                <w:color w:val="auto"/>
              </w:rPr>
            </w:pPr>
          </w:p>
        </w:tc>
      </w:tr>
      <w:tr>
        <w:trPr>
          <w:trHeight w:val="193"/>
        </w:trPr>
        <w:tc>
          <w:tcPr>
            <w:tcW w:w="3260" w:type="dxa"/>
            <w:vAlign w:val="bottom"/>
          </w:tcPr>
          <w:p>
            <w:pPr>
              <w:ind w:left="200"/>
              <w:spacing w:after="0"/>
              <w:rPr>
                <w:sz w:val="20"/>
                <w:szCs w:val="20"/>
                <w:color w:val="auto"/>
              </w:rPr>
            </w:pPr>
            <w:r>
              <w:rPr>
                <w:rFonts w:ascii="Arial" w:cs="Arial" w:eastAsia="Arial" w:hAnsi="Arial"/>
                <w:sz w:val="13"/>
                <w:szCs w:val="13"/>
                <w:color w:val="auto"/>
              </w:rPr>
              <w:t>Perquisites</w:t>
            </w:r>
            <w:r>
              <w:rPr>
                <w:rFonts w:ascii="Arial" w:cs="Arial" w:eastAsia="Arial" w:hAnsi="Arial"/>
                <w:sz w:val="16"/>
                <w:szCs w:val="16"/>
                <w:color w:val="auto"/>
                <w:vertAlign w:val="superscript"/>
              </w:rPr>
              <w:t>(8)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40,541</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46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6"/>
                <w:szCs w:val="16"/>
                <w:color w:val="auto"/>
              </w:rPr>
            </w:pPr>
          </w:p>
        </w:tc>
      </w:tr>
      <w:tr>
        <w:trPr>
          <w:trHeight w:val="175"/>
        </w:trPr>
        <w:tc>
          <w:tcPr>
            <w:tcW w:w="326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276,836</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236,295</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0</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0</w:t>
            </w:r>
          </w:p>
        </w:tc>
        <w:tc>
          <w:tcPr>
            <w:tcW w:w="4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331,444</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2,134,690</w:t>
            </w:r>
          </w:p>
        </w:tc>
        <w:tc>
          <w:tcPr>
            <w:tcW w:w="380" w:type="dxa"/>
            <w:vAlign w:val="bottom"/>
          </w:tcPr>
          <w:p>
            <w:pPr>
              <w:spacing w:after="0"/>
              <w:rPr>
                <w:sz w:val="15"/>
                <w:szCs w:val="15"/>
                <w:color w:val="auto"/>
              </w:rPr>
            </w:pPr>
          </w:p>
        </w:tc>
      </w:tr>
      <w:tr>
        <w:trPr>
          <w:trHeight w:val="22"/>
        </w:trPr>
        <w:tc>
          <w:tcPr>
            <w:tcW w:w="3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3260" w:type="dxa"/>
            <w:vAlign w:val="bottom"/>
            <w:shd w:val="clear" w:color="auto" w:fill="DBDBDB"/>
          </w:tcPr>
          <w:p>
            <w:pPr>
              <w:spacing w:after="0"/>
              <w:rPr>
                <w:sz w:val="20"/>
                <w:szCs w:val="20"/>
                <w:color w:val="auto"/>
              </w:rPr>
            </w:pPr>
            <w:r>
              <w:rPr>
                <w:rFonts w:ascii="Arial" w:cs="Arial" w:eastAsia="Arial" w:hAnsi="Arial"/>
                <w:sz w:val="13"/>
                <w:szCs w:val="13"/>
                <w:color w:val="auto"/>
              </w:rPr>
              <w:t>Gregory S. Janey</w:t>
            </w:r>
          </w:p>
        </w:tc>
        <w:tc>
          <w:tcPr>
            <w:tcW w:w="88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r>
      <w:tr>
        <w:trPr>
          <w:trHeight w:val="243"/>
        </w:trPr>
        <w:tc>
          <w:tcPr>
            <w:tcW w:w="3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Cash Severance Payment</w:t>
            </w:r>
            <w:r>
              <w:rPr>
                <w:rFonts w:ascii="Arial" w:cs="Arial" w:eastAsia="Arial" w:hAnsi="Arial"/>
                <w:sz w:val="16"/>
                <w:szCs w:val="16"/>
                <w:color w:val="auto"/>
                <w:vertAlign w:val="superscript"/>
              </w:rPr>
              <w:t>2</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shd w:val="clear" w:color="auto" w:fill="DBDBDB"/>
          </w:tcPr>
          <w:p>
            <w:pPr>
              <w:spacing w:after="0"/>
              <w:rPr>
                <w:sz w:val="21"/>
                <w:szCs w:val="21"/>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21"/>
                <w:szCs w:val="21"/>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1,435,500</w:t>
            </w:r>
          </w:p>
        </w:tc>
        <w:tc>
          <w:tcPr>
            <w:tcW w:w="380" w:type="dxa"/>
            <w:vAlign w:val="bottom"/>
            <w:shd w:val="clear" w:color="auto" w:fill="DBDBDB"/>
          </w:tcPr>
          <w:p>
            <w:pPr>
              <w:spacing w:after="0"/>
              <w:rPr>
                <w:sz w:val="21"/>
                <w:szCs w:val="21"/>
                <w:color w:val="auto"/>
              </w:rPr>
            </w:pPr>
          </w:p>
        </w:tc>
      </w:tr>
      <w:tr>
        <w:trPr>
          <w:trHeight w:val="216"/>
        </w:trPr>
        <w:tc>
          <w:tcPr>
            <w:tcW w:w="3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Unvested &amp; Accelerated Stock Options</w:t>
            </w:r>
            <w:r>
              <w:rPr>
                <w:rFonts w:ascii="Arial" w:cs="Arial" w:eastAsia="Arial" w:hAnsi="Arial"/>
                <w:sz w:val="16"/>
                <w:szCs w:val="16"/>
                <w:color w:val="auto"/>
                <w:vertAlign w:val="superscript"/>
              </w:rPr>
              <w:t>3</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shd w:val="clear" w:color="auto" w:fill="DBDBDB"/>
          </w:tcPr>
          <w:p>
            <w:pPr>
              <w:spacing w:after="0"/>
              <w:rPr>
                <w:sz w:val="18"/>
                <w:szCs w:val="18"/>
                <w:color w:val="auto"/>
              </w:rPr>
            </w:pPr>
          </w:p>
        </w:tc>
      </w:tr>
      <w:tr>
        <w:trPr>
          <w:trHeight w:val="216"/>
        </w:trPr>
        <w:tc>
          <w:tcPr>
            <w:tcW w:w="3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Unvested &amp; Accelerated Restricted Stock Units</w:t>
            </w:r>
            <w:r>
              <w:rPr>
                <w:rFonts w:ascii="Arial" w:cs="Arial" w:eastAsia="Arial" w:hAnsi="Arial"/>
                <w:sz w:val="16"/>
                <w:szCs w:val="16"/>
                <w:color w:val="auto"/>
                <w:vertAlign w:val="superscript"/>
              </w:rPr>
              <w:t>9</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180,192</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180,192</w:t>
            </w:r>
          </w:p>
        </w:tc>
        <w:tc>
          <w:tcPr>
            <w:tcW w:w="38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(9)</w:t>
            </w:r>
          </w:p>
        </w:tc>
      </w:tr>
      <w:tr>
        <w:trPr>
          <w:trHeight w:val="175"/>
        </w:trPr>
        <w:tc>
          <w:tcPr>
            <w:tcW w:w="3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Performance Share Award Payouts</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130,314</w:t>
            </w:r>
          </w:p>
        </w:tc>
        <w:tc>
          <w:tcPr>
            <w:tcW w:w="40" w:type="dxa"/>
            <w:vAlign w:val="bottom"/>
            <w:shd w:val="clear" w:color="auto" w:fill="DBDBDB"/>
          </w:tcPr>
          <w:p>
            <w:pPr>
              <w:spacing w:after="0"/>
              <w:rPr>
                <w:sz w:val="15"/>
                <w:szCs w:val="15"/>
                <w:color w:val="auto"/>
              </w:rPr>
            </w:pPr>
          </w:p>
        </w:tc>
        <w:tc>
          <w:tcPr>
            <w:tcW w:w="28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(4)</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130,314</w:t>
            </w:r>
          </w:p>
        </w:tc>
        <w:tc>
          <w:tcPr>
            <w:tcW w:w="38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(4)</w:t>
            </w: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191,267</w:t>
            </w:r>
          </w:p>
        </w:tc>
        <w:tc>
          <w:tcPr>
            <w:tcW w:w="36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(5)</w:t>
            </w: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191,267</w:t>
            </w:r>
          </w:p>
        </w:tc>
        <w:tc>
          <w:tcPr>
            <w:tcW w:w="38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(5)</w:t>
            </w:r>
          </w:p>
        </w:tc>
      </w:tr>
      <w:tr>
        <w:trPr>
          <w:trHeight w:val="243"/>
        </w:trPr>
        <w:tc>
          <w:tcPr>
            <w:tcW w:w="3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Welfare Plan Benefits</w:t>
            </w:r>
            <w:r>
              <w:rPr>
                <w:rFonts w:ascii="Arial" w:cs="Arial" w:eastAsia="Arial" w:hAnsi="Arial"/>
                <w:sz w:val="16"/>
                <w:szCs w:val="16"/>
                <w:color w:val="auto"/>
                <w:vertAlign w:val="superscript"/>
              </w:rPr>
              <w:t>6</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shd w:val="clear" w:color="auto" w:fill="DBDBDB"/>
          </w:tcPr>
          <w:p>
            <w:pPr>
              <w:spacing w:after="0"/>
              <w:rPr>
                <w:sz w:val="21"/>
                <w:szCs w:val="21"/>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21"/>
                <w:szCs w:val="21"/>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65,436</w:t>
            </w:r>
          </w:p>
        </w:tc>
        <w:tc>
          <w:tcPr>
            <w:tcW w:w="380" w:type="dxa"/>
            <w:vAlign w:val="bottom"/>
            <w:shd w:val="clear" w:color="auto" w:fill="DBDBDB"/>
          </w:tcPr>
          <w:p>
            <w:pPr>
              <w:spacing w:after="0"/>
              <w:rPr>
                <w:sz w:val="21"/>
                <w:szCs w:val="21"/>
                <w:color w:val="auto"/>
              </w:rPr>
            </w:pPr>
          </w:p>
        </w:tc>
      </w:tr>
      <w:tr>
        <w:trPr>
          <w:trHeight w:val="216"/>
        </w:trPr>
        <w:tc>
          <w:tcPr>
            <w:tcW w:w="3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Outplacement Services</w:t>
            </w:r>
            <w:r>
              <w:rPr>
                <w:rFonts w:ascii="Arial" w:cs="Arial" w:eastAsia="Arial" w:hAnsi="Arial"/>
                <w:sz w:val="16"/>
                <w:szCs w:val="16"/>
                <w:color w:val="auto"/>
                <w:vertAlign w:val="superscript"/>
              </w:rPr>
              <w:t>7</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30,000</w:t>
            </w:r>
          </w:p>
        </w:tc>
        <w:tc>
          <w:tcPr>
            <w:tcW w:w="380" w:type="dxa"/>
            <w:vAlign w:val="bottom"/>
            <w:shd w:val="clear" w:color="auto" w:fill="DBDBDB"/>
          </w:tcPr>
          <w:p>
            <w:pPr>
              <w:spacing w:after="0"/>
              <w:rPr>
                <w:sz w:val="18"/>
                <w:szCs w:val="18"/>
                <w:color w:val="auto"/>
              </w:rPr>
            </w:pPr>
          </w:p>
        </w:tc>
      </w:tr>
      <w:tr>
        <w:trPr>
          <w:trHeight w:val="216"/>
        </w:trPr>
        <w:tc>
          <w:tcPr>
            <w:tcW w:w="326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3"/>
                <w:szCs w:val="13"/>
                <w:color w:val="auto"/>
              </w:rPr>
              <w:t>Perquisites</w:t>
            </w:r>
            <w:r>
              <w:rPr>
                <w:rFonts w:ascii="Arial" w:cs="Arial" w:eastAsia="Arial" w:hAnsi="Arial"/>
                <w:sz w:val="16"/>
                <w:szCs w:val="16"/>
                <w:color w:val="auto"/>
                <w:vertAlign w:val="superscript"/>
              </w:rPr>
              <w:t>8</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31,924</w:t>
            </w:r>
          </w:p>
        </w:tc>
        <w:tc>
          <w:tcPr>
            <w:tcW w:w="4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4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6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380" w:type="dxa"/>
            <w:vAlign w:val="bottom"/>
            <w:tcBorders>
              <w:bottom w:val="single" w:sz="8" w:color="DBDBDB"/>
            </w:tcBorders>
            <w:shd w:val="clear" w:color="auto" w:fill="DBDBDB"/>
          </w:tcPr>
          <w:p>
            <w:pPr>
              <w:spacing w:after="0"/>
              <w:rPr>
                <w:sz w:val="18"/>
                <w:szCs w:val="18"/>
                <w:color w:val="auto"/>
              </w:rPr>
            </w:pPr>
          </w:p>
        </w:tc>
      </w:tr>
      <w:tr>
        <w:trPr>
          <w:trHeight w:val="176"/>
        </w:trPr>
        <w:tc>
          <w:tcPr>
            <w:tcW w:w="32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b w:val="1"/>
                <w:bCs w:val="1"/>
                <w:color w:val="auto"/>
              </w:rPr>
              <w:t>Total</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162,238</w:t>
            </w:r>
          </w:p>
        </w:tc>
        <w:tc>
          <w:tcPr>
            <w:tcW w:w="4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130,314</w:t>
            </w:r>
          </w:p>
        </w:tc>
        <w:tc>
          <w:tcPr>
            <w:tcW w:w="38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0</w:t>
            </w:r>
          </w:p>
        </w:tc>
        <w:tc>
          <w:tcPr>
            <w:tcW w:w="36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0</w:t>
            </w:r>
          </w:p>
        </w:tc>
        <w:tc>
          <w:tcPr>
            <w:tcW w:w="46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371,459</w:t>
            </w:r>
          </w:p>
        </w:tc>
        <w:tc>
          <w:tcPr>
            <w:tcW w:w="36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1,902,395</w:t>
            </w:r>
          </w:p>
        </w:tc>
        <w:tc>
          <w:tcPr>
            <w:tcW w:w="380" w:type="dxa"/>
            <w:vAlign w:val="bottom"/>
            <w:tcBorders>
              <w:bottom w:val="single" w:sz="8" w:color="DBDBDB"/>
            </w:tcBorders>
            <w:shd w:val="clear" w:color="auto" w:fill="DBDBDB"/>
          </w:tcPr>
          <w:p>
            <w:pPr>
              <w:spacing w:after="0"/>
              <w:rPr>
                <w:sz w:val="15"/>
                <w:szCs w:val="15"/>
                <w:color w:val="auto"/>
              </w:rPr>
            </w:pPr>
          </w:p>
        </w:tc>
      </w:tr>
      <w:tr>
        <w:trPr>
          <w:trHeight w:val="175"/>
        </w:trPr>
        <w:tc>
          <w:tcPr>
            <w:tcW w:w="3260" w:type="dxa"/>
            <w:vAlign w:val="bottom"/>
          </w:tcPr>
          <w:p>
            <w:pPr>
              <w:spacing w:after="0"/>
              <w:rPr>
                <w:sz w:val="20"/>
                <w:szCs w:val="20"/>
                <w:color w:val="auto"/>
              </w:rPr>
            </w:pPr>
            <w:r>
              <w:rPr>
                <w:rFonts w:ascii="Arial" w:cs="Arial" w:eastAsia="Arial" w:hAnsi="Arial"/>
                <w:sz w:val="13"/>
                <w:szCs w:val="13"/>
                <w:color w:val="auto"/>
              </w:rPr>
              <w:t>Richard W. Rodier</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66"/>
        </w:trPr>
        <w:tc>
          <w:tcPr>
            <w:tcW w:w="3260" w:type="dxa"/>
            <w:vAlign w:val="bottom"/>
          </w:tcPr>
          <w:p>
            <w:pPr>
              <w:ind w:left="200"/>
              <w:spacing w:after="0"/>
              <w:rPr>
                <w:sz w:val="20"/>
                <w:szCs w:val="20"/>
                <w:color w:val="auto"/>
              </w:rPr>
            </w:pPr>
            <w:r>
              <w:rPr>
                <w:rFonts w:ascii="Arial" w:cs="Arial" w:eastAsia="Arial" w:hAnsi="Arial"/>
                <w:sz w:val="13"/>
                <w:szCs w:val="13"/>
                <w:color w:val="auto"/>
              </w:rPr>
              <w:t>Cash Severance Payment</w:t>
            </w:r>
            <w:r>
              <w:rPr>
                <w:rFonts w:ascii="Arial" w:cs="Arial" w:eastAsia="Arial" w:hAnsi="Arial"/>
                <w:sz w:val="16"/>
                <w:szCs w:val="16"/>
                <w:color w:val="auto"/>
                <w:vertAlign w:val="superscript"/>
              </w:rPr>
              <w:t>2</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N/A</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23"/>
                <w:szCs w:val="2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N/A</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color w:val="auto"/>
              </w:rPr>
              <w:t>N/A</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23"/>
                <w:szCs w:val="23"/>
                <w:color w:val="auto"/>
              </w:rPr>
            </w:pPr>
          </w:p>
        </w:tc>
      </w:tr>
      <w:tr>
        <w:trPr>
          <w:trHeight w:val="216"/>
        </w:trPr>
        <w:tc>
          <w:tcPr>
            <w:tcW w:w="3260" w:type="dxa"/>
            <w:vAlign w:val="bottom"/>
          </w:tcPr>
          <w:p>
            <w:pPr>
              <w:ind w:left="200"/>
              <w:spacing w:after="0"/>
              <w:rPr>
                <w:sz w:val="20"/>
                <w:szCs w:val="20"/>
                <w:color w:val="auto"/>
              </w:rPr>
            </w:pPr>
            <w:r>
              <w:rPr>
                <w:rFonts w:ascii="Arial" w:cs="Arial" w:eastAsia="Arial" w:hAnsi="Arial"/>
                <w:sz w:val="13"/>
                <w:szCs w:val="13"/>
                <w:color w:val="auto"/>
              </w:rPr>
              <w:t>Unvested &amp; Accelerated Stock Options</w:t>
            </w:r>
            <w:r>
              <w:rPr>
                <w:rFonts w:ascii="Arial" w:cs="Arial" w:eastAsia="Arial" w:hAnsi="Arial"/>
                <w:sz w:val="16"/>
                <w:szCs w:val="16"/>
                <w:color w:val="auto"/>
                <w:vertAlign w:val="superscript"/>
              </w:rPr>
              <w:t>3</w:t>
            </w:r>
          </w:p>
        </w:tc>
        <w:tc>
          <w:tcPr>
            <w:tcW w:w="88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N/A</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color w:val="auto"/>
              </w:rPr>
              <w:t>N/A</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18"/>
                <w:szCs w:val="18"/>
                <w:color w:val="auto"/>
              </w:rPr>
            </w:pPr>
          </w:p>
        </w:tc>
      </w:tr>
      <w:tr>
        <w:trPr>
          <w:trHeight w:val="203"/>
        </w:trPr>
        <w:tc>
          <w:tcPr>
            <w:tcW w:w="3260" w:type="dxa"/>
            <w:vAlign w:val="bottom"/>
          </w:tcPr>
          <w:p>
            <w:pPr>
              <w:ind w:left="200"/>
              <w:spacing w:after="0"/>
              <w:rPr>
                <w:sz w:val="20"/>
                <w:szCs w:val="20"/>
                <w:color w:val="auto"/>
              </w:rPr>
            </w:pPr>
            <w:r>
              <w:rPr>
                <w:rFonts w:ascii="Arial" w:cs="Arial" w:eastAsia="Arial" w:hAnsi="Arial"/>
                <w:sz w:val="13"/>
                <w:szCs w:val="13"/>
                <w:color w:val="auto"/>
              </w:rPr>
              <w:t>Unvested &amp; Accelerated Restricted Stock Units</w:t>
            </w:r>
            <w:r>
              <w:rPr>
                <w:rFonts w:ascii="Arial" w:cs="Arial" w:eastAsia="Arial" w:hAnsi="Arial"/>
                <w:sz w:val="16"/>
                <w:szCs w:val="16"/>
                <w:color w:val="auto"/>
                <w:vertAlign w:val="superscript"/>
              </w:rPr>
              <w:t>9</w:t>
            </w:r>
          </w:p>
        </w:tc>
        <w:tc>
          <w:tcPr>
            <w:tcW w:w="880" w:type="dxa"/>
            <w:vAlign w:val="bottom"/>
          </w:tcPr>
          <w:p>
            <w:pPr>
              <w:jc w:val="right"/>
              <w:spacing w:after="0"/>
              <w:rPr>
                <w:sz w:val="20"/>
                <w:szCs w:val="20"/>
                <w:color w:val="auto"/>
              </w:rPr>
            </w:pPr>
            <w:r>
              <w:rPr>
                <w:rFonts w:ascii="Arial" w:cs="Arial" w:eastAsia="Arial" w:hAnsi="Arial"/>
                <w:sz w:val="13"/>
                <w:szCs w:val="13"/>
                <w:color w:val="auto"/>
              </w:rPr>
              <w:t>57,932</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N/A</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color w:val="auto"/>
              </w:rPr>
              <w:t>N/A</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(9)</w:t>
            </w:r>
          </w:p>
        </w:tc>
      </w:tr>
      <w:tr>
        <w:trPr>
          <w:trHeight w:val="166"/>
        </w:trPr>
        <w:tc>
          <w:tcPr>
            <w:tcW w:w="3260" w:type="dxa"/>
            <w:vAlign w:val="bottom"/>
          </w:tcPr>
          <w:p>
            <w:pPr>
              <w:ind w:left="200"/>
              <w:spacing w:after="0"/>
              <w:rPr>
                <w:sz w:val="20"/>
                <w:szCs w:val="20"/>
                <w:color w:val="auto"/>
              </w:rPr>
            </w:pPr>
            <w:r>
              <w:rPr>
                <w:rFonts w:ascii="Arial" w:cs="Arial" w:eastAsia="Arial" w:hAnsi="Arial"/>
                <w:sz w:val="13"/>
                <w:szCs w:val="13"/>
                <w:color w:val="auto"/>
              </w:rPr>
              <w:t>Performance Share Award Payouts</w:t>
            </w:r>
          </w:p>
        </w:tc>
        <w:tc>
          <w:tcPr>
            <w:tcW w:w="880" w:type="dxa"/>
            <w:vAlign w:val="bottom"/>
          </w:tcPr>
          <w:p>
            <w:pPr>
              <w:jc w:val="right"/>
              <w:spacing w:after="0"/>
              <w:rPr>
                <w:sz w:val="20"/>
                <w:szCs w:val="20"/>
                <w:color w:val="auto"/>
              </w:rPr>
            </w:pPr>
            <w:r>
              <w:rPr>
                <w:rFonts w:ascii="Arial" w:cs="Arial" w:eastAsia="Arial" w:hAnsi="Arial"/>
                <w:sz w:val="13"/>
                <w:szCs w:val="13"/>
                <w:color w:val="auto"/>
              </w:rPr>
              <w:t>101,373</w:t>
            </w:r>
          </w:p>
        </w:tc>
        <w:tc>
          <w:tcPr>
            <w:tcW w:w="40" w:type="dxa"/>
            <w:vAlign w:val="bottom"/>
          </w:tcPr>
          <w:p>
            <w:pPr>
              <w:spacing w:after="0"/>
              <w:rPr>
                <w:sz w:val="14"/>
                <w:szCs w:val="14"/>
                <w:color w:val="auto"/>
              </w:rPr>
            </w:pP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80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N/A</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color w:val="auto"/>
              </w:rPr>
              <w:t>N/A</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2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(5)</w:t>
            </w:r>
          </w:p>
        </w:tc>
      </w:tr>
      <w:tr>
        <w:trPr>
          <w:trHeight w:val="266"/>
        </w:trPr>
        <w:tc>
          <w:tcPr>
            <w:tcW w:w="3260" w:type="dxa"/>
            <w:vAlign w:val="bottom"/>
          </w:tcPr>
          <w:p>
            <w:pPr>
              <w:ind w:left="200"/>
              <w:spacing w:after="0"/>
              <w:rPr>
                <w:sz w:val="20"/>
                <w:szCs w:val="20"/>
                <w:color w:val="auto"/>
              </w:rPr>
            </w:pPr>
            <w:r>
              <w:rPr>
                <w:rFonts w:ascii="Arial" w:cs="Arial" w:eastAsia="Arial" w:hAnsi="Arial"/>
                <w:sz w:val="13"/>
                <w:szCs w:val="13"/>
                <w:color w:val="auto"/>
              </w:rPr>
              <w:t>Welfare Plan Benefits</w:t>
            </w:r>
            <w:r>
              <w:rPr>
                <w:rFonts w:ascii="Arial" w:cs="Arial" w:eastAsia="Arial" w:hAnsi="Arial"/>
                <w:sz w:val="16"/>
                <w:szCs w:val="16"/>
                <w:color w:val="auto"/>
                <w:vertAlign w:val="superscript"/>
              </w:rPr>
              <w:t>6</w:t>
            </w:r>
          </w:p>
        </w:tc>
        <w:tc>
          <w:tcPr>
            <w:tcW w:w="88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23"/>
                <w:szCs w:val="2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N/A</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color w:val="auto"/>
              </w:rPr>
              <w:t>N/A</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23"/>
                <w:szCs w:val="23"/>
                <w:color w:val="auto"/>
              </w:rPr>
            </w:pPr>
          </w:p>
        </w:tc>
      </w:tr>
      <w:tr>
        <w:trPr>
          <w:trHeight w:val="216"/>
        </w:trPr>
        <w:tc>
          <w:tcPr>
            <w:tcW w:w="3260" w:type="dxa"/>
            <w:vAlign w:val="bottom"/>
          </w:tcPr>
          <w:p>
            <w:pPr>
              <w:ind w:left="200"/>
              <w:spacing w:after="0"/>
              <w:rPr>
                <w:sz w:val="20"/>
                <w:szCs w:val="20"/>
                <w:color w:val="auto"/>
              </w:rPr>
            </w:pPr>
            <w:r>
              <w:rPr>
                <w:rFonts w:ascii="Arial" w:cs="Arial" w:eastAsia="Arial" w:hAnsi="Arial"/>
                <w:sz w:val="13"/>
                <w:szCs w:val="13"/>
                <w:color w:val="auto"/>
              </w:rPr>
              <w:t>Outplacement Services</w:t>
            </w:r>
            <w:r>
              <w:rPr>
                <w:rFonts w:ascii="Arial" w:cs="Arial" w:eastAsia="Arial" w:hAnsi="Arial"/>
                <w:sz w:val="16"/>
                <w:szCs w:val="16"/>
                <w:color w:val="auto"/>
                <w:vertAlign w:val="superscript"/>
              </w:rPr>
              <w:t>7</w:t>
            </w:r>
          </w:p>
        </w:tc>
        <w:tc>
          <w:tcPr>
            <w:tcW w:w="88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N/A</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color w:val="auto"/>
              </w:rPr>
              <w:t>N/A</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18"/>
                <w:szCs w:val="18"/>
                <w:color w:val="auto"/>
              </w:rPr>
            </w:pPr>
          </w:p>
        </w:tc>
      </w:tr>
      <w:tr>
        <w:trPr>
          <w:trHeight w:val="193"/>
        </w:trPr>
        <w:tc>
          <w:tcPr>
            <w:tcW w:w="3260" w:type="dxa"/>
            <w:vAlign w:val="bottom"/>
          </w:tcPr>
          <w:p>
            <w:pPr>
              <w:ind w:left="200"/>
              <w:spacing w:after="0"/>
              <w:rPr>
                <w:sz w:val="20"/>
                <w:szCs w:val="20"/>
                <w:color w:val="auto"/>
              </w:rPr>
            </w:pPr>
            <w:r>
              <w:rPr>
                <w:rFonts w:ascii="Arial" w:cs="Arial" w:eastAsia="Arial" w:hAnsi="Arial"/>
                <w:sz w:val="13"/>
                <w:szCs w:val="13"/>
                <w:color w:val="auto"/>
              </w:rPr>
              <w:t>Perquisites</w:t>
            </w:r>
            <w:r>
              <w:rPr>
                <w:rFonts w:ascii="Arial" w:cs="Arial" w:eastAsia="Arial" w:hAnsi="Arial"/>
                <w:sz w:val="16"/>
                <w:szCs w:val="16"/>
                <w:color w:val="auto"/>
                <w:vertAlign w:val="superscript"/>
              </w:rPr>
              <w:t>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36,643</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46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16"/>
                <w:szCs w:val="16"/>
                <w:color w:val="auto"/>
              </w:rPr>
            </w:pPr>
          </w:p>
        </w:tc>
      </w:tr>
      <w:tr>
        <w:trPr>
          <w:trHeight w:val="174"/>
        </w:trPr>
        <w:tc>
          <w:tcPr>
            <w:tcW w:w="326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195,948</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N/A</w:t>
            </w:r>
          </w:p>
        </w:tc>
        <w:tc>
          <w:tcPr>
            <w:tcW w:w="38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N/A</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N/A</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N/A</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N/A</w:t>
            </w:r>
          </w:p>
        </w:tc>
        <w:tc>
          <w:tcPr>
            <w:tcW w:w="3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5092065</wp:posOffset>
            </wp:positionH>
            <wp:positionV relativeFrom="paragraph">
              <wp:posOffset>-5266055</wp:posOffset>
            </wp:positionV>
            <wp:extent cx="18948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948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133985</wp:posOffset>
            </wp:positionV>
            <wp:extent cx="19888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07" w:lineRule="exact"/>
        <w:rPr>
          <w:sz w:val="20"/>
          <w:szCs w:val="20"/>
          <w:color w:val="auto"/>
        </w:rPr>
      </w:pPr>
    </w:p>
    <w:p>
      <w:pPr>
        <w:ind w:left="312" w:hanging="312"/>
        <w:spacing w:after="0"/>
        <w:tabs>
          <w:tab w:leader="none" w:pos="312"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Messrs. Olson and Rodier and Ms. Peterson met the retirement criteria on October 31, 2023.</w:t>
      </w:r>
    </w:p>
    <w:p>
      <w:pPr>
        <w:spacing w:after="0" w:line="49" w:lineRule="exact"/>
        <w:rPr>
          <w:rFonts w:ascii="Arial" w:cs="Arial" w:eastAsia="Arial" w:hAnsi="Arial"/>
          <w:sz w:val="18"/>
          <w:szCs w:val="18"/>
          <w:color w:val="auto"/>
        </w:rPr>
      </w:pPr>
    </w:p>
    <w:p>
      <w:pPr>
        <w:ind w:left="332" w:hanging="332"/>
        <w:spacing w:after="0" w:line="258" w:lineRule="auto"/>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Amount reported represents two times (three times for Mr. Olson since he was CEO on October 31, 2023) the sum of the NEO's (a) then current annual base salary and (b) then target annual cash incentive award for fiscal 2023.</w:t>
      </w:r>
    </w:p>
    <w:p>
      <w:pPr>
        <w:ind w:left="332" w:right="20" w:hanging="33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Amount reported represents the value of the automatic acceleration of vesting of unvested stock options. All amounts are based on the difference between: (a) the market price of our common stock underlying the unvested stock options as of October 31, 2022, and (b) the exercise price of the stock options. Because Mr. Olson met the retirement criteria on October 31, 2022, upon such event any unvested stock options held would continue to vest for four additional years, but such extended vesting is not quantified in the above table, Voluntary Resignation / Retirement column.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74930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166" w:right="419" w:bottom="1440" w:gutter="0" w:footer="0" w:header="0"/>
        </w:sectPr>
      </w:pPr>
    </w:p>
    <w:bookmarkStart w:id="79" w:name="page80"/>
    <w:bookmarkEnd w:id="79"/>
    <w:p>
      <w:pPr>
        <w:ind w:left="340" w:right="80" w:hanging="332"/>
        <w:spacing w:after="0"/>
        <w:tabs>
          <w:tab w:leader="none" w:pos="3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Amount reported represents the value of the future payout of two-thirds of the NEO's fiscal 2022 to fiscal 2024 performance share awards (based on two years of the three-year performance period completed as of October 31, 2023) and one-third of the NEO's fiscal 2023 to fiscal 2025 performance share awards (based on one year of the three-year performance period completed as of October 31, 2023), assuming that the Compensation &amp; Human Resources Committee approves the payout at financial plan levels of performance for fiscal 2024 and fiscal 2025 and the market price of our common stock on October 31, 2023.</w:t>
      </w:r>
    </w:p>
    <w:p>
      <w:pPr>
        <w:spacing w:after="0" w:line="4" w:lineRule="exact"/>
        <w:rPr>
          <w:rFonts w:ascii="Arial" w:cs="Arial" w:eastAsia="Arial" w:hAnsi="Arial"/>
          <w:sz w:val="18"/>
          <w:szCs w:val="18"/>
          <w:color w:val="auto"/>
        </w:rPr>
      </w:pPr>
    </w:p>
    <w:p>
      <w:pPr>
        <w:ind w:left="340" w:right="140" w:hanging="332"/>
        <w:spacing w:after="0" w:line="241" w:lineRule="auto"/>
        <w:tabs>
          <w:tab w:leader="none" w:pos="3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Amount reported represents the value of the immediate payout of two-thirds of the NEO's fiscal 2022 to fiscal 2024 (based on two years of the performance period completed as of October 31, 2023) and one-third of the NEO's fiscal 2023 to fiscal 2025 performance share awards (based on one year of the three-year performance period completed as of October 31, 2023), assuming target levels of performance and the market price of our common stock on October 31, 2023.</w:t>
      </w:r>
    </w:p>
    <w:p>
      <w:pPr>
        <w:spacing w:after="0" w:line="19" w:lineRule="exact"/>
        <w:rPr>
          <w:rFonts w:ascii="Arial" w:cs="Arial" w:eastAsia="Arial" w:hAnsi="Arial"/>
          <w:sz w:val="18"/>
          <w:szCs w:val="18"/>
          <w:color w:val="auto"/>
        </w:rPr>
      </w:pPr>
    </w:p>
    <w:p>
      <w:pPr>
        <w:ind w:left="340" w:right="480" w:hanging="332"/>
        <w:spacing w:after="0" w:line="258" w:lineRule="auto"/>
        <w:tabs>
          <w:tab w:leader="none" w:pos="3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Amount reported represents the estimated value of the welfare plan benefits for a three-year period based on our premium levels in effect on October 31, 2023.</w:t>
      </w:r>
    </w:p>
    <w:p>
      <w:pPr>
        <w:ind w:left="340" w:right="220" w:hanging="332"/>
        <w:spacing w:after="0" w:line="266" w:lineRule="auto"/>
        <w:tabs>
          <w:tab w:leader="none" w:pos="3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Amount reported is based on the assumption that we would incur a $30,000 one-time cost for outplacement services to be provided for the two-year period.</w:t>
      </w:r>
    </w:p>
    <w:p>
      <w:pPr>
        <w:ind w:left="320" w:hanging="312"/>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Amount reported represents the value of (a) one additional year of financial planning services, (b) one additional executive physical, and</w:t>
      </w:r>
    </w:p>
    <w:p>
      <w:pPr>
        <w:ind w:left="340"/>
        <w:spacing w:after="0"/>
        <w:rPr>
          <w:rFonts w:ascii="Arial" w:cs="Arial" w:eastAsia="Arial" w:hAnsi="Arial"/>
          <w:sz w:val="18"/>
          <w:szCs w:val="18"/>
          <w:color w:val="auto"/>
        </w:rPr>
      </w:pPr>
      <w:r>
        <w:rPr>
          <w:rFonts w:ascii="Arial" w:cs="Arial" w:eastAsia="Arial" w:hAnsi="Arial"/>
          <w:sz w:val="18"/>
          <w:szCs w:val="18"/>
          <w:color w:val="auto"/>
        </w:rPr>
        <w:t>(c) twelve additional months of automobile lease payments.</w:t>
      </w:r>
    </w:p>
    <w:p>
      <w:pPr>
        <w:spacing w:after="0" w:line="31" w:lineRule="exact"/>
        <w:rPr>
          <w:rFonts w:ascii="Arial" w:cs="Arial" w:eastAsia="Arial" w:hAnsi="Arial"/>
          <w:sz w:val="18"/>
          <w:szCs w:val="18"/>
          <w:color w:val="auto"/>
        </w:rPr>
      </w:pPr>
    </w:p>
    <w:p>
      <w:pPr>
        <w:jc w:val="both"/>
        <w:ind w:left="340" w:right="80" w:hanging="332"/>
        <w:spacing w:after="0" w:line="245" w:lineRule="auto"/>
        <w:tabs>
          <w:tab w:leader="none" w:pos="3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Amount reported represents the value of the automatic acceleration of the vesting of unvested restricted stock units and is based on the number of shares of common stock underlying the unvested restricted stock units multiplied by the market price of our common stock on October 31, 2023.</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Pay Ratio Disclosure</w:t>
      </w:r>
    </w:p>
    <w:p>
      <w:pPr>
        <w:spacing w:after="0" w:line="112" w:lineRule="exact"/>
        <w:rPr>
          <w:sz w:val="20"/>
          <w:szCs w:val="20"/>
          <w:color w:val="auto"/>
        </w:rPr>
      </w:pPr>
    </w:p>
    <w:p>
      <w:pPr>
        <w:ind w:right="820" w:firstLine="324"/>
        <w:spacing w:after="0" w:line="271" w:lineRule="auto"/>
        <w:rPr>
          <w:sz w:val="20"/>
          <w:szCs w:val="20"/>
          <w:color w:val="auto"/>
        </w:rPr>
      </w:pPr>
      <w:r>
        <w:rPr>
          <w:rFonts w:ascii="Arial" w:cs="Arial" w:eastAsia="Arial" w:hAnsi="Arial"/>
          <w:sz w:val="18"/>
          <w:szCs w:val="18"/>
          <w:color w:val="auto"/>
        </w:rPr>
        <w:t>In accordance with Item 402(u) of Regulation S-K, passed as part of the Dodd-Frank Act, we calculated the ratio of annual total compensation of Mr. Olson relative to the annual total compensation of our median employee.</w:t>
      </w:r>
    </w:p>
    <w:p>
      <w:pPr>
        <w:spacing w:after="0" w:line="4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To determine the median employee, we identified that, as of October 31, 2023, our total employee population was 10,706, which included employees from all our subsidiaries. We identified our median employee from this population (excluding Mr. Olson) by using base salary as our consistently applied compensation measure.</w:t>
      </w:r>
    </w:p>
    <w:p>
      <w:pPr>
        <w:spacing w:after="0" w:line="54"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We calculated the annual total compensation of our median employee for fiscal 2023 using the same methodology that we used to calculate the annual total compensation of our NEOs, including Mr. Olson, for fiscal 2023, as set forth in the Summary Compensation Table. Mr. Olson's annual total compensation for fiscal 2023, as set forth in the Summary Compensation Table, was $ 9,025,811. Annual total compensation for our median employee for fiscal 2023 was $75,286. The ratio of annual total compensation of Mr. Olson to the annual total compensation of our median employee for fiscal 2023 is 120:1.</w:t>
      </w:r>
    </w:p>
    <w:p>
      <w:pPr>
        <w:spacing w:after="0" w:line="65" w:lineRule="exact"/>
        <w:rPr>
          <w:sz w:val="20"/>
          <w:szCs w:val="20"/>
          <w:color w:val="auto"/>
        </w:rPr>
      </w:pPr>
    </w:p>
    <w:p>
      <w:pPr>
        <w:ind w:right="80" w:firstLine="324"/>
        <w:spacing w:after="0" w:line="247" w:lineRule="auto"/>
        <w:rPr>
          <w:sz w:val="20"/>
          <w:szCs w:val="20"/>
          <w:color w:val="auto"/>
        </w:rPr>
      </w:pPr>
      <w:r>
        <w:rPr>
          <w:rFonts w:ascii="Arial" w:cs="Arial" w:eastAsia="Arial" w:hAnsi="Arial"/>
          <w:sz w:val="18"/>
          <w:szCs w:val="18"/>
          <w:color w:val="auto"/>
        </w:rPr>
        <w:t>We believe the pay ratio presented above is a reasonable estimate calculated in a manner consistent with applicable SEC rules.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Compensation &amp; Human Resources Committee Interlocks and Insider Participation</w:t>
      </w:r>
    </w:p>
    <w:p>
      <w:pPr>
        <w:spacing w:after="0" w:line="9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No member of the Compensation &amp; Human Resources Committee was an officer or employee of TTC during fiscal year 2023 or in any prior year, and no member of the Compensation &amp; Human Resources Committee had a relationship that would require disclosure under Item 404(a) of Regulation S-K. There were no compensation committee interlocks as described in Item 407(e)(4) of Regulation S-K during fiscal 2023 or in any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80" w:name="page81"/>
    <w:bookmarkEnd w:id="80"/>
    <w:p>
      <w:pPr>
        <w:jc w:val="center"/>
        <w:ind w:right="-59"/>
        <w:spacing w:after="0"/>
        <w:rPr>
          <w:sz w:val="20"/>
          <w:szCs w:val="20"/>
          <w:color w:val="auto"/>
        </w:rPr>
      </w:pPr>
      <w:r>
        <w:rPr>
          <w:rFonts w:ascii="Arial" w:cs="Arial" w:eastAsia="Arial" w:hAnsi="Arial"/>
          <w:sz w:val="22"/>
          <w:szCs w:val="22"/>
          <w:b w:val="1"/>
          <w:bCs w:val="1"/>
          <w:color w:val="FFFFFF"/>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-158750</wp:posOffset>
            </wp:positionV>
            <wp:extent cx="7003415"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03415" cy="18859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Significant Beneficial Owners</w:t>
      </w:r>
    </w:p>
    <w:p>
      <w:pPr>
        <w:spacing w:after="0" w:line="112" w:lineRule="exact"/>
        <w:rPr>
          <w:sz w:val="20"/>
          <w:szCs w:val="20"/>
          <w:color w:val="auto"/>
        </w:rPr>
      </w:pPr>
    </w:p>
    <w:p>
      <w:pPr>
        <w:jc w:val="both"/>
        <w:ind w:right="540" w:firstLine="324"/>
        <w:spacing w:after="0" w:line="253" w:lineRule="auto"/>
        <w:rPr>
          <w:sz w:val="20"/>
          <w:szCs w:val="20"/>
          <w:color w:val="auto"/>
        </w:rPr>
      </w:pPr>
      <w:r>
        <w:rPr>
          <w:rFonts w:ascii="Arial" w:cs="Arial" w:eastAsia="Arial" w:hAnsi="Arial"/>
          <w:sz w:val="18"/>
          <w:szCs w:val="18"/>
          <w:color w:val="auto"/>
        </w:rPr>
        <w:t>The following table sets forth information known to us as of January 22, 2024, as to entities that have reported to the SEC or have otherwise advised us that they are a beneficial owner, as defined by the SEC's rules and regulations, of more than five percent of our outstanding common stock.</w:t>
      </w:r>
    </w:p>
    <w:p>
      <w:pPr>
        <w:spacing w:after="0" w:line="12" w:lineRule="exact"/>
        <w:rPr>
          <w:sz w:val="20"/>
          <w:szCs w:val="20"/>
          <w:color w:val="auto"/>
        </w:rPr>
      </w:pPr>
    </w:p>
    <w:tbl>
      <w:tblPr>
        <w:tblLayout w:type="fixed"/>
        <w:tblInd w:w="180" w:type="dxa"/>
        <w:tblCellMar>
          <w:top w:w="0" w:type="dxa"/>
          <w:left w:w="0" w:type="dxa"/>
          <w:bottom w:w="0" w:type="dxa"/>
          <w:right w:w="0" w:type="dxa"/>
        </w:tblCellMar>
      </w:tblPr>
      <w:tr>
        <w:trPr>
          <w:trHeight w:val="176"/>
        </w:trPr>
        <w:tc>
          <w:tcPr>
            <w:tcW w:w="1580" w:type="dxa"/>
            <w:vAlign w:val="bottom"/>
            <w:shd w:val="clear" w:color="auto" w:fill="BF2115"/>
          </w:tcPr>
          <w:p>
            <w:pPr>
              <w:spacing w:after="0"/>
              <w:rPr>
                <w:sz w:val="15"/>
                <w:szCs w:val="15"/>
                <w:color w:val="auto"/>
              </w:rPr>
            </w:pPr>
          </w:p>
        </w:tc>
        <w:tc>
          <w:tcPr>
            <w:tcW w:w="3960" w:type="dxa"/>
            <w:vAlign w:val="bottom"/>
            <w:shd w:val="clear" w:color="auto" w:fill="BF2115"/>
          </w:tcPr>
          <w:p>
            <w:pPr>
              <w:ind w:left="460"/>
              <w:spacing w:after="0"/>
              <w:rPr>
                <w:sz w:val="20"/>
                <w:szCs w:val="20"/>
                <w:color w:val="auto"/>
              </w:rPr>
            </w:pPr>
            <w:r>
              <w:rPr>
                <w:rFonts w:ascii="Arial" w:cs="Arial" w:eastAsia="Arial" w:hAnsi="Arial"/>
                <w:sz w:val="14"/>
                <w:szCs w:val="14"/>
                <w:b w:val="1"/>
                <w:bCs w:val="1"/>
                <w:color w:val="FFFFFF"/>
              </w:rPr>
              <w:t>Name and Address</w:t>
            </w:r>
          </w:p>
        </w:tc>
        <w:tc>
          <w:tcPr>
            <w:tcW w:w="3760" w:type="dxa"/>
            <w:vAlign w:val="bottom"/>
            <w:shd w:val="clear" w:color="auto" w:fill="BF2115"/>
          </w:tcPr>
          <w:p>
            <w:pPr>
              <w:jc w:val="center"/>
              <w:ind w:left="1030"/>
              <w:spacing w:after="0"/>
              <w:rPr>
                <w:sz w:val="20"/>
                <w:szCs w:val="20"/>
                <w:color w:val="auto"/>
              </w:rPr>
            </w:pPr>
            <w:r>
              <w:rPr>
                <w:rFonts w:ascii="Arial" w:cs="Arial" w:eastAsia="Arial" w:hAnsi="Arial"/>
                <w:sz w:val="14"/>
                <w:szCs w:val="14"/>
                <w:b w:val="1"/>
                <w:bCs w:val="1"/>
                <w:color w:val="FFFFFF"/>
              </w:rPr>
              <w:t>Amount and Nature</w:t>
            </w:r>
          </w:p>
        </w:tc>
        <w:tc>
          <w:tcPr>
            <w:tcW w:w="1580" w:type="dxa"/>
            <w:vAlign w:val="bottom"/>
            <w:shd w:val="clear" w:color="auto" w:fill="BF2115"/>
          </w:tcPr>
          <w:p>
            <w:pPr>
              <w:jc w:val="center"/>
              <w:ind w:left="23"/>
              <w:spacing w:after="0"/>
              <w:rPr>
                <w:sz w:val="20"/>
                <w:szCs w:val="20"/>
                <w:color w:val="auto"/>
              </w:rPr>
            </w:pPr>
            <w:r>
              <w:rPr>
                <w:rFonts w:ascii="Arial" w:cs="Arial" w:eastAsia="Arial" w:hAnsi="Arial"/>
                <w:sz w:val="14"/>
                <w:szCs w:val="14"/>
                <w:b w:val="1"/>
                <w:bCs w:val="1"/>
                <w:color w:val="FFFFFF"/>
              </w:rPr>
              <w:t>Percent</w:t>
            </w:r>
          </w:p>
        </w:tc>
      </w:tr>
      <w:tr>
        <w:trPr>
          <w:trHeight w:val="243"/>
        </w:trPr>
        <w:tc>
          <w:tcPr>
            <w:tcW w:w="158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Title of Class</w:t>
            </w:r>
          </w:p>
        </w:tc>
        <w:tc>
          <w:tcPr>
            <w:tcW w:w="3960" w:type="dxa"/>
            <w:vAlign w:val="bottom"/>
            <w:shd w:val="clear" w:color="auto" w:fill="BF2115"/>
          </w:tcPr>
          <w:p>
            <w:pPr>
              <w:ind w:left="460"/>
              <w:spacing w:after="0"/>
              <w:rPr>
                <w:sz w:val="20"/>
                <w:szCs w:val="20"/>
                <w:color w:val="auto"/>
              </w:rPr>
            </w:pPr>
            <w:r>
              <w:rPr>
                <w:rFonts w:ascii="Arial" w:cs="Arial" w:eastAsia="Arial" w:hAnsi="Arial"/>
                <w:sz w:val="14"/>
                <w:szCs w:val="14"/>
                <w:b w:val="1"/>
                <w:bCs w:val="1"/>
                <w:color w:val="FFFFFF"/>
              </w:rPr>
              <w:t>of Beneficial Owner</w:t>
            </w:r>
          </w:p>
        </w:tc>
        <w:tc>
          <w:tcPr>
            <w:tcW w:w="3760" w:type="dxa"/>
            <w:vAlign w:val="bottom"/>
            <w:shd w:val="clear" w:color="auto" w:fill="BF2115"/>
          </w:tcPr>
          <w:p>
            <w:pPr>
              <w:jc w:val="center"/>
              <w:ind w:left="1050"/>
              <w:spacing w:after="0"/>
              <w:rPr>
                <w:sz w:val="20"/>
                <w:szCs w:val="20"/>
                <w:color w:val="auto"/>
              </w:rPr>
            </w:pPr>
            <w:r>
              <w:rPr>
                <w:rFonts w:ascii="Arial" w:cs="Arial" w:eastAsia="Arial" w:hAnsi="Arial"/>
                <w:sz w:val="14"/>
                <w:szCs w:val="14"/>
                <w:b w:val="1"/>
                <w:bCs w:val="1"/>
                <w:color w:val="FFFFFF"/>
              </w:rPr>
              <w:t>of Beneficial Ownership</w:t>
            </w:r>
          </w:p>
        </w:tc>
        <w:tc>
          <w:tcPr>
            <w:tcW w:w="1580" w:type="dxa"/>
            <w:vAlign w:val="bottom"/>
            <w:shd w:val="clear" w:color="auto" w:fill="BF2115"/>
          </w:tcPr>
          <w:p>
            <w:pPr>
              <w:jc w:val="center"/>
              <w:ind w:left="23"/>
              <w:spacing w:after="0" w:line="243" w:lineRule="exact"/>
              <w:rPr>
                <w:sz w:val="20"/>
                <w:szCs w:val="20"/>
                <w:color w:val="auto"/>
              </w:rPr>
            </w:pPr>
            <w:r>
              <w:rPr>
                <w:rFonts w:ascii="Arial" w:cs="Arial" w:eastAsia="Arial" w:hAnsi="Arial"/>
                <w:sz w:val="14"/>
                <w:szCs w:val="14"/>
                <w:b w:val="1"/>
                <w:bCs w:val="1"/>
                <w:color w:val="FFFFFF"/>
                <w:w w:val="98"/>
              </w:rPr>
              <w:t>of Class</w:t>
            </w:r>
            <w:r>
              <w:rPr>
                <w:rFonts w:ascii="Arial" w:cs="Arial" w:eastAsia="Arial" w:hAnsi="Arial"/>
                <w:sz w:val="28"/>
                <w:szCs w:val="28"/>
                <w:b w:val="1"/>
                <w:bCs w:val="1"/>
                <w:color w:val="FFFFFF"/>
                <w:w w:val="98"/>
                <w:vertAlign w:val="superscript"/>
              </w:rPr>
              <w:t>1</w:t>
            </w:r>
          </w:p>
        </w:tc>
      </w:tr>
      <w:tr>
        <w:trPr>
          <w:trHeight w:val="202"/>
        </w:trPr>
        <w:tc>
          <w:tcPr>
            <w:tcW w:w="158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3960" w:type="dxa"/>
            <w:vAlign w:val="bottom"/>
          </w:tcPr>
          <w:p>
            <w:pPr>
              <w:ind w:left="460"/>
              <w:spacing w:after="0"/>
              <w:rPr>
                <w:sz w:val="20"/>
                <w:szCs w:val="20"/>
                <w:color w:val="auto"/>
              </w:rPr>
            </w:pPr>
            <w:r>
              <w:rPr>
                <w:rFonts w:ascii="Arial" w:cs="Arial" w:eastAsia="Arial" w:hAnsi="Arial"/>
                <w:sz w:val="16"/>
                <w:szCs w:val="16"/>
                <w:color w:val="auto"/>
              </w:rPr>
              <w:t>The Vanguard Group, Inc.</w:t>
            </w:r>
          </w:p>
        </w:tc>
        <w:tc>
          <w:tcPr>
            <w:tcW w:w="3760" w:type="dxa"/>
            <w:vAlign w:val="bottom"/>
          </w:tcPr>
          <w:p>
            <w:pPr>
              <w:jc w:val="center"/>
              <w:ind w:left="1050"/>
              <w:spacing w:after="0" w:line="202" w:lineRule="exact"/>
              <w:rPr>
                <w:sz w:val="20"/>
                <w:szCs w:val="20"/>
                <w:color w:val="auto"/>
              </w:rPr>
            </w:pPr>
            <w:r>
              <w:rPr>
                <w:rFonts w:ascii="Arial" w:cs="Arial" w:eastAsia="Arial" w:hAnsi="Arial"/>
                <w:sz w:val="14"/>
                <w:szCs w:val="14"/>
                <w:color w:val="auto"/>
              </w:rPr>
              <w:t>10,388,109</w:t>
            </w:r>
            <w:r>
              <w:rPr>
                <w:rFonts w:ascii="Arial" w:cs="Arial" w:eastAsia="Arial" w:hAnsi="Arial"/>
                <w:sz w:val="23"/>
                <w:szCs w:val="23"/>
                <w:color w:val="auto"/>
                <w:vertAlign w:val="superscript"/>
              </w:rPr>
              <w:t>2</w:t>
            </w:r>
          </w:p>
        </w:tc>
        <w:tc>
          <w:tcPr>
            <w:tcW w:w="1580" w:type="dxa"/>
            <w:vAlign w:val="bottom"/>
          </w:tcPr>
          <w:p>
            <w:pPr>
              <w:jc w:val="center"/>
              <w:ind w:left="23"/>
              <w:spacing w:after="0"/>
              <w:rPr>
                <w:sz w:val="20"/>
                <w:szCs w:val="20"/>
                <w:color w:val="auto"/>
              </w:rPr>
            </w:pPr>
            <w:r>
              <w:rPr>
                <w:rFonts w:ascii="Arial" w:cs="Arial" w:eastAsia="Arial" w:hAnsi="Arial"/>
                <w:sz w:val="16"/>
                <w:szCs w:val="16"/>
                <w:color w:val="auto"/>
              </w:rPr>
              <w:t>10.00%</w:t>
            </w:r>
          </w:p>
        </w:tc>
      </w:tr>
      <w:tr>
        <w:trPr>
          <w:trHeight w:val="203"/>
        </w:trPr>
        <w:tc>
          <w:tcPr>
            <w:tcW w:w="1580" w:type="dxa"/>
            <w:vAlign w:val="bottom"/>
          </w:tcPr>
          <w:p>
            <w:pPr>
              <w:spacing w:after="0"/>
              <w:rPr>
                <w:sz w:val="17"/>
                <w:szCs w:val="17"/>
                <w:color w:val="auto"/>
              </w:rPr>
            </w:pPr>
          </w:p>
        </w:tc>
        <w:tc>
          <w:tcPr>
            <w:tcW w:w="3960" w:type="dxa"/>
            <w:vAlign w:val="bottom"/>
          </w:tcPr>
          <w:p>
            <w:pPr>
              <w:ind w:left="460"/>
              <w:spacing w:after="0"/>
              <w:rPr>
                <w:sz w:val="20"/>
                <w:szCs w:val="20"/>
                <w:color w:val="auto"/>
              </w:rPr>
            </w:pPr>
            <w:r>
              <w:rPr>
                <w:rFonts w:ascii="Arial" w:cs="Arial" w:eastAsia="Arial" w:hAnsi="Arial"/>
                <w:sz w:val="16"/>
                <w:szCs w:val="16"/>
                <w:color w:val="auto"/>
              </w:rPr>
              <w:t>100 Vanguard Blvd.</w:t>
            </w:r>
          </w:p>
        </w:tc>
        <w:tc>
          <w:tcPr>
            <w:tcW w:w="37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5"/>
        </w:trPr>
        <w:tc>
          <w:tcPr>
            <w:tcW w:w="1580" w:type="dxa"/>
            <w:vAlign w:val="bottom"/>
          </w:tcPr>
          <w:p>
            <w:pPr>
              <w:spacing w:after="0"/>
              <w:rPr>
                <w:sz w:val="18"/>
                <w:szCs w:val="18"/>
                <w:color w:val="auto"/>
              </w:rPr>
            </w:pPr>
          </w:p>
        </w:tc>
        <w:tc>
          <w:tcPr>
            <w:tcW w:w="3960" w:type="dxa"/>
            <w:vAlign w:val="bottom"/>
          </w:tcPr>
          <w:p>
            <w:pPr>
              <w:ind w:left="460"/>
              <w:spacing w:after="0"/>
              <w:rPr>
                <w:sz w:val="20"/>
                <w:szCs w:val="20"/>
                <w:color w:val="auto"/>
              </w:rPr>
            </w:pPr>
            <w:r>
              <w:rPr>
                <w:rFonts w:ascii="Arial" w:cs="Arial" w:eastAsia="Arial" w:hAnsi="Arial"/>
                <w:sz w:val="16"/>
                <w:szCs w:val="16"/>
                <w:color w:val="auto"/>
              </w:rPr>
              <w:t>Malvern, PA 19355</w:t>
            </w:r>
          </w:p>
        </w:tc>
        <w:tc>
          <w:tcPr>
            <w:tcW w:w="37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9"/>
        </w:trPr>
        <w:tc>
          <w:tcPr>
            <w:tcW w:w="15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2"/>
        </w:trPr>
        <w:tc>
          <w:tcPr>
            <w:tcW w:w="1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Common Stock</w:t>
            </w:r>
          </w:p>
        </w:tc>
        <w:tc>
          <w:tcPr>
            <w:tcW w:w="39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BlackRock, Inc.</w:t>
            </w:r>
          </w:p>
        </w:tc>
        <w:tc>
          <w:tcPr>
            <w:tcW w:w="3760" w:type="dxa"/>
            <w:vAlign w:val="bottom"/>
            <w:shd w:val="clear" w:color="auto" w:fill="DBDBDB"/>
          </w:tcPr>
          <w:p>
            <w:pPr>
              <w:jc w:val="center"/>
              <w:ind w:left="1050"/>
              <w:spacing w:after="0" w:line="202" w:lineRule="exact"/>
              <w:rPr>
                <w:sz w:val="20"/>
                <w:szCs w:val="20"/>
                <w:color w:val="auto"/>
              </w:rPr>
            </w:pPr>
            <w:r>
              <w:rPr>
                <w:rFonts w:ascii="Arial" w:cs="Arial" w:eastAsia="Arial" w:hAnsi="Arial"/>
                <w:sz w:val="14"/>
                <w:szCs w:val="14"/>
                <w:color w:val="auto"/>
              </w:rPr>
              <w:t>10,392,066</w:t>
            </w:r>
            <w:r>
              <w:rPr>
                <w:rFonts w:ascii="Arial" w:cs="Arial" w:eastAsia="Arial" w:hAnsi="Arial"/>
                <w:sz w:val="23"/>
                <w:szCs w:val="23"/>
                <w:color w:val="auto"/>
                <w:vertAlign w:val="superscript"/>
              </w:rPr>
              <w:t>3</w:t>
            </w:r>
          </w:p>
        </w:tc>
        <w:tc>
          <w:tcPr>
            <w:tcW w:w="1580" w:type="dxa"/>
            <w:vAlign w:val="bottom"/>
            <w:shd w:val="clear" w:color="auto" w:fill="DBDBDB"/>
          </w:tcPr>
          <w:p>
            <w:pPr>
              <w:jc w:val="center"/>
              <w:ind w:left="23"/>
              <w:spacing w:after="0"/>
              <w:rPr>
                <w:sz w:val="20"/>
                <w:szCs w:val="20"/>
                <w:color w:val="auto"/>
              </w:rPr>
            </w:pPr>
            <w:r>
              <w:rPr>
                <w:rFonts w:ascii="Arial" w:cs="Arial" w:eastAsia="Arial" w:hAnsi="Arial"/>
                <w:sz w:val="16"/>
                <w:szCs w:val="16"/>
                <w:color w:val="auto"/>
              </w:rPr>
              <w:t>10.00%</w:t>
            </w:r>
          </w:p>
        </w:tc>
      </w:tr>
      <w:tr>
        <w:trPr>
          <w:trHeight w:val="203"/>
        </w:trPr>
        <w:tc>
          <w:tcPr>
            <w:tcW w:w="1580" w:type="dxa"/>
            <w:vAlign w:val="bottom"/>
            <w:shd w:val="clear" w:color="auto" w:fill="DBDBDB"/>
          </w:tcPr>
          <w:p>
            <w:pPr>
              <w:spacing w:after="0"/>
              <w:rPr>
                <w:sz w:val="17"/>
                <w:szCs w:val="17"/>
                <w:color w:val="auto"/>
              </w:rPr>
            </w:pPr>
          </w:p>
        </w:tc>
        <w:tc>
          <w:tcPr>
            <w:tcW w:w="39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55 East 52nd St.</w:t>
            </w:r>
          </w:p>
        </w:tc>
        <w:tc>
          <w:tcPr>
            <w:tcW w:w="3760" w:type="dxa"/>
            <w:vAlign w:val="bottom"/>
            <w:shd w:val="clear" w:color="auto" w:fill="DBDBDB"/>
          </w:tcPr>
          <w:p>
            <w:pPr>
              <w:spacing w:after="0"/>
              <w:rPr>
                <w:sz w:val="17"/>
                <w:szCs w:val="17"/>
                <w:color w:val="auto"/>
              </w:rPr>
            </w:pPr>
          </w:p>
        </w:tc>
        <w:tc>
          <w:tcPr>
            <w:tcW w:w="1580" w:type="dxa"/>
            <w:vAlign w:val="bottom"/>
            <w:shd w:val="clear" w:color="auto" w:fill="DBDBDB"/>
          </w:tcPr>
          <w:p>
            <w:pPr>
              <w:spacing w:after="0"/>
              <w:rPr>
                <w:sz w:val="17"/>
                <w:szCs w:val="17"/>
                <w:color w:val="auto"/>
              </w:rPr>
            </w:pPr>
          </w:p>
        </w:tc>
      </w:tr>
      <w:tr>
        <w:trPr>
          <w:trHeight w:val="224"/>
        </w:trPr>
        <w:tc>
          <w:tcPr>
            <w:tcW w:w="1580" w:type="dxa"/>
            <w:vAlign w:val="bottom"/>
            <w:tcBorders>
              <w:bottom w:val="single" w:sz="8" w:color="DBDBDB"/>
            </w:tcBorders>
            <w:shd w:val="clear" w:color="auto" w:fill="DBDBDB"/>
          </w:tcPr>
          <w:p>
            <w:pPr>
              <w:spacing w:after="0"/>
              <w:rPr>
                <w:sz w:val="19"/>
                <w:szCs w:val="19"/>
                <w:color w:val="auto"/>
              </w:rPr>
            </w:pPr>
          </w:p>
        </w:tc>
        <w:tc>
          <w:tcPr>
            <w:tcW w:w="396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6"/>
                <w:szCs w:val="16"/>
                <w:color w:val="auto"/>
              </w:rPr>
              <w:t>New York, NY 10055</w:t>
            </w:r>
          </w:p>
        </w:tc>
        <w:tc>
          <w:tcPr>
            <w:tcW w:w="3760" w:type="dxa"/>
            <w:vAlign w:val="bottom"/>
            <w:tcBorders>
              <w:bottom w:val="single" w:sz="8" w:color="DBDBDB"/>
            </w:tcBorders>
            <w:shd w:val="clear" w:color="auto" w:fill="DBDBDB"/>
          </w:tcPr>
          <w:p>
            <w:pPr>
              <w:spacing w:after="0"/>
              <w:rPr>
                <w:sz w:val="19"/>
                <w:szCs w:val="19"/>
                <w:color w:val="auto"/>
              </w:rPr>
            </w:pPr>
          </w:p>
        </w:tc>
        <w:tc>
          <w:tcPr>
            <w:tcW w:w="1580" w:type="dxa"/>
            <w:vAlign w:val="bottom"/>
            <w:tcBorders>
              <w:bottom w:val="single" w:sz="8" w:color="DBDBDB"/>
            </w:tcBorders>
            <w:shd w:val="clear" w:color="auto" w:fill="DBDBDB"/>
          </w:tcPr>
          <w:p>
            <w:pPr>
              <w:spacing w:after="0"/>
              <w:rPr>
                <w:sz w:val="19"/>
                <w:szCs w:val="19"/>
                <w:color w:val="auto"/>
              </w:rPr>
            </w:pPr>
          </w:p>
        </w:tc>
      </w:tr>
      <w:tr>
        <w:trPr>
          <w:trHeight w:val="202"/>
        </w:trPr>
        <w:tc>
          <w:tcPr>
            <w:tcW w:w="158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3960" w:type="dxa"/>
            <w:vAlign w:val="bottom"/>
          </w:tcPr>
          <w:p>
            <w:pPr>
              <w:ind w:left="460"/>
              <w:spacing w:after="0"/>
              <w:rPr>
                <w:sz w:val="20"/>
                <w:szCs w:val="20"/>
                <w:color w:val="auto"/>
              </w:rPr>
            </w:pPr>
            <w:r>
              <w:rPr>
                <w:rFonts w:ascii="Arial" w:cs="Arial" w:eastAsia="Arial" w:hAnsi="Arial"/>
                <w:sz w:val="16"/>
                <w:szCs w:val="16"/>
                <w:color w:val="auto"/>
              </w:rPr>
              <w:t>Select Equity Group, L.P.</w:t>
            </w:r>
          </w:p>
        </w:tc>
        <w:tc>
          <w:tcPr>
            <w:tcW w:w="3760" w:type="dxa"/>
            <w:vAlign w:val="bottom"/>
          </w:tcPr>
          <w:p>
            <w:pPr>
              <w:jc w:val="center"/>
              <w:ind w:left="1050"/>
              <w:spacing w:after="0" w:line="202" w:lineRule="exact"/>
              <w:rPr>
                <w:sz w:val="20"/>
                <w:szCs w:val="20"/>
                <w:color w:val="auto"/>
              </w:rPr>
            </w:pPr>
            <w:r>
              <w:rPr>
                <w:rFonts w:ascii="Arial" w:cs="Arial" w:eastAsia="Arial" w:hAnsi="Arial"/>
                <w:sz w:val="14"/>
                <w:szCs w:val="14"/>
                <w:color w:val="auto"/>
              </w:rPr>
              <w:t>5,707,710</w:t>
            </w:r>
            <w:r>
              <w:rPr>
                <w:rFonts w:ascii="Arial" w:cs="Arial" w:eastAsia="Arial" w:hAnsi="Arial"/>
                <w:sz w:val="23"/>
                <w:szCs w:val="23"/>
                <w:color w:val="auto"/>
                <w:vertAlign w:val="superscript"/>
              </w:rPr>
              <w:t>4</w:t>
            </w:r>
          </w:p>
        </w:tc>
        <w:tc>
          <w:tcPr>
            <w:tcW w:w="1580" w:type="dxa"/>
            <w:vAlign w:val="bottom"/>
          </w:tcPr>
          <w:p>
            <w:pPr>
              <w:jc w:val="center"/>
              <w:ind w:left="3"/>
              <w:spacing w:after="0"/>
              <w:rPr>
                <w:sz w:val="20"/>
                <w:szCs w:val="20"/>
                <w:color w:val="auto"/>
              </w:rPr>
            </w:pPr>
            <w:r>
              <w:rPr>
                <w:rFonts w:ascii="Arial" w:cs="Arial" w:eastAsia="Arial" w:hAnsi="Arial"/>
                <w:sz w:val="16"/>
                <w:szCs w:val="16"/>
                <w:color w:val="auto"/>
              </w:rPr>
              <w:t>5.50%</w:t>
            </w:r>
          </w:p>
        </w:tc>
      </w:tr>
      <w:tr>
        <w:trPr>
          <w:trHeight w:val="203"/>
        </w:trPr>
        <w:tc>
          <w:tcPr>
            <w:tcW w:w="1580" w:type="dxa"/>
            <w:vAlign w:val="bottom"/>
          </w:tcPr>
          <w:p>
            <w:pPr>
              <w:spacing w:after="0"/>
              <w:rPr>
                <w:sz w:val="17"/>
                <w:szCs w:val="17"/>
                <w:color w:val="auto"/>
              </w:rPr>
            </w:pPr>
          </w:p>
        </w:tc>
        <w:tc>
          <w:tcPr>
            <w:tcW w:w="3960" w:type="dxa"/>
            <w:vAlign w:val="bottom"/>
          </w:tcPr>
          <w:p>
            <w:pPr>
              <w:ind w:left="460"/>
              <w:spacing w:after="0"/>
              <w:rPr>
                <w:sz w:val="20"/>
                <w:szCs w:val="20"/>
                <w:color w:val="auto"/>
              </w:rPr>
            </w:pPr>
            <w:r>
              <w:rPr>
                <w:rFonts w:ascii="Arial" w:cs="Arial" w:eastAsia="Arial" w:hAnsi="Arial"/>
                <w:sz w:val="16"/>
                <w:szCs w:val="16"/>
                <w:color w:val="auto"/>
              </w:rPr>
              <w:t>380 Lafayette St.</w:t>
            </w:r>
          </w:p>
        </w:tc>
        <w:tc>
          <w:tcPr>
            <w:tcW w:w="37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5"/>
        </w:trPr>
        <w:tc>
          <w:tcPr>
            <w:tcW w:w="1580" w:type="dxa"/>
            <w:vAlign w:val="bottom"/>
          </w:tcPr>
          <w:p>
            <w:pPr>
              <w:spacing w:after="0"/>
              <w:rPr>
                <w:sz w:val="18"/>
                <w:szCs w:val="18"/>
                <w:color w:val="auto"/>
              </w:rPr>
            </w:pPr>
          </w:p>
        </w:tc>
        <w:tc>
          <w:tcPr>
            <w:tcW w:w="3960" w:type="dxa"/>
            <w:vAlign w:val="bottom"/>
          </w:tcPr>
          <w:p>
            <w:pPr>
              <w:ind w:left="460"/>
              <w:spacing w:after="0"/>
              <w:rPr>
                <w:sz w:val="20"/>
                <w:szCs w:val="20"/>
                <w:color w:val="auto"/>
              </w:rPr>
            </w:pPr>
            <w:r>
              <w:rPr>
                <w:rFonts w:ascii="Arial" w:cs="Arial" w:eastAsia="Arial" w:hAnsi="Arial"/>
                <w:sz w:val="16"/>
                <w:szCs w:val="16"/>
                <w:color w:val="auto"/>
              </w:rPr>
              <w:t>New York, NY 10003</w:t>
            </w:r>
          </w:p>
        </w:tc>
        <w:tc>
          <w:tcPr>
            <w:tcW w:w="376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9888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328" w:lineRule="exact"/>
        <w:rPr>
          <w:sz w:val="20"/>
          <w:szCs w:val="20"/>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Percent of class is based on 104,397,901 shares outstanding as of January 22, 2024.</w:t>
      </w:r>
    </w:p>
    <w:p>
      <w:pPr>
        <w:spacing w:after="0" w:line="49" w:lineRule="exact"/>
        <w:rPr>
          <w:rFonts w:ascii="Arial" w:cs="Arial" w:eastAsia="Arial" w:hAnsi="Arial"/>
          <w:sz w:val="18"/>
          <w:szCs w:val="18"/>
          <w:color w:val="auto"/>
        </w:rPr>
      </w:pPr>
    </w:p>
    <w:p>
      <w:pPr>
        <w:ind w:left="340" w:hanging="332"/>
        <w:spacing w:after="0" w:line="247" w:lineRule="auto"/>
        <w:tabs>
          <w:tab w:leader="none" w:pos="3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13F of The Vanguard Group, Inc., an investment adviser, filed with the SEC on November 14, 2023, reflecting beneficial ownership as of September 30, 2023, with sole investment discretion but no voting authority with respect to 10,248,749 shares, shared investment discretion and shared voting authority with respect to 56,761 shares, and shared investment discretion but no voting authority with respect to 82,599 shares. The Vanguard Group, Inc. does not have sole voting authority over any of the shares.</w:t>
      </w:r>
    </w:p>
    <w:p>
      <w:pPr>
        <w:spacing w:after="0" w:line="28" w:lineRule="exact"/>
        <w:rPr>
          <w:rFonts w:ascii="Arial" w:cs="Arial" w:eastAsia="Arial" w:hAnsi="Arial"/>
          <w:sz w:val="18"/>
          <w:szCs w:val="18"/>
          <w:color w:val="auto"/>
        </w:rPr>
      </w:pPr>
    </w:p>
    <w:p>
      <w:pPr>
        <w:ind w:left="340" w:right="20" w:hanging="332"/>
        <w:spacing w:after="0" w:line="252" w:lineRule="auto"/>
        <w:tabs>
          <w:tab w:leader="none" w:pos="3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13G/A of BlackRock, Inc., a parent holding company, filed with the SEC on January 24, 2024, reflecting beneficial ownership as of December 31, 2023, with sole investment discretion with respect to all such shares, shared investment discretion with respect to 0 shares, sole voting authority with respect to 9,892,953 shares, and no voting authority with respect to 499,113 shares. BlackRock, Inc. does not have shared voting authority over any of the shares.</w:t>
      </w:r>
    </w:p>
    <w:p>
      <w:pPr>
        <w:spacing w:after="0" w:line="8" w:lineRule="exact"/>
        <w:rPr>
          <w:rFonts w:ascii="Arial" w:cs="Arial" w:eastAsia="Arial" w:hAnsi="Arial"/>
          <w:sz w:val="18"/>
          <w:szCs w:val="18"/>
          <w:color w:val="auto"/>
        </w:rPr>
      </w:pPr>
    </w:p>
    <w:p>
      <w:pPr>
        <w:ind w:left="340" w:right="100" w:hanging="332"/>
        <w:spacing w:after="0" w:line="252" w:lineRule="auto"/>
        <w:tabs>
          <w:tab w:leader="none" w:pos="3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13F of Select Equity Group, L.P., an investment adviser and parent holding company, filed with the SEC on November 14, 2023, reflecting beneficial ownership as of September 30, 2023, with sole investment discretion with respect to all such shares, sole voting authority with respect to 5,534,192 shares and no voting authority with respect to 173,518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4" w:right="399" w:bottom="1440" w:gutter="0" w:footer="0" w:header="0"/>
        </w:sectPr>
      </w:pPr>
    </w:p>
    <w:bookmarkStart w:id="81" w:name="page82"/>
    <w:bookmarkEnd w:id="81"/>
    <w:p>
      <w:pPr>
        <w:spacing w:after="0"/>
        <w:rPr>
          <w:sz w:val="20"/>
          <w:szCs w:val="20"/>
          <w:color w:val="auto"/>
        </w:rPr>
      </w:pPr>
      <w:r>
        <w:rPr>
          <w:rFonts w:ascii="Arial" w:cs="Arial" w:eastAsia="Arial" w:hAnsi="Arial"/>
          <w:sz w:val="20"/>
          <w:szCs w:val="20"/>
          <w:b w:val="1"/>
          <w:bCs w:val="1"/>
          <w:color w:val="C00000"/>
        </w:rPr>
        <w:t>Directors and Executive Officers</w:t>
      </w:r>
    </w:p>
    <w:p>
      <w:pPr>
        <w:spacing w:after="0" w:line="112"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January 22, 2024, by (i) each of our current non-employee directors, (ii) our current and former executive officers named in the "Summary Compensation Table," and (iii) all current non-employee directors and executive officers as a group.</w:t>
      </w:r>
    </w:p>
    <w:p>
      <w:pPr>
        <w:spacing w:after="0" w:line="100"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1620" w:type="dxa"/>
            <w:vAlign w:val="bottom"/>
            <w:shd w:val="clear" w:color="auto" w:fill="BF2115"/>
          </w:tcPr>
          <w:p>
            <w:pPr>
              <w:spacing w:after="0"/>
              <w:rPr>
                <w:sz w:val="17"/>
                <w:szCs w:val="17"/>
                <w:color w:val="auto"/>
              </w:rPr>
            </w:pPr>
          </w:p>
        </w:tc>
        <w:tc>
          <w:tcPr>
            <w:tcW w:w="4260" w:type="dxa"/>
            <w:vAlign w:val="bottom"/>
            <w:shd w:val="clear" w:color="auto" w:fill="BF2115"/>
          </w:tcPr>
          <w:p>
            <w:pPr>
              <w:spacing w:after="0"/>
              <w:rPr>
                <w:sz w:val="17"/>
                <w:szCs w:val="17"/>
                <w:color w:val="auto"/>
              </w:rPr>
            </w:pPr>
          </w:p>
        </w:tc>
        <w:tc>
          <w:tcPr>
            <w:tcW w:w="3560" w:type="dxa"/>
            <w:vAlign w:val="bottom"/>
            <w:shd w:val="clear" w:color="auto" w:fill="BF2115"/>
          </w:tcPr>
          <w:p>
            <w:pPr>
              <w:jc w:val="center"/>
              <w:ind w:left="982"/>
              <w:spacing w:after="0"/>
              <w:rPr>
                <w:sz w:val="20"/>
                <w:szCs w:val="20"/>
                <w:color w:val="auto"/>
              </w:rPr>
            </w:pPr>
            <w:r>
              <w:rPr>
                <w:rFonts w:ascii="Arial" w:cs="Arial" w:eastAsia="Arial" w:hAnsi="Arial"/>
                <w:sz w:val="14"/>
                <w:szCs w:val="14"/>
                <w:b w:val="1"/>
                <w:bCs w:val="1"/>
                <w:color w:val="FFFFFF"/>
              </w:rPr>
              <w:t>Amount and Nature of</w:t>
            </w:r>
          </w:p>
        </w:tc>
        <w:tc>
          <w:tcPr>
            <w:tcW w:w="108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Percent of</w:t>
            </w:r>
          </w:p>
        </w:tc>
        <w:tc>
          <w:tcPr>
            <w:tcW w:w="0" w:type="dxa"/>
            <w:vAlign w:val="bottom"/>
          </w:tcPr>
          <w:p>
            <w:pPr>
              <w:spacing w:after="0"/>
              <w:rPr>
                <w:sz w:val="1"/>
                <w:szCs w:val="1"/>
                <w:color w:val="auto"/>
              </w:rPr>
            </w:pPr>
          </w:p>
        </w:tc>
      </w:tr>
      <w:tr>
        <w:trPr>
          <w:trHeight w:val="144"/>
        </w:trPr>
        <w:tc>
          <w:tcPr>
            <w:tcW w:w="1620" w:type="dxa"/>
            <w:vAlign w:val="bottom"/>
            <w:vMerge w:val="restart"/>
            <w:shd w:val="clear" w:color="auto" w:fill="BF2115"/>
          </w:tcPr>
          <w:p>
            <w:pPr>
              <w:ind w:left="20"/>
              <w:spacing w:after="0"/>
              <w:rPr>
                <w:sz w:val="20"/>
                <w:szCs w:val="20"/>
                <w:color w:val="auto"/>
              </w:rPr>
            </w:pPr>
            <w:r>
              <w:rPr>
                <w:rFonts w:ascii="Arial" w:cs="Arial" w:eastAsia="Arial" w:hAnsi="Arial"/>
                <w:sz w:val="14"/>
                <w:szCs w:val="14"/>
                <w:b w:val="1"/>
                <w:bCs w:val="1"/>
                <w:color w:val="FFFFFF"/>
              </w:rPr>
              <w:t>Title of Class</w:t>
            </w:r>
          </w:p>
        </w:tc>
        <w:tc>
          <w:tcPr>
            <w:tcW w:w="4260" w:type="dxa"/>
            <w:vAlign w:val="bottom"/>
            <w:vMerge w:val="restart"/>
            <w:shd w:val="clear" w:color="auto" w:fill="BF2115"/>
          </w:tcPr>
          <w:p>
            <w:pPr>
              <w:ind w:left="480"/>
              <w:spacing w:after="0"/>
              <w:rPr>
                <w:sz w:val="20"/>
                <w:szCs w:val="20"/>
                <w:color w:val="auto"/>
              </w:rPr>
            </w:pPr>
            <w:r>
              <w:rPr>
                <w:rFonts w:ascii="Arial" w:cs="Arial" w:eastAsia="Arial" w:hAnsi="Arial"/>
                <w:sz w:val="14"/>
                <w:szCs w:val="14"/>
                <w:b w:val="1"/>
                <w:bCs w:val="1"/>
                <w:color w:val="FFFFFF"/>
              </w:rPr>
              <w:t>Name of Beneficial Owner</w:t>
            </w:r>
          </w:p>
        </w:tc>
        <w:tc>
          <w:tcPr>
            <w:tcW w:w="3560" w:type="dxa"/>
            <w:vAlign w:val="bottom"/>
            <w:shd w:val="clear" w:color="auto" w:fill="BF2115"/>
          </w:tcPr>
          <w:p>
            <w:pPr>
              <w:jc w:val="center"/>
              <w:ind w:left="982"/>
              <w:spacing w:after="0" w:line="145" w:lineRule="exact"/>
              <w:rPr>
                <w:sz w:val="20"/>
                <w:szCs w:val="20"/>
                <w:color w:val="auto"/>
              </w:rPr>
            </w:pPr>
            <w:r>
              <w:rPr>
                <w:rFonts w:ascii="Arial" w:cs="Arial" w:eastAsia="Arial" w:hAnsi="Arial"/>
                <w:sz w:val="14"/>
                <w:szCs w:val="14"/>
                <w:b w:val="1"/>
                <w:bCs w:val="1"/>
                <w:color w:val="FFFFFF"/>
              </w:rPr>
              <w:t>Beneficial Ownership</w:t>
            </w:r>
          </w:p>
        </w:tc>
        <w:tc>
          <w:tcPr>
            <w:tcW w:w="1080" w:type="dxa"/>
            <w:vAlign w:val="bottom"/>
            <w:vMerge w:val="continue"/>
            <w:shd w:val="clear" w:color="auto" w:fill="BF2115"/>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620" w:type="dxa"/>
            <w:vAlign w:val="bottom"/>
            <w:vMerge w:val="continue"/>
            <w:shd w:val="clear" w:color="auto" w:fill="BF2115"/>
          </w:tcPr>
          <w:p>
            <w:pPr>
              <w:spacing w:after="0"/>
              <w:rPr>
                <w:sz w:val="16"/>
                <w:szCs w:val="16"/>
                <w:color w:val="auto"/>
              </w:rPr>
            </w:pPr>
          </w:p>
        </w:tc>
        <w:tc>
          <w:tcPr>
            <w:tcW w:w="4260" w:type="dxa"/>
            <w:vAlign w:val="bottom"/>
            <w:vMerge w:val="continue"/>
            <w:shd w:val="clear" w:color="auto" w:fill="BF2115"/>
          </w:tcPr>
          <w:p>
            <w:pPr>
              <w:spacing w:after="0"/>
              <w:rPr>
                <w:sz w:val="16"/>
                <w:szCs w:val="16"/>
                <w:color w:val="auto"/>
              </w:rPr>
            </w:pPr>
          </w:p>
        </w:tc>
        <w:tc>
          <w:tcPr>
            <w:tcW w:w="3560" w:type="dxa"/>
            <w:vAlign w:val="bottom"/>
            <w:shd w:val="clear" w:color="auto" w:fill="BF2115"/>
          </w:tcPr>
          <w:p>
            <w:pPr>
              <w:jc w:val="center"/>
              <w:ind w:left="1002"/>
              <w:spacing w:after="0"/>
              <w:rPr>
                <w:sz w:val="20"/>
                <w:szCs w:val="20"/>
                <w:color w:val="auto"/>
              </w:rPr>
            </w:pPr>
            <w:r>
              <w:rPr>
                <w:rFonts w:ascii="Arial" w:cs="Arial" w:eastAsia="Arial" w:hAnsi="Arial"/>
                <w:sz w:val="9"/>
                <w:szCs w:val="9"/>
                <w:b w:val="1"/>
                <w:bCs w:val="1"/>
                <w:color w:val="FFFFFF"/>
              </w:rPr>
              <w:t>1 2 3 4</w:t>
            </w:r>
          </w:p>
        </w:tc>
        <w:tc>
          <w:tcPr>
            <w:tcW w:w="1080" w:type="dxa"/>
            <w:vAlign w:val="bottom"/>
            <w:shd w:val="clear" w:color="auto" w:fill="BF2115"/>
          </w:tcPr>
          <w:p>
            <w:pPr>
              <w:jc w:val="center"/>
              <w:spacing w:after="0" w:line="189" w:lineRule="exact"/>
              <w:rPr>
                <w:sz w:val="20"/>
                <w:szCs w:val="20"/>
                <w:color w:val="auto"/>
              </w:rPr>
            </w:pPr>
            <w:r>
              <w:rPr>
                <w:rFonts w:ascii="Arial" w:cs="Arial" w:eastAsia="Arial" w:hAnsi="Arial"/>
                <w:sz w:val="14"/>
                <w:szCs w:val="14"/>
                <w:b w:val="1"/>
                <w:bCs w:val="1"/>
                <w:color w:val="FFFFFF"/>
                <w:w w:val="95"/>
              </w:rPr>
              <w:t>Class</w:t>
            </w:r>
            <w:r>
              <w:rPr>
                <w:rFonts w:ascii="Arial" w:cs="Arial" w:eastAsia="Arial" w:hAnsi="Arial"/>
                <w:sz w:val="18"/>
                <w:szCs w:val="18"/>
                <w:b w:val="1"/>
                <w:bCs w:val="1"/>
                <w:color w:val="FFFFFF"/>
                <w:w w:val="95"/>
                <w:vertAlign w:val="superscript"/>
              </w:rPr>
              <w:t>5</w:t>
            </w:r>
          </w:p>
        </w:tc>
        <w:tc>
          <w:tcPr>
            <w:tcW w:w="0" w:type="dxa"/>
            <w:vAlign w:val="bottom"/>
          </w:tcPr>
          <w:p>
            <w:pPr>
              <w:spacing w:after="0"/>
              <w:rPr>
                <w:sz w:val="1"/>
                <w:szCs w:val="1"/>
                <w:color w:val="auto"/>
              </w:rPr>
            </w:pPr>
          </w:p>
        </w:tc>
      </w:tr>
      <w:tr>
        <w:trPr>
          <w:trHeight w:val="215"/>
        </w:trPr>
        <w:tc>
          <w:tcPr>
            <w:tcW w:w="1620" w:type="dxa"/>
            <w:vAlign w:val="bottom"/>
          </w:tcPr>
          <w:p>
            <w:pPr>
              <w:spacing w:after="0"/>
              <w:rPr>
                <w:sz w:val="18"/>
                <w:szCs w:val="18"/>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Non-Employee Directors:</w:t>
            </w:r>
          </w:p>
        </w:tc>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6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Borders>
              <w:bottom w:val="single" w:sz="8" w:color="DBDBDB"/>
            </w:tcBorders>
            <w:shd w:val="clear" w:color="auto" w:fill="DBDBDB"/>
          </w:tcPr>
          <w:p>
            <w:pPr>
              <w:ind w:left="680"/>
              <w:spacing w:after="0"/>
              <w:rPr>
                <w:sz w:val="20"/>
                <w:szCs w:val="20"/>
                <w:color w:val="auto"/>
              </w:rPr>
            </w:pPr>
            <w:r>
              <w:rPr>
                <w:rFonts w:ascii="Arial" w:cs="Arial" w:eastAsia="Arial" w:hAnsi="Arial"/>
                <w:sz w:val="16"/>
                <w:szCs w:val="16"/>
                <w:color w:val="auto"/>
              </w:rPr>
              <w:t>Janet K. Cooper</w:t>
            </w:r>
          </w:p>
        </w:tc>
        <w:tc>
          <w:tcPr>
            <w:tcW w:w="3560" w:type="dxa"/>
            <w:vAlign w:val="bottom"/>
            <w:tcBorders>
              <w:bottom w:val="single" w:sz="8" w:color="DBDBDB"/>
            </w:tcBorders>
            <w:shd w:val="clear" w:color="auto" w:fill="DBDBDB"/>
          </w:tcPr>
          <w:p>
            <w:pPr>
              <w:jc w:val="right"/>
              <w:ind w:right="82"/>
              <w:spacing w:after="0"/>
              <w:rPr>
                <w:sz w:val="20"/>
                <w:szCs w:val="20"/>
                <w:color w:val="auto"/>
              </w:rPr>
            </w:pPr>
            <w:r>
              <w:rPr>
                <w:rFonts w:ascii="Arial" w:cs="Arial" w:eastAsia="Arial" w:hAnsi="Arial"/>
                <w:sz w:val="16"/>
                <w:szCs w:val="16"/>
                <w:color w:val="auto"/>
              </w:rPr>
              <w:t>95,436</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162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Pr>
          <w:p>
            <w:pPr>
              <w:ind w:left="680"/>
              <w:spacing w:after="0"/>
              <w:rPr>
                <w:sz w:val="20"/>
                <w:szCs w:val="20"/>
                <w:color w:val="auto"/>
              </w:rPr>
            </w:pPr>
            <w:r>
              <w:rPr>
                <w:rFonts w:ascii="Arial" w:cs="Arial" w:eastAsia="Arial" w:hAnsi="Arial"/>
                <w:sz w:val="16"/>
                <w:szCs w:val="16"/>
                <w:color w:val="auto"/>
              </w:rPr>
              <w:t>Dianne C. Craig</w:t>
            </w:r>
          </w:p>
        </w:tc>
        <w:tc>
          <w:tcPr>
            <w:tcW w:w="3560" w:type="dxa"/>
            <w:vAlign w:val="bottom"/>
          </w:tcPr>
          <w:p>
            <w:pPr>
              <w:jc w:val="right"/>
              <w:ind w:right="82"/>
              <w:spacing w:after="0"/>
              <w:rPr>
                <w:sz w:val="20"/>
                <w:szCs w:val="20"/>
                <w:color w:val="auto"/>
              </w:rPr>
            </w:pPr>
            <w:r>
              <w:rPr>
                <w:rFonts w:ascii="Arial" w:cs="Arial" w:eastAsia="Arial" w:hAnsi="Arial"/>
                <w:sz w:val="16"/>
                <w:szCs w:val="16"/>
                <w:color w:val="auto"/>
              </w:rPr>
              <w:t>0</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8"/>
        </w:trPr>
        <w:tc>
          <w:tcPr>
            <w:tcW w:w="16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Borders>
              <w:bottom w:val="single" w:sz="8" w:color="DBDBDB"/>
            </w:tcBorders>
            <w:shd w:val="clear" w:color="auto" w:fill="DBDBDB"/>
          </w:tcPr>
          <w:p>
            <w:pPr>
              <w:ind w:left="680"/>
              <w:spacing w:after="0"/>
              <w:rPr>
                <w:sz w:val="20"/>
                <w:szCs w:val="20"/>
                <w:color w:val="auto"/>
              </w:rPr>
            </w:pPr>
            <w:r>
              <w:rPr>
                <w:rFonts w:ascii="Arial" w:cs="Arial" w:eastAsia="Arial" w:hAnsi="Arial"/>
                <w:sz w:val="16"/>
                <w:szCs w:val="16"/>
                <w:color w:val="auto"/>
              </w:rPr>
              <w:t>Gary L. Ellis</w:t>
            </w:r>
          </w:p>
        </w:tc>
        <w:tc>
          <w:tcPr>
            <w:tcW w:w="3560" w:type="dxa"/>
            <w:vAlign w:val="bottom"/>
            <w:tcBorders>
              <w:bottom w:val="single" w:sz="8" w:color="DBDBDB"/>
            </w:tcBorders>
            <w:shd w:val="clear" w:color="auto" w:fill="DBDBDB"/>
          </w:tcPr>
          <w:p>
            <w:pPr>
              <w:jc w:val="right"/>
              <w:ind w:right="82"/>
              <w:spacing w:after="0"/>
              <w:rPr>
                <w:sz w:val="20"/>
                <w:szCs w:val="20"/>
                <w:color w:val="auto"/>
              </w:rPr>
            </w:pPr>
            <w:r>
              <w:rPr>
                <w:rFonts w:ascii="Arial" w:cs="Arial" w:eastAsia="Arial" w:hAnsi="Arial"/>
                <w:sz w:val="16"/>
                <w:szCs w:val="16"/>
                <w:color w:val="auto"/>
              </w:rPr>
              <w:t>69,484</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162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Pr>
          <w:p>
            <w:pPr>
              <w:ind w:left="680"/>
              <w:spacing w:after="0"/>
              <w:rPr>
                <w:sz w:val="20"/>
                <w:szCs w:val="20"/>
                <w:color w:val="auto"/>
              </w:rPr>
            </w:pPr>
            <w:r>
              <w:rPr>
                <w:rFonts w:ascii="Arial" w:cs="Arial" w:eastAsia="Arial" w:hAnsi="Arial"/>
                <w:sz w:val="16"/>
                <w:szCs w:val="16"/>
                <w:color w:val="auto"/>
              </w:rPr>
              <w:t>Eric P. Hansotia</w:t>
            </w:r>
          </w:p>
        </w:tc>
        <w:tc>
          <w:tcPr>
            <w:tcW w:w="3560" w:type="dxa"/>
            <w:vAlign w:val="bottom"/>
          </w:tcPr>
          <w:p>
            <w:pPr>
              <w:jc w:val="right"/>
              <w:ind w:right="82"/>
              <w:spacing w:after="0"/>
              <w:rPr>
                <w:sz w:val="20"/>
                <w:szCs w:val="20"/>
                <w:color w:val="auto"/>
              </w:rPr>
            </w:pPr>
            <w:r>
              <w:rPr>
                <w:rFonts w:ascii="Arial" w:cs="Arial" w:eastAsia="Arial" w:hAnsi="Arial"/>
                <w:sz w:val="16"/>
                <w:szCs w:val="16"/>
                <w:color w:val="auto"/>
              </w:rPr>
              <w:t>2,438</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8"/>
        </w:trPr>
        <w:tc>
          <w:tcPr>
            <w:tcW w:w="16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Borders>
              <w:bottom w:val="single" w:sz="8" w:color="DBDBDB"/>
            </w:tcBorders>
            <w:shd w:val="clear" w:color="auto" w:fill="DBDBDB"/>
          </w:tcPr>
          <w:p>
            <w:pPr>
              <w:ind w:left="680"/>
              <w:spacing w:after="0"/>
              <w:rPr>
                <w:sz w:val="20"/>
                <w:szCs w:val="20"/>
                <w:color w:val="auto"/>
              </w:rPr>
            </w:pPr>
            <w:r>
              <w:rPr>
                <w:rFonts w:ascii="Arial" w:cs="Arial" w:eastAsia="Arial" w:hAnsi="Arial"/>
                <w:sz w:val="16"/>
                <w:szCs w:val="16"/>
                <w:color w:val="auto"/>
              </w:rPr>
              <w:t>Jeffrey L. Harmening</w:t>
            </w:r>
          </w:p>
        </w:tc>
        <w:tc>
          <w:tcPr>
            <w:tcW w:w="3560" w:type="dxa"/>
            <w:vAlign w:val="bottom"/>
            <w:tcBorders>
              <w:bottom w:val="single" w:sz="8" w:color="DBDBDB"/>
            </w:tcBorders>
            <w:shd w:val="clear" w:color="auto" w:fill="DBDBDB"/>
          </w:tcPr>
          <w:p>
            <w:pPr>
              <w:jc w:val="right"/>
              <w:ind w:right="82"/>
              <w:spacing w:after="0"/>
              <w:rPr>
                <w:sz w:val="20"/>
                <w:szCs w:val="20"/>
                <w:color w:val="auto"/>
              </w:rPr>
            </w:pPr>
            <w:r>
              <w:rPr>
                <w:rFonts w:ascii="Arial" w:cs="Arial" w:eastAsia="Arial" w:hAnsi="Arial"/>
                <w:sz w:val="16"/>
                <w:szCs w:val="16"/>
                <w:color w:val="auto"/>
              </w:rPr>
              <w:t>15,913</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162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Pr>
          <w:p>
            <w:pPr>
              <w:ind w:left="680"/>
              <w:spacing w:after="0"/>
              <w:rPr>
                <w:sz w:val="20"/>
                <w:szCs w:val="20"/>
                <w:color w:val="auto"/>
              </w:rPr>
            </w:pPr>
            <w:r>
              <w:rPr>
                <w:rFonts w:ascii="Arial" w:cs="Arial" w:eastAsia="Arial" w:hAnsi="Arial"/>
                <w:sz w:val="16"/>
                <w:szCs w:val="16"/>
                <w:color w:val="auto"/>
              </w:rPr>
              <w:t>D. Christian Koch</w:t>
            </w:r>
          </w:p>
        </w:tc>
        <w:tc>
          <w:tcPr>
            <w:tcW w:w="3560" w:type="dxa"/>
            <w:vAlign w:val="bottom"/>
          </w:tcPr>
          <w:p>
            <w:pPr>
              <w:jc w:val="right"/>
              <w:ind w:right="82"/>
              <w:spacing w:after="0"/>
              <w:rPr>
                <w:sz w:val="20"/>
                <w:szCs w:val="20"/>
                <w:color w:val="auto"/>
              </w:rPr>
            </w:pPr>
            <w:r>
              <w:rPr>
                <w:rFonts w:ascii="Arial" w:cs="Arial" w:eastAsia="Arial" w:hAnsi="Arial"/>
                <w:sz w:val="16"/>
                <w:szCs w:val="16"/>
                <w:color w:val="auto"/>
              </w:rPr>
              <w:t>32,820</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8"/>
        </w:trPr>
        <w:tc>
          <w:tcPr>
            <w:tcW w:w="16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Borders>
              <w:bottom w:val="single" w:sz="8" w:color="DBDBDB"/>
            </w:tcBorders>
            <w:shd w:val="clear" w:color="auto" w:fill="DBDBDB"/>
          </w:tcPr>
          <w:p>
            <w:pPr>
              <w:ind w:left="680"/>
              <w:spacing w:after="0"/>
              <w:rPr>
                <w:sz w:val="20"/>
                <w:szCs w:val="20"/>
                <w:color w:val="auto"/>
              </w:rPr>
            </w:pPr>
            <w:r>
              <w:rPr>
                <w:rFonts w:ascii="Arial" w:cs="Arial" w:eastAsia="Arial" w:hAnsi="Arial"/>
                <w:sz w:val="16"/>
                <w:szCs w:val="16"/>
                <w:color w:val="auto"/>
              </w:rPr>
              <w:t>Joyce A. Mullen</w:t>
            </w:r>
          </w:p>
        </w:tc>
        <w:tc>
          <w:tcPr>
            <w:tcW w:w="3560" w:type="dxa"/>
            <w:vAlign w:val="bottom"/>
            <w:tcBorders>
              <w:bottom w:val="single" w:sz="8" w:color="DBDBDB"/>
            </w:tcBorders>
            <w:shd w:val="clear" w:color="auto" w:fill="DBDBDB"/>
          </w:tcPr>
          <w:p>
            <w:pPr>
              <w:jc w:val="right"/>
              <w:ind w:right="82"/>
              <w:spacing w:after="0"/>
              <w:rPr>
                <w:sz w:val="20"/>
                <w:szCs w:val="20"/>
                <w:color w:val="auto"/>
              </w:rPr>
            </w:pPr>
            <w:r>
              <w:rPr>
                <w:rFonts w:ascii="Arial" w:cs="Arial" w:eastAsia="Arial" w:hAnsi="Arial"/>
                <w:sz w:val="16"/>
                <w:szCs w:val="16"/>
                <w:color w:val="auto"/>
              </w:rPr>
              <w:t>13,325</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162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Pr>
          <w:p>
            <w:pPr>
              <w:ind w:left="680"/>
              <w:spacing w:after="0"/>
              <w:rPr>
                <w:sz w:val="20"/>
                <w:szCs w:val="20"/>
                <w:color w:val="auto"/>
              </w:rPr>
            </w:pPr>
            <w:r>
              <w:rPr>
                <w:rFonts w:ascii="Arial" w:cs="Arial" w:eastAsia="Arial" w:hAnsi="Arial"/>
                <w:sz w:val="16"/>
                <w:szCs w:val="16"/>
                <w:color w:val="auto"/>
              </w:rPr>
              <w:t>James C. O'Rourke</w:t>
            </w:r>
          </w:p>
        </w:tc>
        <w:tc>
          <w:tcPr>
            <w:tcW w:w="3560" w:type="dxa"/>
            <w:vAlign w:val="bottom"/>
          </w:tcPr>
          <w:p>
            <w:pPr>
              <w:jc w:val="right"/>
              <w:ind w:right="82"/>
              <w:spacing w:after="0"/>
              <w:rPr>
                <w:sz w:val="20"/>
                <w:szCs w:val="20"/>
                <w:color w:val="auto"/>
              </w:rPr>
            </w:pPr>
            <w:r>
              <w:rPr>
                <w:rFonts w:ascii="Arial" w:cs="Arial" w:eastAsia="Arial" w:hAnsi="Arial"/>
                <w:sz w:val="16"/>
                <w:szCs w:val="16"/>
                <w:color w:val="auto"/>
              </w:rPr>
              <w:t>41,134</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8"/>
        </w:trPr>
        <w:tc>
          <w:tcPr>
            <w:tcW w:w="16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Borders>
              <w:bottom w:val="single" w:sz="8" w:color="DBDBDB"/>
            </w:tcBorders>
            <w:shd w:val="clear" w:color="auto" w:fill="DBDBDB"/>
          </w:tcPr>
          <w:p>
            <w:pPr>
              <w:ind w:left="680"/>
              <w:spacing w:after="0"/>
              <w:rPr>
                <w:sz w:val="20"/>
                <w:szCs w:val="20"/>
                <w:color w:val="auto"/>
              </w:rPr>
            </w:pPr>
            <w:r>
              <w:rPr>
                <w:rFonts w:ascii="Arial" w:cs="Arial" w:eastAsia="Arial" w:hAnsi="Arial"/>
                <w:sz w:val="16"/>
                <w:szCs w:val="16"/>
                <w:color w:val="auto"/>
              </w:rPr>
              <w:t>Jill M. Pemberton</w:t>
            </w:r>
          </w:p>
        </w:tc>
        <w:tc>
          <w:tcPr>
            <w:tcW w:w="3560" w:type="dxa"/>
            <w:vAlign w:val="bottom"/>
            <w:tcBorders>
              <w:bottom w:val="single" w:sz="8" w:color="DBDBDB"/>
            </w:tcBorders>
            <w:shd w:val="clear" w:color="auto" w:fill="DBDBDB"/>
          </w:tcPr>
          <w:p>
            <w:pPr>
              <w:jc w:val="right"/>
              <w:ind w:right="82"/>
              <w:spacing w:after="0"/>
              <w:rPr>
                <w:sz w:val="20"/>
                <w:szCs w:val="20"/>
                <w:color w:val="auto"/>
              </w:rPr>
            </w:pPr>
            <w:r>
              <w:rPr>
                <w:rFonts w:ascii="Arial" w:cs="Arial" w:eastAsia="Arial" w:hAnsi="Arial"/>
                <w:sz w:val="16"/>
                <w:szCs w:val="16"/>
                <w:color w:val="auto"/>
              </w:rPr>
              <w:t>3,752</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1620" w:type="dxa"/>
            <w:vAlign w:val="bottom"/>
          </w:tcPr>
          <w:p>
            <w:pPr>
              <w:spacing w:after="0"/>
              <w:rPr>
                <w:sz w:val="18"/>
                <w:szCs w:val="18"/>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Named Executive Officers:</w:t>
            </w:r>
          </w:p>
        </w:tc>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6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Borders>
              <w:bottom w:val="single" w:sz="8" w:color="DBDBDB"/>
            </w:tcBorders>
            <w:shd w:val="clear" w:color="auto" w:fill="DBDBDB"/>
          </w:tcPr>
          <w:p>
            <w:pPr>
              <w:ind w:left="680"/>
              <w:spacing w:after="0"/>
              <w:rPr>
                <w:sz w:val="20"/>
                <w:szCs w:val="20"/>
                <w:color w:val="auto"/>
              </w:rPr>
            </w:pPr>
            <w:r>
              <w:rPr>
                <w:rFonts w:ascii="Arial" w:cs="Arial" w:eastAsia="Arial" w:hAnsi="Arial"/>
                <w:sz w:val="16"/>
                <w:szCs w:val="16"/>
                <w:color w:val="auto"/>
              </w:rPr>
              <w:t>Richard M. Olson</w:t>
            </w:r>
          </w:p>
        </w:tc>
        <w:tc>
          <w:tcPr>
            <w:tcW w:w="3560" w:type="dxa"/>
            <w:vAlign w:val="bottom"/>
            <w:tcBorders>
              <w:bottom w:val="single" w:sz="8" w:color="DBDBDB"/>
            </w:tcBorders>
            <w:shd w:val="clear" w:color="auto" w:fill="DBDBDB"/>
          </w:tcPr>
          <w:p>
            <w:pPr>
              <w:jc w:val="right"/>
              <w:ind w:right="82"/>
              <w:spacing w:after="0"/>
              <w:rPr>
                <w:sz w:val="20"/>
                <w:szCs w:val="20"/>
                <w:color w:val="auto"/>
              </w:rPr>
            </w:pPr>
            <w:r>
              <w:rPr>
                <w:rFonts w:ascii="Arial" w:cs="Arial" w:eastAsia="Arial" w:hAnsi="Arial"/>
                <w:sz w:val="16"/>
                <w:szCs w:val="16"/>
                <w:color w:val="auto"/>
              </w:rPr>
              <w:t>1,019,351</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162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Pr>
          <w:p>
            <w:pPr>
              <w:ind w:left="680"/>
              <w:spacing w:after="0"/>
              <w:rPr>
                <w:sz w:val="20"/>
                <w:szCs w:val="20"/>
                <w:color w:val="auto"/>
              </w:rPr>
            </w:pPr>
            <w:r>
              <w:rPr>
                <w:rFonts w:ascii="Arial" w:cs="Arial" w:eastAsia="Arial" w:hAnsi="Arial"/>
                <w:sz w:val="16"/>
                <w:szCs w:val="16"/>
                <w:color w:val="auto"/>
              </w:rPr>
              <w:t>Angela C. Drake</w:t>
            </w:r>
          </w:p>
        </w:tc>
        <w:tc>
          <w:tcPr>
            <w:tcW w:w="3560" w:type="dxa"/>
            <w:vAlign w:val="bottom"/>
          </w:tcPr>
          <w:p>
            <w:pPr>
              <w:jc w:val="right"/>
              <w:ind w:right="82"/>
              <w:spacing w:after="0"/>
              <w:rPr>
                <w:sz w:val="20"/>
                <w:szCs w:val="20"/>
                <w:color w:val="auto"/>
              </w:rPr>
            </w:pPr>
            <w:r>
              <w:rPr>
                <w:rFonts w:ascii="Arial" w:cs="Arial" w:eastAsia="Arial" w:hAnsi="Arial"/>
                <w:sz w:val="16"/>
                <w:szCs w:val="16"/>
                <w:color w:val="auto"/>
              </w:rPr>
              <w:t>20,624</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8"/>
        </w:trPr>
        <w:tc>
          <w:tcPr>
            <w:tcW w:w="16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shd w:val="clear" w:color="auto" w:fill="DBDBDB"/>
          </w:tcPr>
          <w:p>
            <w:pPr>
              <w:ind w:left="680"/>
              <w:spacing w:after="0"/>
              <w:rPr>
                <w:sz w:val="20"/>
                <w:szCs w:val="20"/>
                <w:color w:val="auto"/>
              </w:rPr>
            </w:pPr>
            <w:r>
              <w:rPr>
                <w:rFonts w:ascii="Arial" w:cs="Arial" w:eastAsia="Arial" w:hAnsi="Arial"/>
                <w:sz w:val="16"/>
                <w:szCs w:val="16"/>
                <w:color w:val="auto"/>
              </w:rPr>
              <w:t>Renee J. Peterson</w:t>
            </w:r>
            <w:r>
              <w:rPr>
                <w:rFonts w:ascii="Arial" w:cs="Arial" w:eastAsia="Arial" w:hAnsi="Arial"/>
                <w:sz w:val="21"/>
                <w:szCs w:val="21"/>
                <w:color w:val="auto"/>
                <w:vertAlign w:val="superscript"/>
              </w:rPr>
              <w:t>6</w:t>
            </w:r>
          </w:p>
        </w:tc>
        <w:tc>
          <w:tcPr>
            <w:tcW w:w="3560" w:type="dxa"/>
            <w:vAlign w:val="bottom"/>
            <w:shd w:val="clear" w:color="auto" w:fill="DBDBDB"/>
          </w:tcPr>
          <w:p>
            <w:pPr>
              <w:jc w:val="right"/>
              <w:ind w:right="82"/>
              <w:spacing w:after="0"/>
              <w:rPr>
                <w:sz w:val="20"/>
                <w:szCs w:val="20"/>
                <w:color w:val="auto"/>
              </w:rPr>
            </w:pPr>
            <w:r>
              <w:rPr>
                <w:rFonts w:ascii="Arial" w:cs="Arial" w:eastAsia="Arial" w:hAnsi="Arial"/>
                <w:sz w:val="16"/>
                <w:szCs w:val="16"/>
                <w:color w:val="auto"/>
              </w:rPr>
              <w:t>320,621</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162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Pr>
          <w:p>
            <w:pPr>
              <w:ind w:left="680"/>
              <w:spacing w:after="0"/>
              <w:rPr>
                <w:sz w:val="20"/>
                <w:szCs w:val="20"/>
                <w:color w:val="auto"/>
              </w:rPr>
            </w:pPr>
            <w:r>
              <w:rPr>
                <w:rFonts w:ascii="Arial" w:cs="Arial" w:eastAsia="Arial" w:hAnsi="Arial"/>
                <w:sz w:val="16"/>
                <w:szCs w:val="16"/>
                <w:color w:val="auto"/>
              </w:rPr>
              <w:t>Joanna M. Totsky</w:t>
            </w:r>
          </w:p>
        </w:tc>
        <w:tc>
          <w:tcPr>
            <w:tcW w:w="3560" w:type="dxa"/>
            <w:vAlign w:val="bottom"/>
          </w:tcPr>
          <w:p>
            <w:pPr>
              <w:jc w:val="right"/>
              <w:ind w:right="82"/>
              <w:spacing w:after="0"/>
              <w:rPr>
                <w:sz w:val="20"/>
                <w:szCs w:val="20"/>
                <w:color w:val="auto"/>
              </w:rPr>
            </w:pPr>
            <w:r>
              <w:rPr>
                <w:rFonts w:ascii="Arial" w:cs="Arial" w:eastAsia="Arial" w:hAnsi="Arial"/>
                <w:sz w:val="16"/>
                <w:szCs w:val="16"/>
                <w:color w:val="auto"/>
              </w:rPr>
              <w:t>0</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8"/>
        </w:trPr>
        <w:tc>
          <w:tcPr>
            <w:tcW w:w="16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Borders>
              <w:bottom w:val="single" w:sz="8" w:color="DBDBDB"/>
            </w:tcBorders>
            <w:shd w:val="clear" w:color="auto" w:fill="DBDBDB"/>
          </w:tcPr>
          <w:p>
            <w:pPr>
              <w:ind w:left="680"/>
              <w:spacing w:after="0"/>
              <w:rPr>
                <w:sz w:val="20"/>
                <w:szCs w:val="20"/>
                <w:color w:val="auto"/>
              </w:rPr>
            </w:pPr>
            <w:r>
              <w:rPr>
                <w:rFonts w:ascii="Arial" w:cs="Arial" w:eastAsia="Arial" w:hAnsi="Arial"/>
                <w:sz w:val="16"/>
                <w:szCs w:val="16"/>
                <w:color w:val="auto"/>
              </w:rPr>
              <w:t>Amy E. Dahl</w:t>
            </w:r>
          </w:p>
        </w:tc>
        <w:tc>
          <w:tcPr>
            <w:tcW w:w="3560" w:type="dxa"/>
            <w:vAlign w:val="bottom"/>
            <w:tcBorders>
              <w:bottom w:val="single" w:sz="8" w:color="DBDBDB"/>
            </w:tcBorders>
            <w:shd w:val="clear" w:color="auto" w:fill="DBDBDB"/>
          </w:tcPr>
          <w:p>
            <w:pPr>
              <w:jc w:val="right"/>
              <w:ind w:right="82"/>
              <w:spacing w:after="0"/>
              <w:rPr>
                <w:sz w:val="20"/>
                <w:szCs w:val="20"/>
                <w:color w:val="auto"/>
              </w:rPr>
            </w:pPr>
            <w:r>
              <w:rPr>
                <w:rFonts w:ascii="Arial" w:cs="Arial" w:eastAsia="Arial" w:hAnsi="Arial"/>
                <w:sz w:val="16"/>
                <w:szCs w:val="16"/>
                <w:color w:val="auto"/>
              </w:rPr>
              <w:t>164,936</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43"/>
        </w:trPr>
        <w:tc>
          <w:tcPr>
            <w:tcW w:w="162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Pr>
          <w:p>
            <w:pPr>
              <w:ind w:left="680"/>
              <w:spacing w:after="0"/>
              <w:rPr>
                <w:sz w:val="20"/>
                <w:szCs w:val="20"/>
                <w:color w:val="auto"/>
              </w:rPr>
            </w:pPr>
            <w:r>
              <w:rPr>
                <w:rFonts w:ascii="Arial" w:cs="Arial" w:eastAsia="Arial" w:hAnsi="Arial"/>
                <w:sz w:val="16"/>
                <w:szCs w:val="16"/>
                <w:color w:val="auto"/>
              </w:rPr>
              <w:t>Richard W. Rodier</w:t>
            </w:r>
            <w:r>
              <w:rPr>
                <w:rFonts w:ascii="Arial" w:cs="Arial" w:eastAsia="Arial" w:hAnsi="Arial"/>
                <w:sz w:val="21"/>
                <w:szCs w:val="21"/>
                <w:color w:val="auto"/>
                <w:vertAlign w:val="superscript"/>
              </w:rPr>
              <w:t>7</w:t>
            </w:r>
          </w:p>
        </w:tc>
        <w:tc>
          <w:tcPr>
            <w:tcW w:w="3560" w:type="dxa"/>
            <w:vAlign w:val="bottom"/>
          </w:tcPr>
          <w:p>
            <w:pPr>
              <w:jc w:val="right"/>
              <w:ind w:right="82"/>
              <w:spacing w:after="0"/>
              <w:rPr>
                <w:sz w:val="20"/>
                <w:szCs w:val="20"/>
                <w:color w:val="auto"/>
              </w:rPr>
            </w:pPr>
            <w:r>
              <w:rPr>
                <w:rFonts w:ascii="Arial" w:cs="Arial" w:eastAsia="Arial" w:hAnsi="Arial"/>
                <w:sz w:val="16"/>
                <w:szCs w:val="16"/>
                <w:color w:val="auto"/>
              </w:rPr>
              <w:t>145,531</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23"/>
        </w:trPr>
        <w:tc>
          <w:tcPr>
            <w:tcW w:w="1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Borders>
              <w:bottom w:val="single" w:sz="8" w:color="DBDBDB"/>
            </w:tcBorders>
            <w:shd w:val="clear" w:color="auto" w:fill="DBDBDB"/>
          </w:tcPr>
          <w:p>
            <w:pPr>
              <w:ind w:left="680"/>
              <w:spacing w:after="0"/>
              <w:rPr>
                <w:sz w:val="20"/>
                <w:szCs w:val="20"/>
                <w:color w:val="auto"/>
              </w:rPr>
            </w:pPr>
            <w:r>
              <w:rPr>
                <w:rFonts w:ascii="Arial" w:cs="Arial" w:eastAsia="Arial" w:hAnsi="Arial"/>
                <w:sz w:val="16"/>
                <w:szCs w:val="16"/>
                <w:color w:val="auto"/>
              </w:rPr>
              <w:t>Gregory S. Janey</w:t>
            </w:r>
          </w:p>
        </w:tc>
        <w:tc>
          <w:tcPr>
            <w:tcW w:w="3560" w:type="dxa"/>
            <w:vAlign w:val="bottom"/>
            <w:tcBorders>
              <w:bottom w:val="single" w:sz="8" w:color="DBDBDB"/>
            </w:tcBorders>
            <w:shd w:val="clear" w:color="auto" w:fill="DBDBDB"/>
          </w:tcPr>
          <w:p>
            <w:pPr>
              <w:jc w:val="right"/>
              <w:ind w:right="82"/>
              <w:spacing w:after="0"/>
              <w:rPr>
                <w:sz w:val="20"/>
                <w:szCs w:val="20"/>
                <w:color w:val="auto"/>
              </w:rPr>
            </w:pPr>
            <w:r>
              <w:rPr>
                <w:rFonts w:ascii="Arial" w:cs="Arial" w:eastAsia="Arial" w:hAnsi="Arial"/>
                <w:sz w:val="16"/>
                <w:szCs w:val="16"/>
                <w:color w:val="auto"/>
              </w:rPr>
              <w:t>59,561</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5880" w:type="dxa"/>
            <w:vAlign w:val="bottom"/>
            <w:gridSpan w:val="2"/>
          </w:tcPr>
          <w:p>
            <w:pPr>
              <w:ind w:left="20"/>
              <w:spacing w:after="0"/>
              <w:rPr>
                <w:sz w:val="20"/>
                <w:szCs w:val="20"/>
                <w:color w:val="auto"/>
              </w:rPr>
            </w:pPr>
            <w:r>
              <w:rPr>
                <w:rFonts w:ascii="Arial" w:cs="Arial" w:eastAsia="Arial" w:hAnsi="Arial"/>
                <w:sz w:val="16"/>
                <w:szCs w:val="16"/>
                <w:color w:val="auto"/>
              </w:rPr>
              <w:t>All Current Directors and Executive Officers as a Group (20)</w:t>
            </w:r>
          </w:p>
        </w:tc>
        <w:tc>
          <w:tcPr>
            <w:tcW w:w="3560" w:type="dxa"/>
            <w:vAlign w:val="bottom"/>
          </w:tcPr>
          <w:p>
            <w:pPr>
              <w:jc w:val="right"/>
              <w:ind w:right="82"/>
              <w:spacing w:after="0"/>
              <w:rPr>
                <w:sz w:val="20"/>
                <w:szCs w:val="20"/>
                <w:color w:val="auto"/>
              </w:rPr>
            </w:pPr>
            <w:r>
              <w:rPr>
                <w:rFonts w:ascii="Arial" w:cs="Arial" w:eastAsia="Arial" w:hAnsi="Arial"/>
                <w:sz w:val="16"/>
                <w:szCs w:val="16"/>
                <w:color w:val="auto"/>
              </w:rPr>
              <w:t>1,689,826</w:t>
            </w:r>
          </w:p>
        </w:tc>
        <w:tc>
          <w:tcPr>
            <w:tcW w:w="1080" w:type="dxa"/>
            <w:vAlign w:val="bottom"/>
          </w:tcPr>
          <w:p>
            <w:pPr>
              <w:jc w:val="center"/>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9888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of the outstanding shares of our common stock.</w:t>
      </w:r>
    </w:p>
    <w:p>
      <w:pPr>
        <w:spacing w:after="0" w:line="117" w:lineRule="exact"/>
        <w:rPr>
          <w:sz w:val="20"/>
          <w:szCs w:val="20"/>
          <w:color w:val="auto"/>
        </w:rPr>
      </w:pPr>
    </w:p>
    <w:p>
      <w:pPr>
        <w:ind w:left="340" w:right="60" w:hanging="332"/>
        <w:spacing w:after="0" w:line="252" w:lineRule="auto"/>
        <w:tabs>
          <w:tab w:leader="none" w:pos="3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in the footnotes to this table, the persons in this table have sole voting and investment power with respect to all shares of our common stock shown as beneficially owned by them, subject to community property laws, where applicable.</w:t>
      </w:r>
    </w:p>
    <w:p>
      <w:pPr>
        <w:spacing w:after="0" w:line="8" w:lineRule="exact"/>
        <w:rPr>
          <w:rFonts w:ascii="Arial" w:cs="Arial" w:eastAsia="Arial" w:hAnsi="Arial"/>
          <w:sz w:val="18"/>
          <w:szCs w:val="18"/>
          <w:color w:val="auto"/>
        </w:rPr>
      </w:pPr>
    </w:p>
    <w:p>
      <w:pPr>
        <w:ind w:left="340" w:hanging="332"/>
        <w:spacing w:after="0" w:line="248" w:lineRule="auto"/>
        <w:tabs>
          <w:tab w:leader="none" w:pos="3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Beneficial ownership also includes: (a) shares that a person has the right to acquire within 60 days of January 22, 2024, and, as such, includes shares that may be acquired upon exercise of stock options and vesting of restricted stock units within 60 days of January 22, 2024; (b) shares allocated to executive officers under the Retirement Plan; and (c) common stock units and performance share units, collectively referred to as units, credited under the Deferred Plan for Directors and Deferred Plan for Officers. The following table reflects the beneficial ownership by type of security held by our non-employee directors, NEOs, and all current directors and 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5" w:right="359" w:bottom="1440" w:gutter="0" w:footer="0" w:header="0"/>
        </w:sectPr>
      </w:pPr>
    </w:p>
    <w:bookmarkStart w:id="82" w:name="page83"/>
    <w:bookmarkEnd w:id="82"/>
    <w:tbl>
      <w:tblPr>
        <w:tblLayout w:type="fixed"/>
        <w:tblInd w:w="392" w:type="dxa"/>
        <w:tblCellMar>
          <w:top w:w="0" w:type="dxa"/>
          <w:left w:w="0" w:type="dxa"/>
          <w:bottom w:w="0" w:type="dxa"/>
          <w:right w:w="0" w:type="dxa"/>
        </w:tblCellMar>
      </w:tblPr>
      <w:tr>
        <w:trPr>
          <w:trHeight w:val="207"/>
        </w:trPr>
        <w:tc>
          <w:tcPr>
            <w:tcW w:w="3780" w:type="dxa"/>
            <w:vAlign w:val="bottom"/>
            <w:shd w:val="clear" w:color="auto" w:fill="BF2115"/>
          </w:tcPr>
          <w:p>
            <w:pPr>
              <w:spacing w:after="0"/>
              <w:rPr>
                <w:sz w:val="17"/>
                <w:szCs w:val="17"/>
                <w:color w:val="auto"/>
              </w:rPr>
            </w:pPr>
          </w:p>
        </w:tc>
        <w:tc>
          <w:tcPr>
            <w:tcW w:w="1200" w:type="dxa"/>
            <w:vAlign w:val="bottom"/>
            <w:shd w:val="clear" w:color="auto" w:fill="BF2115"/>
          </w:tcPr>
          <w:p>
            <w:pPr>
              <w:spacing w:after="0"/>
              <w:rPr>
                <w:sz w:val="17"/>
                <w:szCs w:val="17"/>
                <w:color w:val="auto"/>
              </w:rPr>
            </w:pPr>
          </w:p>
        </w:tc>
        <w:tc>
          <w:tcPr>
            <w:tcW w:w="1100" w:type="dxa"/>
            <w:vAlign w:val="bottom"/>
            <w:shd w:val="clear" w:color="auto" w:fill="BF2115"/>
          </w:tcPr>
          <w:p>
            <w:pPr>
              <w:spacing w:after="0"/>
              <w:rPr>
                <w:sz w:val="17"/>
                <w:szCs w:val="17"/>
                <w:color w:val="auto"/>
              </w:rPr>
            </w:pPr>
          </w:p>
        </w:tc>
        <w:tc>
          <w:tcPr>
            <w:tcW w:w="1160" w:type="dxa"/>
            <w:vAlign w:val="bottom"/>
            <w:shd w:val="clear" w:color="auto" w:fill="BF2115"/>
          </w:tcPr>
          <w:p>
            <w:pPr>
              <w:spacing w:after="0"/>
              <w:rPr>
                <w:sz w:val="17"/>
                <w:szCs w:val="17"/>
                <w:color w:val="auto"/>
              </w:rPr>
            </w:pPr>
          </w:p>
        </w:tc>
        <w:tc>
          <w:tcPr>
            <w:tcW w:w="1500" w:type="dxa"/>
            <w:vAlign w:val="bottom"/>
            <w:shd w:val="clear" w:color="auto" w:fill="BF2115"/>
          </w:tcPr>
          <w:p>
            <w:pPr>
              <w:jc w:val="center"/>
              <w:ind w:right="60"/>
              <w:spacing w:after="0"/>
              <w:rPr>
                <w:sz w:val="20"/>
                <w:szCs w:val="20"/>
                <w:color w:val="auto"/>
              </w:rPr>
            </w:pPr>
            <w:r>
              <w:rPr>
                <w:rFonts w:ascii="Arial" w:cs="Arial" w:eastAsia="Arial" w:hAnsi="Arial"/>
                <w:sz w:val="14"/>
                <w:szCs w:val="14"/>
                <w:b w:val="1"/>
                <w:bCs w:val="1"/>
                <w:color w:val="FFFFFF"/>
              </w:rPr>
              <w:t>Units under the</w:t>
            </w:r>
          </w:p>
        </w:tc>
        <w:tc>
          <w:tcPr>
            <w:tcW w:w="13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Units under the</w:t>
            </w:r>
          </w:p>
        </w:tc>
        <w:tc>
          <w:tcPr>
            <w:tcW w:w="0" w:type="dxa"/>
            <w:vAlign w:val="bottom"/>
          </w:tcPr>
          <w:p>
            <w:pPr>
              <w:spacing w:after="0"/>
              <w:rPr>
                <w:sz w:val="1"/>
                <w:szCs w:val="1"/>
                <w:color w:val="auto"/>
              </w:rPr>
            </w:pPr>
          </w:p>
        </w:tc>
      </w:tr>
      <w:tr>
        <w:trPr>
          <w:trHeight w:val="176"/>
        </w:trPr>
        <w:tc>
          <w:tcPr>
            <w:tcW w:w="3780" w:type="dxa"/>
            <w:vAlign w:val="bottom"/>
            <w:shd w:val="clear" w:color="auto" w:fill="BF2115"/>
          </w:tcPr>
          <w:p>
            <w:pPr>
              <w:spacing w:after="0"/>
              <w:rPr>
                <w:sz w:val="15"/>
                <w:szCs w:val="15"/>
                <w:color w:val="auto"/>
              </w:rPr>
            </w:pPr>
          </w:p>
        </w:tc>
        <w:tc>
          <w:tcPr>
            <w:tcW w:w="1200" w:type="dxa"/>
            <w:vAlign w:val="bottom"/>
            <w:shd w:val="clear" w:color="auto" w:fill="BF2115"/>
          </w:tcPr>
          <w:p>
            <w:pPr>
              <w:jc w:val="right"/>
              <w:ind w:right="360"/>
              <w:spacing w:after="0"/>
              <w:rPr>
                <w:sz w:val="20"/>
                <w:szCs w:val="20"/>
                <w:color w:val="auto"/>
              </w:rPr>
            </w:pPr>
            <w:r>
              <w:rPr>
                <w:rFonts w:ascii="Arial" w:cs="Arial" w:eastAsia="Arial" w:hAnsi="Arial"/>
                <w:sz w:val="14"/>
                <w:szCs w:val="14"/>
                <w:b w:val="1"/>
                <w:bCs w:val="1"/>
                <w:color w:val="FFFFFF"/>
              </w:rPr>
              <w:t>Stock</w:t>
            </w:r>
          </w:p>
        </w:tc>
        <w:tc>
          <w:tcPr>
            <w:tcW w:w="1100" w:type="dxa"/>
            <w:vAlign w:val="bottom"/>
            <w:vMerge w:val="restart"/>
            <w:shd w:val="clear" w:color="auto" w:fill="BF2115"/>
          </w:tcPr>
          <w:p>
            <w:pPr>
              <w:jc w:val="right"/>
              <w:ind w:right="200"/>
              <w:spacing w:after="0"/>
              <w:rPr>
                <w:sz w:val="20"/>
                <w:szCs w:val="20"/>
                <w:color w:val="auto"/>
              </w:rPr>
            </w:pPr>
            <w:r>
              <w:rPr>
                <w:rFonts w:ascii="Arial" w:cs="Arial" w:eastAsia="Arial" w:hAnsi="Arial"/>
                <w:sz w:val="14"/>
                <w:szCs w:val="14"/>
                <w:b w:val="1"/>
                <w:bCs w:val="1"/>
                <w:color w:val="FFFFFF"/>
              </w:rPr>
              <w:t>Retricted</w:t>
            </w:r>
          </w:p>
        </w:tc>
        <w:tc>
          <w:tcPr>
            <w:tcW w:w="1160" w:type="dxa"/>
            <w:vAlign w:val="bottom"/>
            <w:vMerge w:val="restart"/>
            <w:shd w:val="clear" w:color="auto" w:fill="BF2115"/>
          </w:tcPr>
          <w:p>
            <w:pPr>
              <w:jc w:val="right"/>
              <w:ind w:right="180"/>
              <w:spacing w:after="0"/>
              <w:rPr>
                <w:sz w:val="20"/>
                <w:szCs w:val="20"/>
                <w:color w:val="auto"/>
              </w:rPr>
            </w:pPr>
            <w:r>
              <w:rPr>
                <w:rFonts w:ascii="Arial" w:cs="Arial" w:eastAsia="Arial" w:hAnsi="Arial"/>
                <w:sz w:val="14"/>
                <w:szCs w:val="14"/>
                <w:b w:val="1"/>
                <w:bCs w:val="1"/>
                <w:color w:val="FFFFFF"/>
              </w:rPr>
              <w:t>Retirement</w:t>
            </w:r>
          </w:p>
        </w:tc>
        <w:tc>
          <w:tcPr>
            <w:tcW w:w="1500" w:type="dxa"/>
            <w:vAlign w:val="bottom"/>
            <w:shd w:val="clear" w:color="auto" w:fill="BF2115"/>
          </w:tcPr>
          <w:p>
            <w:pPr>
              <w:jc w:val="center"/>
              <w:ind w:right="60"/>
              <w:spacing w:after="0"/>
              <w:rPr>
                <w:sz w:val="20"/>
                <w:szCs w:val="20"/>
                <w:color w:val="auto"/>
              </w:rPr>
            </w:pPr>
            <w:r>
              <w:rPr>
                <w:rFonts w:ascii="Arial" w:cs="Arial" w:eastAsia="Arial" w:hAnsi="Arial"/>
                <w:sz w:val="14"/>
                <w:szCs w:val="14"/>
                <w:b w:val="1"/>
                <w:bCs w:val="1"/>
                <w:color w:val="FFFFFF"/>
              </w:rPr>
              <w:t>Deferred Plan</w:t>
            </w:r>
          </w:p>
        </w:tc>
        <w:tc>
          <w:tcPr>
            <w:tcW w:w="13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Deferred Plan</w:t>
            </w:r>
          </w:p>
        </w:tc>
        <w:tc>
          <w:tcPr>
            <w:tcW w:w="0" w:type="dxa"/>
            <w:vAlign w:val="bottom"/>
          </w:tcPr>
          <w:p>
            <w:pPr>
              <w:spacing w:after="0"/>
              <w:rPr>
                <w:sz w:val="1"/>
                <w:szCs w:val="1"/>
                <w:color w:val="auto"/>
              </w:rPr>
            </w:pPr>
          </w:p>
        </w:tc>
      </w:tr>
      <w:tr>
        <w:trPr>
          <w:trHeight w:val="27"/>
        </w:trPr>
        <w:tc>
          <w:tcPr>
            <w:tcW w:w="3780" w:type="dxa"/>
            <w:vAlign w:val="bottom"/>
            <w:vMerge w:val="restart"/>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200" w:type="dxa"/>
            <w:vAlign w:val="bottom"/>
            <w:vMerge w:val="restart"/>
            <w:shd w:val="clear" w:color="auto" w:fill="BF2115"/>
          </w:tcPr>
          <w:p>
            <w:pPr>
              <w:jc w:val="right"/>
              <w:ind w:right="280"/>
              <w:spacing w:after="0"/>
              <w:rPr>
                <w:sz w:val="20"/>
                <w:szCs w:val="20"/>
                <w:color w:val="auto"/>
              </w:rPr>
            </w:pPr>
            <w:r>
              <w:rPr>
                <w:rFonts w:ascii="Arial" w:cs="Arial" w:eastAsia="Arial" w:hAnsi="Arial"/>
                <w:sz w:val="14"/>
                <w:szCs w:val="14"/>
                <w:b w:val="1"/>
                <w:bCs w:val="1"/>
                <w:color w:val="FFFFFF"/>
              </w:rPr>
              <w:t>Options</w:t>
            </w:r>
          </w:p>
        </w:tc>
        <w:tc>
          <w:tcPr>
            <w:tcW w:w="1100" w:type="dxa"/>
            <w:vAlign w:val="bottom"/>
            <w:vMerge w:val="continue"/>
            <w:shd w:val="clear" w:color="auto" w:fill="BF2115"/>
          </w:tcPr>
          <w:p>
            <w:pPr>
              <w:spacing w:after="0"/>
              <w:rPr>
                <w:sz w:val="2"/>
                <w:szCs w:val="2"/>
                <w:color w:val="auto"/>
              </w:rPr>
            </w:pPr>
          </w:p>
        </w:tc>
        <w:tc>
          <w:tcPr>
            <w:tcW w:w="1160" w:type="dxa"/>
            <w:vAlign w:val="bottom"/>
            <w:vMerge w:val="continue"/>
            <w:shd w:val="clear" w:color="auto" w:fill="BF2115"/>
          </w:tcPr>
          <w:p>
            <w:pPr>
              <w:spacing w:after="0"/>
              <w:rPr>
                <w:sz w:val="2"/>
                <w:szCs w:val="2"/>
                <w:color w:val="auto"/>
              </w:rPr>
            </w:pPr>
          </w:p>
        </w:tc>
        <w:tc>
          <w:tcPr>
            <w:tcW w:w="1500" w:type="dxa"/>
            <w:vAlign w:val="bottom"/>
            <w:vMerge w:val="restart"/>
            <w:shd w:val="clear" w:color="auto" w:fill="BF2115"/>
          </w:tcPr>
          <w:p>
            <w:pPr>
              <w:jc w:val="center"/>
              <w:ind w:right="60"/>
              <w:spacing w:after="0"/>
              <w:rPr>
                <w:sz w:val="20"/>
                <w:szCs w:val="20"/>
                <w:color w:val="auto"/>
              </w:rPr>
            </w:pPr>
            <w:r>
              <w:rPr>
                <w:rFonts w:ascii="Arial" w:cs="Arial" w:eastAsia="Arial" w:hAnsi="Arial"/>
                <w:sz w:val="14"/>
                <w:szCs w:val="14"/>
                <w:b w:val="1"/>
                <w:bCs w:val="1"/>
                <w:color w:val="FFFFFF"/>
              </w:rPr>
              <w:t>for Directors</w:t>
            </w:r>
          </w:p>
        </w:tc>
        <w:tc>
          <w:tcPr>
            <w:tcW w:w="138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for Officers</w:t>
            </w:r>
          </w:p>
        </w:tc>
        <w:tc>
          <w:tcPr>
            <w:tcW w:w="0" w:type="dxa"/>
            <w:vAlign w:val="bottom"/>
          </w:tcPr>
          <w:p>
            <w:pPr>
              <w:spacing w:after="0" w:line="20" w:lineRule="exact"/>
              <w:rPr>
                <w:sz w:val="1"/>
                <w:szCs w:val="1"/>
                <w:color w:val="auto"/>
              </w:rPr>
            </w:pPr>
          </w:p>
        </w:tc>
      </w:tr>
      <w:tr>
        <w:trPr>
          <w:trHeight w:val="185"/>
        </w:trPr>
        <w:tc>
          <w:tcPr>
            <w:tcW w:w="3780" w:type="dxa"/>
            <w:vAlign w:val="bottom"/>
            <w:vMerge w:val="continue"/>
            <w:shd w:val="clear" w:color="auto" w:fill="BF2115"/>
          </w:tcPr>
          <w:p>
            <w:pPr>
              <w:spacing w:after="0"/>
              <w:rPr>
                <w:sz w:val="16"/>
                <w:szCs w:val="16"/>
                <w:color w:val="auto"/>
              </w:rPr>
            </w:pPr>
          </w:p>
        </w:tc>
        <w:tc>
          <w:tcPr>
            <w:tcW w:w="1200" w:type="dxa"/>
            <w:vAlign w:val="bottom"/>
            <w:vMerge w:val="continue"/>
            <w:shd w:val="clear" w:color="auto" w:fill="BF2115"/>
          </w:tcPr>
          <w:p>
            <w:pPr>
              <w:spacing w:after="0"/>
              <w:rPr>
                <w:sz w:val="16"/>
                <w:szCs w:val="16"/>
                <w:color w:val="auto"/>
              </w:rPr>
            </w:pPr>
          </w:p>
        </w:tc>
        <w:tc>
          <w:tcPr>
            <w:tcW w:w="1100" w:type="dxa"/>
            <w:vAlign w:val="bottom"/>
            <w:shd w:val="clear" w:color="auto" w:fill="BF2115"/>
          </w:tcPr>
          <w:p>
            <w:pPr>
              <w:jc w:val="right"/>
              <w:ind w:right="120"/>
              <w:spacing w:after="0"/>
              <w:rPr>
                <w:sz w:val="20"/>
                <w:szCs w:val="20"/>
                <w:color w:val="auto"/>
              </w:rPr>
            </w:pPr>
            <w:r>
              <w:rPr>
                <w:rFonts w:ascii="Arial" w:cs="Arial" w:eastAsia="Arial" w:hAnsi="Arial"/>
                <w:sz w:val="14"/>
                <w:szCs w:val="14"/>
                <w:b w:val="1"/>
                <w:bCs w:val="1"/>
                <w:color w:val="FFFFFF"/>
              </w:rPr>
              <w:t>Stock Units</w:t>
            </w:r>
          </w:p>
        </w:tc>
        <w:tc>
          <w:tcPr>
            <w:tcW w:w="1160" w:type="dxa"/>
            <w:vAlign w:val="bottom"/>
            <w:shd w:val="clear" w:color="auto" w:fill="BF2115"/>
          </w:tcPr>
          <w:p>
            <w:pPr>
              <w:jc w:val="right"/>
              <w:ind w:right="420"/>
              <w:spacing w:after="0"/>
              <w:rPr>
                <w:sz w:val="20"/>
                <w:szCs w:val="20"/>
                <w:color w:val="auto"/>
              </w:rPr>
            </w:pPr>
            <w:r>
              <w:rPr>
                <w:rFonts w:ascii="Arial" w:cs="Arial" w:eastAsia="Arial" w:hAnsi="Arial"/>
                <w:sz w:val="14"/>
                <w:szCs w:val="14"/>
                <w:b w:val="1"/>
                <w:bCs w:val="1"/>
                <w:color w:val="FFFFFF"/>
              </w:rPr>
              <w:t>Plan</w:t>
            </w:r>
          </w:p>
        </w:tc>
        <w:tc>
          <w:tcPr>
            <w:tcW w:w="1500" w:type="dxa"/>
            <w:vAlign w:val="bottom"/>
            <w:vMerge w:val="continue"/>
            <w:shd w:val="clear" w:color="auto" w:fill="BF2115"/>
          </w:tcPr>
          <w:p>
            <w:pPr>
              <w:spacing w:after="0"/>
              <w:rPr>
                <w:sz w:val="16"/>
                <w:szCs w:val="16"/>
                <w:color w:val="auto"/>
              </w:rPr>
            </w:pPr>
          </w:p>
        </w:tc>
        <w:tc>
          <w:tcPr>
            <w:tcW w:w="1380" w:type="dxa"/>
            <w:vAlign w:val="bottom"/>
            <w:vMerge w:val="continue"/>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Non-Employee Directors:</w:t>
            </w: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Janet K. Cooper</w:t>
            </w:r>
          </w:p>
        </w:tc>
        <w:tc>
          <w:tcPr>
            <w:tcW w:w="120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6"/>
                <w:szCs w:val="16"/>
                <w:color w:val="auto"/>
              </w:rPr>
              <w:t>22,180</w:t>
            </w:r>
          </w:p>
        </w:tc>
        <w:tc>
          <w:tcPr>
            <w:tcW w:w="110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6"/>
                <w:szCs w:val="16"/>
                <w:color w:val="auto"/>
              </w:rPr>
              <w:t>48,169</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80" w:type="dxa"/>
            <w:vAlign w:val="bottom"/>
          </w:tcPr>
          <w:p>
            <w:pPr>
              <w:ind w:left="220"/>
              <w:spacing w:after="0"/>
              <w:rPr>
                <w:sz w:val="20"/>
                <w:szCs w:val="20"/>
                <w:color w:val="auto"/>
              </w:rPr>
            </w:pPr>
            <w:r>
              <w:rPr>
                <w:rFonts w:ascii="Arial" w:cs="Arial" w:eastAsia="Arial" w:hAnsi="Arial"/>
                <w:sz w:val="16"/>
                <w:szCs w:val="16"/>
                <w:color w:val="auto"/>
              </w:rPr>
              <w:t>Dianne C. Craig</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Gary L. Ellis</w:t>
            </w:r>
          </w:p>
        </w:tc>
        <w:tc>
          <w:tcPr>
            <w:tcW w:w="120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6"/>
                <w:szCs w:val="16"/>
                <w:color w:val="auto"/>
              </w:rPr>
              <w:t>32,410</w:t>
            </w:r>
          </w:p>
        </w:tc>
        <w:tc>
          <w:tcPr>
            <w:tcW w:w="110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6"/>
                <w:szCs w:val="16"/>
                <w:color w:val="auto"/>
              </w:rPr>
              <w:t>4,008</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80" w:type="dxa"/>
            <w:vAlign w:val="bottom"/>
          </w:tcPr>
          <w:p>
            <w:pPr>
              <w:ind w:left="220"/>
              <w:spacing w:after="0"/>
              <w:rPr>
                <w:sz w:val="20"/>
                <w:szCs w:val="20"/>
                <w:color w:val="auto"/>
              </w:rPr>
            </w:pPr>
            <w:r>
              <w:rPr>
                <w:rFonts w:ascii="Arial" w:cs="Arial" w:eastAsia="Arial" w:hAnsi="Arial"/>
                <w:sz w:val="16"/>
                <w:szCs w:val="16"/>
                <w:color w:val="auto"/>
              </w:rPr>
              <w:t>Eric P. Hansotia</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556</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Jeffrey L. Harmening</w:t>
            </w:r>
          </w:p>
        </w:tc>
        <w:tc>
          <w:tcPr>
            <w:tcW w:w="120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6"/>
                <w:szCs w:val="16"/>
                <w:color w:val="auto"/>
              </w:rPr>
              <w:t>8,901</w:t>
            </w:r>
          </w:p>
        </w:tc>
        <w:tc>
          <w:tcPr>
            <w:tcW w:w="110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6"/>
                <w:szCs w:val="16"/>
                <w:color w:val="auto"/>
              </w:rPr>
              <w:t>0</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80" w:type="dxa"/>
            <w:vAlign w:val="bottom"/>
          </w:tcPr>
          <w:p>
            <w:pPr>
              <w:ind w:left="220"/>
              <w:spacing w:after="0"/>
              <w:rPr>
                <w:sz w:val="20"/>
                <w:szCs w:val="20"/>
                <w:color w:val="auto"/>
              </w:rPr>
            </w:pPr>
            <w:r>
              <w:rPr>
                <w:rFonts w:ascii="Arial" w:cs="Arial" w:eastAsia="Arial" w:hAnsi="Arial"/>
                <w:sz w:val="16"/>
                <w:szCs w:val="16"/>
                <w:color w:val="auto"/>
              </w:rPr>
              <w:t>D. Christian Koch</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22,180</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Joyce A. Mullen</w:t>
            </w:r>
          </w:p>
        </w:tc>
        <w:tc>
          <w:tcPr>
            <w:tcW w:w="120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6"/>
                <w:szCs w:val="16"/>
                <w:color w:val="auto"/>
              </w:rPr>
              <w:t>8,901</w:t>
            </w:r>
          </w:p>
        </w:tc>
        <w:tc>
          <w:tcPr>
            <w:tcW w:w="110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6"/>
                <w:szCs w:val="16"/>
                <w:color w:val="auto"/>
              </w:rPr>
              <w:t>4,406</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80" w:type="dxa"/>
            <w:vAlign w:val="bottom"/>
          </w:tcPr>
          <w:p>
            <w:pPr>
              <w:ind w:left="220"/>
              <w:spacing w:after="0"/>
              <w:rPr>
                <w:sz w:val="20"/>
                <w:szCs w:val="20"/>
                <w:color w:val="auto"/>
              </w:rPr>
            </w:pPr>
            <w:r>
              <w:rPr>
                <w:rFonts w:ascii="Arial" w:cs="Arial" w:eastAsia="Arial" w:hAnsi="Arial"/>
                <w:sz w:val="16"/>
                <w:szCs w:val="16"/>
                <w:color w:val="auto"/>
              </w:rPr>
              <w:t>James C. O'Rourke</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27,218</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Jill M. Pemberton</w:t>
            </w:r>
          </w:p>
        </w:tc>
        <w:tc>
          <w:tcPr>
            <w:tcW w:w="120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6"/>
                <w:szCs w:val="16"/>
                <w:color w:val="auto"/>
              </w:rPr>
              <w:t>556</w:t>
            </w:r>
          </w:p>
        </w:tc>
        <w:tc>
          <w:tcPr>
            <w:tcW w:w="110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6"/>
                <w:szCs w:val="16"/>
                <w:color w:val="auto"/>
              </w:rPr>
              <w:t>952</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Named Executive Officers:</w:t>
            </w: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Richard M. Olson</w:t>
            </w:r>
          </w:p>
        </w:tc>
        <w:tc>
          <w:tcPr>
            <w:tcW w:w="120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6"/>
                <w:szCs w:val="16"/>
                <w:color w:val="auto"/>
              </w:rPr>
              <w:t>819,633</w:t>
            </w:r>
          </w:p>
        </w:tc>
        <w:tc>
          <w:tcPr>
            <w:tcW w:w="110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6"/>
                <w:szCs w:val="16"/>
                <w:color w:val="auto"/>
              </w:rPr>
              <w:t>17,089</w:t>
            </w:r>
          </w:p>
        </w:tc>
        <w:tc>
          <w:tcPr>
            <w:tcW w:w="150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164,001</w:t>
            </w:r>
          </w:p>
        </w:tc>
        <w:tc>
          <w:tcPr>
            <w:tcW w:w="0" w:type="dxa"/>
            <w:vAlign w:val="bottom"/>
          </w:tcPr>
          <w:p>
            <w:pPr>
              <w:spacing w:after="0"/>
              <w:rPr>
                <w:sz w:val="1"/>
                <w:szCs w:val="1"/>
                <w:color w:val="auto"/>
              </w:rPr>
            </w:pPr>
          </w:p>
        </w:tc>
      </w:tr>
      <w:tr>
        <w:trPr>
          <w:trHeight w:val="215"/>
        </w:trPr>
        <w:tc>
          <w:tcPr>
            <w:tcW w:w="3780" w:type="dxa"/>
            <w:vAlign w:val="bottom"/>
          </w:tcPr>
          <w:p>
            <w:pPr>
              <w:ind w:left="220"/>
              <w:spacing w:after="0"/>
              <w:rPr>
                <w:sz w:val="20"/>
                <w:szCs w:val="20"/>
                <w:color w:val="auto"/>
              </w:rPr>
            </w:pPr>
            <w:r>
              <w:rPr>
                <w:rFonts w:ascii="Arial" w:cs="Arial" w:eastAsia="Arial" w:hAnsi="Arial"/>
                <w:sz w:val="16"/>
                <w:szCs w:val="16"/>
                <w:color w:val="auto"/>
              </w:rPr>
              <w:t>Angela C. Drake</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15,134</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7,859</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91</w:t>
            </w: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28"/>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Renee J. Peterson</w:t>
            </w:r>
          </w:p>
        </w:tc>
        <w:tc>
          <w:tcPr>
            <w:tcW w:w="120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6"/>
                <w:szCs w:val="16"/>
                <w:color w:val="auto"/>
              </w:rPr>
              <w:t>172,700</w:t>
            </w:r>
          </w:p>
        </w:tc>
        <w:tc>
          <w:tcPr>
            <w:tcW w:w="110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6"/>
                <w:szCs w:val="16"/>
                <w:color w:val="auto"/>
              </w:rPr>
              <w:t>745</w:t>
            </w:r>
          </w:p>
        </w:tc>
        <w:tc>
          <w:tcPr>
            <w:tcW w:w="150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87,259</w:t>
            </w:r>
          </w:p>
        </w:tc>
        <w:tc>
          <w:tcPr>
            <w:tcW w:w="0" w:type="dxa"/>
            <w:vAlign w:val="bottom"/>
          </w:tcPr>
          <w:p>
            <w:pPr>
              <w:spacing w:after="0"/>
              <w:rPr>
                <w:sz w:val="1"/>
                <w:szCs w:val="1"/>
                <w:color w:val="auto"/>
              </w:rPr>
            </w:pPr>
          </w:p>
        </w:tc>
      </w:tr>
      <w:tr>
        <w:trPr>
          <w:trHeight w:val="215"/>
        </w:trPr>
        <w:tc>
          <w:tcPr>
            <w:tcW w:w="3780" w:type="dxa"/>
            <w:vAlign w:val="bottom"/>
          </w:tcPr>
          <w:p>
            <w:pPr>
              <w:ind w:left="220"/>
              <w:spacing w:after="0"/>
              <w:rPr>
                <w:sz w:val="20"/>
                <w:szCs w:val="20"/>
                <w:color w:val="auto"/>
              </w:rPr>
            </w:pPr>
            <w:r>
              <w:rPr>
                <w:rFonts w:ascii="Arial" w:cs="Arial" w:eastAsia="Arial" w:hAnsi="Arial"/>
                <w:sz w:val="16"/>
                <w:szCs w:val="16"/>
                <w:color w:val="auto"/>
              </w:rPr>
              <w:t>Joanna M. Totsky</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8"/>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Amy E. Dahl</w:t>
            </w:r>
          </w:p>
        </w:tc>
        <w:tc>
          <w:tcPr>
            <w:tcW w:w="120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6"/>
                <w:szCs w:val="16"/>
                <w:color w:val="auto"/>
              </w:rPr>
              <w:t>126,159</w:t>
            </w:r>
          </w:p>
        </w:tc>
        <w:tc>
          <w:tcPr>
            <w:tcW w:w="110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6"/>
                <w:szCs w:val="16"/>
                <w:color w:val="auto"/>
              </w:rPr>
              <w:t>3,921</w:t>
            </w:r>
          </w:p>
        </w:tc>
        <w:tc>
          <w:tcPr>
            <w:tcW w:w="150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16,069</w:t>
            </w:r>
          </w:p>
        </w:tc>
        <w:tc>
          <w:tcPr>
            <w:tcW w:w="0" w:type="dxa"/>
            <w:vAlign w:val="bottom"/>
          </w:tcPr>
          <w:p>
            <w:pPr>
              <w:spacing w:after="0"/>
              <w:rPr>
                <w:sz w:val="1"/>
                <w:szCs w:val="1"/>
                <w:color w:val="auto"/>
              </w:rPr>
            </w:pPr>
          </w:p>
        </w:tc>
      </w:tr>
      <w:tr>
        <w:trPr>
          <w:trHeight w:val="215"/>
        </w:trPr>
        <w:tc>
          <w:tcPr>
            <w:tcW w:w="3780" w:type="dxa"/>
            <w:vAlign w:val="bottom"/>
          </w:tcPr>
          <w:p>
            <w:pPr>
              <w:ind w:left="220"/>
              <w:spacing w:after="0"/>
              <w:rPr>
                <w:sz w:val="20"/>
                <w:szCs w:val="20"/>
                <w:color w:val="auto"/>
              </w:rPr>
            </w:pPr>
            <w:r>
              <w:rPr>
                <w:rFonts w:ascii="Arial" w:cs="Arial" w:eastAsia="Arial" w:hAnsi="Arial"/>
                <w:sz w:val="16"/>
                <w:szCs w:val="16"/>
                <w:color w:val="auto"/>
              </w:rPr>
              <w:t>Richard W. Rodier</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114,633</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2,834</w:t>
            </w: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6,158</w:t>
            </w:r>
          </w:p>
        </w:tc>
        <w:tc>
          <w:tcPr>
            <w:tcW w:w="0" w:type="dxa"/>
            <w:vAlign w:val="bottom"/>
          </w:tcPr>
          <w:p>
            <w:pPr>
              <w:spacing w:after="0"/>
              <w:rPr>
                <w:sz w:val="1"/>
                <w:szCs w:val="1"/>
                <w:color w:val="auto"/>
              </w:rPr>
            </w:pPr>
          </w:p>
        </w:tc>
      </w:tr>
      <w:tr>
        <w:trPr>
          <w:trHeight w:val="28"/>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Gregory S. Janey</w:t>
            </w:r>
          </w:p>
        </w:tc>
        <w:tc>
          <w:tcPr>
            <w:tcW w:w="120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6"/>
                <w:szCs w:val="16"/>
                <w:color w:val="auto"/>
              </w:rPr>
              <w:t>49,012</w:t>
            </w:r>
          </w:p>
        </w:tc>
        <w:tc>
          <w:tcPr>
            <w:tcW w:w="110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6"/>
                <w:szCs w:val="16"/>
                <w:color w:val="auto"/>
              </w:rPr>
              <w:t>2,127</w:t>
            </w:r>
          </w:p>
        </w:tc>
        <w:tc>
          <w:tcPr>
            <w:tcW w:w="150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5,165</w:t>
            </w: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Arial" w:cs="Arial" w:eastAsia="Arial" w:hAnsi="Arial"/>
                <w:sz w:val="16"/>
                <w:szCs w:val="16"/>
                <w:color w:val="auto"/>
              </w:rPr>
              <w:t>All Current Directors and Executive Officers as a</w:t>
            </w:r>
          </w:p>
        </w:tc>
        <w:tc>
          <w:tcPr>
            <w:tcW w:w="1200" w:type="dxa"/>
            <w:vAlign w:val="bottom"/>
            <w:vMerge w:val="restart"/>
          </w:tcPr>
          <w:p>
            <w:pPr>
              <w:jc w:val="right"/>
              <w:ind w:right="20"/>
              <w:spacing w:after="0"/>
              <w:rPr>
                <w:sz w:val="20"/>
                <w:szCs w:val="20"/>
                <w:color w:val="auto"/>
              </w:rPr>
            </w:pPr>
            <w:r>
              <w:rPr>
                <w:rFonts w:ascii="Arial" w:cs="Arial" w:eastAsia="Arial" w:hAnsi="Arial"/>
                <w:sz w:val="16"/>
                <w:szCs w:val="16"/>
                <w:color w:val="auto"/>
              </w:rPr>
              <w:t>1,235,737</w:t>
            </w:r>
          </w:p>
        </w:tc>
        <w:tc>
          <w:tcPr>
            <w:tcW w:w="1100" w:type="dxa"/>
            <w:vAlign w:val="bottom"/>
            <w:vMerge w:val="restart"/>
          </w:tcPr>
          <w:p>
            <w:pPr>
              <w:jc w:val="right"/>
              <w:ind w:right="40"/>
              <w:spacing w:after="0"/>
              <w:rPr>
                <w:sz w:val="20"/>
                <w:szCs w:val="20"/>
                <w:color w:val="auto"/>
              </w:rPr>
            </w:pPr>
            <w:r>
              <w:rPr>
                <w:rFonts w:ascii="Arial" w:cs="Arial" w:eastAsia="Arial" w:hAnsi="Arial"/>
                <w:sz w:val="16"/>
                <w:szCs w:val="16"/>
                <w:color w:val="auto"/>
              </w:rPr>
              <w:t>11,965</w:t>
            </w:r>
          </w:p>
        </w:tc>
        <w:tc>
          <w:tcPr>
            <w:tcW w:w="1160" w:type="dxa"/>
            <w:vAlign w:val="bottom"/>
            <w:vMerge w:val="restart"/>
          </w:tcPr>
          <w:p>
            <w:pPr>
              <w:jc w:val="right"/>
              <w:ind w:right="60"/>
              <w:spacing w:after="0"/>
              <w:rPr>
                <w:sz w:val="20"/>
                <w:szCs w:val="20"/>
                <w:color w:val="auto"/>
              </w:rPr>
            </w:pPr>
            <w:r>
              <w:rPr>
                <w:rFonts w:ascii="Arial" w:cs="Arial" w:eastAsia="Arial" w:hAnsi="Arial"/>
                <w:sz w:val="16"/>
                <w:szCs w:val="16"/>
                <w:color w:val="auto"/>
              </w:rPr>
              <w:t>41,226</w:t>
            </w:r>
          </w:p>
        </w:tc>
        <w:tc>
          <w:tcPr>
            <w:tcW w:w="1500" w:type="dxa"/>
            <w:vAlign w:val="bottom"/>
            <w:vMerge w:val="restart"/>
          </w:tcPr>
          <w:p>
            <w:pPr>
              <w:jc w:val="right"/>
              <w:ind w:right="60"/>
              <w:spacing w:after="0"/>
              <w:rPr>
                <w:sz w:val="20"/>
                <w:szCs w:val="20"/>
                <w:color w:val="auto"/>
              </w:rPr>
            </w:pPr>
            <w:r>
              <w:rPr>
                <w:rFonts w:ascii="Arial" w:cs="Arial" w:eastAsia="Arial" w:hAnsi="Arial"/>
                <w:sz w:val="16"/>
                <w:szCs w:val="16"/>
                <w:color w:val="auto"/>
              </w:rPr>
              <w:t>57,535</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193,575</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Group (20)</w:t>
            </w:r>
          </w:p>
        </w:tc>
        <w:tc>
          <w:tcPr>
            <w:tcW w:w="12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332" w:right="120" w:hanging="332"/>
        <w:spacing w:after="0" w:line="236" w:lineRule="auto"/>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shares held in trust for estate planning purposes as follows: 24,897 shares for Ms. Cooper, 10,640 shares for Mr. Koch, 12,034 shares for Mr. O'Rourke, 38,932 shares for Ms. Peterson, 2,241 for Ms. Pemberton, and 88,744 shares for all current directors and executive officers as a group. Ms. Cooper's spouse is sole trustee of the trust and has sole voting and investment power with respect to the shares held in trust; and accordingly, Ms. Cooper disclaims beneficial ownership of such shares. Ms. Pemberton has shared voting and investment power with her spouse</w:t>
      </w:r>
    </w:p>
    <w:p>
      <w:pPr>
        <w:spacing w:after="0" w:line="21" w:lineRule="exact"/>
        <w:rPr>
          <w:rFonts w:ascii="Arial" w:cs="Arial" w:eastAsia="Arial" w:hAnsi="Arial"/>
          <w:sz w:val="18"/>
          <w:szCs w:val="18"/>
          <w:color w:val="auto"/>
        </w:rPr>
      </w:pPr>
    </w:p>
    <w:p>
      <w:pPr>
        <w:ind w:left="332" w:hanging="332"/>
        <w:spacing w:after="0" w:line="258" w:lineRule="auto"/>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Ms. Pemberton has shared voting and investment power with her spouse over the 2,241 shares in trust, and Mr. Janey has shared voting and investment power with his spouse over 388 shares.</w:t>
      </w:r>
    </w:p>
    <w:p>
      <w:pPr>
        <w:ind w:left="332" w:hanging="332"/>
        <w:spacing w:after="0" w:line="239" w:lineRule="auto"/>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Percentages are based on our shares outstanding as of our record date and are calculated pursuant to Rule 13d-3 under the Exchange Act. Percentage calculations assume, for each person and the group, that all shares that may be acquired by such person or by the group pursuant to stock options or other rights currently exercisable or that become exercisable or issuable within 60 days following January 22, 2024, are outstanding for the purpose of computing the percentage of common stock owned by such person or by the group. However, those unissued shares of our common stock described above are not deemed to be outstanding for the purpose of calculating the percentage of common stock owned by any other person.</w:t>
      </w:r>
    </w:p>
    <w:p>
      <w:pPr>
        <w:spacing w:after="0" w:line="5" w:lineRule="exact"/>
        <w:rPr>
          <w:rFonts w:ascii="Arial" w:cs="Arial" w:eastAsia="Arial" w:hAnsi="Arial"/>
          <w:sz w:val="18"/>
          <w:szCs w:val="18"/>
          <w:color w:val="auto"/>
        </w:rPr>
      </w:pPr>
    </w:p>
    <w:p>
      <w:pPr>
        <w:ind w:left="312" w:hanging="312"/>
        <w:spacing w:after="0"/>
        <w:tabs>
          <w:tab w:leader="none" w:pos="312" w:val="left"/>
        </w:tabs>
        <w:numPr>
          <w:ilvl w:val="0"/>
          <w:numId w:val="88"/>
        </w:numPr>
        <w:rPr>
          <w:rFonts w:ascii="Arial" w:cs="Arial" w:eastAsia="Arial" w:hAnsi="Arial"/>
          <w:sz w:val="18"/>
          <w:szCs w:val="18"/>
          <w:color w:val="auto"/>
        </w:rPr>
      </w:pPr>
      <w:r>
        <w:rPr>
          <w:rFonts w:ascii="Arial" w:cs="Arial" w:eastAsia="Arial" w:hAnsi="Arial"/>
          <w:sz w:val="18"/>
          <w:szCs w:val="18"/>
          <w:color w:val="auto"/>
        </w:rPr>
        <w:t>Ms. Peterson retired as Vice President, Finance on July 10, 2023.</w:t>
      </w:r>
    </w:p>
    <w:p>
      <w:pPr>
        <w:spacing w:after="0" w:line="157" w:lineRule="exact"/>
        <w:rPr>
          <w:rFonts w:ascii="Arial" w:cs="Arial" w:eastAsia="Arial" w:hAnsi="Arial"/>
          <w:sz w:val="18"/>
          <w:szCs w:val="18"/>
          <w:color w:val="auto"/>
        </w:rPr>
      </w:pPr>
    </w:p>
    <w:p>
      <w:pPr>
        <w:ind w:left="312" w:hanging="312"/>
        <w:spacing w:after="0"/>
        <w:tabs>
          <w:tab w:leader="none" w:pos="312"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Rodier retired as Group Vice President, Construction Businesses on April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74930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66" w:right="359" w:bottom="1440" w:gutter="0" w:footer="0" w:header="0"/>
        </w:sectPr>
      </w:pPr>
    </w:p>
    <w:bookmarkStart w:id="83" w:name="page84"/>
    <w:bookmarkEnd w:id="83"/>
    <w:p>
      <w:pPr>
        <w:spacing w:after="0"/>
        <w:rPr>
          <w:sz w:val="20"/>
          <w:szCs w:val="20"/>
          <w:color w:val="auto"/>
        </w:rPr>
      </w:pPr>
      <w:r>
        <w:rPr>
          <w:rFonts w:ascii="Arial" w:cs="Arial" w:eastAsia="Arial" w:hAnsi="Arial"/>
          <w:sz w:val="20"/>
          <w:szCs w:val="20"/>
          <w:b w:val="1"/>
          <w:bCs w:val="1"/>
          <w:color w:val="C00000"/>
        </w:rPr>
        <w:t>Stock Ownership Guidelines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maintain stock ownership guidelines to align the interests of our non-employee directors and executive officers with those of our</w:t>
      </w:r>
    </w:p>
    <w:p>
      <w:pPr>
        <w:spacing w:after="0" w:line="14"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shareholders. Effective January 16, 2024, our stock ownership guidelines were amended to require that non-employee directors and executive officers hold a number of shares as shown in the table below until the guideline multiple is met. Our previous guidelines did not</w:t>
      </w:r>
    </w:p>
    <w:p>
      <w:pPr>
        <w:spacing w:after="0" w:line="236" w:lineRule="auto"/>
        <w:rPr>
          <w:sz w:val="20"/>
          <w:szCs w:val="20"/>
          <w:color w:val="auto"/>
        </w:rPr>
      </w:pPr>
      <w:r>
        <w:rPr>
          <w:rFonts w:ascii="Arial" w:cs="Arial" w:eastAsia="Arial" w:hAnsi="Arial"/>
          <w:sz w:val="18"/>
          <w:szCs w:val="18"/>
          <w:color w:val="auto"/>
        </w:rPr>
        <w:t>have a holding requirement, but required non-employee directors and executive officers to reach the specified number of shares within five</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years of joining the Board or the date of hire or promotion, respectively. In addition, the multiple for the Chairman and CEO was increased from 5x to 6x.</w:t>
      </w:r>
    </w:p>
    <w:p>
      <w:pPr>
        <w:spacing w:after="0" w:line="132" w:lineRule="exact"/>
        <w:rPr>
          <w:sz w:val="20"/>
          <w:szCs w:val="20"/>
          <w:color w:val="auto"/>
        </w:rPr>
      </w:pPr>
    </w:p>
    <w:tbl>
      <w:tblPr>
        <w:tblLayout w:type="fixed"/>
        <w:tblInd w:w="680" w:type="dxa"/>
        <w:tblCellMar>
          <w:top w:w="0" w:type="dxa"/>
          <w:left w:w="0" w:type="dxa"/>
          <w:bottom w:w="0" w:type="dxa"/>
          <w:right w:w="0" w:type="dxa"/>
        </w:tblCellMar>
      </w:tblPr>
      <w:tr>
        <w:trPr>
          <w:trHeight w:val="242"/>
        </w:trPr>
        <w:tc>
          <w:tcPr>
            <w:tcW w:w="3140" w:type="dxa"/>
            <w:vAlign w:val="bottom"/>
            <w:shd w:val="clear" w:color="auto" w:fill="BF2115"/>
          </w:tcPr>
          <w:p>
            <w:pPr>
              <w:spacing w:after="0"/>
              <w:rPr>
                <w:sz w:val="21"/>
                <w:szCs w:val="21"/>
                <w:color w:val="auto"/>
              </w:rPr>
            </w:pPr>
          </w:p>
        </w:tc>
        <w:tc>
          <w:tcPr>
            <w:tcW w:w="3780" w:type="dxa"/>
            <w:vAlign w:val="bottom"/>
            <w:shd w:val="clear" w:color="auto" w:fill="BF2115"/>
          </w:tcPr>
          <w:p>
            <w:pPr>
              <w:ind w:left="260"/>
              <w:spacing w:after="0"/>
              <w:rPr>
                <w:sz w:val="20"/>
                <w:szCs w:val="20"/>
                <w:color w:val="auto"/>
              </w:rPr>
            </w:pPr>
            <w:r>
              <w:rPr>
                <w:rFonts w:ascii="Arial" w:cs="Arial" w:eastAsia="Arial" w:hAnsi="Arial"/>
                <w:sz w:val="16"/>
                <w:szCs w:val="16"/>
                <w:b w:val="1"/>
                <w:bCs w:val="1"/>
                <w:color w:val="FFFFFF"/>
              </w:rPr>
              <w:t>Stock Ownership Guidelines by Position</w:t>
            </w:r>
          </w:p>
        </w:tc>
        <w:tc>
          <w:tcPr>
            <w:tcW w:w="2960" w:type="dxa"/>
            <w:vAlign w:val="bottom"/>
            <w:shd w:val="clear" w:color="auto" w:fill="BF2115"/>
          </w:tcPr>
          <w:p>
            <w:pPr>
              <w:spacing w:after="0"/>
              <w:rPr>
                <w:sz w:val="21"/>
                <w:szCs w:val="21"/>
                <w:color w:val="auto"/>
              </w:rPr>
            </w:pPr>
          </w:p>
        </w:tc>
      </w:tr>
      <w:tr>
        <w:trPr>
          <w:trHeight w:val="224"/>
        </w:trPr>
        <w:tc>
          <w:tcPr>
            <w:tcW w:w="3140" w:type="dxa"/>
            <w:vAlign w:val="bottom"/>
            <w:tcBorders>
              <w:bottom w:val="single" w:sz="8" w:color="BF2115"/>
            </w:tcBorders>
            <w:shd w:val="clear" w:color="auto" w:fill="BF2115"/>
          </w:tcPr>
          <w:p>
            <w:pPr>
              <w:jc w:val="center"/>
              <w:ind w:left="599"/>
              <w:spacing w:after="0"/>
              <w:rPr>
                <w:sz w:val="20"/>
                <w:szCs w:val="20"/>
                <w:color w:val="auto"/>
              </w:rPr>
            </w:pPr>
            <w:r>
              <w:rPr>
                <w:rFonts w:ascii="Arial" w:cs="Arial" w:eastAsia="Arial" w:hAnsi="Arial"/>
                <w:sz w:val="16"/>
                <w:szCs w:val="16"/>
                <w:b w:val="1"/>
                <w:bCs w:val="1"/>
                <w:color w:val="FFFFFF"/>
              </w:rPr>
              <w:t>Non-Employee Directors</w:t>
            </w:r>
          </w:p>
        </w:tc>
        <w:tc>
          <w:tcPr>
            <w:tcW w:w="3780" w:type="dxa"/>
            <w:vAlign w:val="bottom"/>
            <w:tcBorders>
              <w:bottom w:val="single" w:sz="8" w:color="BF2115"/>
            </w:tcBorders>
            <w:shd w:val="clear" w:color="auto" w:fill="BF2115"/>
          </w:tcPr>
          <w:p>
            <w:pPr>
              <w:jc w:val="center"/>
              <w:ind w:left="299"/>
              <w:spacing w:after="0"/>
              <w:rPr>
                <w:sz w:val="20"/>
                <w:szCs w:val="20"/>
                <w:color w:val="auto"/>
              </w:rPr>
            </w:pPr>
            <w:r>
              <w:rPr>
                <w:rFonts w:ascii="Arial" w:cs="Arial" w:eastAsia="Arial" w:hAnsi="Arial"/>
                <w:sz w:val="16"/>
                <w:szCs w:val="16"/>
                <w:b w:val="1"/>
                <w:bCs w:val="1"/>
                <w:color w:val="FFFFFF"/>
              </w:rPr>
              <w:t>Chairman and CEO</w:t>
            </w:r>
          </w:p>
        </w:tc>
        <w:tc>
          <w:tcPr>
            <w:tcW w:w="2960" w:type="dxa"/>
            <w:vAlign w:val="bottom"/>
            <w:tcBorders>
              <w:bottom w:val="single" w:sz="8" w:color="BF2115"/>
            </w:tcBorders>
            <w:shd w:val="clear" w:color="auto" w:fill="BF2115"/>
          </w:tcPr>
          <w:p>
            <w:pPr>
              <w:jc w:val="center"/>
              <w:ind w:right="219"/>
              <w:spacing w:after="0"/>
              <w:rPr>
                <w:sz w:val="20"/>
                <w:szCs w:val="20"/>
                <w:color w:val="auto"/>
              </w:rPr>
            </w:pPr>
            <w:r>
              <w:rPr>
                <w:rFonts w:ascii="Arial" w:cs="Arial" w:eastAsia="Arial" w:hAnsi="Arial"/>
                <w:sz w:val="16"/>
                <w:szCs w:val="16"/>
                <w:b w:val="1"/>
                <w:bCs w:val="1"/>
                <w:color w:val="FFFFFF"/>
              </w:rPr>
              <w:t>Other Executive Officers</w:t>
            </w:r>
          </w:p>
        </w:tc>
      </w:tr>
      <w:tr>
        <w:trPr>
          <w:trHeight w:val="215"/>
        </w:trPr>
        <w:tc>
          <w:tcPr>
            <w:tcW w:w="3140" w:type="dxa"/>
            <w:vAlign w:val="bottom"/>
          </w:tcPr>
          <w:p>
            <w:pPr>
              <w:jc w:val="center"/>
              <w:ind w:left="619"/>
              <w:spacing w:after="0"/>
              <w:rPr>
                <w:sz w:val="20"/>
                <w:szCs w:val="20"/>
                <w:color w:val="auto"/>
              </w:rPr>
            </w:pPr>
            <w:r>
              <w:rPr>
                <w:rFonts w:ascii="Arial" w:cs="Arial" w:eastAsia="Arial" w:hAnsi="Arial"/>
                <w:sz w:val="16"/>
                <w:szCs w:val="16"/>
                <w:color w:val="auto"/>
              </w:rPr>
              <w:t>5x annual board retainer</w:t>
            </w:r>
          </w:p>
        </w:tc>
        <w:tc>
          <w:tcPr>
            <w:tcW w:w="3780" w:type="dxa"/>
            <w:vAlign w:val="bottom"/>
          </w:tcPr>
          <w:p>
            <w:pPr>
              <w:jc w:val="center"/>
              <w:ind w:left="279"/>
              <w:spacing w:after="0"/>
              <w:rPr>
                <w:sz w:val="20"/>
                <w:szCs w:val="20"/>
                <w:color w:val="auto"/>
              </w:rPr>
            </w:pPr>
            <w:r>
              <w:rPr>
                <w:rFonts w:ascii="Arial" w:cs="Arial" w:eastAsia="Arial" w:hAnsi="Arial"/>
                <w:sz w:val="16"/>
                <w:szCs w:val="16"/>
                <w:color w:val="auto"/>
              </w:rPr>
              <w:t>6x annual base salary</w:t>
            </w:r>
          </w:p>
        </w:tc>
        <w:tc>
          <w:tcPr>
            <w:tcW w:w="2960" w:type="dxa"/>
            <w:vAlign w:val="bottom"/>
          </w:tcPr>
          <w:p>
            <w:pPr>
              <w:jc w:val="center"/>
              <w:ind w:right="219"/>
              <w:spacing w:after="0"/>
              <w:rPr>
                <w:sz w:val="20"/>
                <w:szCs w:val="20"/>
                <w:color w:val="auto"/>
              </w:rPr>
            </w:pPr>
            <w:r>
              <w:rPr>
                <w:rFonts w:ascii="Arial" w:cs="Arial" w:eastAsia="Arial" w:hAnsi="Arial"/>
                <w:sz w:val="16"/>
                <w:szCs w:val="16"/>
                <w:color w:val="auto"/>
              </w:rPr>
              <w:t>3x annual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-332740</wp:posOffset>
            </wp:positionV>
            <wp:extent cx="20059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Anti-Hedging and Anti-Pledging Policies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Insider Trading Policy addresses hedging, pledging and other transactions which might give the appearance of impropriety. Under</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the Insider Trading Policy, we consider it inappropriate for any person subject to the policy, including all directors, officers and employees of our Company, to engage in speculative transactions in our Company's securities or other transactions which might give the appearance of</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impropriety. In addition, we discourage any person subject to the Insider Trading Policy from engaging in frequent trading in our Company's securities because such trading also may give the appearance that such trades were timed to take advantage of material non-public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Accordingly, our Insider Trading Policy either prohibits or limits the following types of transactions:</w:t>
      </w:r>
    </w:p>
    <w:p>
      <w:pPr>
        <w:spacing w:after="0" w:line="32" w:lineRule="exact"/>
        <w:rPr>
          <w:sz w:val="20"/>
          <w:szCs w:val="20"/>
          <w:color w:val="auto"/>
        </w:rPr>
      </w:pPr>
    </w:p>
    <w:p>
      <w:pPr>
        <w:ind w:left="660" w:right="420" w:hanging="328"/>
        <w:spacing w:after="0" w:line="245"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Short sales</w:t>
      </w:r>
      <w:r>
        <w:rPr>
          <w:rFonts w:ascii="Arial" w:cs="Arial" w:eastAsia="Arial" w:hAnsi="Arial"/>
          <w:sz w:val="18"/>
          <w:szCs w:val="18"/>
          <w:color w:val="auto"/>
        </w:rPr>
        <w:t>. All directors, officers and employees of our Company are prohibited from engaging in short sales of our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since such sales are intended to reward a person for downward changes in price, and as such, may appear to have resulted from the possession of material non-public information.</w:t>
      </w:r>
    </w:p>
    <w:p>
      <w:pPr>
        <w:spacing w:after="0" w:line="14" w:lineRule="exact"/>
        <w:rPr>
          <w:rFonts w:ascii="Arial" w:cs="Arial" w:eastAsia="Arial" w:hAnsi="Arial"/>
          <w:sz w:val="18"/>
          <w:szCs w:val="18"/>
          <w:color w:val="auto"/>
        </w:rPr>
      </w:pPr>
    </w:p>
    <w:p>
      <w:pPr>
        <w:ind w:left="660" w:right="40" w:hanging="328"/>
        <w:spacing w:after="0" w:line="241"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Publicly-traded options</w:t>
      </w:r>
      <w:r>
        <w:rPr>
          <w:rFonts w:ascii="Arial" w:cs="Arial" w:eastAsia="Arial" w:hAnsi="Arial"/>
          <w:sz w:val="18"/>
          <w:szCs w:val="18"/>
          <w:color w:val="auto"/>
        </w:rPr>
        <w:t>. All directors, officers and employees of our Company are prohibited from engaging in transactions in put</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call options, or other derivative securities involving our Company's stock, whether on an exchange or otherwise, since given the relatively short terms of publicly-traded options, such transactions may create the appearance that they have resulted from possession of material non-public information.</w:t>
      </w:r>
    </w:p>
    <w:p>
      <w:pPr>
        <w:spacing w:after="0" w:line="5" w:lineRule="exact"/>
        <w:rPr>
          <w:rFonts w:ascii="Arial" w:cs="Arial" w:eastAsia="Arial" w:hAnsi="Arial"/>
          <w:sz w:val="18"/>
          <w:szCs w:val="18"/>
          <w:color w:val="auto"/>
        </w:rPr>
      </w:pPr>
    </w:p>
    <w:p>
      <w:pPr>
        <w:ind w:left="660" w:right="40" w:hanging="328"/>
        <w:spacing w:after="0" w:line="241"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Hedging transactions</w:t>
      </w:r>
      <w:r>
        <w:rPr>
          <w:rFonts w:ascii="Arial" w:cs="Arial" w:eastAsia="Arial" w:hAnsi="Arial"/>
          <w:sz w:val="18"/>
          <w:szCs w:val="18"/>
          <w:color w:val="auto"/>
        </w:rPr>
        <w:t>. All directors, officers and employees of our Company are prohibited from engaging in hedging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our Company's securities, such as collars, equity swaps, prepaid variable forwards, and exchange funds, since such transactions are designed to hedge or offset any decrease in the market value of securities and when that occurs, the owner may no longer have the same objectives as other of our Company's security holders.</w:t>
      </w:r>
    </w:p>
    <w:p>
      <w:pPr>
        <w:spacing w:after="0" w:line="19" w:lineRule="exact"/>
        <w:rPr>
          <w:rFonts w:ascii="Arial" w:cs="Arial" w:eastAsia="Arial" w:hAnsi="Arial"/>
          <w:sz w:val="18"/>
          <w:szCs w:val="18"/>
          <w:color w:val="auto"/>
        </w:rPr>
      </w:pPr>
    </w:p>
    <w:p>
      <w:pPr>
        <w:ind w:left="660" w:hanging="328"/>
        <w:spacing w:after="0" w:line="236"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Standing and limit orders</w:t>
      </w:r>
      <w:r>
        <w:rPr>
          <w:rFonts w:ascii="Arial" w:cs="Arial" w:eastAsia="Arial" w:hAnsi="Arial"/>
          <w:sz w:val="18"/>
          <w:szCs w:val="18"/>
          <w:color w:val="auto"/>
        </w:rPr>
        <w:t>. All directors, officers and employees of our Company are restricted in their use of standing and limit orders</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Company's securities, which are orders placed with a broker to sell or purchase stock at a specified price. Because there is no control over the timing of purchases or sales that result from standing instructions to a broker, a transaction could be executed when such shareholders are aware of material non-public information. Accordingly, the Insider Trading Policy provides that if a director, officer or employee of our Company uses a standing order or limit order for our Company's securities, the order should be limited in duration and should otherwise comply with the trading requirements outlined in the Insider Trading Policy.</w:t>
      </w:r>
    </w:p>
    <w:p>
      <w:pPr>
        <w:spacing w:after="0" w:line="20" w:lineRule="exact"/>
        <w:rPr>
          <w:rFonts w:ascii="Arial" w:cs="Arial" w:eastAsia="Arial" w:hAnsi="Arial"/>
          <w:sz w:val="18"/>
          <w:szCs w:val="18"/>
          <w:color w:val="auto"/>
        </w:rPr>
      </w:pPr>
    </w:p>
    <w:p>
      <w:pPr>
        <w:ind w:left="660" w:right="200" w:hanging="328"/>
        <w:spacing w:after="0" w:line="301" w:lineRule="auto"/>
        <w:tabs>
          <w:tab w:leader="none" w:pos="655"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Pledging</w:t>
      </w:r>
      <w:r>
        <w:rPr>
          <w:rFonts w:ascii="Arial" w:cs="Arial" w:eastAsia="Arial" w:hAnsi="Arial"/>
          <w:sz w:val="17"/>
          <w:szCs w:val="17"/>
          <w:color w:val="auto"/>
        </w:rPr>
        <w:t>. All directors and officers of our Company are prohibited from purchasing our Company's securities on margin, borrowing</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any account in which our Company's securities are held, or pledging our Company's securities as collateral for a loan.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Delinquent Section 16(a) Reports</w:t>
      </w:r>
    </w:p>
    <w:p>
      <w:pPr>
        <w:spacing w:after="0" w:line="85"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Section 16(a) of the Exchange Act requires our directors and executive officers and persons who beneficially own more than ten percent of our common stock to file with the SEC reports showing ownership of and changes in ownership of our common stock and other equity</w:t>
      </w:r>
    </w:p>
    <w:p>
      <w:pPr>
        <w:ind w:right="200"/>
        <w:spacing w:after="0"/>
        <w:rPr>
          <w:sz w:val="20"/>
          <w:szCs w:val="20"/>
          <w:color w:val="auto"/>
        </w:rPr>
      </w:pPr>
      <w:r>
        <w:rPr>
          <w:rFonts w:ascii="Arial" w:cs="Arial" w:eastAsia="Arial" w:hAnsi="Arial"/>
          <w:sz w:val="17"/>
          <w:szCs w:val="17"/>
          <w:color w:val="auto"/>
        </w:rPr>
        <w:t>securities. Based on a review of reports filed by these reporting persons on the SEC's electronic filing, or EDGAR, system and written representations by our directors and executive officers, we believe that all of our directors, executive officers and greater than 10% owners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complied with all filing requirements applicable to them during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9" w:right="379"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22"/>
          <w:szCs w:val="22"/>
          <w:b w:val="1"/>
          <w:bCs w:val="1"/>
          <w:color w:val="FFFFFF"/>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-158750</wp:posOffset>
            </wp:positionV>
            <wp:extent cx="7003415"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03415" cy="188595"/>
                    </a:xfrm>
                    <a:prstGeom prst="rect">
                      <a:avLst/>
                    </a:prstGeom>
                    <a:noFill/>
                  </pic:spPr>
                </pic:pic>
              </a:graphicData>
            </a:graphic>
          </wp:anchor>
        </w:drawing>
      </w:r>
    </w:p>
    <w:p>
      <w:pPr>
        <w:spacing w:after="0" w:line="30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following table provides information about shares of our common stock that may be issued under our equity compensation plans as of October 31, 2023, the last day of fiscal 2023.</w:t>
      </w:r>
    </w:p>
    <w:p>
      <w:pPr>
        <w:spacing w:after="0" w:line="117"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2660" w:type="dxa"/>
            <w:vAlign w:val="bottom"/>
            <w:shd w:val="clear" w:color="auto" w:fill="BF2115"/>
          </w:tcPr>
          <w:p>
            <w:pPr>
              <w:spacing w:after="0"/>
              <w:rPr>
                <w:sz w:val="17"/>
                <w:szCs w:val="17"/>
                <w:color w:val="auto"/>
              </w:rPr>
            </w:pPr>
          </w:p>
        </w:tc>
        <w:tc>
          <w:tcPr>
            <w:tcW w:w="3580" w:type="dxa"/>
            <w:vAlign w:val="bottom"/>
            <w:shd w:val="clear" w:color="auto" w:fill="BF2115"/>
          </w:tcPr>
          <w:p>
            <w:pPr>
              <w:spacing w:after="0"/>
              <w:rPr>
                <w:sz w:val="17"/>
                <w:szCs w:val="17"/>
                <w:color w:val="auto"/>
              </w:rPr>
            </w:pPr>
          </w:p>
        </w:tc>
        <w:tc>
          <w:tcPr>
            <w:tcW w:w="2080" w:type="dxa"/>
            <w:vAlign w:val="bottom"/>
            <w:shd w:val="clear" w:color="auto" w:fill="BF2115"/>
          </w:tcPr>
          <w:p>
            <w:pPr>
              <w:spacing w:after="0"/>
              <w:rPr>
                <w:sz w:val="17"/>
                <w:szCs w:val="17"/>
                <w:color w:val="auto"/>
              </w:rPr>
            </w:pP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Number of Securities</w:t>
            </w:r>
          </w:p>
        </w:tc>
      </w:tr>
      <w:tr>
        <w:trPr>
          <w:trHeight w:val="176"/>
        </w:trPr>
        <w:tc>
          <w:tcPr>
            <w:tcW w:w="2660" w:type="dxa"/>
            <w:vAlign w:val="bottom"/>
            <w:shd w:val="clear" w:color="auto" w:fill="BF2115"/>
          </w:tcPr>
          <w:p>
            <w:pPr>
              <w:spacing w:after="0"/>
              <w:rPr>
                <w:sz w:val="15"/>
                <w:szCs w:val="15"/>
                <w:color w:val="auto"/>
              </w:rPr>
            </w:pPr>
          </w:p>
        </w:tc>
        <w:tc>
          <w:tcPr>
            <w:tcW w:w="3580" w:type="dxa"/>
            <w:vAlign w:val="bottom"/>
            <w:shd w:val="clear" w:color="auto" w:fill="BF2115"/>
          </w:tcPr>
          <w:p>
            <w:pPr>
              <w:jc w:val="center"/>
              <w:ind w:left="1288"/>
              <w:spacing w:after="0"/>
              <w:rPr>
                <w:sz w:val="20"/>
                <w:szCs w:val="20"/>
                <w:color w:val="auto"/>
              </w:rPr>
            </w:pPr>
            <w:r>
              <w:rPr>
                <w:rFonts w:ascii="Arial" w:cs="Arial" w:eastAsia="Arial" w:hAnsi="Arial"/>
                <w:sz w:val="14"/>
                <w:szCs w:val="14"/>
                <w:b w:val="1"/>
                <w:bCs w:val="1"/>
                <w:color w:val="FFFFFF"/>
              </w:rPr>
              <w:t>Number of Securities to</w:t>
            </w:r>
          </w:p>
        </w:tc>
        <w:tc>
          <w:tcPr>
            <w:tcW w:w="2080" w:type="dxa"/>
            <w:vAlign w:val="bottom"/>
            <w:shd w:val="clear" w:color="auto" w:fill="BF2115"/>
          </w:tcPr>
          <w:p>
            <w:pPr>
              <w:spacing w:after="0"/>
              <w:rPr>
                <w:sz w:val="15"/>
                <w:szCs w:val="15"/>
                <w:color w:val="auto"/>
              </w:rPr>
            </w:pP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Remaining Available for</w:t>
            </w:r>
          </w:p>
        </w:tc>
      </w:tr>
      <w:tr>
        <w:trPr>
          <w:trHeight w:val="189"/>
        </w:trPr>
        <w:tc>
          <w:tcPr>
            <w:tcW w:w="2660" w:type="dxa"/>
            <w:vAlign w:val="bottom"/>
            <w:shd w:val="clear" w:color="auto" w:fill="BF2115"/>
          </w:tcPr>
          <w:p>
            <w:pPr>
              <w:spacing w:after="0"/>
              <w:rPr>
                <w:sz w:val="16"/>
                <w:szCs w:val="16"/>
                <w:color w:val="auto"/>
              </w:rPr>
            </w:pPr>
          </w:p>
        </w:tc>
        <w:tc>
          <w:tcPr>
            <w:tcW w:w="3580" w:type="dxa"/>
            <w:vAlign w:val="bottom"/>
            <w:shd w:val="clear" w:color="auto" w:fill="BF2115"/>
          </w:tcPr>
          <w:p>
            <w:pPr>
              <w:jc w:val="center"/>
              <w:ind w:left="1288"/>
              <w:spacing w:after="0"/>
              <w:rPr>
                <w:sz w:val="20"/>
                <w:szCs w:val="20"/>
                <w:color w:val="auto"/>
              </w:rPr>
            </w:pPr>
            <w:r>
              <w:rPr>
                <w:rFonts w:ascii="Arial" w:cs="Arial" w:eastAsia="Arial" w:hAnsi="Arial"/>
                <w:sz w:val="14"/>
                <w:szCs w:val="14"/>
                <w:b w:val="1"/>
                <w:bCs w:val="1"/>
                <w:color w:val="FFFFFF"/>
              </w:rPr>
              <w:t>be Issued Upon</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Weighted Average</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Future Issuance Under</w:t>
            </w:r>
          </w:p>
        </w:tc>
      </w:tr>
      <w:tr>
        <w:trPr>
          <w:trHeight w:val="175"/>
        </w:trPr>
        <w:tc>
          <w:tcPr>
            <w:tcW w:w="2660" w:type="dxa"/>
            <w:vAlign w:val="bottom"/>
            <w:shd w:val="clear" w:color="auto" w:fill="BF2115"/>
          </w:tcPr>
          <w:p>
            <w:pPr>
              <w:spacing w:after="0"/>
              <w:rPr>
                <w:sz w:val="15"/>
                <w:szCs w:val="15"/>
                <w:color w:val="auto"/>
              </w:rPr>
            </w:pPr>
          </w:p>
        </w:tc>
        <w:tc>
          <w:tcPr>
            <w:tcW w:w="3580" w:type="dxa"/>
            <w:vAlign w:val="bottom"/>
            <w:shd w:val="clear" w:color="auto" w:fill="BF2115"/>
          </w:tcPr>
          <w:p>
            <w:pPr>
              <w:jc w:val="center"/>
              <w:ind w:left="1288"/>
              <w:spacing w:after="0"/>
              <w:rPr>
                <w:sz w:val="20"/>
                <w:szCs w:val="20"/>
                <w:color w:val="auto"/>
              </w:rPr>
            </w:pPr>
            <w:r>
              <w:rPr>
                <w:rFonts w:ascii="Arial" w:cs="Arial" w:eastAsia="Arial" w:hAnsi="Arial"/>
                <w:sz w:val="14"/>
                <w:szCs w:val="14"/>
                <w:b w:val="1"/>
                <w:bCs w:val="1"/>
                <w:color w:val="FFFFFF"/>
              </w:rPr>
              <w:t>Exercise of</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Equity Compensation Plans</w:t>
            </w:r>
          </w:p>
        </w:tc>
      </w:tr>
      <w:tr>
        <w:trPr>
          <w:trHeight w:val="176"/>
        </w:trPr>
        <w:tc>
          <w:tcPr>
            <w:tcW w:w="2660" w:type="dxa"/>
            <w:vAlign w:val="bottom"/>
            <w:shd w:val="clear" w:color="auto" w:fill="BF2115"/>
          </w:tcPr>
          <w:p>
            <w:pPr>
              <w:spacing w:after="0"/>
              <w:rPr>
                <w:sz w:val="15"/>
                <w:szCs w:val="15"/>
                <w:color w:val="auto"/>
              </w:rPr>
            </w:pPr>
          </w:p>
        </w:tc>
        <w:tc>
          <w:tcPr>
            <w:tcW w:w="3580" w:type="dxa"/>
            <w:vAlign w:val="bottom"/>
            <w:shd w:val="clear" w:color="auto" w:fill="BF2115"/>
          </w:tcPr>
          <w:p>
            <w:pPr>
              <w:jc w:val="center"/>
              <w:ind w:left="1288"/>
              <w:spacing w:after="0"/>
              <w:rPr>
                <w:sz w:val="20"/>
                <w:szCs w:val="20"/>
                <w:color w:val="auto"/>
              </w:rPr>
            </w:pPr>
            <w:r>
              <w:rPr>
                <w:rFonts w:ascii="Arial" w:cs="Arial" w:eastAsia="Arial" w:hAnsi="Arial"/>
                <w:sz w:val="14"/>
                <w:szCs w:val="14"/>
                <w:b w:val="1"/>
                <w:bCs w:val="1"/>
                <w:color w:val="FFFFFF"/>
              </w:rPr>
              <w:t>Outstanding Options,</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(excluding securities reflected</w:t>
            </w:r>
          </w:p>
        </w:tc>
      </w:tr>
      <w:tr>
        <w:trPr>
          <w:trHeight w:val="175"/>
        </w:trPr>
        <w:tc>
          <w:tcPr>
            <w:tcW w:w="2660" w:type="dxa"/>
            <w:vAlign w:val="bottom"/>
            <w:shd w:val="clear" w:color="auto" w:fill="BF2115"/>
          </w:tcPr>
          <w:p>
            <w:pPr>
              <w:spacing w:after="0"/>
              <w:rPr>
                <w:sz w:val="15"/>
                <w:szCs w:val="15"/>
                <w:color w:val="auto"/>
              </w:rPr>
            </w:pPr>
          </w:p>
        </w:tc>
        <w:tc>
          <w:tcPr>
            <w:tcW w:w="3580" w:type="dxa"/>
            <w:vAlign w:val="bottom"/>
            <w:shd w:val="clear" w:color="auto" w:fill="BF2115"/>
          </w:tcPr>
          <w:p>
            <w:pPr>
              <w:jc w:val="center"/>
              <w:ind w:left="1308"/>
              <w:spacing w:after="0"/>
              <w:rPr>
                <w:sz w:val="20"/>
                <w:szCs w:val="20"/>
                <w:color w:val="auto"/>
              </w:rPr>
            </w:pPr>
            <w:r>
              <w:rPr>
                <w:rFonts w:ascii="Arial" w:cs="Arial" w:eastAsia="Arial" w:hAnsi="Arial"/>
                <w:sz w:val="14"/>
                <w:szCs w:val="14"/>
                <w:b w:val="1"/>
                <w:bCs w:val="1"/>
                <w:color w:val="FFFFFF"/>
              </w:rPr>
              <w:t>Warrants and Rights</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in column (a))</w:t>
            </w:r>
          </w:p>
        </w:tc>
      </w:tr>
      <w:tr>
        <w:trPr>
          <w:trHeight w:val="212"/>
        </w:trPr>
        <w:tc>
          <w:tcPr>
            <w:tcW w:w="266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Plan Category</w:t>
            </w:r>
          </w:p>
        </w:tc>
        <w:tc>
          <w:tcPr>
            <w:tcW w:w="3580" w:type="dxa"/>
            <w:vAlign w:val="bottom"/>
            <w:shd w:val="clear" w:color="auto" w:fill="BF2115"/>
          </w:tcPr>
          <w:p>
            <w:pPr>
              <w:jc w:val="center"/>
              <w:ind w:left="1288"/>
              <w:spacing w:after="0"/>
              <w:rPr>
                <w:sz w:val="20"/>
                <w:szCs w:val="20"/>
                <w:color w:val="auto"/>
              </w:rPr>
            </w:pPr>
            <w:r>
              <w:rPr>
                <w:rFonts w:ascii="Arial" w:cs="Arial" w:eastAsia="Arial" w:hAnsi="Arial"/>
                <w:sz w:val="14"/>
                <w:szCs w:val="14"/>
                <w:b w:val="1"/>
                <w:bCs w:val="1"/>
                <w:color w:val="FFFFFF"/>
              </w:rPr>
              <w:t>(a)</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(b)</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(c)</w:t>
            </w:r>
          </w:p>
        </w:tc>
      </w:tr>
    </w:tbl>
    <w:p>
      <w:pPr>
        <w:spacing w:after="0" w:line="13" w:lineRule="exact"/>
        <w:rPr>
          <w:sz w:val="20"/>
          <w:szCs w:val="20"/>
          <w:color w:val="auto"/>
        </w:rPr>
      </w:pPr>
    </w:p>
    <w:p>
      <w:pPr>
        <w:sectPr>
          <w:pgSz w:w="11900" w:h="16838" w:orient="portrait"/>
          <w:cols w:equalWidth="0" w:num="1">
            <w:col w:w="11220"/>
          </w:cols>
          <w:pgMar w:left="320" w:top="1164" w:right="359" w:bottom="1440" w:gutter="0" w:footer="0" w:header="0"/>
        </w:sectPr>
      </w:pPr>
    </w:p>
    <w:p>
      <w:pPr>
        <w:ind w:left="200" w:right="1120" w:hanging="44"/>
        <w:spacing w:after="0" w:line="299" w:lineRule="auto"/>
        <w:rPr>
          <w:sz w:val="20"/>
          <w:szCs w:val="20"/>
          <w:color w:val="auto"/>
        </w:rPr>
      </w:pPr>
      <w:r>
        <w:rPr>
          <w:rFonts w:ascii="Arial" w:cs="Arial" w:eastAsia="Arial" w:hAnsi="Arial"/>
          <w:sz w:val="16"/>
          <w:szCs w:val="16"/>
          <w:color w:val="auto"/>
        </w:rPr>
        <w:t>Equity compensation plans approved by security holders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Equity compensation plans not</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approved by security holders</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9888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6"/>
        </w:trPr>
        <w:tc>
          <w:tcPr>
            <w:tcW w:w="1540" w:type="dxa"/>
            <w:vAlign w:val="bottom"/>
          </w:tcPr>
          <w:p>
            <w:pPr>
              <w:jc w:val="center"/>
              <w:ind w:right="659"/>
              <w:spacing w:after="0"/>
              <w:rPr>
                <w:sz w:val="20"/>
                <w:szCs w:val="20"/>
                <w:color w:val="auto"/>
              </w:rPr>
            </w:pPr>
            <w:r>
              <w:rPr>
                <w:rFonts w:ascii="Arial" w:cs="Arial" w:eastAsia="Arial" w:hAnsi="Arial"/>
                <w:sz w:val="16"/>
                <w:szCs w:val="16"/>
                <w:color w:val="auto"/>
                <w:w w:val="98"/>
              </w:rPr>
              <w:t>3,713,536</w:t>
            </w:r>
            <w:r>
              <w:rPr>
                <w:rFonts w:ascii="Arial" w:cs="Arial" w:eastAsia="Arial" w:hAnsi="Arial"/>
                <w:sz w:val="28"/>
                <w:szCs w:val="28"/>
                <w:color w:val="auto"/>
                <w:w w:val="98"/>
                <w:vertAlign w:val="superscript"/>
              </w:rPr>
              <w:t>1</w:t>
            </w:r>
          </w:p>
        </w:tc>
        <w:tc>
          <w:tcPr>
            <w:tcW w:w="2120" w:type="dxa"/>
            <w:vAlign w:val="bottom"/>
          </w:tcPr>
          <w:p>
            <w:pPr>
              <w:jc w:val="center"/>
              <w:ind w:right="39"/>
              <w:spacing w:after="0"/>
              <w:rPr>
                <w:sz w:val="20"/>
                <w:szCs w:val="20"/>
                <w:color w:val="auto"/>
              </w:rPr>
            </w:pPr>
            <w:r>
              <w:rPr>
                <w:rFonts w:ascii="Arial" w:cs="Arial" w:eastAsia="Arial" w:hAnsi="Arial"/>
                <w:sz w:val="16"/>
                <w:szCs w:val="16"/>
                <w:color w:val="auto"/>
                <w:w w:val="98"/>
              </w:rPr>
              <w:t>$78.80</w:t>
            </w:r>
          </w:p>
        </w:tc>
        <w:tc>
          <w:tcPr>
            <w:tcW w:w="1660" w:type="dxa"/>
            <w:vAlign w:val="bottom"/>
          </w:tcPr>
          <w:p>
            <w:pPr>
              <w:jc w:val="center"/>
              <w:ind w:left="779"/>
              <w:spacing w:after="0"/>
              <w:rPr>
                <w:sz w:val="20"/>
                <w:szCs w:val="20"/>
                <w:color w:val="auto"/>
              </w:rPr>
            </w:pPr>
            <w:r>
              <w:rPr>
                <w:rFonts w:ascii="Arial" w:cs="Arial" w:eastAsia="Arial" w:hAnsi="Arial"/>
                <w:sz w:val="16"/>
                <w:szCs w:val="16"/>
                <w:color w:val="auto"/>
                <w:w w:val="98"/>
              </w:rPr>
              <w:t>3,046,609</w:t>
            </w:r>
            <w:r>
              <w:rPr>
                <w:rFonts w:ascii="Arial" w:cs="Arial" w:eastAsia="Arial" w:hAnsi="Arial"/>
                <w:sz w:val="28"/>
                <w:szCs w:val="28"/>
                <w:color w:val="auto"/>
                <w:w w:val="98"/>
                <w:vertAlign w:val="superscript"/>
              </w:rPr>
              <w:t>3</w:t>
            </w:r>
          </w:p>
        </w:tc>
      </w:tr>
      <w:tr>
        <w:trPr>
          <w:trHeight w:val="357"/>
        </w:trPr>
        <w:tc>
          <w:tcPr>
            <w:tcW w:w="1540" w:type="dxa"/>
            <w:vAlign w:val="bottom"/>
          </w:tcPr>
          <w:p>
            <w:pPr>
              <w:jc w:val="center"/>
              <w:ind w:right="679"/>
              <w:spacing w:after="0"/>
              <w:rPr>
                <w:sz w:val="20"/>
                <w:szCs w:val="20"/>
                <w:color w:val="auto"/>
              </w:rPr>
            </w:pPr>
            <w:r>
              <w:rPr>
                <w:rFonts w:ascii="Arial" w:cs="Arial" w:eastAsia="Arial" w:hAnsi="Arial"/>
                <w:sz w:val="16"/>
                <w:szCs w:val="16"/>
                <w:color w:val="auto"/>
                <w:w w:val="97"/>
              </w:rPr>
              <w:t>N/A</w:t>
            </w:r>
          </w:p>
        </w:tc>
        <w:tc>
          <w:tcPr>
            <w:tcW w:w="2120" w:type="dxa"/>
            <w:vAlign w:val="bottom"/>
          </w:tcPr>
          <w:p>
            <w:pPr>
              <w:jc w:val="center"/>
              <w:ind w:right="39"/>
              <w:spacing w:after="0"/>
              <w:rPr>
                <w:sz w:val="20"/>
                <w:szCs w:val="20"/>
                <w:color w:val="auto"/>
              </w:rPr>
            </w:pPr>
            <w:r>
              <w:rPr>
                <w:rFonts w:ascii="Arial" w:cs="Arial" w:eastAsia="Arial" w:hAnsi="Arial"/>
                <w:sz w:val="16"/>
                <w:szCs w:val="16"/>
                <w:color w:val="auto"/>
              </w:rPr>
              <w:t>N/A</w:t>
            </w:r>
          </w:p>
        </w:tc>
        <w:tc>
          <w:tcPr>
            <w:tcW w:w="1660" w:type="dxa"/>
            <w:vAlign w:val="bottom"/>
          </w:tcPr>
          <w:p>
            <w:pPr>
              <w:jc w:val="center"/>
              <w:ind w:left="779"/>
              <w:spacing w:after="0"/>
              <w:rPr>
                <w:sz w:val="20"/>
                <w:szCs w:val="20"/>
                <w:color w:val="auto"/>
              </w:rPr>
            </w:pPr>
            <w:r>
              <w:rPr>
                <w:rFonts w:ascii="Arial" w:cs="Arial" w:eastAsia="Arial" w:hAnsi="Arial"/>
                <w:sz w:val="16"/>
                <w:szCs w:val="16"/>
                <w:color w:val="auto"/>
              </w:rPr>
              <w:t>N/A</w:t>
            </w:r>
          </w:p>
        </w:tc>
      </w:tr>
      <w:tr>
        <w:trPr>
          <w:trHeight w:val="385"/>
        </w:trPr>
        <w:tc>
          <w:tcPr>
            <w:tcW w:w="1540" w:type="dxa"/>
            <w:vAlign w:val="bottom"/>
          </w:tcPr>
          <w:p>
            <w:pPr>
              <w:jc w:val="center"/>
              <w:ind w:right="659"/>
              <w:spacing w:after="0"/>
              <w:rPr>
                <w:sz w:val="20"/>
                <w:szCs w:val="20"/>
                <w:color w:val="auto"/>
              </w:rPr>
            </w:pPr>
            <w:r>
              <w:rPr>
                <w:rFonts w:ascii="Arial" w:cs="Arial" w:eastAsia="Arial" w:hAnsi="Arial"/>
                <w:sz w:val="16"/>
                <w:szCs w:val="16"/>
                <w:color w:val="auto"/>
                <w:w w:val="98"/>
              </w:rPr>
              <w:t>3,713,536</w:t>
            </w:r>
            <w:r>
              <w:rPr>
                <w:rFonts w:ascii="Arial" w:cs="Arial" w:eastAsia="Arial" w:hAnsi="Arial"/>
                <w:sz w:val="28"/>
                <w:szCs w:val="28"/>
                <w:color w:val="auto"/>
                <w:w w:val="98"/>
                <w:vertAlign w:val="superscript"/>
              </w:rPr>
              <w:t>1</w:t>
            </w:r>
          </w:p>
        </w:tc>
        <w:tc>
          <w:tcPr>
            <w:tcW w:w="2120" w:type="dxa"/>
            <w:vAlign w:val="bottom"/>
          </w:tcPr>
          <w:p>
            <w:pPr>
              <w:jc w:val="center"/>
              <w:ind w:right="39"/>
              <w:spacing w:after="0"/>
              <w:rPr>
                <w:sz w:val="20"/>
                <w:szCs w:val="20"/>
                <w:color w:val="auto"/>
              </w:rPr>
            </w:pPr>
            <w:r>
              <w:rPr>
                <w:rFonts w:ascii="Arial" w:cs="Arial" w:eastAsia="Arial" w:hAnsi="Arial"/>
                <w:sz w:val="16"/>
                <w:szCs w:val="16"/>
                <w:color w:val="auto"/>
                <w:w w:val="98"/>
              </w:rPr>
              <w:t>$78.80</w:t>
            </w:r>
          </w:p>
        </w:tc>
        <w:tc>
          <w:tcPr>
            <w:tcW w:w="1660" w:type="dxa"/>
            <w:vAlign w:val="bottom"/>
          </w:tcPr>
          <w:p>
            <w:pPr>
              <w:jc w:val="center"/>
              <w:ind w:left="779"/>
              <w:spacing w:after="0"/>
              <w:rPr>
                <w:sz w:val="20"/>
                <w:szCs w:val="20"/>
                <w:color w:val="auto"/>
              </w:rPr>
            </w:pPr>
            <w:r>
              <w:rPr>
                <w:rFonts w:ascii="Arial" w:cs="Arial" w:eastAsia="Arial" w:hAnsi="Arial"/>
                <w:sz w:val="16"/>
                <w:szCs w:val="16"/>
                <w:color w:val="auto"/>
                <w:w w:val="98"/>
              </w:rPr>
              <w:t>3,046,609</w:t>
            </w:r>
            <w:r>
              <w:rPr>
                <w:rFonts w:ascii="Arial" w:cs="Arial" w:eastAsia="Arial" w:hAnsi="Arial"/>
                <w:sz w:val="28"/>
                <w:szCs w:val="28"/>
                <w:color w:val="auto"/>
                <w:w w:val="98"/>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-516890</wp:posOffset>
            </wp:positionV>
            <wp:extent cx="6960870" cy="291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6087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720"/>
            <w:col w:w="6340"/>
          </w:cols>
          <w:pgMar w:left="320" w:top="1164" w:right="359" w:bottom="1440" w:gutter="0" w:footer="0" w:header="0"/>
          <w:type w:val="continuous"/>
        </w:sectPr>
      </w:pPr>
    </w:p>
    <w:p>
      <w:pPr>
        <w:spacing w:after="0" w:line="19" w:lineRule="exact"/>
        <w:rPr>
          <w:sz w:val="20"/>
          <w:szCs w:val="20"/>
          <w:color w:val="auto"/>
        </w:rPr>
      </w:pPr>
    </w:p>
    <w:p>
      <w:pPr>
        <w:ind w:left="340" w:hanging="332"/>
        <w:spacing w:after="0" w:line="239" w:lineRule="auto"/>
        <w:tabs>
          <w:tab w:leader="none" w:pos="3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Amount includes: 2,570,848 outstanding stock options under the 2010 Plan; 402,582 outstanding stock options under the 2022 Plan; 47,700 outstanding restricted stock unit awards under the 2010 Plan, including share dividend equivalents that have been issued on such outstanding restricted stock units; 132,126 outstanding restricted stock unit awards under the 2022 Plan, including share dividend equivalents that have been issued on such outstanding restricted stock units; and 373,520 outstanding performance share awards under the 2010 Plan, assuming a maximum level of achievement. The actual number of shares that will be issued under the performance share awards is determined by the level of achievement of performance goals.</w:t>
      </w:r>
    </w:p>
    <w:p>
      <w:pPr>
        <w:spacing w:after="0" w:line="5" w:lineRule="exact"/>
        <w:rPr>
          <w:rFonts w:ascii="Arial" w:cs="Arial" w:eastAsia="Arial" w:hAnsi="Arial"/>
          <w:sz w:val="18"/>
          <w:szCs w:val="18"/>
          <w:color w:val="auto"/>
        </w:rPr>
      </w:pPr>
    </w:p>
    <w:p>
      <w:pPr>
        <w:ind w:left="340" w:right="40" w:hanging="332"/>
        <w:spacing w:after="0" w:line="266" w:lineRule="auto"/>
        <w:tabs>
          <w:tab w:leader="none" w:pos="3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Performance share awards and restricted stock units do not have exercise prices and, therefore, have been excluded from the weighted-average exercise price calculation in column (b).</w:t>
      </w:r>
    </w:p>
    <w:p>
      <w:pPr>
        <w:ind w:left="320" w:hanging="312"/>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Amount represents shares available for future issuance upon awards that may be granted under the 2022 Plan.</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FFFF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-158750</wp:posOffset>
            </wp:positionV>
            <wp:extent cx="7003415"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003415" cy="18859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Shareholder Proposals and Director Nominations for the 2025 Annual Meeting</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2024 Annual Meeting of Shareholders is expected to be held on March 18, 2025. In order for a shareholder proposal to be included</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in our proxy statement for the 2025 Annual Meeting, (i) our Secretary must receive such proposal no later than the close of business on October 9, 2024, unless the date of the 2025 Annual Meeting is delayed by more than 30 calendar days; and (ii) such proposal must satisfy</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all of the requirements of, and not otherwise be permitted to be excluded under, Rule 14a-8 promulgated by the SEC and our Amended and Restated Bylaws.</w:t>
      </w:r>
    </w:p>
    <w:p>
      <w:pPr>
        <w:spacing w:after="0" w:line="50" w:lineRule="exact"/>
        <w:rPr>
          <w:sz w:val="20"/>
          <w:szCs w:val="20"/>
          <w:color w:val="auto"/>
        </w:rPr>
      </w:pPr>
    </w:p>
    <w:p>
      <w:pPr>
        <w:ind w:right="140" w:firstLine="324"/>
        <w:spacing w:after="0" w:line="245" w:lineRule="auto"/>
        <w:rPr>
          <w:sz w:val="20"/>
          <w:szCs w:val="20"/>
          <w:color w:val="auto"/>
        </w:rPr>
      </w:pPr>
      <w:r>
        <w:rPr>
          <w:rFonts w:ascii="Arial" w:cs="Arial" w:eastAsia="Arial" w:hAnsi="Arial"/>
          <w:sz w:val="18"/>
          <w:szCs w:val="18"/>
          <w:color w:val="auto"/>
        </w:rPr>
        <w:t>Under our current Amended and Restated Bylaws, in order for a shareholder to nominate one or more persons for election to the Board at the 2025 Annual Meeting of Shareholders or propose any other business to be brought before the 2025 Annual Meeting, complete and</w:t>
      </w:r>
    </w:p>
    <w:p>
      <w:pPr>
        <w:ind w:right="220"/>
        <w:spacing w:after="0"/>
        <w:rPr>
          <w:sz w:val="20"/>
          <w:szCs w:val="20"/>
          <w:color w:val="auto"/>
        </w:rPr>
      </w:pPr>
      <w:r>
        <w:rPr>
          <w:rFonts w:ascii="Arial" w:cs="Arial" w:eastAsia="Arial" w:hAnsi="Arial"/>
          <w:sz w:val="17"/>
          <w:szCs w:val="17"/>
          <w:color w:val="auto"/>
        </w:rPr>
        <w:t>timely notice must be given in writing and in proper form to our Secretary not later than December 19, 2024, nor earlier than November 19, 2024. However, if the date of the 2025 Annual Meeting is advanced by more than 30 days or delayed by more than 60 days from the first</w:t>
      </w:r>
    </w:p>
    <w:p>
      <w:pPr>
        <w:spacing w:after="0" w:line="235" w:lineRule="auto"/>
        <w:rPr>
          <w:sz w:val="20"/>
          <w:szCs w:val="20"/>
          <w:color w:val="auto"/>
        </w:rPr>
      </w:pPr>
      <w:r>
        <w:rPr>
          <w:rFonts w:ascii="Arial" w:cs="Arial" w:eastAsia="Arial" w:hAnsi="Arial"/>
          <w:sz w:val="18"/>
          <w:szCs w:val="18"/>
          <w:color w:val="auto"/>
        </w:rPr>
        <w:t>anniversary date of the 2024 Annual Meeting of Shareholders, such notice must be delivered not earlier than the 120th day prior to the date</w:t>
      </w:r>
    </w:p>
    <w:p>
      <w:pPr>
        <w:ind w:right="660"/>
        <w:spacing w:after="0" w:line="226" w:lineRule="auto"/>
        <w:rPr>
          <w:sz w:val="20"/>
          <w:szCs w:val="20"/>
          <w:color w:val="auto"/>
        </w:rPr>
      </w:pPr>
      <w:r>
        <w:rPr>
          <w:rFonts w:ascii="Arial" w:cs="Arial" w:eastAsia="Arial" w:hAnsi="Arial"/>
          <w:sz w:val="18"/>
          <w:szCs w:val="18"/>
          <w:color w:val="auto"/>
        </w:rPr>
        <w:t>of the rescheduled 2025 Annual Meeting and not later than the close of business on the later of the 90th day prior to the date of the rescheduled 2025 Annual Meeting or the 10th day following the day on which we first make a public announcement of the date of the</w:t>
      </w:r>
    </w:p>
    <w:p>
      <w:pPr>
        <w:spacing w:after="0" w:line="236" w:lineRule="auto"/>
        <w:rPr>
          <w:sz w:val="20"/>
          <w:szCs w:val="20"/>
          <w:color w:val="auto"/>
        </w:rPr>
      </w:pPr>
      <w:r>
        <w:rPr>
          <w:rFonts w:ascii="Arial" w:cs="Arial" w:eastAsia="Arial" w:hAnsi="Arial"/>
          <w:sz w:val="18"/>
          <w:szCs w:val="18"/>
          <w:color w:val="auto"/>
        </w:rPr>
        <w:t>rescheduled 2025 Annual Meeting. Any notice must contain the specific information required by our Amended and Restated Bylaws,</w:t>
      </w:r>
    </w:p>
    <w:p>
      <w:pPr>
        <w:spacing w:after="0" w:line="1"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including, among other things, information about: any proposed nominee and his or her relationships with the shareholder submitting the nomination; any agreements, arrangements or understandings the shareholder may have with any proposed nominee or other parties</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relating to the nomination or other proposal; and the interests that the shareholder has related to our Company and its shares, including as a result of, among other things, derivative securities, voting arrangements or short positions. Such information must be updated as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record date for the 2025 Annual Meeting and as of the date that is 10 business days prior to the date of the 2025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4" w:right="35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7"/>
          <w:szCs w:val="17"/>
          <w:color w:val="auto"/>
        </w:rPr>
        <w:t>This summary information regarding our Amended and Restated Bylaws is qualified in its entirety by reference to the full text of the Amended</w:t>
      </w:r>
    </w:p>
    <w:p>
      <w:pPr>
        <w:spacing w:after="0" w:line="25"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and Restated Bylaws, which can be found on our website at www.thetorocompany.com/corporategovernance. If a nomination or proposal is not timely and properly made in accordance with the procedures set forth in our Amended and Restated Bylaws, or does not contain the</w:t>
      </w:r>
    </w:p>
    <w:p>
      <w:pPr>
        <w:spacing w:after="0" w:line="236" w:lineRule="auto"/>
        <w:rPr>
          <w:sz w:val="20"/>
          <w:szCs w:val="20"/>
          <w:color w:val="auto"/>
        </w:rPr>
      </w:pPr>
      <w:r>
        <w:rPr>
          <w:rFonts w:ascii="Arial" w:cs="Arial" w:eastAsia="Arial" w:hAnsi="Arial"/>
          <w:sz w:val="18"/>
          <w:szCs w:val="18"/>
          <w:color w:val="auto"/>
        </w:rPr>
        <w:t>specific information required by our Amended and Restated Bylaws, such nomination or proposal will be defective and will not be brought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before the 2025 Annual Meeting. If a nomination or proposal is nonetheless brought before the 2025 Annual Meeting and the Chairman does not exercise the power and duty to declare the nomination or proposal defective, the persons named in the proxy may use their discretionary</w:t>
      </w:r>
    </w:p>
    <w:p>
      <w:pPr>
        <w:spacing w:after="0" w:line="236" w:lineRule="auto"/>
        <w:rPr>
          <w:sz w:val="20"/>
          <w:szCs w:val="20"/>
          <w:color w:val="auto"/>
        </w:rPr>
      </w:pPr>
      <w:r>
        <w:rPr>
          <w:rFonts w:ascii="Arial" w:cs="Arial" w:eastAsia="Arial" w:hAnsi="Arial"/>
          <w:sz w:val="18"/>
          <w:szCs w:val="18"/>
          <w:color w:val="auto"/>
        </w:rPr>
        <w:t>voting with respect to such nomination or proposal. In addition, to comply with the universal proxy rules, shareholders who intend to solicit</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proxies in support of director nominees other than the nominees of our Board of Directors must also comply with the additional requirements of Rule 14a-19 under the Exchange Act, including providing a statement that such shareholder intends to solicit the holders of shares</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representing at least 67% of the voting power of TTC shares entitled to vote on the election of directors in support of director nominees other than TTC's nominees, as required by Rule 14a-19(b).</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Householding of Annual Meeting Materials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w:t>
      </w:r>
    </w:p>
    <w:p>
      <w:pPr>
        <w:spacing w:after="0" w:line="14"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annual reports. This means that only one set of these documents may have been sent to multiple shareholders at a shared address. Additional copies of this proxy statement and our Annual Report on Form 10-K are available upon request to our General Counsel at 8111</w:t>
      </w:r>
    </w:p>
    <w:p>
      <w:pPr>
        <w:spacing w:after="0" w:line="235" w:lineRule="auto"/>
        <w:rPr>
          <w:sz w:val="20"/>
          <w:szCs w:val="20"/>
          <w:color w:val="auto"/>
        </w:rPr>
      </w:pPr>
      <w:r>
        <w:rPr>
          <w:rFonts w:ascii="Arial" w:cs="Arial" w:eastAsia="Arial" w:hAnsi="Arial"/>
          <w:sz w:val="18"/>
          <w:szCs w:val="18"/>
          <w:color w:val="auto"/>
        </w:rPr>
        <w:t>Lyndale Avenue South, Bloomington, Minnesota, 55420-1196, by telephone at (952) 888-8801, or by e-mail to invest@thetorocompany.com.</w:t>
      </w:r>
    </w:p>
    <w:p>
      <w:pPr>
        <w:ind w:right="60"/>
        <w:spacing w:after="0" w:line="226" w:lineRule="auto"/>
        <w:rPr>
          <w:sz w:val="20"/>
          <w:szCs w:val="20"/>
          <w:color w:val="auto"/>
        </w:rPr>
      </w:pPr>
      <w:r>
        <w:rPr>
          <w:rFonts w:ascii="Arial" w:cs="Arial" w:eastAsia="Arial" w:hAnsi="Arial"/>
          <w:sz w:val="18"/>
          <w:szCs w:val="18"/>
          <w:color w:val="auto"/>
        </w:rPr>
        <w:t>These documents also may be downloaded and printed from our website at www.thetorocompany.com/proxy. Any shareholder who wants to receive separate copies of our proxy statement and annual report in the future, or any shareholder who is receiving multiple copies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would like to receive only one copy per household, should contact his, her or its bank, broker or other nominee record holder.</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Annual Report</w:t>
      </w:r>
    </w:p>
    <w:p>
      <w:pPr>
        <w:spacing w:after="0" w:line="85"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b w:val="1"/>
          <w:bCs w:val="1"/>
          <w:color w:val="auto"/>
        </w:rPr>
        <w:t>TTC's Annual Report on Form 10-K for the fiscal year ended October 31, 2023, as filed with the SEC, will be sent to any shareholder, without charge, upon written request to our General Counsel at 8111 Lyndale Avenue South, Bloomington, Minnesota,</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b w:val="1"/>
          <w:bCs w:val="1"/>
          <w:color w:val="auto"/>
        </w:rPr>
        <w:t>55420-1196. You also may obtain our Annual Report on Form 10-K on the Internet at the SEC's website, www.sec.gov, or on our website at www.thetorocompany.com/proxy. Our Fiscal Year 2023 Annual Report, which contains information about our business</w:t>
      </w:r>
    </w:p>
    <w:p>
      <w:pPr>
        <w:spacing w:after="0" w:line="1" w:lineRule="exact"/>
        <w:rPr>
          <w:sz w:val="20"/>
          <w:szCs w:val="20"/>
          <w:color w:val="auto"/>
        </w:rPr>
      </w:pPr>
    </w:p>
    <w:p>
      <w:pPr>
        <w:ind w:right="2700"/>
        <w:spacing w:after="0" w:line="260" w:lineRule="auto"/>
        <w:rPr>
          <w:sz w:val="20"/>
          <w:szCs w:val="20"/>
          <w:color w:val="auto"/>
        </w:rPr>
      </w:pPr>
      <w:r>
        <w:rPr>
          <w:rFonts w:ascii="Arial" w:cs="Arial" w:eastAsia="Arial" w:hAnsi="Arial"/>
          <w:sz w:val="18"/>
          <w:szCs w:val="18"/>
          <w:b w:val="1"/>
          <w:bCs w:val="1"/>
          <w:color w:val="auto"/>
        </w:rPr>
        <w:t>but is not part of our disclosure deemed to be filed with the SEC, also is available on our website at www.thetorocompany.com/proxy.</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Cost and Method of Solicitation</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pay the cost of soliciting proxies and may make arrangements with brokerage houses, custodians, nominees and other</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fiduciaries to send proxy materials to beneficial owners of our common stock. We will reimburse these third-parties for reasonable out-of-pocket expenses. In addition to solicitation by mail, our non-employee directors, executive officers and other employees may solicit proxies</w:t>
      </w:r>
    </w:p>
    <w:p>
      <w:pPr>
        <w:spacing w:after="0" w:line="235" w:lineRule="auto"/>
        <w:rPr>
          <w:sz w:val="20"/>
          <w:szCs w:val="20"/>
          <w:color w:val="auto"/>
        </w:rPr>
      </w:pPr>
      <w:r>
        <w:rPr>
          <w:rFonts w:ascii="Arial" w:cs="Arial" w:eastAsia="Arial" w:hAnsi="Arial"/>
          <w:sz w:val="18"/>
          <w:szCs w:val="18"/>
          <w:color w:val="auto"/>
        </w:rPr>
        <w:t>by telephone, electronic transmission and personally. Our non-employee directors, executive officers and other employees will not receive</w:t>
      </w:r>
    </w:p>
    <w:p>
      <w:pPr>
        <w:ind w:right="20"/>
        <w:spacing w:after="0" w:line="185" w:lineRule="auto"/>
        <w:rPr>
          <w:sz w:val="20"/>
          <w:szCs w:val="20"/>
          <w:color w:val="auto"/>
        </w:rPr>
      </w:pPr>
      <w:r>
        <w:rPr>
          <w:rFonts w:ascii="Arial" w:cs="Arial" w:eastAsia="Arial" w:hAnsi="Arial"/>
          <w:sz w:val="17"/>
          <w:szCs w:val="17"/>
          <w:color w:val="auto"/>
        </w:rPr>
        <w:t>compensation for such services other than regular non-employee director or employee compensation. We have retained Morrow Sodali LLC, 333 Ludlow Street, 5</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 South Tower, Stamford, Connecticut, 06902, for an estimated fee of $8,500, plus out of pocket expenses, to</w:t>
      </w:r>
    </w:p>
    <w:p>
      <w:pPr>
        <w:spacing w:after="0" w:line="1" w:lineRule="exact"/>
        <w:rPr>
          <w:sz w:val="20"/>
          <w:szCs w:val="20"/>
          <w:color w:val="auto"/>
        </w:rPr>
      </w:pPr>
    </w:p>
    <w:p>
      <w:pPr>
        <w:ind w:right="1720"/>
        <w:spacing w:after="0" w:line="365" w:lineRule="auto"/>
        <w:rPr>
          <w:sz w:val="20"/>
          <w:szCs w:val="20"/>
          <w:color w:val="auto"/>
        </w:rPr>
      </w:pPr>
      <w:r>
        <w:rPr>
          <w:rFonts w:ascii="Arial" w:cs="Arial" w:eastAsia="Arial" w:hAnsi="Arial"/>
          <w:sz w:val="18"/>
          <w:szCs w:val="18"/>
          <w:color w:val="auto"/>
        </w:rPr>
        <w:t>assist in distributing proxy materials and soliciting proxies in connection with our 2024 Annual Meeting of Shareholders. Dated: February 6, 2024</w:t>
      </w:r>
    </w:p>
    <w:p>
      <w:pPr>
        <w:ind w:left="73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26035</wp:posOffset>
            </wp:positionV>
            <wp:extent cx="1397000" cy="4457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970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BF2115"/>
        </w:rPr>
        <w:t>Joanna M. Totsky</w:t>
      </w:r>
    </w:p>
    <w:p>
      <w:pPr>
        <w:jc w:val="center"/>
        <w:ind w:left="5020"/>
        <w:spacing w:after="0" w:line="203" w:lineRule="auto"/>
        <w:rPr>
          <w:sz w:val="20"/>
          <w:szCs w:val="20"/>
          <w:color w:val="auto"/>
        </w:rPr>
      </w:pPr>
      <w:r>
        <w:rPr>
          <w:rFonts w:ascii="Arial" w:cs="Arial" w:eastAsia="Arial" w:hAnsi="Arial"/>
          <w:sz w:val="18"/>
          <w:szCs w:val="18"/>
          <w:color w:val="auto"/>
        </w:rPr>
        <w:t>Vice President, General Counsel</w:t>
      </w:r>
    </w:p>
    <w:p>
      <w:pPr>
        <w:jc w:val="center"/>
        <w:ind w:left="5020"/>
        <w:spacing w:after="0"/>
        <w:rPr>
          <w:sz w:val="20"/>
          <w:szCs w:val="20"/>
          <w:color w:val="auto"/>
        </w:rPr>
      </w:pPr>
      <w:r>
        <w:rPr>
          <w:rFonts w:ascii="Arial" w:cs="Arial" w:eastAsia="Arial" w:hAnsi="Arial"/>
          <w:sz w:val="18"/>
          <w:szCs w:val="18"/>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7" w:right="37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5760720" cy="74491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760720" cy="74491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1."/>
      <w:numFmt w:val="decimal"/>
      <w:start w:val="1"/>
    </w:lvl>
  </w:abstractNum>
  <w:abstractNum w:abstractNumId="10">
    <w:nsid w:val="3DC240FB"/>
    <w:multiLevelType w:val="hybridMultilevel"/>
    <w:lvl w:ilvl="0">
      <w:lvlJc w:val="left"/>
      <w:lvlText w:val="%1."/>
      <w:numFmt w:val="decimal"/>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1."/>
      <w:numFmt w:val="decimal"/>
      <w:start w:val="1"/>
    </w:lvl>
  </w:abstractNum>
  <w:abstractNum w:abstractNumId="34">
    <w:nsid w:val="7E0C57B1"/>
    <w:multiLevelType w:val="hybridMultilevel"/>
    <w:lvl w:ilvl="0">
      <w:lvlJc w:val="left"/>
      <w:lvlText w:val="&amp;"/>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lvl w:ilvl="1">
      <w:lvlJc w:val="left"/>
      <w:lvlText w:val="\endash "/>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1."/>
      <w:numFmt w:val="decimal"/>
      <w:start w:val="5"/>
    </w:lvl>
  </w:abstractNum>
  <w:abstractNum w:abstractNumId="50">
    <w:nsid w:val="98A3148"/>
    <w:multiLevelType w:val="hybridMultilevel"/>
    <w:lvl w:ilvl="0">
      <w:lvlJc w:val="left"/>
      <w:lvlText w:val="%1."/>
      <w:numFmt w:val="decimal"/>
      <w:start w:val="6"/>
    </w:lvl>
  </w:abstractNum>
  <w:abstractNum w:abstractNumId="51">
    <w:nsid w:val="799D0247"/>
    <w:multiLevelType w:val="hybridMultilevel"/>
    <w:lvl w:ilvl="0">
      <w:lvlJc w:val="left"/>
      <w:lvlText w:val="%1."/>
      <w:numFmt w:val="decimal"/>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Х"/>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1."/>
      <w:numFmt w:val="decimal"/>
      <w:start w:val="1"/>
    </w:lvl>
  </w:abstractNum>
  <w:abstractNum w:abstractNumId="58">
    <w:nsid w:val="540A471C"/>
    <w:multiLevelType w:val="hybridMultilevel"/>
    <w:lvl w:ilvl="0">
      <w:lvlJc w:val="left"/>
      <w:lvlText w:val="%1."/>
      <w:numFmt w:val="decimal"/>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decimal"/>
      <w:start w:val="1"/>
    </w:lvl>
  </w:abstractNum>
  <w:abstractNum w:abstractNumId="62">
    <w:nsid w:val="BF72B14"/>
    <w:multiLevelType w:val="hybridMultilevel"/>
    <w:lvl w:ilvl="0">
      <w:lvlJc w:val="left"/>
      <w:lvlText w:val="%1."/>
      <w:numFmt w:val="decimal"/>
      <w:start w:val="4"/>
    </w:lvl>
  </w:abstractNum>
  <w:abstractNum w:abstractNumId="63">
    <w:nsid w:val="11447B73"/>
    <w:multiLevelType w:val="hybridMultilevel"/>
    <w:lvl w:ilvl="0">
      <w:lvlJc w:val="left"/>
      <w:lvlText w:val="%1."/>
      <w:numFmt w:val="decimal"/>
      <w:start w:val="5"/>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1."/>
      <w:numFmt w:val="decimal"/>
      <w:start w:val="1"/>
    </w:lvl>
  </w:abstractNum>
  <w:abstractNum w:abstractNumId="67">
    <w:nsid w:val="1A32234B"/>
    <w:multiLevelType w:val="hybridMultilevel"/>
    <w:lvl w:ilvl="0">
      <w:lvlJc w:val="left"/>
      <w:lvlText w:val="%1."/>
      <w:numFmt w:val="decimal"/>
      <w:start w:val="1"/>
    </w:lvl>
  </w:abstractNum>
  <w:abstractNum w:abstractNumId="68">
    <w:nsid w:val="3B0FD379"/>
    <w:multiLevelType w:val="hybridMultilevel"/>
    <w:lvl w:ilvl="0">
      <w:lvlJc w:val="left"/>
      <w:lvlText w:val="%1."/>
      <w:numFmt w:val="decimal"/>
      <w:start w:val="2"/>
    </w:lvl>
  </w:abstractNum>
  <w:abstractNum w:abstractNumId="69">
    <w:nsid w:val="68EB2F63"/>
    <w:multiLevelType w:val="hybridMultilevel"/>
    <w:lvl w:ilvl="0">
      <w:lvlJc w:val="left"/>
      <w:lvlText w:val="%1."/>
      <w:numFmt w:val="decimal"/>
      <w:start w:val="1"/>
    </w:lvl>
  </w:abstractNum>
  <w:abstractNum w:abstractNumId="70">
    <w:nsid w:val="4962813B"/>
    <w:multiLevelType w:val="hybridMultilevel"/>
    <w:lvl w:ilvl="0">
      <w:lvlJc w:val="left"/>
      <w:lvlText w:val="%1."/>
      <w:numFmt w:val="decimal"/>
      <w:start w:val="1"/>
    </w:lvl>
  </w:abstractNum>
  <w:abstractNum w:abstractNumId="71">
    <w:nsid w:val="60B6DF70"/>
    <w:multiLevelType w:val="hybridMultilevel"/>
    <w:lvl w:ilvl="0">
      <w:lvlJc w:val="left"/>
      <w:lvlText w:val="%1."/>
      <w:numFmt w:val="decimal"/>
      <w:start w:val="2"/>
    </w:lvl>
  </w:abstractNum>
  <w:abstractNum w:abstractNumId="72">
    <w:nsid w:val="6A5EE64"/>
    <w:multiLevelType w:val="hybridMultilevel"/>
    <w:lvl w:ilvl="0">
      <w:lvlJc w:val="left"/>
      <w:lvlText w:val="%1."/>
      <w:numFmt w:val="decimal"/>
      <w:start w:val="4"/>
    </w:lvl>
  </w:abstractNum>
  <w:abstractNum w:abstractNumId="73">
    <w:nsid w:val="14330624"/>
    <w:multiLevelType w:val="hybridMultilevel"/>
    <w:lvl w:ilvl="0">
      <w:lvlJc w:val="left"/>
      <w:lvlText w:val="%1."/>
      <w:numFmt w:val="decimal"/>
      <w:start w:val="1"/>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1."/>
      <w:numFmt w:val="decimal"/>
      <w:start w:val="1"/>
    </w:lvl>
  </w:abstractNum>
  <w:abstractNum w:abstractNumId="84">
    <w:nsid w:val="4C04A8AF"/>
    <w:multiLevelType w:val="hybridMultilevel"/>
    <w:lvl w:ilvl="0">
      <w:lvlJc w:val="left"/>
      <w:lvlText w:val="%1."/>
      <w:numFmt w:val="decimal"/>
      <w:start w:val="4"/>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decimal"/>
      <w:start w:val="1"/>
    </w:lvl>
  </w:abstractNum>
  <w:abstractNum w:abstractNumId="87">
    <w:nsid w:val="3222E7CD"/>
    <w:multiLevelType w:val="hybridMultilevel"/>
    <w:lvl w:ilvl="0">
      <w:lvlJc w:val="left"/>
      <w:lvlText w:val="%1."/>
      <w:numFmt w:val="decimal"/>
      <w:start w:val="3"/>
    </w:lvl>
  </w:abstractNum>
  <w:abstractNum w:abstractNumId="88">
    <w:nsid w:val="74DE0EE3"/>
    <w:multiLevelType w:val="hybridMultilevel"/>
    <w:lvl w:ilvl="0">
      <w:lvlJc w:val="left"/>
      <w:lvlText w:val="•"/>
      <w:numFmt w:val="bullet"/>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2024-02-06T08:19:55Z</dcterms:created>
  <dcterms:modified xsi:type="dcterms:W3CDTF">2024-02-06T08:19:55Z</dcterms:modified>
</cp:coreProperties>
</file>