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24, 2017</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TORO COMPANY</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372" w:lineRule="exact"/>
        <w:rPr>
          <w:sz w:val="24"/>
          <w:szCs w:val="24"/>
          <w:color w:val="auto"/>
        </w:rPr>
      </w:pPr>
    </w:p>
    <w:tbl>
      <w:tblPr>
        <w:tblLayout w:type="fixed"/>
        <w:tblInd w:w="1000" w:type="dxa"/>
        <w:tblCellMar>
          <w:top w:w="0" w:type="dxa"/>
          <w:left w:w="0" w:type="dxa"/>
          <w:bottom w:w="0" w:type="dxa"/>
          <w:right w:w="0" w:type="dxa"/>
        </w:tblCellMar>
      </w:tblPr>
      <w:tr>
        <w:trPr>
          <w:trHeight w:val="256"/>
        </w:trPr>
        <w:tc>
          <w:tcPr>
            <w:tcW w:w="4060" w:type="dxa"/>
            <w:vAlign w:val="bottom"/>
            <w:gridSpan w:val="4"/>
          </w:tcPr>
          <w:p>
            <w:pPr>
              <w:jc w:val="center"/>
              <w:ind w:right="1820"/>
              <w:spacing w:after="0"/>
              <w:rPr>
                <w:sz w:val="20"/>
                <w:szCs w:val="20"/>
                <w:color w:val="auto"/>
              </w:rPr>
            </w:pPr>
            <w:r>
              <w:rPr>
                <w:rFonts w:ascii="Arial" w:cs="Arial" w:eastAsia="Arial" w:hAnsi="Arial"/>
                <w:sz w:val="20"/>
                <w:szCs w:val="20"/>
                <w:b w:val="1"/>
                <w:bCs w:val="1"/>
                <w:color w:val="auto"/>
                <w:w w:val="91"/>
              </w:rPr>
              <w:t>Delaware</w:t>
            </w:r>
          </w:p>
        </w:tc>
        <w:tc>
          <w:tcPr>
            <w:tcW w:w="2940" w:type="dxa"/>
            <w:vAlign w:val="bottom"/>
            <w:gridSpan w:val="2"/>
          </w:tcPr>
          <w:p>
            <w:pPr>
              <w:jc w:val="right"/>
              <w:ind w:right="1720"/>
              <w:spacing w:after="0"/>
              <w:rPr>
                <w:sz w:val="20"/>
                <w:szCs w:val="20"/>
                <w:color w:val="auto"/>
              </w:rPr>
            </w:pPr>
            <w:r>
              <w:rPr>
                <w:rFonts w:ascii="Arial" w:cs="Arial" w:eastAsia="Arial" w:hAnsi="Arial"/>
                <w:sz w:val="20"/>
                <w:szCs w:val="20"/>
                <w:b w:val="1"/>
                <w:bCs w:val="1"/>
                <w:color w:val="auto"/>
              </w:rPr>
              <w:t>1-8649</w:t>
            </w:r>
          </w:p>
        </w:tc>
        <w:tc>
          <w:tcPr>
            <w:tcW w:w="2920" w:type="dxa"/>
            <w:vAlign w:val="bottom"/>
            <w:gridSpan w:val="5"/>
          </w:tcPr>
          <w:p>
            <w:pPr>
              <w:jc w:val="right"/>
              <w:ind w:right="840"/>
              <w:spacing w:after="0"/>
              <w:rPr>
                <w:sz w:val="20"/>
                <w:szCs w:val="20"/>
                <w:color w:val="auto"/>
              </w:rPr>
            </w:pPr>
            <w:r>
              <w:rPr>
                <w:rFonts w:ascii="Arial" w:cs="Arial" w:eastAsia="Arial" w:hAnsi="Arial"/>
                <w:sz w:val="20"/>
                <w:szCs w:val="20"/>
                <w:b w:val="1"/>
                <w:bCs w:val="1"/>
                <w:color w:val="auto"/>
              </w:rPr>
              <w:t>41-0580470</w:t>
            </w:r>
          </w:p>
        </w:tc>
      </w:tr>
      <w:tr>
        <w:trPr>
          <w:trHeight w:val="247"/>
        </w:trPr>
        <w:tc>
          <w:tcPr>
            <w:tcW w:w="4060" w:type="dxa"/>
            <w:vAlign w:val="bottom"/>
            <w:gridSpan w:val="4"/>
          </w:tcPr>
          <w:p>
            <w:pPr>
              <w:jc w:val="center"/>
              <w:ind w:right="1820"/>
              <w:spacing w:after="0"/>
              <w:rPr>
                <w:sz w:val="20"/>
                <w:szCs w:val="20"/>
                <w:color w:val="auto"/>
              </w:rPr>
            </w:pPr>
            <w:r>
              <w:rPr>
                <w:rFonts w:ascii="Arial" w:cs="Arial" w:eastAsia="Arial" w:hAnsi="Arial"/>
                <w:sz w:val="16"/>
                <w:szCs w:val="16"/>
                <w:color w:val="auto"/>
                <w:w w:val="92"/>
              </w:rPr>
              <w:t>(State of Incorporation)</w:t>
            </w:r>
          </w:p>
        </w:tc>
        <w:tc>
          <w:tcPr>
            <w:tcW w:w="2940" w:type="dxa"/>
            <w:vAlign w:val="bottom"/>
            <w:gridSpan w:val="2"/>
          </w:tcPr>
          <w:p>
            <w:pPr>
              <w:jc w:val="center"/>
              <w:ind w:right="1060"/>
              <w:spacing w:after="0"/>
              <w:rPr>
                <w:sz w:val="20"/>
                <w:szCs w:val="20"/>
                <w:color w:val="auto"/>
              </w:rPr>
            </w:pPr>
            <w:r>
              <w:rPr>
                <w:rFonts w:ascii="Arial" w:cs="Arial" w:eastAsia="Arial" w:hAnsi="Arial"/>
                <w:sz w:val="16"/>
                <w:szCs w:val="16"/>
                <w:color w:val="auto"/>
                <w:w w:val="94"/>
              </w:rPr>
              <w:t>(Commission File Number)</w:t>
            </w:r>
          </w:p>
        </w:tc>
        <w:tc>
          <w:tcPr>
            <w:tcW w:w="2920" w:type="dxa"/>
            <w:vAlign w:val="bottom"/>
            <w:gridSpan w:val="5"/>
          </w:tcPr>
          <w:p>
            <w:pPr>
              <w:jc w:val="center"/>
              <w:ind w:left="187"/>
              <w:spacing w:after="0"/>
              <w:rPr>
                <w:sz w:val="20"/>
                <w:szCs w:val="20"/>
                <w:color w:val="auto"/>
              </w:rPr>
            </w:pPr>
            <w:r>
              <w:rPr>
                <w:rFonts w:ascii="Arial" w:cs="Arial" w:eastAsia="Arial" w:hAnsi="Arial"/>
                <w:sz w:val="16"/>
                <w:szCs w:val="16"/>
                <w:color w:val="auto"/>
                <w:w w:val="94"/>
              </w:rPr>
              <w:t>(I.R.S. Employer Identification Number)</w:t>
            </w:r>
          </w:p>
        </w:tc>
      </w:tr>
      <w:tr>
        <w:trPr>
          <w:trHeight w:val="618"/>
        </w:trPr>
        <w:tc>
          <w:tcPr>
            <w:tcW w:w="920" w:type="dxa"/>
            <w:vAlign w:val="bottom"/>
          </w:tcPr>
          <w:p>
            <w:pPr>
              <w:spacing w:after="0"/>
              <w:rPr>
                <w:sz w:val="24"/>
                <w:szCs w:val="24"/>
                <w:color w:val="auto"/>
              </w:rPr>
            </w:pPr>
          </w:p>
        </w:tc>
        <w:tc>
          <w:tcPr>
            <w:tcW w:w="3140" w:type="dxa"/>
            <w:vAlign w:val="bottom"/>
            <w:gridSpan w:val="3"/>
          </w:tcPr>
          <w:p>
            <w:pPr>
              <w:jc w:val="center"/>
              <w:ind w:right="560"/>
              <w:spacing w:after="0"/>
              <w:rPr>
                <w:sz w:val="20"/>
                <w:szCs w:val="20"/>
                <w:color w:val="auto"/>
              </w:rPr>
            </w:pPr>
            <w:r>
              <w:rPr>
                <w:rFonts w:ascii="Arial" w:cs="Arial" w:eastAsia="Arial" w:hAnsi="Arial"/>
                <w:sz w:val="20"/>
                <w:szCs w:val="20"/>
                <w:b w:val="1"/>
                <w:bCs w:val="1"/>
                <w:color w:val="auto"/>
                <w:w w:val="88"/>
              </w:rPr>
              <w:t>8111 Lyndale Avenue South</w:t>
            </w: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2"/>
        </w:trPr>
        <w:tc>
          <w:tcPr>
            <w:tcW w:w="920" w:type="dxa"/>
            <w:vAlign w:val="bottom"/>
          </w:tcPr>
          <w:p>
            <w:pPr>
              <w:spacing w:after="0"/>
              <w:rPr>
                <w:sz w:val="18"/>
                <w:szCs w:val="18"/>
                <w:color w:val="auto"/>
              </w:rPr>
            </w:pPr>
          </w:p>
        </w:tc>
        <w:tc>
          <w:tcPr>
            <w:tcW w:w="2580" w:type="dxa"/>
            <w:vAlign w:val="bottom"/>
            <w:tcBorders>
              <w:bottom w:val="single" w:sz="8" w:color="auto"/>
            </w:tcBorders>
            <w:gridSpan w:val="2"/>
          </w:tcPr>
          <w:p>
            <w:pPr>
              <w:jc w:val="center"/>
              <w:spacing w:after="0" w:line="212" w:lineRule="exact"/>
              <w:rPr>
                <w:sz w:val="20"/>
                <w:szCs w:val="20"/>
                <w:color w:val="auto"/>
              </w:rPr>
            </w:pPr>
            <w:r>
              <w:rPr>
                <w:rFonts w:ascii="Arial" w:cs="Arial" w:eastAsia="Arial" w:hAnsi="Arial"/>
                <w:sz w:val="20"/>
                <w:szCs w:val="20"/>
                <w:b w:val="1"/>
                <w:bCs w:val="1"/>
                <w:color w:val="auto"/>
                <w:w w:val="89"/>
              </w:rPr>
              <w:t>Bloomington, Minnesota</w:t>
            </w: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800" w:type="dxa"/>
            <w:vAlign w:val="bottom"/>
            <w:tcBorders>
              <w:bottom w:val="single" w:sz="8" w:color="auto"/>
            </w:tcBorders>
          </w:tcPr>
          <w:p>
            <w:pPr>
              <w:jc w:val="right"/>
              <w:ind w:right="61"/>
              <w:spacing w:after="0" w:line="212" w:lineRule="exact"/>
              <w:rPr>
                <w:sz w:val="20"/>
                <w:szCs w:val="20"/>
                <w:color w:val="auto"/>
              </w:rPr>
            </w:pPr>
            <w:r>
              <w:rPr>
                <w:rFonts w:ascii="Arial" w:cs="Arial" w:eastAsia="Arial" w:hAnsi="Arial"/>
                <w:sz w:val="20"/>
                <w:szCs w:val="20"/>
                <w:b w:val="1"/>
                <w:bCs w:val="1"/>
                <w:color w:val="auto"/>
              </w:rPr>
              <w:t>55420</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4"/>
        </w:trPr>
        <w:tc>
          <w:tcPr>
            <w:tcW w:w="4060" w:type="dxa"/>
            <w:vAlign w:val="bottom"/>
            <w:gridSpan w:val="4"/>
          </w:tcPr>
          <w:p>
            <w:pPr>
              <w:jc w:val="center"/>
              <w:ind w:left="265"/>
              <w:spacing w:after="0"/>
              <w:rPr>
                <w:sz w:val="20"/>
                <w:szCs w:val="20"/>
                <w:color w:val="auto"/>
              </w:rPr>
            </w:pPr>
            <w:r>
              <w:rPr>
                <w:rFonts w:ascii="Arial" w:cs="Arial" w:eastAsia="Arial" w:hAnsi="Arial"/>
                <w:sz w:val="20"/>
                <w:szCs w:val="20"/>
                <w:color w:val="auto"/>
                <w:w w:val="91"/>
              </w:rPr>
              <w:t>(Address of principal executive offices)</w:t>
            </w:r>
          </w:p>
        </w:tc>
        <w:tc>
          <w:tcPr>
            <w:tcW w:w="11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20" w:type="dxa"/>
            <w:vAlign w:val="bottom"/>
            <w:gridSpan w:val="4"/>
          </w:tcPr>
          <w:p>
            <w:pPr>
              <w:ind w:left="180"/>
              <w:spacing w:after="0"/>
              <w:rPr>
                <w:sz w:val="20"/>
                <w:szCs w:val="20"/>
                <w:color w:val="auto"/>
              </w:rPr>
            </w:pPr>
            <w:r>
              <w:rPr>
                <w:rFonts w:ascii="Arial" w:cs="Arial" w:eastAsia="Arial" w:hAnsi="Arial"/>
                <w:sz w:val="20"/>
                <w:szCs w:val="20"/>
                <w:color w:val="auto"/>
              </w:rPr>
              <w:t>(Zip Code)</w:t>
            </w:r>
          </w:p>
        </w:tc>
      </w:tr>
      <w:tr>
        <w:trPr>
          <w:trHeight w:val="752"/>
        </w:trPr>
        <w:tc>
          <w:tcPr>
            <w:tcW w:w="7000" w:type="dxa"/>
            <w:vAlign w:val="bottom"/>
            <w:gridSpan w:val="6"/>
          </w:tcPr>
          <w:p>
            <w:pPr>
              <w:jc w:val="center"/>
              <w:ind w:right="2600"/>
              <w:spacing w:after="0"/>
              <w:rPr>
                <w:sz w:val="20"/>
                <w:szCs w:val="20"/>
                <w:color w:val="auto"/>
              </w:rPr>
            </w:pPr>
            <w:r>
              <w:rPr>
                <w:rFonts w:ascii="Arial" w:cs="Arial" w:eastAsia="Arial" w:hAnsi="Arial"/>
                <w:sz w:val="20"/>
                <w:szCs w:val="20"/>
                <w:b w:val="1"/>
                <w:bCs w:val="1"/>
                <w:color w:val="auto"/>
                <w:w w:val="87"/>
              </w:rPr>
              <w:t>Registrant’s telephone number, including area code:</w:t>
            </w:r>
          </w:p>
        </w:tc>
        <w:tc>
          <w:tcPr>
            <w:tcW w:w="2920" w:type="dxa"/>
            <w:vAlign w:val="bottom"/>
            <w:gridSpan w:val="5"/>
          </w:tcPr>
          <w:p>
            <w:pPr>
              <w:jc w:val="right"/>
              <w:ind w:right="1380"/>
              <w:spacing w:after="0"/>
              <w:rPr>
                <w:sz w:val="20"/>
                <w:szCs w:val="20"/>
                <w:color w:val="auto"/>
              </w:rPr>
            </w:pPr>
            <w:r>
              <w:rPr>
                <w:rFonts w:ascii="Arial" w:cs="Arial" w:eastAsia="Arial" w:hAnsi="Arial"/>
                <w:sz w:val="20"/>
                <w:szCs w:val="20"/>
                <w:b w:val="1"/>
                <w:bCs w:val="1"/>
                <w:color w:val="auto"/>
              </w:rPr>
              <w:t>(952) 888-8801</w:t>
            </w:r>
          </w:p>
        </w:tc>
      </w:tr>
      <w:tr>
        <w:trPr>
          <w:trHeight w:val="466"/>
        </w:trPr>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60" w:type="dxa"/>
            <w:vAlign w:val="bottom"/>
            <w:tcBorders>
              <w:bottom w:val="single" w:sz="8" w:color="auto"/>
            </w:tcBorders>
            <w:gridSpan w:val="2"/>
          </w:tcPr>
          <w:p>
            <w:pPr>
              <w:ind w:left="980"/>
              <w:spacing w:after="0"/>
              <w:rPr>
                <w:sz w:val="20"/>
                <w:szCs w:val="20"/>
                <w:color w:val="auto"/>
              </w:rPr>
            </w:pPr>
            <w:r>
              <w:rPr>
                <w:rFonts w:ascii="Arial" w:cs="Arial" w:eastAsia="Arial" w:hAnsi="Arial"/>
                <w:sz w:val="20"/>
                <w:szCs w:val="20"/>
                <w:color w:val="auto"/>
                <w:w w:val="97"/>
              </w:rPr>
              <w:t>Not Applicable</w:t>
            </w:r>
          </w:p>
        </w:tc>
        <w:tc>
          <w:tcPr>
            <w:tcW w:w="114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r>
      <w:tr>
        <w:trPr>
          <w:trHeight w:val="217"/>
        </w:trPr>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0" w:type="dxa"/>
            <w:vAlign w:val="bottom"/>
            <w:gridSpan w:val="4"/>
          </w:tcPr>
          <w:p>
            <w:pPr>
              <w:ind w:left="900"/>
              <w:spacing w:after="0"/>
              <w:rPr>
                <w:sz w:val="20"/>
                <w:szCs w:val="20"/>
                <w:color w:val="auto"/>
              </w:rPr>
            </w:pPr>
            <w:r>
              <w:rPr>
                <w:rFonts w:ascii="Arial" w:cs="Arial" w:eastAsia="Arial" w:hAnsi="Arial"/>
                <w:sz w:val="16"/>
                <w:szCs w:val="16"/>
                <w:color w:val="auto"/>
                <w:w w:val="96"/>
              </w:rPr>
              <w:t>(Former name or former address, if changed since last report.)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spacing w:after="0" w:line="192"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16" w:lineRule="exact"/>
        <w:rPr>
          <w:sz w:val="24"/>
          <w:szCs w:val="24"/>
          <w:color w:val="auto"/>
        </w:rPr>
      </w:pPr>
    </w:p>
    <w:p>
      <w:pPr>
        <w:spacing w:after="0" w:line="250" w:lineRule="auto"/>
        <w:rPr>
          <w:sz w:val="20"/>
          <w:szCs w:val="20"/>
          <w:color w:val="auto"/>
        </w:rPr>
      </w:pPr>
      <w:r>
        <w:rPr>
          <w:rFonts w:ascii="Arial" w:cs="Arial" w:eastAsia="Arial" w:hAnsi="Arial"/>
          <w:sz w:val="20"/>
          <w:szCs w:val="20"/>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Arial" w:cs="Arial" w:eastAsia="Arial" w:hAnsi="Arial"/>
          <w:sz w:val="18"/>
          <w:szCs w:val="18"/>
          <w:color w:val="auto"/>
        </w:rPr>
        <w:t>o</w:t>
      </w:r>
    </w:p>
    <w:p>
      <w:pPr>
        <w:spacing w:after="0" w:line="18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277495</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20"/>
          <w:szCs w:val="20"/>
          <w:color w:val="auto"/>
        </w:rPr>
        <w:t>On August 24, 2017, The Toro Company announced its earnings for the three and nine months ended August 4, 2017.</w:t>
      </w:r>
    </w:p>
    <w:p>
      <w:pPr>
        <w:spacing w:after="0" w:line="216" w:lineRule="exact"/>
        <w:rPr>
          <w:sz w:val="20"/>
          <w:szCs w:val="20"/>
          <w:color w:val="auto"/>
        </w:rPr>
      </w:pPr>
    </w:p>
    <w:p>
      <w:pPr>
        <w:jc w:val="both"/>
        <w:ind w:left="820"/>
        <w:spacing w:after="0" w:line="260" w:lineRule="auto"/>
        <w:rPr>
          <w:sz w:val="20"/>
          <w:szCs w:val="20"/>
          <w:color w:val="auto"/>
        </w:rPr>
      </w:pPr>
      <w:r>
        <w:rPr>
          <w:rFonts w:ascii="Arial" w:cs="Arial" w:eastAsia="Arial" w:hAnsi="Arial"/>
          <w:sz w:val="19"/>
          <w:szCs w:val="19"/>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Section 9 - Financial Statements and Exhibits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5"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ectPr>
          <w:pgSz w:w="11900" w:h="16838" w:orient="portrait"/>
          <w:cols w:equalWidth="0" w:num="1">
            <w:col w:w="10219"/>
          </w:cols>
          <w:pgMar w:left="240" w:top="576" w:right="1440" w:bottom="1440" w:gutter="0" w:footer="0" w:header="0"/>
        </w:sectPr>
      </w:pPr>
    </w:p>
    <w:p>
      <w:pPr>
        <w:spacing w:after="0" w:line="3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105" w:lineRule="exact"/>
        <w:rPr>
          <w:sz w:val="20"/>
          <w:szCs w:val="20"/>
          <w:color w:val="auto"/>
        </w:rPr>
      </w:pPr>
    </w:p>
    <w:p>
      <w:pPr>
        <w:sectPr>
          <w:pgSz w:w="11900" w:h="16838" w:orient="portrait"/>
          <w:cols w:equalWidth="0" w:num="2">
            <w:col w:w="1720" w:space="720"/>
            <w:col w:w="7779"/>
          </w:cols>
          <w:pgMar w:left="240" w:top="576" w:right="1440"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Press release dated August 24, 2017 (furnished herewith).</w:t>
      </w:r>
    </w:p>
    <w:p>
      <w:pPr>
        <w:sectPr>
          <w:pgSz w:w="11900" w:h="16838" w:orient="portrait"/>
          <w:cols w:equalWidth="0" w:num="2">
            <w:col w:w="1720" w:space="720"/>
            <w:col w:w="7779"/>
          </w:cols>
          <w:pgMar w:left="240" w:top="576" w:right="1440" w:bottom="1440" w:gutter="0" w:footer="0" w:header="0"/>
          <w:type w:val="continuous"/>
        </w:sectPr>
      </w:pPr>
    </w:p>
    <w:bookmarkStart w:id="3" w:name="page4"/>
    <w:bookmarkEnd w:id="3"/>
    <w:p>
      <w:pPr>
        <w:jc w:val="center"/>
        <w:ind w:right="-59"/>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5"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THE TORO COMPANY</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(Registrant)</w:t>
      </w:r>
    </w:p>
    <w:p>
      <w:pPr>
        <w:spacing w:after="0" w:line="378" w:lineRule="exact"/>
        <w:rPr>
          <w:sz w:val="20"/>
          <w:szCs w:val="20"/>
          <w:color w:val="auto"/>
        </w:rPr>
      </w:pPr>
    </w:p>
    <w:p>
      <w:pPr>
        <w:ind w:left="6440" w:right="3020" w:hanging="6401"/>
        <w:spacing w:after="0" w:line="369" w:lineRule="auto"/>
        <w:tabs>
          <w:tab w:leader="none" w:pos="6420" w:val="left"/>
        </w:tabs>
        <w:rPr>
          <w:sz w:val="20"/>
          <w:szCs w:val="20"/>
          <w:color w:val="auto"/>
        </w:rPr>
      </w:pPr>
      <w:r>
        <w:rPr>
          <w:rFonts w:ascii="Arial" w:cs="Arial" w:eastAsia="Arial" w:hAnsi="Arial"/>
          <w:sz w:val="20"/>
          <w:szCs w:val="20"/>
          <w:color w:val="auto"/>
        </w:rPr>
        <w:t>Date: August 24, 2017</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Renee J. Peterson</w:t>
      </w:r>
      <w:r>
        <w:rPr>
          <w:rFonts w:ascii="Arial" w:cs="Arial" w:eastAsia="Arial" w:hAnsi="Arial"/>
          <w:sz w:val="16"/>
          <w:szCs w:val="16"/>
          <w:color w:val="auto"/>
        </w:rPr>
        <w:t xml:space="preserve"> Renee J. Peterson</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Vice President, Treasurer and</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380"/>
          </w:cols>
          <w:pgMar w:left="240" w:top="582" w:right="27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6"/>
        </w:trPr>
        <w:tc>
          <w:tcPr>
            <w:tcW w:w="2900" w:type="dxa"/>
            <w:vAlign w:val="bottom"/>
          </w:tcPr>
          <w:p>
            <w:pPr>
              <w:spacing w:after="0"/>
              <w:rPr>
                <w:sz w:val="22"/>
                <w:szCs w:val="22"/>
                <w:color w:val="auto"/>
              </w:rPr>
            </w:pPr>
          </w:p>
        </w:tc>
        <w:tc>
          <w:tcPr>
            <w:tcW w:w="8540" w:type="dxa"/>
            <w:vAlign w:val="bottom"/>
          </w:tcPr>
          <w:p>
            <w:pPr>
              <w:ind w:left="2040"/>
              <w:spacing w:after="0"/>
              <w:rPr>
                <w:sz w:val="20"/>
                <w:szCs w:val="20"/>
                <w:color w:val="auto"/>
              </w:rPr>
            </w:pPr>
            <w:r>
              <w:rPr>
                <w:rFonts w:ascii="Arial" w:cs="Arial" w:eastAsia="Arial" w:hAnsi="Arial"/>
                <w:sz w:val="20"/>
                <w:szCs w:val="20"/>
                <w:b w:val="1"/>
                <w:bCs w:val="1"/>
                <w:color w:val="auto"/>
              </w:rPr>
              <w:t>EXHIBIT INDEX</w:t>
            </w:r>
          </w:p>
        </w:tc>
      </w:tr>
      <w:tr>
        <w:trPr>
          <w:trHeight w:val="347"/>
        </w:trPr>
        <w:tc>
          <w:tcPr>
            <w:tcW w:w="29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r>
      <w:tr>
        <w:trPr>
          <w:trHeight w:val="254"/>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EXHIBIT NUMBER</w:t>
            </w:r>
          </w:p>
        </w:tc>
        <w:tc>
          <w:tcPr>
            <w:tcW w:w="854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8540" w:type="dxa"/>
            <w:vAlign w:val="bottom"/>
            <w:tcBorders>
              <w:bottom w:val="single" w:sz="8" w:color="auto"/>
              <w:right w:val="single" w:sz="8" w:color="auto"/>
            </w:tcBorders>
          </w:tcPr>
          <w:p>
            <w:pPr>
              <w:spacing w:after="0"/>
              <w:rPr>
                <w:sz w:val="2"/>
                <w:szCs w:val="2"/>
                <w:color w:val="auto"/>
              </w:rPr>
            </w:pPr>
          </w:p>
        </w:tc>
      </w:tr>
      <w:tr>
        <w:trPr>
          <w:trHeight w:val="254"/>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99.1</w:t>
            </w:r>
          </w:p>
        </w:tc>
        <w:tc>
          <w:tcPr>
            <w:tcW w:w="85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Press release dated August 24, 2017 (furnished herewith).</w:t>
            </w: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85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576" w:right="219" w:bottom="1440" w:gutter="0" w:footer="0" w:header="0"/>
        </w:sectPr>
      </w:pPr>
    </w:p>
    <w:bookmarkStart w:id="5" w:name="page6"/>
    <w:bookmarkEnd w:id="5"/>
    <w:p>
      <w:pPr>
        <w:spacing w:after="0"/>
        <w:tabs>
          <w:tab w:leader="none" w:pos="3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99504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995045" cy="651510"/>
                    </a:xfrm>
                    <a:prstGeom prst="rect">
                      <a:avLst/>
                    </a:prstGeom>
                    <a:noFill/>
                  </pic:spPr>
                </pic:pic>
              </a:graphicData>
            </a:graphic>
          </wp:anchor>
        </w:drawing>
        <w:t>Investor Relations</w:t>
      </w:r>
      <w:r>
        <w:rPr>
          <w:sz w:val="20"/>
          <w:szCs w:val="20"/>
          <w:color w:val="auto"/>
        </w:rPr>
        <w:tab/>
      </w:r>
      <w:r>
        <w:rPr>
          <w:rFonts w:ascii="Arial" w:cs="Arial" w:eastAsia="Arial" w:hAnsi="Arial"/>
          <w:sz w:val="17"/>
          <w:szCs w:val="17"/>
          <w:color w:val="auto"/>
        </w:rPr>
        <w:t>Exhibit 99.1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104"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104"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The Toro Company Reports Record Third Quarter Results</w:t>
      </w:r>
    </w:p>
    <w:p>
      <w:pPr>
        <w:spacing w:after="0" w:line="23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Net earnings per share for the quarter up 22 percent to a record $0.61</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Third quarter sales increase 4.5 percent to a record $627.9 million</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Strong results driven by increased demand for professional segment products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BLOOMINGTON, Minn. (August 24, 2017) - The Toro Company (NYSE: TTC) today reported net earnings of $68.4 million, or</w:t>
      </w:r>
    </w:p>
    <w:p>
      <w:pPr>
        <w:ind w:right="100"/>
        <w:spacing w:after="0" w:line="243" w:lineRule="auto"/>
        <w:rPr>
          <w:sz w:val="20"/>
          <w:szCs w:val="20"/>
          <w:color w:val="auto"/>
        </w:rPr>
      </w:pPr>
      <w:r>
        <w:rPr>
          <w:rFonts w:ascii="Arial" w:cs="Arial" w:eastAsia="Arial" w:hAnsi="Arial"/>
          <w:sz w:val="20"/>
          <w:szCs w:val="20"/>
          <w:color w:val="auto"/>
        </w:rPr>
        <w:t>$0.61 per share, on net sales of $627.9 million, an increase of 4.5 percent, for its fiscal third quarter ended August 4, 2017. In the comparable fiscal 2016 period, the company delivered net earnings of $55.8 million, or $0.50 per share, on net sales of $601.0 million.</w:t>
      </w:r>
    </w:p>
    <w:p>
      <w:pPr>
        <w:spacing w:after="0" w:line="206" w:lineRule="exact"/>
        <w:rPr>
          <w:sz w:val="20"/>
          <w:szCs w:val="20"/>
          <w:color w:val="auto"/>
        </w:rPr>
      </w:pPr>
    </w:p>
    <w:p>
      <w:pPr>
        <w:jc w:val="both"/>
        <w:ind w:right="140"/>
        <w:spacing w:after="0" w:line="243" w:lineRule="auto"/>
        <w:rPr>
          <w:sz w:val="20"/>
          <w:szCs w:val="20"/>
          <w:color w:val="auto"/>
        </w:rPr>
      </w:pPr>
      <w:r>
        <w:rPr>
          <w:rFonts w:ascii="Arial" w:cs="Arial" w:eastAsia="Arial" w:hAnsi="Arial"/>
          <w:sz w:val="20"/>
          <w:szCs w:val="20"/>
          <w:color w:val="auto"/>
        </w:rPr>
        <w:t>For the first nine months, Toro reported net earnings of $233.9 million, or $2.10 per share, on a net sales increase of 4.8 percent to $ 2.017 billion. In the comparable fiscal 2016 period, the company posted net earnings of $200.8 million, or $1.79 per share on net sales of $1.924 billion.</w:t>
      </w:r>
    </w:p>
    <w:p>
      <w:pPr>
        <w:spacing w:after="0" w:line="206"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“We are pleased to deliver strong results for the quarter driven by positive momentum in our professional segment,” said Richard M. Olson, Toro’s chief executive officer. “Innovative new offerings across our professional portfolio fueled the growth. Products such as the Exmark® Radius® and the Toro® TITAN® HD zero-turn riding mowers have been well received by customers. In our golf and grounds business, the Groundsmaster® and Greensmaster® mower lines also contributed to the favorable results. Finally, the Perrot irrigation products have proven to be a good addition to our international business, where we achieved nice sales growth for the quarter.”</w:t>
      </w:r>
    </w:p>
    <w:p>
      <w:pPr>
        <w:spacing w:after="0" w:line="208"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“With the fourth quarter underway, we are encouraged by the retail trends we are seeing, particularly across many of our professional businesses. BOSS® is well positioned with several new product offerings to support the needs of our contractor customers as they prepare for the snow season. Similarly, sales of our residential snow throwers have also been favorable as the channel anticipates the upcoming snow season.”</w:t>
      </w:r>
    </w:p>
    <w:p>
      <w:pPr>
        <w:spacing w:after="0" w:line="207" w:lineRule="exact"/>
        <w:rPr>
          <w:sz w:val="20"/>
          <w:szCs w:val="20"/>
          <w:color w:val="auto"/>
        </w:rPr>
      </w:pPr>
    </w:p>
    <w:p>
      <w:pPr>
        <w:ind w:right="220"/>
        <w:spacing w:after="0" w:line="242" w:lineRule="auto"/>
        <w:rPr>
          <w:sz w:val="20"/>
          <w:szCs w:val="20"/>
          <w:color w:val="auto"/>
        </w:rPr>
      </w:pPr>
      <w:r>
        <w:rPr>
          <w:rFonts w:ascii="Arial" w:cs="Arial" w:eastAsia="Arial" w:hAnsi="Arial"/>
          <w:sz w:val="20"/>
          <w:szCs w:val="20"/>
          <w:color w:val="auto"/>
        </w:rPr>
        <w:t>“As we enter our final quarter of the three-year Destination PRIME employee initiative, I would like to take this opportunity to recognize our team for their hard work and accomplishments throughout this multi-year journey. We are encouraged by the progress we have made and remain focused on driving further improvement in the remainder of the fiscal year and into our next initiative.”</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The company now expects revenue growth for fiscal 2017 to be at least 4.5 percent and net earnings per share to be about $2.38.</w:t>
      </w:r>
    </w:p>
    <w:p>
      <w:pPr>
        <w:sectPr>
          <w:pgSz w:w="11900" w:h="16838" w:orient="portrait"/>
          <w:cols w:equalWidth="0" w:num="1">
            <w:col w:w="11380"/>
          </w:cols>
          <w:pgMar w:left="240" w:top="1197" w:right="27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color w:val="auto"/>
        </w:rPr>
        <w:t>2 - The Toro Company Reports Record Third Quarter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w:t>
      </w:r>
    </w:p>
    <w:p>
      <w:pPr>
        <w:spacing w:after="0" w:line="24" w:lineRule="exact"/>
        <w:rPr>
          <w:sz w:val="20"/>
          <w:szCs w:val="20"/>
          <w:color w:val="auto"/>
        </w:rPr>
      </w:pPr>
    </w:p>
    <w:p>
      <w:pPr>
        <w:ind w:left="340" w:hanging="332"/>
        <w:spacing w:after="0" w:line="24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Professional segment net sales for the third quarter totaled $468.6 million, up 9.5 percent from $427.8 million in the same period last year. For the first nine months, professional segment net sales were $1.451 billion, up 6.6 percent from the comparable fiscal 2016 period. Momentum in our landscape contractor, international and golf and grounds business generated positive results for the quarter. For the year-to-date results, we saw strong performance in our golf, landscape and BOSS businesses. Additionally, continued demand for our Dingo® TX 1000 compact utility loader and the new tracked Mud Buggy™ in the rental and specialty construction businesses contributed to the growth for both periods.</w:t>
      </w:r>
    </w:p>
    <w:p>
      <w:pPr>
        <w:spacing w:after="0" w:line="207" w:lineRule="exact"/>
        <w:rPr>
          <w:rFonts w:ascii="Arial" w:cs="Arial" w:eastAsia="Arial" w:hAnsi="Arial"/>
          <w:sz w:val="18"/>
          <w:szCs w:val="18"/>
          <w:color w:val="auto"/>
        </w:rPr>
      </w:pPr>
    </w:p>
    <w:p>
      <w:pPr>
        <w:ind w:left="340" w:right="120" w:hanging="332"/>
        <w:spacing w:after="0" w:line="24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Professional segment earnings for the third quarter totaled $97.4 million, up 9.3 percent from $89.1 million in the same period last year. For the first nine months, professional segment earnings were $314.5 million, up 7.6 percent from $292.3 million in the comparable fiscal 2016 period.</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w:t>
      </w:r>
    </w:p>
    <w:p>
      <w:pPr>
        <w:spacing w:after="0" w:line="24" w:lineRule="exact"/>
        <w:rPr>
          <w:sz w:val="20"/>
          <w:szCs w:val="20"/>
          <w:color w:val="auto"/>
        </w:rPr>
      </w:pPr>
    </w:p>
    <w:p>
      <w:pPr>
        <w:ind w:left="340" w:right="6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Residential segment net sales for the third quarter were $152.1 million, down 9.3 percent from $167.8 million in the same period last year. For the first nine months, residential segment net sales were $550.7 million, up 0.1 percent compared to the same fiscal 2016 period. The sales decline for the quarter was due to a combination of factors. A transition in timing of our Toro Days sales promotion to the second quarter, increasing sales of our professional grade zero turn riding mowers to homeowners with acreage and weakened demand for our steering wheel zero-turn riding mowers, all contributed to the decline for the quarter. Offsetting the decrease were higher shipments of snow products in anticipation of the upcoming selling season. Solid sales of our walk power mowers and channel demand for our snow products contributed to the results for the year.</w:t>
      </w:r>
    </w:p>
    <w:p>
      <w:pPr>
        <w:spacing w:after="0" w:line="212" w:lineRule="exact"/>
        <w:rPr>
          <w:rFonts w:ascii="Arial" w:cs="Arial" w:eastAsia="Arial" w:hAnsi="Arial"/>
          <w:sz w:val="18"/>
          <w:szCs w:val="18"/>
          <w:color w:val="auto"/>
        </w:rPr>
      </w:pPr>
    </w:p>
    <w:p>
      <w:pPr>
        <w:ind w:left="340" w:right="200" w:hanging="332"/>
        <w:spacing w:after="0" w:line="24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Residential segment earnings for the third quarter were $11.4 million, down 11 percent from $12.8 million in the same period last year. For the first nine months, residential segment earnings were $63.0 million, down 2.4 percent from the comparable fiscal 2016 period.</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24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Gross margin as a percent of sales for the third quarter was 36.1 percent, an increase of 10 basis points from the same period last year. The increase was primarily due to segment mix and productivity improvements, which were offset primarily by commodity costs. For the first nine months, gross margin as a percent of sales was 36.5 percent, which is consistent with the comparable period last year. Segment mix and productivity improvements were offset by commodity cost increases and foreign currency rates, which impacted the results.</w:t>
      </w:r>
    </w:p>
    <w:p>
      <w:pPr>
        <w:spacing w:after="0" w:line="209"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Selling, general and administrative (SG&amp;A) expense as a percent of sales for the third quarter was 22.1 percent, a decrease of 30 basis points from the same period last year. For the first nine months, SG&amp;A expense as a percent of sales was 21.2 percent, a decrease of 20 basis points from the comparable period last year. The decrease for both periods was primarily due to the leveraging of expenses over higher sales volumes.</w:t>
      </w:r>
    </w:p>
    <w:p>
      <w:pPr>
        <w:spacing w:after="0" w:line="207"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Operating earnings as a percent of sales for the third quarter was 14 percent, an increase of 40 basis points from the comparable period last year. Operating earnings as a percent of sales for the first nine months was 15.3 percent, an increase of 20 basis points from the same period last year.</w:t>
      </w:r>
    </w:p>
    <w:p>
      <w:pPr>
        <w:sectPr>
          <w:pgSz w:w="11900" w:h="16838" w:orient="portrait"/>
          <w:cols w:equalWidth="0" w:num="1">
            <w:col w:w="11400"/>
          </w:cols>
          <w:pgMar w:left="240" w:top="544" w:right="25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color w:val="auto"/>
        </w:rPr>
        <w:t>3 - The Toro Company Reports Record Third Quarter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4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The effective tax rate for the third quarter was 22.6 percent, compared to 30.9 percent last year. For the first nine months, the effective tax rate was 23.6 percent, compared to 30.5 percent in the same period last year. The favorable tax rate for both periods were due to discrete tax items.</w:t>
      </w:r>
    </w:p>
    <w:p>
      <w:pPr>
        <w:spacing w:after="0" w:line="206" w:lineRule="exact"/>
        <w:rPr>
          <w:sz w:val="20"/>
          <w:szCs w:val="20"/>
          <w:color w:val="auto"/>
        </w:rPr>
      </w:pPr>
    </w:p>
    <w:p>
      <w:pPr>
        <w:jc w:val="both"/>
        <w:ind w:right="340"/>
        <w:spacing w:after="0" w:line="243" w:lineRule="auto"/>
        <w:rPr>
          <w:sz w:val="20"/>
          <w:szCs w:val="20"/>
          <w:color w:val="auto"/>
        </w:rPr>
      </w:pPr>
      <w:r>
        <w:rPr>
          <w:rFonts w:ascii="Arial" w:cs="Arial" w:eastAsia="Arial" w:hAnsi="Arial"/>
          <w:sz w:val="20"/>
          <w:szCs w:val="20"/>
          <w:color w:val="auto"/>
        </w:rPr>
        <w:t>Accounts receivable at the end of the third quarter totaled $221.6 million, up 9.5 percent compared to last year. Net inventories were $349.0 million, up 6.7 percent and trade payables were $211.5 million, up 22.8 percent compared to the same period last year.</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24"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snow and ground engaging equipment and irrigation and outdoor lighting solutions. With sales of $2.4 billion in fiscal 2016, Toro’s global presence extends to more than 90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For more information, visit </w:t>
      </w:r>
      <w:r>
        <w:rPr>
          <w:rFonts w:ascii="Arial" w:cs="Arial" w:eastAsia="Arial" w:hAnsi="Arial"/>
          <w:sz w:val="20"/>
          <w:szCs w:val="20"/>
          <w:u w:val="single" w:color="auto"/>
          <w:color w:val="auto"/>
        </w:rPr>
        <w:t>www.thetorocompany.com</w:t>
      </w:r>
      <w:r>
        <w:rPr>
          <w:rFonts w:ascii="Arial" w:cs="Arial" w:eastAsia="Arial" w:hAnsi="Arial"/>
          <w:sz w:val="20"/>
          <w:szCs w:val="20"/>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August 24, 2017 at 10:00 a.m. CDT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96"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i w:val="1"/>
          <w:iCs w:val="1"/>
          <w:color w:val="auto"/>
        </w:rPr>
        <w:t xml:space="preserve">The Toro Company will conduct its earnings call and webcast for investors beginning at 10:00 a.m. CDT on August 24, 2017. The webcast will be available at </w:t>
      </w:r>
      <w:r>
        <w:rPr>
          <w:rFonts w:ascii="Arial" w:cs="Arial" w:eastAsia="Arial" w:hAnsi="Arial"/>
          <w:sz w:val="20"/>
          <w:szCs w:val="20"/>
          <w:i w:val="1"/>
          <w:iCs w:val="1"/>
          <w:u w:val="single" w:color="auto"/>
          <w:color w:val="auto"/>
        </w:rPr>
        <w:t>www.streetevents.com</w:t>
      </w:r>
      <w:r>
        <w:rPr>
          <w:rFonts w:ascii="Arial" w:cs="Arial" w:eastAsia="Arial" w:hAnsi="Arial"/>
          <w:sz w:val="20"/>
          <w:szCs w:val="20"/>
          <w:i w:val="1"/>
          <w:iCs w:val="1"/>
          <w:color w:val="auto"/>
        </w:rPr>
        <w:t xml:space="preserve"> or at </w:t>
      </w:r>
      <w:r>
        <w:rPr>
          <w:rFonts w:ascii="Arial" w:cs="Arial" w:eastAsia="Arial" w:hAnsi="Arial"/>
          <w:sz w:val="20"/>
          <w:szCs w:val="20"/>
          <w:i w:val="1"/>
          <w:iCs w:val="1"/>
          <w:u w:val="single" w:color="auto"/>
          <w:color w:val="auto"/>
        </w:rPr>
        <w:t>www.thetorocompany.com/invest</w:t>
      </w:r>
      <w:r>
        <w:rPr>
          <w:rFonts w:ascii="Arial" w:cs="Arial" w:eastAsia="Arial" w:hAnsi="Arial"/>
          <w:sz w:val="20"/>
          <w:szCs w:val="20"/>
          <w:i w:val="1"/>
          <w:iCs w:val="1"/>
          <w:color w:val="auto"/>
        </w:rPr>
        <w:t>. Webcast participants will need to complete a brief registration form and should allocate extra time before the webcast begins to register and, if necessary, download and install audio software.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relations, operations and markets, including political, economic and/or social instability and conflict, tax and trade policies in the U.S. and other countries in which we manufacture or sell our products, and implications of the United Kingdom’s process for exiting the European Union; foreign currency exchange rate fluctuations; our relationships with our distribution channel partners, including the financial viability of our distributors and dealers; risks associated with acquisitions; management of our alliances or joint ventures, including Red Iron Acceptance, LLC; the costs and effects of enactment of, changes in and compliance with laws, regulations and standards, including those relating to consumer product safety, conflict mineral disclosure,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w:t>
      </w:r>
    </w:p>
    <w:p>
      <w:pPr>
        <w:sectPr>
          <w:pgSz w:w="11900" w:h="16838" w:orient="portrait"/>
          <w:cols w:equalWidth="0" w:num="1">
            <w:col w:w="11400"/>
          </w:cols>
          <w:pgMar w:left="240" w:top="544" w:right="25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4 - The Toro Company Reports Record Third Quarter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recent annual report on Form 10-K, subsequent quarterly reports on Form 10-Q, and other filings with the Securities and Exchange Commission. We make no commitment to revise or update any forward-looking statements in order to reflect events or circumstances occurring or existing after the date any forward-looking statement is made.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400"/>
          </w:cols>
          <w:pgMar w:left="240" w:top="544" w:right="25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color w:val="auto"/>
        </w:rPr>
        <w:t>5 - The Toro Company Reports Record Third Quarter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108"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Condensed Consolidated Statements of Earnings (Unaudited)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77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August 4,</w:t>
            </w:r>
          </w:p>
        </w:tc>
        <w:tc>
          <w:tcPr>
            <w:tcW w:w="340" w:type="dxa"/>
            <w:vAlign w:val="bottom"/>
          </w:tcPr>
          <w:p>
            <w:pPr>
              <w:spacing w:after="0"/>
              <w:rPr>
                <w:sz w:val="13"/>
                <w:szCs w:val="13"/>
                <w:color w:val="auto"/>
              </w:rPr>
            </w:pPr>
          </w:p>
        </w:tc>
        <w:tc>
          <w:tcPr>
            <w:tcW w:w="1260" w:type="dxa"/>
            <w:vAlign w:val="bottom"/>
          </w:tcPr>
          <w:p>
            <w:pPr>
              <w:jc w:val="right"/>
              <w:ind w:right="512"/>
              <w:spacing w:after="0" w:line="153" w:lineRule="exact"/>
              <w:rPr>
                <w:sz w:val="20"/>
                <w:szCs w:val="20"/>
                <w:color w:val="auto"/>
              </w:rPr>
            </w:pPr>
            <w:r>
              <w:rPr>
                <w:rFonts w:ascii="Arial" w:cs="Arial" w:eastAsia="Arial" w:hAnsi="Arial"/>
                <w:sz w:val="14"/>
                <w:szCs w:val="14"/>
                <w:b w:val="1"/>
                <w:bCs w:val="1"/>
                <w:color w:val="auto"/>
              </w:rPr>
              <w:t>July 29,</w:t>
            </w:r>
          </w:p>
        </w:tc>
        <w:tc>
          <w:tcPr>
            <w:tcW w:w="380" w:type="dxa"/>
            <w:vAlign w:val="bottom"/>
          </w:tcPr>
          <w:p>
            <w:pPr>
              <w:spacing w:after="0"/>
              <w:rPr>
                <w:sz w:val="13"/>
                <w:szCs w:val="13"/>
                <w:color w:val="auto"/>
              </w:rPr>
            </w:pPr>
          </w:p>
        </w:tc>
        <w:tc>
          <w:tcPr>
            <w:tcW w:w="120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August 4,</w:t>
            </w:r>
          </w:p>
        </w:tc>
        <w:tc>
          <w:tcPr>
            <w:tcW w:w="360" w:type="dxa"/>
            <w:vAlign w:val="bottom"/>
          </w:tcPr>
          <w:p>
            <w:pPr>
              <w:spacing w:after="0"/>
              <w:rPr>
                <w:sz w:val="13"/>
                <w:szCs w:val="13"/>
                <w:color w:val="auto"/>
              </w:rPr>
            </w:pPr>
          </w:p>
        </w:tc>
        <w:tc>
          <w:tcPr>
            <w:tcW w:w="1140" w:type="dxa"/>
            <w:vAlign w:val="bottom"/>
          </w:tcPr>
          <w:p>
            <w:pPr>
              <w:jc w:val="right"/>
              <w:ind w:right="412"/>
              <w:spacing w:after="0" w:line="153" w:lineRule="exact"/>
              <w:rPr>
                <w:sz w:val="20"/>
                <w:szCs w:val="20"/>
                <w:color w:val="auto"/>
              </w:rPr>
            </w:pPr>
            <w:r>
              <w:rPr>
                <w:rFonts w:ascii="Arial" w:cs="Arial" w:eastAsia="Arial" w:hAnsi="Arial"/>
                <w:sz w:val="14"/>
                <w:szCs w:val="14"/>
                <w:b w:val="1"/>
                <w:bCs w:val="1"/>
                <w:color w:val="auto"/>
              </w:rPr>
              <w:t>July 29,</w:t>
            </w:r>
          </w:p>
        </w:tc>
      </w:tr>
      <w:tr>
        <w:trPr>
          <w:trHeight w:val="192"/>
        </w:trPr>
        <w:tc>
          <w:tcPr>
            <w:tcW w:w="5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627,943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600,980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2,016,549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1,923,819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226,785</w:t>
            </w:r>
          </w:p>
        </w:tc>
        <w:tc>
          <w:tcPr>
            <w:tcW w:w="34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216,617</w:t>
            </w:r>
          </w:p>
        </w:tc>
        <w:tc>
          <w:tcPr>
            <w:tcW w:w="38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736,579</w:t>
            </w:r>
          </w:p>
        </w:tc>
        <w:tc>
          <w:tcPr>
            <w:tcW w:w="3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702,458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percent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36.0%</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139,001</w:t>
            </w:r>
          </w:p>
        </w:tc>
        <w:tc>
          <w:tcPr>
            <w:tcW w:w="34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134,664</w:t>
            </w:r>
          </w:p>
        </w:tc>
        <w:tc>
          <w:tcPr>
            <w:tcW w:w="38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428,929</w:t>
            </w:r>
          </w:p>
        </w:tc>
        <w:tc>
          <w:tcPr>
            <w:tcW w:w="3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411,576</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87,784</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81,953</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307,650</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290,882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(4,750)</w:t>
            </w: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(4,646)</w:t>
            </w:r>
          </w:p>
        </w:tc>
        <w:tc>
          <w:tcPr>
            <w:tcW w:w="38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(14,309)</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(14,021)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5,349</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3,480</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12,916</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11,865</w:t>
            </w:r>
          </w:p>
        </w:tc>
      </w:tr>
      <w:tr>
        <w:trPr>
          <w:trHeight w:val="237"/>
        </w:trPr>
        <w:tc>
          <w:tcPr>
            <w:tcW w:w="5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Earnings before income taxes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88,383</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rPr>
              <w:t>80,787</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306,257</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288,726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19,979</w:t>
            </w:r>
          </w:p>
        </w:tc>
        <w:tc>
          <w:tcPr>
            <w:tcW w:w="3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24,965</w:t>
            </w: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72,388</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87,962</w:t>
            </w:r>
          </w:p>
        </w:tc>
      </w:tr>
      <w:tr>
        <w:trPr>
          <w:trHeight w:val="237"/>
        </w:trPr>
        <w:tc>
          <w:tcPr>
            <w:tcW w:w="5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earnings</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68,404</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rPr>
              <w:t>55,822</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233,869</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200,764</w:t>
            </w:r>
          </w:p>
        </w:tc>
      </w:tr>
      <w:tr>
        <w:trPr>
          <w:trHeight w:val="67"/>
        </w:trPr>
        <w:tc>
          <w:tcPr>
            <w:tcW w:w="51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305"/>
        </w:trPr>
        <w:tc>
          <w:tcPr>
            <w:tcW w:w="51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Basic net earnings per share of common stock</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0.63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0.51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2.16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1.83</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51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Diluted net earnings per share of common stock</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0.61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0.50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2.10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1.79</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2"/>
              </w:rPr>
              <w:t>Weighted-average number of shares of common stock outstanding —</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0"/>
                <w:szCs w:val="20"/>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108,456</w:t>
            </w:r>
          </w:p>
        </w:tc>
        <w:tc>
          <w:tcPr>
            <w:tcW w:w="340" w:type="dxa"/>
            <w:vAlign w:val="bottom"/>
          </w:tcPr>
          <w:p>
            <w:pPr>
              <w:spacing w:after="0"/>
              <w:rPr>
                <w:sz w:val="20"/>
                <w:szCs w:val="20"/>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109,966</w:t>
            </w:r>
          </w:p>
        </w:tc>
        <w:tc>
          <w:tcPr>
            <w:tcW w:w="380" w:type="dxa"/>
            <w:vAlign w:val="bottom"/>
          </w:tcPr>
          <w:p>
            <w:pPr>
              <w:spacing w:after="0"/>
              <w:rPr>
                <w:sz w:val="20"/>
                <w:szCs w:val="20"/>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108,434</w:t>
            </w:r>
          </w:p>
        </w:tc>
        <w:tc>
          <w:tcPr>
            <w:tcW w:w="360" w:type="dxa"/>
            <w:vAlign w:val="bottom"/>
          </w:tcPr>
          <w:p>
            <w:pPr>
              <w:spacing w:after="0"/>
              <w:rPr>
                <w:sz w:val="20"/>
                <w:szCs w:val="20"/>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109,946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2"/>
              </w:rPr>
              <w:t>Weighted-average number of shares of common stock outstanding —</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111,457</w:t>
            </w:r>
          </w:p>
        </w:tc>
        <w:tc>
          <w:tcPr>
            <w:tcW w:w="340" w:type="dxa"/>
            <w:vAlign w:val="bottom"/>
          </w:tcPr>
          <w:p>
            <w:pPr>
              <w:spacing w:after="0"/>
              <w:rPr>
                <w:sz w:val="20"/>
                <w:szCs w:val="20"/>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112,112</w:t>
            </w:r>
          </w:p>
        </w:tc>
        <w:tc>
          <w:tcPr>
            <w:tcW w:w="380" w:type="dxa"/>
            <w:vAlign w:val="bottom"/>
          </w:tcPr>
          <w:p>
            <w:pPr>
              <w:spacing w:after="0"/>
              <w:rPr>
                <w:sz w:val="20"/>
                <w:szCs w:val="20"/>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111,460</w:t>
            </w:r>
          </w:p>
        </w:tc>
        <w:tc>
          <w:tcPr>
            <w:tcW w:w="360" w:type="dxa"/>
            <w:vAlign w:val="bottom"/>
          </w:tcPr>
          <w:p>
            <w:pPr>
              <w:spacing w:after="0"/>
              <w:rPr>
                <w:sz w:val="20"/>
                <w:szCs w:val="20"/>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112,154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Shares and per share data have been adjusted for all periods presented to reflect a two-for-one stock split effective September 16, 2016.</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Data (Unaudited)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77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 Net Sales</w:t>
            </w:r>
          </w:p>
        </w:tc>
        <w:tc>
          <w:tcPr>
            <w:tcW w:w="1560" w:type="dxa"/>
            <w:vAlign w:val="bottom"/>
          </w:tcPr>
          <w:p>
            <w:pPr>
              <w:spacing w:after="0"/>
              <w:rPr>
                <w:sz w:val="13"/>
                <w:szCs w:val="13"/>
                <w:color w:val="auto"/>
              </w:rPr>
            </w:pPr>
          </w:p>
        </w:tc>
        <w:tc>
          <w:tcPr>
            <w:tcW w:w="1180" w:type="dxa"/>
            <w:vAlign w:val="bottom"/>
          </w:tcPr>
          <w:p>
            <w:pPr>
              <w:jc w:val="center"/>
              <w:ind w:right="237"/>
              <w:spacing w:after="0" w:line="153" w:lineRule="exact"/>
              <w:rPr>
                <w:sz w:val="20"/>
                <w:szCs w:val="20"/>
                <w:color w:val="auto"/>
              </w:rPr>
            </w:pPr>
            <w:r>
              <w:rPr>
                <w:rFonts w:ascii="Arial" w:cs="Arial" w:eastAsia="Arial" w:hAnsi="Arial"/>
                <w:sz w:val="14"/>
                <w:szCs w:val="14"/>
                <w:b w:val="1"/>
                <w:bCs w:val="1"/>
                <w:color w:val="auto"/>
                <w:w w:val="90"/>
              </w:rPr>
              <w:t>August 4,</w:t>
            </w:r>
          </w:p>
        </w:tc>
        <w:tc>
          <w:tcPr>
            <w:tcW w:w="340" w:type="dxa"/>
            <w:vAlign w:val="bottom"/>
          </w:tcPr>
          <w:p>
            <w:pPr>
              <w:spacing w:after="0"/>
              <w:rPr>
                <w:sz w:val="13"/>
                <w:szCs w:val="13"/>
                <w:color w:val="auto"/>
              </w:rPr>
            </w:pPr>
          </w:p>
        </w:tc>
        <w:tc>
          <w:tcPr>
            <w:tcW w:w="1180" w:type="dxa"/>
            <w:vAlign w:val="bottom"/>
          </w:tcPr>
          <w:p>
            <w:pPr>
              <w:jc w:val="center"/>
              <w:ind w:right="336"/>
              <w:spacing w:after="0" w:line="153" w:lineRule="exact"/>
              <w:rPr>
                <w:sz w:val="20"/>
                <w:szCs w:val="20"/>
                <w:color w:val="auto"/>
              </w:rPr>
            </w:pPr>
            <w:r>
              <w:rPr>
                <w:rFonts w:ascii="Arial" w:cs="Arial" w:eastAsia="Arial" w:hAnsi="Arial"/>
                <w:sz w:val="14"/>
                <w:szCs w:val="14"/>
                <w:b w:val="1"/>
                <w:bCs w:val="1"/>
                <w:color w:val="auto"/>
                <w:w w:val="93"/>
              </w:rPr>
              <w:t>July 29,</w:t>
            </w:r>
          </w:p>
        </w:tc>
        <w:tc>
          <w:tcPr>
            <w:tcW w:w="360" w:type="dxa"/>
            <w:vAlign w:val="bottom"/>
          </w:tcPr>
          <w:p>
            <w:pPr>
              <w:spacing w:after="0"/>
              <w:rPr>
                <w:sz w:val="13"/>
                <w:szCs w:val="13"/>
                <w:color w:val="auto"/>
              </w:rPr>
            </w:pPr>
          </w:p>
        </w:tc>
        <w:tc>
          <w:tcPr>
            <w:tcW w:w="1180" w:type="dxa"/>
            <w:vAlign w:val="bottom"/>
          </w:tcPr>
          <w:p>
            <w:pPr>
              <w:jc w:val="center"/>
              <w:ind w:right="237"/>
              <w:spacing w:after="0" w:line="153" w:lineRule="exact"/>
              <w:rPr>
                <w:sz w:val="20"/>
                <w:szCs w:val="20"/>
                <w:color w:val="auto"/>
              </w:rPr>
            </w:pPr>
            <w:r>
              <w:rPr>
                <w:rFonts w:ascii="Arial" w:cs="Arial" w:eastAsia="Arial" w:hAnsi="Arial"/>
                <w:sz w:val="14"/>
                <w:szCs w:val="14"/>
                <w:b w:val="1"/>
                <w:bCs w:val="1"/>
                <w:color w:val="auto"/>
                <w:w w:val="90"/>
              </w:rPr>
              <w:t>August 4,</w:t>
            </w:r>
          </w:p>
        </w:tc>
        <w:tc>
          <w:tcPr>
            <w:tcW w:w="320" w:type="dxa"/>
            <w:vAlign w:val="bottom"/>
          </w:tcPr>
          <w:p>
            <w:pPr>
              <w:spacing w:after="0"/>
              <w:rPr>
                <w:sz w:val="13"/>
                <w:szCs w:val="13"/>
                <w:color w:val="auto"/>
              </w:rPr>
            </w:pPr>
          </w:p>
        </w:tc>
        <w:tc>
          <w:tcPr>
            <w:tcW w:w="1100" w:type="dxa"/>
            <w:vAlign w:val="bottom"/>
          </w:tcPr>
          <w:p>
            <w:pPr>
              <w:jc w:val="center"/>
              <w:ind w:right="216"/>
              <w:spacing w:after="0" w:line="153" w:lineRule="exact"/>
              <w:rPr>
                <w:sz w:val="20"/>
                <w:szCs w:val="20"/>
                <w:color w:val="auto"/>
              </w:rPr>
            </w:pPr>
            <w:r>
              <w:rPr>
                <w:rFonts w:ascii="Arial" w:cs="Arial" w:eastAsia="Arial" w:hAnsi="Arial"/>
                <w:sz w:val="14"/>
                <w:szCs w:val="14"/>
                <w:b w:val="1"/>
                <w:bCs w:val="1"/>
                <w:color w:val="auto"/>
                <w:w w:val="93"/>
              </w:rPr>
              <w:t>July 29,</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89"/>
              </w:rPr>
              <w:t>2016</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468,564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427,784</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1,451,269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1,361,829</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560" w:type="dxa"/>
            <w:vAlign w:val="bottom"/>
          </w:tcPr>
          <w:p>
            <w:pPr>
              <w:spacing w:after="0"/>
              <w:rPr>
                <w:sz w:val="21"/>
                <w:szCs w:val="21"/>
                <w:color w:val="auto"/>
              </w:rPr>
            </w:pP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152,127</w:t>
            </w:r>
          </w:p>
        </w:tc>
        <w:tc>
          <w:tcPr>
            <w:tcW w:w="340" w:type="dxa"/>
            <w:vAlign w:val="bottom"/>
          </w:tcPr>
          <w:p>
            <w:pPr>
              <w:spacing w:after="0"/>
              <w:rPr>
                <w:sz w:val="21"/>
                <w:szCs w:val="21"/>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167,815</w:t>
            </w:r>
          </w:p>
        </w:tc>
        <w:tc>
          <w:tcPr>
            <w:tcW w:w="360" w:type="dxa"/>
            <w:vAlign w:val="bottom"/>
          </w:tcPr>
          <w:p>
            <w:pPr>
              <w:spacing w:after="0"/>
              <w:rPr>
                <w:sz w:val="21"/>
                <w:szCs w:val="21"/>
                <w:color w:val="auto"/>
              </w:rPr>
            </w:pP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550,651</w:t>
            </w:r>
          </w:p>
        </w:tc>
        <w:tc>
          <w:tcPr>
            <w:tcW w:w="3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550,330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7,252</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5,381</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14,629</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11,660</w:t>
            </w:r>
          </w:p>
        </w:tc>
        <w:tc>
          <w:tcPr>
            <w:tcW w:w="0" w:type="dxa"/>
            <w:vAlign w:val="bottom"/>
          </w:tcPr>
          <w:p>
            <w:pPr>
              <w:spacing w:after="0"/>
              <w:rPr>
                <w:sz w:val="1"/>
                <w:szCs w:val="1"/>
                <w:color w:val="auto"/>
              </w:rPr>
            </w:pPr>
          </w:p>
        </w:tc>
      </w:tr>
      <w:tr>
        <w:trPr>
          <w:trHeight w:val="237"/>
        </w:trPr>
        <w:tc>
          <w:tcPr>
            <w:tcW w:w="42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627,943</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600,980</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2,016,549</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1,923,819</w:t>
            </w:r>
          </w:p>
        </w:tc>
        <w:tc>
          <w:tcPr>
            <w:tcW w:w="0" w:type="dxa"/>
            <w:vAlign w:val="bottom"/>
          </w:tcPr>
          <w:p>
            <w:pPr>
              <w:spacing w:after="0"/>
              <w:rPr>
                <w:sz w:val="1"/>
                <w:szCs w:val="1"/>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*Includes International Sales of:</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139,434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126,975</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472,317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450,577</w:t>
            </w:r>
          </w:p>
        </w:tc>
        <w:tc>
          <w:tcPr>
            <w:tcW w:w="0" w:type="dxa"/>
            <w:vAlign w:val="bottom"/>
          </w:tcPr>
          <w:p>
            <w:pPr>
              <w:spacing w:after="0"/>
              <w:rPr>
                <w:sz w:val="1"/>
                <w:szCs w:val="1"/>
                <w:color w:val="auto"/>
              </w:rPr>
            </w:pPr>
          </w:p>
        </w:tc>
      </w:tr>
      <w:tr>
        <w:trPr>
          <w:trHeight w:val="393"/>
        </w:trPr>
        <w:tc>
          <w:tcPr>
            <w:tcW w:w="420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2700" w:type="dxa"/>
            <w:vAlign w:val="bottom"/>
            <w:tcBorders>
              <w:top w:val="single" w:sz="8" w:color="auto"/>
              <w:bottom w:val="single" w:sz="8" w:color="auto"/>
            </w:tcBorders>
            <w:gridSpan w:val="3"/>
          </w:tcPr>
          <w:p>
            <w:pPr>
              <w:jc w:val="right"/>
              <w:ind w:right="77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top w:val="single" w:sz="8" w:color="auto"/>
              <w:bottom w:val="single" w:sz="8" w:color="auto"/>
            </w:tcBorders>
          </w:tcPr>
          <w:p>
            <w:pPr>
              <w:spacing w:after="0"/>
              <w:rPr>
                <w:sz w:val="24"/>
                <w:szCs w:val="24"/>
                <w:color w:val="auto"/>
              </w:rPr>
            </w:pPr>
          </w:p>
        </w:tc>
        <w:tc>
          <w:tcPr>
            <w:tcW w:w="2600" w:type="dxa"/>
            <w:vAlign w:val="bottom"/>
            <w:tcBorders>
              <w:top w:val="single" w:sz="8" w:color="auto"/>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 Earnings (Loss) Before Income Taxes</w:t>
            </w:r>
          </w:p>
        </w:tc>
        <w:tc>
          <w:tcPr>
            <w:tcW w:w="1560" w:type="dxa"/>
            <w:vAlign w:val="bottom"/>
          </w:tcPr>
          <w:p>
            <w:pPr>
              <w:spacing w:after="0"/>
              <w:rPr>
                <w:sz w:val="13"/>
                <w:szCs w:val="13"/>
                <w:color w:val="auto"/>
              </w:rPr>
            </w:pPr>
          </w:p>
        </w:tc>
        <w:tc>
          <w:tcPr>
            <w:tcW w:w="1180" w:type="dxa"/>
            <w:vAlign w:val="bottom"/>
          </w:tcPr>
          <w:p>
            <w:pPr>
              <w:jc w:val="center"/>
              <w:ind w:right="237"/>
              <w:spacing w:after="0" w:line="153" w:lineRule="exact"/>
              <w:rPr>
                <w:sz w:val="20"/>
                <w:szCs w:val="20"/>
                <w:color w:val="auto"/>
              </w:rPr>
            </w:pPr>
            <w:r>
              <w:rPr>
                <w:rFonts w:ascii="Arial" w:cs="Arial" w:eastAsia="Arial" w:hAnsi="Arial"/>
                <w:sz w:val="14"/>
                <w:szCs w:val="14"/>
                <w:b w:val="1"/>
                <w:bCs w:val="1"/>
                <w:color w:val="auto"/>
                <w:w w:val="90"/>
              </w:rPr>
              <w:t>August 4,</w:t>
            </w:r>
          </w:p>
        </w:tc>
        <w:tc>
          <w:tcPr>
            <w:tcW w:w="340" w:type="dxa"/>
            <w:vAlign w:val="bottom"/>
          </w:tcPr>
          <w:p>
            <w:pPr>
              <w:spacing w:after="0"/>
              <w:rPr>
                <w:sz w:val="13"/>
                <w:szCs w:val="13"/>
                <w:color w:val="auto"/>
              </w:rPr>
            </w:pPr>
          </w:p>
        </w:tc>
        <w:tc>
          <w:tcPr>
            <w:tcW w:w="1180" w:type="dxa"/>
            <w:vAlign w:val="bottom"/>
          </w:tcPr>
          <w:p>
            <w:pPr>
              <w:jc w:val="center"/>
              <w:ind w:right="336"/>
              <w:spacing w:after="0" w:line="153" w:lineRule="exact"/>
              <w:rPr>
                <w:sz w:val="20"/>
                <w:szCs w:val="20"/>
                <w:color w:val="auto"/>
              </w:rPr>
            </w:pPr>
            <w:r>
              <w:rPr>
                <w:rFonts w:ascii="Arial" w:cs="Arial" w:eastAsia="Arial" w:hAnsi="Arial"/>
                <w:sz w:val="14"/>
                <w:szCs w:val="14"/>
                <w:b w:val="1"/>
                <w:bCs w:val="1"/>
                <w:color w:val="auto"/>
                <w:w w:val="93"/>
              </w:rPr>
              <w:t>July 29,</w:t>
            </w:r>
          </w:p>
        </w:tc>
        <w:tc>
          <w:tcPr>
            <w:tcW w:w="360" w:type="dxa"/>
            <w:vAlign w:val="bottom"/>
          </w:tcPr>
          <w:p>
            <w:pPr>
              <w:spacing w:after="0"/>
              <w:rPr>
                <w:sz w:val="13"/>
                <w:szCs w:val="13"/>
                <w:color w:val="auto"/>
              </w:rPr>
            </w:pPr>
          </w:p>
        </w:tc>
        <w:tc>
          <w:tcPr>
            <w:tcW w:w="1180" w:type="dxa"/>
            <w:vAlign w:val="bottom"/>
          </w:tcPr>
          <w:p>
            <w:pPr>
              <w:jc w:val="center"/>
              <w:ind w:right="237"/>
              <w:spacing w:after="0" w:line="153" w:lineRule="exact"/>
              <w:rPr>
                <w:sz w:val="20"/>
                <w:szCs w:val="20"/>
                <w:color w:val="auto"/>
              </w:rPr>
            </w:pPr>
            <w:r>
              <w:rPr>
                <w:rFonts w:ascii="Arial" w:cs="Arial" w:eastAsia="Arial" w:hAnsi="Arial"/>
                <w:sz w:val="14"/>
                <w:szCs w:val="14"/>
                <w:b w:val="1"/>
                <w:bCs w:val="1"/>
                <w:color w:val="auto"/>
                <w:w w:val="90"/>
              </w:rPr>
              <w:t>August 4,</w:t>
            </w:r>
          </w:p>
        </w:tc>
        <w:tc>
          <w:tcPr>
            <w:tcW w:w="320" w:type="dxa"/>
            <w:vAlign w:val="bottom"/>
          </w:tcPr>
          <w:p>
            <w:pPr>
              <w:spacing w:after="0"/>
              <w:rPr>
                <w:sz w:val="13"/>
                <w:szCs w:val="13"/>
                <w:color w:val="auto"/>
              </w:rPr>
            </w:pPr>
          </w:p>
        </w:tc>
        <w:tc>
          <w:tcPr>
            <w:tcW w:w="1100" w:type="dxa"/>
            <w:vAlign w:val="bottom"/>
          </w:tcPr>
          <w:p>
            <w:pPr>
              <w:jc w:val="center"/>
              <w:ind w:right="216"/>
              <w:spacing w:after="0" w:line="153" w:lineRule="exact"/>
              <w:rPr>
                <w:sz w:val="20"/>
                <w:szCs w:val="20"/>
                <w:color w:val="auto"/>
              </w:rPr>
            </w:pPr>
            <w:r>
              <w:rPr>
                <w:rFonts w:ascii="Arial" w:cs="Arial" w:eastAsia="Arial" w:hAnsi="Arial"/>
                <w:sz w:val="14"/>
                <w:szCs w:val="14"/>
                <w:b w:val="1"/>
                <w:bCs w:val="1"/>
                <w:color w:val="auto"/>
                <w:w w:val="93"/>
              </w:rPr>
              <w:t>July 29,</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89"/>
              </w:rPr>
              <w:t>2016</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97,368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89,096</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314,545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292,311</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560" w:type="dxa"/>
            <w:vAlign w:val="bottom"/>
          </w:tcPr>
          <w:p>
            <w:pPr>
              <w:spacing w:after="0"/>
              <w:rPr>
                <w:sz w:val="21"/>
                <w:szCs w:val="21"/>
                <w:color w:val="auto"/>
              </w:rPr>
            </w:pP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11,360</w:t>
            </w:r>
          </w:p>
        </w:tc>
        <w:tc>
          <w:tcPr>
            <w:tcW w:w="340" w:type="dxa"/>
            <w:vAlign w:val="bottom"/>
          </w:tcPr>
          <w:p>
            <w:pPr>
              <w:spacing w:after="0"/>
              <w:rPr>
                <w:sz w:val="21"/>
                <w:szCs w:val="21"/>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12,767</w:t>
            </w:r>
          </w:p>
        </w:tc>
        <w:tc>
          <w:tcPr>
            <w:tcW w:w="360" w:type="dxa"/>
            <w:vAlign w:val="bottom"/>
          </w:tcPr>
          <w:p>
            <w:pPr>
              <w:spacing w:after="0"/>
              <w:rPr>
                <w:sz w:val="21"/>
                <w:szCs w:val="21"/>
                <w:color w:val="auto"/>
              </w:rPr>
            </w:pP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62,965</w:t>
            </w:r>
          </w:p>
        </w:tc>
        <w:tc>
          <w:tcPr>
            <w:tcW w:w="3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64,494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(20,345)</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(21,076)</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(71,253)</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(68,079)</w:t>
            </w:r>
          </w:p>
        </w:tc>
        <w:tc>
          <w:tcPr>
            <w:tcW w:w="0" w:type="dxa"/>
            <w:vAlign w:val="bottom"/>
          </w:tcPr>
          <w:p>
            <w:pPr>
              <w:spacing w:after="0"/>
              <w:rPr>
                <w:sz w:val="1"/>
                <w:szCs w:val="1"/>
                <w:color w:val="auto"/>
              </w:rPr>
            </w:pPr>
          </w:p>
        </w:tc>
      </w:tr>
      <w:tr>
        <w:trPr>
          <w:trHeight w:val="237"/>
        </w:trPr>
        <w:tc>
          <w:tcPr>
            <w:tcW w:w="42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88,383</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80,787</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306,257</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288,726</w:t>
            </w:r>
          </w:p>
        </w:tc>
        <w:tc>
          <w:tcPr>
            <w:tcW w:w="0" w:type="dxa"/>
            <w:vAlign w:val="bottom"/>
          </w:tcPr>
          <w:p>
            <w:pPr>
              <w:spacing w:after="0"/>
              <w:rPr>
                <w:sz w:val="1"/>
                <w:szCs w:val="1"/>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44"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color w:val="auto"/>
        </w:rPr>
        <w:t>6 - The Toro Company Reports Record Third Quarter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108"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40" w:type="dxa"/>
            <w:vAlign w:val="bottom"/>
          </w:tcPr>
          <w:p>
            <w:pPr>
              <w:jc w:val="right"/>
              <w:ind w:right="332"/>
              <w:spacing w:after="0"/>
              <w:rPr>
                <w:sz w:val="20"/>
                <w:szCs w:val="20"/>
                <w:color w:val="auto"/>
              </w:rPr>
            </w:pPr>
            <w:r>
              <w:rPr>
                <w:rFonts w:ascii="Arial" w:cs="Arial" w:eastAsia="Arial" w:hAnsi="Arial"/>
                <w:sz w:val="14"/>
                <w:szCs w:val="14"/>
                <w:b w:val="1"/>
                <w:bCs w:val="1"/>
                <w:color w:val="auto"/>
              </w:rPr>
              <w:t>August 4,</w:t>
            </w:r>
          </w:p>
        </w:tc>
        <w:tc>
          <w:tcPr>
            <w:tcW w:w="360" w:type="dxa"/>
            <w:vAlign w:val="bottom"/>
          </w:tcPr>
          <w:p>
            <w:pPr>
              <w:spacing w:after="0"/>
              <w:rPr>
                <w:sz w:val="14"/>
                <w:szCs w:val="14"/>
                <w:color w:val="auto"/>
              </w:rPr>
            </w:pPr>
          </w:p>
        </w:tc>
        <w:tc>
          <w:tcPr>
            <w:tcW w:w="1100" w:type="dxa"/>
            <w:vAlign w:val="bottom"/>
          </w:tcPr>
          <w:p>
            <w:pPr>
              <w:jc w:val="right"/>
              <w:ind w:right="372"/>
              <w:spacing w:after="0"/>
              <w:rPr>
                <w:sz w:val="20"/>
                <w:szCs w:val="20"/>
                <w:color w:val="auto"/>
              </w:rPr>
            </w:pPr>
            <w:r>
              <w:rPr>
                <w:rFonts w:ascii="Arial" w:cs="Arial" w:eastAsia="Arial" w:hAnsi="Arial"/>
                <w:sz w:val="14"/>
                <w:szCs w:val="14"/>
                <w:b w:val="1"/>
                <w:bCs w:val="1"/>
                <w:color w:val="auto"/>
              </w:rPr>
              <w:t>July 29,</w:t>
            </w:r>
          </w:p>
        </w:tc>
      </w:tr>
      <w:tr>
        <w:trPr>
          <w:trHeight w:val="192"/>
        </w:trPr>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02"/>
        </w:trPr>
        <w:tc>
          <w:tcPr>
            <w:tcW w:w="61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ASSETS</w:t>
            </w:r>
          </w:p>
        </w:tc>
        <w:tc>
          <w:tcPr>
            <w:tcW w:w="26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6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335,026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277,243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221,551</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202,389</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6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349,022</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327,114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6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42,550</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39,658</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Total current assets</w:t>
            </w:r>
          </w:p>
        </w:tc>
        <w:tc>
          <w:tcPr>
            <w:tcW w:w="26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948,149</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846,404</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26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226,926</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220,876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deferred income taxes</w:t>
            </w:r>
          </w:p>
        </w:tc>
        <w:tc>
          <w:tcPr>
            <w:tcW w:w="2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59,754</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65,216</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Goodwill and other assets, net</w:t>
            </w:r>
          </w:p>
        </w:tc>
        <w:tc>
          <w:tcPr>
            <w:tcW w:w="26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334,715</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331,949</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1,569,544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1,464,445</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1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LIABILITIES AND STOCKHOLDERS’ EQUITY</w:t>
            </w:r>
          </w:p>
        </w:tc>
        <w:tc>
          <w:tcPr>
            <w:tcW w:w="26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auto"/>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6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Current portion of long-term debt</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23,056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22,627</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211,453</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172,156</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Accrued liabilities</w:t>
            </w:r>
          </w:p>
        </w:tc>
        <w:tc>
          <w:tcPr>
            <w:tcW w:w="26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309,385</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318,628</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26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543,894</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513,411</w:t>
            </w:r>
          </w:p>
        </w:tc>
      </w:tr>
      <w:tr>
        <w:trPr>
          <w:trHeight w:val="318"/>
        </w:trPr>
        <w:tc>
          <w:tcPr>
            <w:tcW w:w="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308,793</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331,641</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Deferred revenue</w:t>
            </w:r>
          </w:p>
        </w:tc>
        <w:tc>
          <w:tcPr>
            <w:tcW w:w="26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24,964</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11,958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31,971</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29,585</w:t>
            </w:r>
          </w:p>
        </w:tc>
      </w:tr>
      <w:tr>
        <w:trPr>
          <w:trHeight w:val="237"/>
        </w:trPr>
        <w:tc>
          <w:tcPr>
            <w:tcW w:w="618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stockholders’ equity</w:t>
            </w:r>
          </w:p>
        </w:tc>
        <w:tc>
          <w:tcPr>
            <w:tcW w:w="26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659,922</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577,850</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1,569,544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1,464,445</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44"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color w:val="auto"/>
        </w:rPr>
        <w:t>7 - The Toro Company Reports Record Third Quarter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108"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2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jc w:val="right"/>
              <w:ind w:right="371"/>
              <w:spacing w:after="0"/>
              <w:rPr>
                <w:sz w:val="20"/>
                <w:szCs w:val="20"/>
                <w:color w:val="auto"/>
              </w:rPr>
            </w:pPr>
            <w:r>
              <w:rPr>
                <w:rFonts w:ascii="Arial" w:cs="Arial" w:eastAsia="Arial" w:hAnsi="Arial"/>
                <w:sz w:val="14"/>
                <w:szCs w:val="14"/>
                <w:b w:val="1"/>
                <w:bCs w:val="1"/>
                <w:color w:val="auto"/>
              </w:rPr>
              <w:t>August 4,</w:t>
            </w:r>
          </w:p>
        </w:tc>
        <w:tc>
          <w:tcPr>
            <w:tcW w:w="320" w:type="dxa"/>
            <w:vAlign w:val="bottom"/>
          </w:tcPr>
          <w:p>
            <w:pPr>
              <w:spacing w:after="0"/>
              <w:rPr>
                <w:sz w:val="14"/>
                <w:szCs w:val="14"/>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July 29,</w:t>
            </w:r>
          </w:p>
        </w:tc>
      </w:tr>
      <w:tr>
        <w:trPr>
          <w:trHeight w:val="192"/>
        </w:trPr>
        <w:tc>
          <w:tcPr>
            <w:tcW w:w="7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233,869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200,764</w:t>
            </w:r>
          </w:p>
        </w:tc>
      </w:tr>
      <w:tr>
        <w:trPr>
          <w:trHeight w:val="27"/>
        </w:trPr>
        <w:tc>
          <w:tcPr>
            <w:tcW w:w="7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13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(7,566)</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(7,302)</w:t>
            </w:r>
          </w:p>
        </w:tc>
      </w:tr>
      <w:tr>
        <w:trPr>
          <w:trHeight w:val="27"/>
        </w:trPr>
        <w:tc>
          <w:tcPr>
            <w:tcW w:w="7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depreciation, amortization, and impairment loss</w:t>
            </w:r>
          </w:p>
        </w:tc>
        <w:tc>
          <w:tcPr>
            <w:tcW w:w="1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47,713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46,332</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3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9,691</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7,723</w:t>
            </w:r>
          </w:p>
        </w:tc>
      </w:tr>
      <w:tr>
        <w:trPr>
          <w:trHeight w:val="27"/>
        </w:trPr>
        <w:tc>
          <w:tcPr>
            <w:tcW w:w="7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(Increase)/decrease in deferred income taxes</w:t>
            </w:r>
          </w:p>
        </w:tc>
        <w:tc>
          <w:tcPr>
            <w:tcW w:w="1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(2,121)</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7"/>
        </w:trPr>
        <w:tc>
          <w:tcPr>
            <w:tcW w:w="7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13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(54,935)</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(23,699)</w:t>
            </w:r>
          </w:p>
        </w:tc>
      </w:tr>
      <w:tr>
        <w:trPr>
          <w:trHeight w:val="27"/>
        </w:trPr>
        <w:tc>
          <w:tcPr>
            <w:tcW w:w="7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(34,069)</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3,428</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3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(7,625)</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(2,108)</w:t>
            </w:r>
          </w:p>
        </w:tc>
      </w:tr>
      <w:tr>
        <w:trPr>
          <w:trHeight w:val="27"/>
        </w:trPr>
        <w:tc>
          <w:tcPr>
            <w:tcW w:w="7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1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86,991</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79,055</w:t>
            </w:r>
          </w:p>
        </w:tc>
      </w:tr>
      <w:tr>
        <w:trPr>
          <w:trHeight w:val="237"/>
        </w:trPr>
        <w:tc>
          <w:tcPr>
            <w:tcW w:w="74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272,019</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303,985</w:t>
            </w:r>
          </w:p>
        </w:tc>
      </w:tr>
      <w:tr>
        <w:trPr>
          <w:trHeight w:val="27"/>
        </w:trPr>
        <w:tc>
          <w:tcPr>
            <w:tcW w:w="7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74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(36,572)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(34,601)</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Proceeds from asset disposals</w:t>
            </w:r>
          </w:p>
        </w:tc>
        <w:tc>
          <w:tcPr>
            <w:tcW w:w="13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232</w:t>
            </w:r>
          </w:p>
        </w:tc>
      </w:tr>
      <w:tr>
        <w:trPr>
          <w:trHeight w:val="27"/>
        </w:trPr>
        <w:tc>
          <w:tcPr>
            <w:tcW w:w="7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finance affiliate, net</w:t>
            </w:r>
          </w:p>
        </w:tc>
        <w:tc>
          <w:tcPr>
            <w:tcW w:w="1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4,617</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3,594</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Proceeds from sale of a business</w:t>
            </w:r>
          </w:p>
        </w:tc>
        <w:tc>
          <w:tcPr>
            <w:tcW w:w="13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
        </w:trPr>
        <w:tc>
          <w:tcPr>
            <w:tcW w:w="7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net of cash acquired</w:t>
            </w:r>
          </w:p>
        </w:tc>
        <w:tc>
          <w:tcPr>
            <w:tcW w:w="1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(24,181)</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4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(56,062)</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(29,275)</w:t>
            </w:r>
          </w:p>
        </w:tc>
      </w:tr>
      <w:tr>
        <w:trPr>
          <w:trHeight w:val="27"/>
        </w:trPr>
        <w:tc>
          <w:tcPr>
            <w:tcW w:w="7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74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short-term debt</w:t>
            </w:r>
          </w:p>
        </w:tc>
        <w:tc>
          <w:tcPr>
            <w:tcW w:w="1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Repayments of long-term debt</w:t>
            </w:r>
          </w:p>
        </w:tc>
        <w:tc>
          <w:tcPr>
            <w:tcW w:w="13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(19,158)</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(20,713)</w:t>
            </w:r>
          </w:p>
        </w:tc>
      </w:tr>
      <w:tr>
        <w:trPr>
          <w:trHeight w:val="27"/>
        </w:trPr>
        <w:tc>
          <w:tcPr>
            <w:tcW w:w="7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9,756</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19,691</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Purchases of Toro common stock</w:t>
            </w:r>
          </w:p>
        </w:tc>
        <w:tc>
          <w:tcPr>
            <w:tcW w:w="13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(96,059)</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(69,189)</w:t>
            </w:r>
          </w:p>
        </w:tc>
      </w:tr>
      <w:tr>
        <w:trPr>
          <w:trHeight w:val="27"/>
        </w:trPr>
        <w:tc>
          <w:tcPr>
            <w:tcW w:w="7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on Toro common stock</w:t>
            </w:r>
          </w:p>
        </w:tc>
        <w:tc>
          <w:tcPr>
            <w:tcW w:w="1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(56,926)</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(49,488)</w:t>
            </w:r>
          </w:p>
        </w:tc>
      </w:tr>
      <w:tr>
        <w:trPr>
          <w:trHeight w:val="237"/>
        </w:trPr>
        <w:tc>
          <w:tcPr>
            <w:tcW w:w="74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(used in) financing activities</w:t>
            </w:r>
          </w:p>
        </w:tc>
        <w:tc>
          <w:tcPr>
            <w:tcW w:w="1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(162,387)</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(120,860)</w:t>
            </w:r>
          </w:p>
        </w:tc>
      </w:tr>
      <w:tr>
        <w:trPr>
          <w:trHeight w:val="27"/>
        </w:trPr>
        <w:tc>
          <w:tcPr>
            <w:tcW w:w="7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74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3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7,901</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(2,882)</w:t>
            </w:r>
          </w:p>
        </w:tc>
      </w:tr>
      <w:tr>
        <w:trPr>
          <w:trHeight w:val="27"/>
        </w:trPr>
        <w:tc>
          <w:tcPr>
            <w:tcW w:w="7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74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3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61,471</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150,968</w:t>
            </w:r>
          </w:p>
        </w:tc>
      </w:tr>
      <w:tr>
        <w:trPr>
          <w:trHeight w:val="27"/>
        </w:trPr>
        <w:tc>
          <w:tcPr>
            <w:tcW w:w="7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273,555</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126,275</w:t>
            </w:r>
          </w:p>
        </w:tc>
      </w:tr>
      <w:tr>
        <w:trPr>
          <w:trHeight w:val="237"/>
        </w:trPr>
        <w:tc>
          <w:tcPr>
            <w:tcW w:w="7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as of the end of the fiscal period</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335,026</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277,243</w:t>
            </w:r>
          </w:p>
        </w:tc>
      </w:tr>
      <w:tr>
        <w:trPr>
          <w:trHeight w:val="27"/>
        </w:trPr>
        <w:tc>
          <w:tcPr>
            <w:tcW w:w="7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420"/>
      </w:cols>
      <w:pgMar w:left="240" w:top="5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952"/>
    </w:lvl>
  </w:abstractNum>
  <w:abstractNum w:abstractNumId="2">
    <w:nsid w:val="238E1F29"/>
    <w:multiLevelType w:val="hybridMultilevel"/>
    <w:lvl w:ilvl="0">
      <w:lvlJc w:val="left"/>
      <w:lvlText w:val="(%1)"/>
      <w:numFmt w:val="decimal"/>
      <w:start w:val="95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2019-12-05T11:21:30Z</dcterms:created>
  <dcterms:modified xsi:type="dcterms:W3CDTF">2019-12-05T11:21:30Z</dcterms:modified>
</cp:coreProperties>
</file>