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DAHL AMY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97"/>
        <w:spacing w:after="0"/>
        <w:rPr>
          <w:sz w:val="20"/>
          <w:szCs w:val="20"/>
          <w:color w:val="auto"/>
        </w:rPr>
      </w:pPr>
      <w:r>
        <w:rPr>
          <w:rFonts w:ascii="Times New Roman" w:cs="Times New Roman" w:eastAsia="Times New Roman" w:hAnsi="Times New Roman"/>
          <w:sz w:val="17"/>
          <w:szCs w:val="17"/>
          <w:color w:val="0000FF"/>
        </w:rPr>
        <w:t>VP, HR &amp; GC</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03/31/2022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2,600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19,960.261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03/31/2022</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1,254</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86.15</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18,706.261</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3,759.896</w:t>
            </w:r>
            <w:r>
              <w:rPr>
                <w:rFonts w:ascii="Times New Roman" w:cs="Times New Roman" w:eastAsia="Times New Roman" w:hAnsi="Times New Roman"/>
                <w:sz w:val="21"/>
                <w:szCs w:val="21"/>
                <w:color w:val="008000"/>
                <w:w w:val="94"/>
                <w:vertAlign w:val="superscript"/>
              </w:rPr>
              <w:t>(1)</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7,161.942</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03/31/2022</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2,600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12/11/2022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2,600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25.898 shares acquired through regular individual and issuer matching contributions to The Toro Company Retirement Plan (the "Plan") and 11.233 net shares acquired under the dividend reinvestment feature of the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22.044 performance share units acquired by the reporting person since the date of her last report under the dividend reinvestment feature of the Deferred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11, 2012.</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Timothy C. Quist, Attorney- </w:t>
      </w:r>
      <w:r>
        <w:rPr>
          <w:rFonts w:ascii="Times New Roman" w:cs="Times New Roman" w:eastAsia="Times New Roman" w:hAnsi="Times New Roman"/>
          <w:sz w:val="33"/>
          <w:szCs w:val="33"/>
          <w:color w:val="0000FF"/>
          <w:vertAlign w:val="subscript"/>
        </w:rPr>
        <w:t>04/01/2022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2022-04-01T16:19:41Z</dcterms:created>
  <dcterms:modified xsi:type="dcterms:W3CDTF">2022-04-01T16:19:41Z</dcterms:modified>
</cp:coreProperties>
</file>