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12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Grams Blake 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12/06/2011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18"/>
          <w:szCs w:val="18"/>
          <w:color w:val="0000FF"/>
        </w:rPr>
        <w:t>VP, Corporate Controller</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122"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12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76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8"/>
                <w:szCs w:val="18"/>
                <w:color w:val="0000FF"/>
              </w:rPr>
              <w:t>12/06/2011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4"/>
                <w:szCs w:val="14"/>
                <w:color w:val="0000FF"/>
                <w:w w:val="98"/>
              </w:rPr>
              <w:t>A</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w w:val="95"/>
              </w:rPr>
              <w:t>950</w:t>
            </w:r>
            <w:r>
              <w:rPr>
                <w:rFonts w:ascii="Times New Roman" w:cs="Times New Roman" w:eastAsia="Times New Roman" w:hAnsi="Times New Roman"/>
                <w:sz w:val="22"/>
                <w:szCs w:val="22"/>
                <w:color w:val="008000"/>
                <w:w w:val="95"/>
                <w:vertAlign w:val="superscript"/>
              </w:rPr>
              <w:t>(1)</w:t>
            </w:r>
          </w:p>
        </w:tc>
        <w:tc>
          <w:tcPr>
            <w:tcW w:w="70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1"/>
              </w:rPr>
              <w:t>2,086.034</w:t>
            </w:r>
            <w:r>
              <w:rPr>
                <w:rFonts w:ascii="Times New Roman" w:cs="Times New Roman" w:eastAsia="Times New Roman" w:hAnsi="Times New Roman"/>
                <w:sz w:val="22"/>
                <w:szCs w:val="22"/>
                <w:color w:val="008000"/>
                <w:w w:val="91"/>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2"/>
              </w:rPr>
              <w:t>2,014.29</w:t>
            </w:r>
            <w:r>
              <w:rPr>
                <w:rFonts w:ascii="Times New Roman" w:cs="Times New Roman" w:eastAsia="Times New Roman" w:hAnsi="Times New Roman"/>
                <w:sz w:val="22"/>
                <w:szCs w:val="22"/>
                <w:color w:val="008000"/>
                <w:w w:val="92"/>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1"/>
              </w:rPr>
              <w:t>7,078.249</w:t>
            </w:r>
            <w:r>
              <w:rPr>
                <w:rFonts w:ascii="Times New Roman" w:cs="Times New Roman" w:eastAsia="Times New Roman" w:hAnsi="Times New Roman"/>
                <w:sz w:val="22"/>
                <w:szCs w:val="22"/>
                <w:color w:val="008000"/>
                <w:w w:val="91"/>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0000FF"/>
                <w:w w:val="99"/>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56.45</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0000FF"/>
              </w:rPr>
              <w:t>12/07/2011</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A</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4,100</w:t>
            </w:r>
          </w:p>
        </w:tc>
        <w:tc>
          <w:tcPr>
            <w:tcW w:w="300" w:type="dxa"/>
            <w:vAlign w:val="bottom"/>
          </w:tcPr>
          <w:p>
            <w:pPr>
              <w:spacing w:after="0"/>
              <w:rPr>
                <w:sz w:val="17"/>
                <w:szCs w:val="17"/>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12/07/2021</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4,100</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00FF"/>
              </w:rPr>
              <w:t>4,100</w:t>
            </w: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56"/>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the payout of a Performance Share Award for the Fiscal 2009 to Fiscal 2011 Performance Period under The Toro Company Performance Share Plan, as approved by the registrant's Compensation &amp; Human Resources Committee of its Board of Directors and conditioned upon and subject to confirmation by the registrant's Fiscal 2011 financial results released on December 6, 2011.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11.487 performance share units acquired by the reporting person under the dividend reinvestment feature of the Deferred Plan since the date of his last report.</w:t>
      </w:r>
    </w:p>
    <w:p>
      <w:pPr>
        <w:spacing w:after="0" w:line="41" w:lineRule="exact"/>
        <w:rPr>
          <w:rFonts w:ascii="Times New Roman" w:cs="Times New Roman" w:eastAsia="Times New Roman" w:hAnsi="Times New Roman"/>
          <w:sz w:val="14"/>
          <w:szCs w:val="14"/>
          <w:color w:val="008000"/>
        </w:rPr>
      </w:pPr>
    </w:p>
    <w:p>
      <w:pPr>
        <w:ind w:left="40" w:right="6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2,000 shares of restricted stock awarded to the reporting person, and 14.290 shares acquired under The Toro Company Dividend Reinvestment Plan (the "DRIP") from dividends paid on the restricted stock since the date of his last report. The restricted stock and related DRIP shares vest in full on the third anniversary of the date of grant, which was March 30, 2011.</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71.291 shares of common stock acquired by the reporting person under the dividend reinvestment feature of The Toro Company Investment, Savings &amp; ESOP since the date of his last report.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vests in three equal annual installments commencing on the first anniversary of the date of grant.</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1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2019-12-17T01:17:20Z</dcterms:created>
  <dcterms:modified xsi:type="dcterms:W3CDTF">2019-12-17T01:17:20Z</dcterms:modified>
</cp:coreProperties>
</file>