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UNITED STATES</w:t>
      </w:r>
    </w:p>
    <w:p>
      <w:pPr>
        <w:spacing w:after="0" w:line="186"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jc w:val="center"/>
        <w:ind w:right="2497"/>
        <w:spacing w:after="0"/>
        <w:tabs>
          <w:tab w:leader="none" w:pos="180"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ind w:left="2" w:right="2679"/>
        <w:spacing w:after="0" w:line="239"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6" w:lineRule="exact"/>
        <w:rPr>
          <w:sz w:val="24"/>
          <w:szCs w:val="24"/>
          <w:color w:val="auto"/>
        </w:rPr>
      </w:pPr>
    </w:p>
    <w:p>
      <w:pPr>
        <w:ind w:left="382"/>
        <w:spacing w:after="0"/>
        <w:rPr>
          <w:sz w:val="20"/>
          <w:szCs w:val="20"/>
          <w:color w:val="auto"/>
        </w:rPr>
      </w:pPr>
      <w:r>
        <w:rPr>
          <w:rFonts w:ascii="Courier New" w:cs="Courier New" w:eastAsia="Courier New" w:hAnsi="Courier New"/>
          <w:sz w:val="16"/>
          <w:szCs w:val="16"/>
          <w:color w:val="auto"/>
        </w:rPr>
        <w:t>For the Quarterly Period Ended May 2, 1997 Commission File Number 1-8649</w:t>
      </w:r>
    </w:p>
    <w:p>
      <w:pPr>
        <w:spacing w:after="0" w:line="2" w:lineRule="exact"/>
        <w:rPr>
          <w:sz w:val="24"/>
          <w:szCs w:val="24"/>
          <w:color w:val="auto"/>
        </w:rPr>
      </w:pPr>
    </w:p>
    <w:p>
      <w:pPr>
        <w:ind w:left="3242"/>
        <w:spacing w:after="0"/>
        <w:tabs>
          <w:tab w:leader="none" w:pos="666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606" w:right="1440" w:bottom="1440" w:gutter="0" w:footer="0" w:header="0"/>
        </w:sectPr>
      </w:pPr>
    </w:p>
    <w:p>
      <w:pPr>
        <w:spacing w:after="0" w:line="369" w:lineRule="exact"/>
        <w:rPr>
          <w:sz w:val="24"/>
          <w:szCs w:val="24"/>
          <w:color w:val="auto"/>
        </w:rPr>
      </w:pPr>
    </w:p>
    <w:p>
      <w:pPr>
        <w:ind w:left="66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41-0580470</w:t>
      </w:r>
    </w:p>
    <w:p>
      <w:pPr>
        <w:spacing w:after="0" w:line="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3182" w:space="720"/>
            <w:col w:w="6319"/>
          </w:cols>
          <w:pgMar w:left="238" w:top="606" w:right="1440" w:bottom="1440" w:gutter="0" w:footer="0" w:header="0"/>
          <w:type w:val="continuous"/>
        </w:sectPr>
      </w:pPr>
    </w:p>
    <w:p>
      <w:pPr>
        <w:spacing w:after="0" w:line="177"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8111 LYNDALE AVENUE SOUTH</w:t>
      </w:r>
    </w:p>
    <w:p>
      <w:pPr>
        <w:spacing w:after="0" w:line="2" w:lineRule="exact"/>
        <w:rPr>
          <w:sz w:val="24"/>
          <w:szCs w:val="24"/>
          <w:color w:val="auto"/>
        </w:rPr>
      </w:pPr>
    </w:p>
    <w:p>
      <w:pPr>
        <w:ind w:left="2482"/>
        <w:spacing w:after="0"/>
        <w:tabs>
          <w:tab w:leader="none" w:pos="4742" w:val="left"/>
        </w:tabs>
        <w:rPr>
          <w:sz w:val="20"/>
          <w:szCs w:val="20"/>
          <w:color w:val="auto"/>
        </w:rPr>
      </w:pPr>
      <w:r>
        <w:rPr>
          <w:rFonts w:ascii="Courier New" w:cs="Courier New" w:eastAsia="Courier New" w:hAnsi="Courier New"/>
          <w:sz w:val="16"/>
          <w:szCs w:val="16"/>
          <w:color w:val="auto"/>
        </w:rPr>
        <w:t>BLOOMINGTON, MINNESOTA</w:t>
        <w:tab/>
        <w:t>55420</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TELEPHONE NUMBER: (612) 888-8801</w:t>
      </w:r>
    </w:p>
    <w:p>
      <w:pPr>
        <w:spacing w:after="0" w:line="372" w:lineRule="exact"/>
        <w:rPr>
          <w:sz w:val="24"/>
          <w:szCs w:val="24"/>
          <w:color w:val="auto"/>
        </w:rPr>
      </w:pPr>
    </w:p>
    <w:p>
      <w:pPr>
        <w:ind w:left="2" w:right="3059"/>
        <w:spacing w:after="0" w:line="239"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1"/>
          </w:cols>
          <w:pgMar w:left="238" w:top="606" w:right="1440" w:bottom="1440" w:gutter="0" w:footer="0" w:header="0"/>
          <w:type w:val="continuous"/>
        </w:sectPr>
      </w:pPr>
    </w:p>
    <w:p>
      <w:pPr>
        <w:spacing w:after="0" w:line="371"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 w:lineRule="exact"/>
        <w:rPr>
          <w:sz w:val="24"/>
          <w:szCs w:val="24"/>
          <w:color w:val="auto"/>
        </w:rPr>
      </w:pPr>
    </w:p>
    <w:p>
      <w:pPr>
        <w:sectPr>
          <w:pgSz w:w="11900" w:h="16838" w:orient="portrait"/>
          <w:cols w:equalWidth="0" w:num="3">
            <w:col w:w="1722" w:space="180"/>
            <w:col w:w="2140" w:space="720"/>
            <w:col w:w="5459"/>
          </w:cols>
          <w:pgMar w:left="238" w:top="606" w:right="1440" w:bottom="1440" w:gutter="0" w:footer="0" w:header="0"/>
          <w:type w:val="continuous"/>
        </w:sectPr>
      </w:pPr>
    </w:p>
    <w:p>
      <w:pPr>
        <w:ind w:left="180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8" w:lineRule="exact"/>
        <w:rPr>
          <w:sz w:val="24"/>
          <w:szCs w:val="24"/>
          <w:color w:val="auto"/>
        </w:rPr>
      </w:pPr>
    </w:p>
    <w:p>
      <w:pPr>
        <w:sectPr>
          <w:pgSz w:w="11900" w:h="16838" w:orient="portrait"/>
          <w:cols w:equalWidth="0" w:num="2">
            <w:col w:w="4342" w:space="720"/>
            <w:col w:w="5159"/>
          </w:cols>
          <w:pgMar w:left="238" w:top="606" w:right="1440" w:bottom="1440" w:gutter="0" w:footer="0" w:header="0"/>
          <w:type w:val="continuous"/>
        </w:sectPr>
      </w:pPr>
    </w:p>
    <w:p>
      <w:pPr>
        <w:spacing w:after="0" w:line="172" w:lineRule="exact"/>
        <w:rPr>
          <w:sz w:val="24"/>
          <w:szCs w:val="24"/>
          <w:color w:val="auto"/>
        </w:rPr>
      </w:pPr>
    </w:p>
    <w:p>
      <w:pPr>
        <w:ind w:left="2" w:right="3459"/>
        <w:spacing w:after="0" w:line="239" w:lineRule="auto"/>
        <w:rPr>
          <w:sz w:val="20"/>
          <w:szCs w:val="20"/>
          <w:color w:val="auto"/>
        </w:rPr>
      </w:pPr>
      <w:r>
        <w:rPr>
          <w:rFonts w:ascii="Courier New" w:cs="Courier New" w:eastAsia="Courier New" w:hAnsi="Courier New"/>
          <w:sz w:val="16"/>
          <w:szCs w:val="16"/>
          <w:color w:val="auto"/>
        </w:rPr>
        <w:t>The number of shares of Common Stock outstanding as of May 30, 1997 was 12,076,474.</w:t>
      </w:r>
    </w:p>
    <w:p>
      <w:pPr>
        <w:spacing w:after="0" w:line="189"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606" w:right="1440" w:bottom="1440" w:gutter="0" w:footer="0" w:header="0"/>
          <w:type w:val="continuous"/>
        </w:sectPr>
      </w:pPr>
    </w:p>
    <w:bookmarkStart w:id="1" w:name="page2"/>
    <w:bookmarkEnd w:id="1"/>
    <w:p>
      <w:pPr>
        <w:ind w:left="3040"/>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INDEX TO FORM 10-Q</w:t>
      </w:r>
    </w:p>
    <w:p>
      <w:pPr>
        <w:spacing w:after="0" w:line="369"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Page Number</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Condensed Consolidated Statements of Earnings and</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Retained Earnings -</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Three and Six Months Ended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May 2, 1997 and May 3, 1996 . . . . . . . . . . . . . . . . .3</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Condensed Consolidated Balance Sheets -</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May 2, 1997, May 3, 1996 and October 31, 1996 . . . . . . . .4</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Condensed Consolidated Statements of Cash Flows -</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Six Months Ended May 2, 1997 and May 3, 1996. . . . . . . . .5</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Notes to Condensed Consolidated Financial Statements . . . . .6-7</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Condition and Results of Operations. . . . . . . . . . . . . 8-12</w:t>
      </w:r>
    </w:p>
    <w:p>
      <w:pPr>
        <w:spacing w:after="0" w:line="3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6" w:lineRule="exact"/>
        <w:rPr>
          <w:sz w:val="20"/>
          <w:szCs w:val="20"/>
          <w:color w:val="auto"/>
        </w:rPr>
      </w:pPr>
    </w:p>
    <w:p>
      <w:pPr>
        <w:ind w:left="960"/>
        <w:spacing w:after="0"/>
        <w:tabs>
          <w:tab w:leader="none" w:pos="17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Results of Votes of Security Holders . . . . . . . . . 13</w:t>
      </w:r>
    </w:p>
    <w:p>
      <w:pPr>
        <w:spacing w:after="0" w:line="186" w:lineRule="exact"/>
        <w:rPr>
          <w:sz w:val="20"/>
          <w:szCs w:val="20"/>
          <w:color w:val="auto"/>
        </w:rPr>
      </w:pPr>
    </w:p>
    <w:p>
      <w:pPr>
        <w:ind w:left="960"/>
        <w:spacing w:after="0"/>
        <w:tabs>
          <w:tab w:leader="none" w:pos="17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 . . . . . . . . . . . 13</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Signatures . . . . . . . . . . . . . . . . . . . . . . . . . . 14</w:t>
      </w:r>
    </w:p>
    <w:p>
      <w:pPr>
        <w:spacing w:after="0" w:line="186" w:lineRule="exact"/>
        <w:rPr>
          <w:sz w:val="20"/>
          <w:szCs w:val="20"/>
          <w:color w:val="auto"/>
        </w:rPr>
      </w:pPr>
    </w:p>
    <w:p>
      <w:pPr>
        <w:ind w:left="960"/>
        <w:spacing w:after="0"/>
        <w:tabs>
          <w:tab w:leader="none" w:pos="2080" w:val="left"/>
        </w:tabs>
        <w:rPr>
          <w:sz w:val="20"/>
          <w:szCs w:val="20"/>
          <w:color w:val="auto"/>
        </w:rPr>
      </w:pPr>
      <w:r>
        <w:rPr>
          <w:rFonts w:ascii="Courier New" w:cs="Courier New" w:eastAsia="Courier New" w:hAnsi="Courier New"/>
          <w:sz w:val="16"/>
          <w:szCs w:val="16"/>
          <w:color w:val="auto"/>
        </w:rPr>
        <w:t>Exhibit 11</w:t>
      </w:r>
      <w:r>
        <w:rPr>
          <w:sz w:val="20"/>
          <w:szCs w:val="20"/>
          <w:color w:val="auto"/>
        </w:rPr>
        <w:tab/>
      </w:r>
      <w:r>
        <w:rPr>
          <w:rFonts w:ascii="Courier New" w:cs="Courier New" w:eastAsia="Courier New" w:hAnsi="Courier New"/>
          <w:sz w:val="15"/>
          <w:szCs w:val="15"/>
          <w:color w:val="auto"/>
        </w:rPr>
        <w:t>Computation of Earnings Per Common Share . . . . . 15</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5" w:right="1440" w:bottom="1440" w:gutter="0" w:footer="0" w:header="0"/>
        </w:sectPr>
      </w:pPr>
    </w:p>
    <w:bookmarkStart w:id="2" w:name="page3"/>
    <w:bookmarkEnd w:id="2"/>
    <w:p>
      <w:pPr>
        <w:jc w:val="center"/>
        <w:ind w:right="3800"/>
        <w:spacing w:after="0"/>
        <w:rPr>
          <w:sz w:val="20"/>
          <w:szCs w:val="20"/>
          <w:color w:val="auto"/>
        </w:rPr>
      </w:pPr>
      <w:r>
        <w:rPr>
          <w:rFonts w:ascii="Courier New" w:cs="Courier New" w:eastAsia="Courier New" w:hAnsi="Courier New"/>
          <w:sz w:val="16"/>
          <w:szCs w:val="16"/>
          <w:color w:val="auto"/>
        </w:rPr>
        <w:t>PART I. FINANCIAL INFORMATION</w:t>
      </w:r>
    </w:p>
    <w:p>
      <w:pPr>
        <w:spacing w:after="0" w:line="186"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CONDENSED CONSOLIDATED STATEMENTS OF EARNINGS AND RETAINED EARNINGS (UNAUDITED)</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(DOLLARS IN THOUSANDS, EXCEPT PER-SHARE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Three Months Ended</w:t>
            </w:r>
          </w:p>
        </w:tc>
        <w:tc>
          <w:tcPr>
            <w:tcW w:w="340" w:type="dxa"/>
            <w:vAlign w:val="bottom"/>
          </w:tcPr>
          <w:p>
            <w:pPr>
              <w:spacing w:after="0"/>
              <w:rPr>
                <w:sz w:val="15"/>
                <w:szCs w:val="15"/>
                <w:color w:val="auto"/>
              </w:rPr>
            </w:pPr>
          </w:p>
        </w:tc>
        <w:tc>
          <w:tcPr>
            <w:tcW w:w="23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960" w:type="dxa"/>
            <w:vAlign w:val="bottom"/>
          </w:tcPr>
          <w:p>
            <w:pPr>
              <w:spacing w:after="0"/>
              <w:rPr>
                <w:sz w:val="15"/>
                <w:szCs w:val="15"/>
                <w:color w:val="auto"/>
              </w:rPr>
            </w:pPr>
          </w:p>
        </w:tc>
        <w:tc>
          <w:tcPr>
            <w:tcW w:w="1480" w:type="dxa"/>
            <w:vAlign w:val="bottom"/>
            <w:gridSpan w:val="2"/>
          </w:tcPr>
          <w:p>
            <w:pPr>
              <w:ind w:left="240"/>
              <w:spacing w:after="0"/>
              <w:rPr>
                <w:sz w:val="20"/>
                <w:szCs w:val="20"/>
                <w:color w:val="auto"/>
              </w:rPr>
            </w:pPr>
            <w:r>
              <w:rPr>
                <w:rFonts w:ascii="Courier New" w:cs="Courier New" w:eastAsia="Courier New" w:hAnsi="Courier New"/>
                <w:sz w:val="11"/>
                <w:szCs w:val="11"/>
                <w:color w:val="auto"/>
                <w:w w:val="73"/>
              </w:rPr>
              <w: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May 2,</w:t>
            </w:r>
          </w:p>
        </w:tc>
        <w:tc>
          <w:tcPr>
            <w:tcW w:w="34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May 3,</w:t>
            </w:r>
          </w:p>
        </w:tc>
        <w:tc>
          <w:tcPr>
            <w:tcW w:w="34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May 2,</w:t>
            </w:r>
          </w:p>
        </w:tc>
        <w:tc>
          <w:tcPr>
            <w:tcW w:w="340" w:type="dxa"/>
            <w:vAlign w:val="bottom"/>
          </w:tcPr>
          <w:p>
            <w:pPr>
              <w:spacing w:after="0"/>
              <w:rPr>
                <w:sz w:val="15"/>
                <w:szCs w:val="15"/>
                <w:color w:val="auto"/>
              </w:rPr>
            </w:pPr>
          </w:p>
        </w:tc>
        <w:tc>
          <w:tcPr>
            <w:tcW w:w="8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May 3,</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8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sales. . . . . . . . . . . . . .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352,203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288,646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561,160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500,147</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Cost of sales. .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227,086</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184,836</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360,816</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320,008</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Gross profit.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125,117</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103,810</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200,344</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180,139</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expense . .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89,160</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73,540</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157,629</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137,364</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Earnings from operations.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35,957</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30,270</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42,715</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42,775</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Interest expense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6,085</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4,134</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9,932</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7,103</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Other income, net. . . . . . . .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(1,600)</w:t>
            </w:r>
          </w:p>
        </w:tc>
        <w:tc>
          <w:tcPr>
            <w:tcW w:w="3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(1,640)</w:t>
            </w:r>
          </w:p>
        </w:tc>
        <w:tc>
          <w:tcPr>
            <w:tcW w:w="34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(2,806)</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(6,153)</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Earnings before income taxes.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31,472</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27,776</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35,589</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41,825</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Provision for income taxes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12,432</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10,956</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14,058</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16,507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earnings. . . . . . . . . .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19,040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16,820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25,318</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Retained earnings at beginning of period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174,671</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149,924</w:t>
            </w:r>
          </w:p>
        </w:tc>
        <w:tc>
          <w:tcPr>
            <w:tcW w:w="34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173,630</w:t>
            </w:r>
          </w:p>
        </w:tc>
        <w:tc>
          <w:tcPr>
            <w:tcW w:w="340" w:type="dxa"/>
            <w:vAlign w:val="bottom"/>
          </w:tcPr>
          <w:p>
            <w:pPr>
              <w:spacing w:after="0"/>
              <w:rPr>
                <w:sz w:val="15"/>
                <w:szCs w:val="15"/>
                <w:color w:val="auto"/>
              </w:rPr>
            </w:pP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142,891</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Dividends on common stock of $0.12, $0.12,</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$0.24 and $0.24 per share, respectively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(1,435)</w:t>
            </w:r>
          </w:p>
        </w:tc>
        <w:tc>
          <w:tcPr>
            <w:tcW w:w="3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(1,470)</w:t>
            </w:r>
          </w:p>
        </w:tc>
        <w:tc>
          <w:tcPr>
            <w:tcW w:w="34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(2,885)</w:t>
            </w: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(2,935)</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Retained earnings at end of period .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192,276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165,274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192,276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165,274</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earnings per share of common stock and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common stock equivalent . . . .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earnings per share of common stock and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5960" w:type="dxa"/>
            <w:vAlign w:val="bottom"/>
          </w:tcPr>
          <w:p>
            <w:pPr>
              <w:jc w:val="right"/>
              <w:ind w:right="3021"/>
              <w:spacing w:after="0"/>
              <w:rPr>
                <w:sz w:val="20"/>
                <w:szCs w:val="20"/>
                <w:color w:val="auto"/>
              </w:rPr>
            </w:pPr>
            <w:r>
              <w:rPr>
                <w:rFonts w:ascii="Courier New" w:cs="Courier New" w:eastAsia="Courier New" w:hAnsi="Courier New"/>
                <w:sz w:val="16"/>
                <w:szCs w:val="16"/>
                <w:color w:val="auto"/>
              </w:rPr>
              <w:t>common stock equivalent -</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assuming full dilution. . . . .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665" w:right="139" w:bottom="1440" w:gutter="0" w:footer="0" w:header="0"/>
        </w:sectPr>
      </w:pPr>
    </w:p>
    <w:bookmarkStart w:id="3" w:name="page4"/>
    <w:bookmarkEnd w:id="3"/>
    <w:p>
      <w:pPr>
        <w:jc w:val="center"/>
        <w:ind w:right="249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ind w:left="2760"/>
              <w:spacing w:after="0"/>
              <w:rPr>
                <w:sz w:val="20"/>
                <w:szCs w:val="20"/>
                <w:color w:val="auto"/>
              </w:rPr>
            </w:pPr>
            <w:r>
              <w:rPr>
                <w:rFonts w:ascii="Courier New" w:cs="Courier New" w:eastAsia="Courier New" w:hAnsi="Courier New"/>
                <w:sz w:val="16"/>
                <w:szCs w:val="16"/>
                <w:color w:val="auto"/>
              </w:rPr>
              <w:t>(DOLLARS IN THOUSANDS)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5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May 2,</w:t>
            </w:r>
          </w:p>
        </w:tc>
        <w:tc>
          <w:tcPr>
            <w:tcW w:w="340" w:type="dxa"/>
            <w:vAlign w:val="bottom"/>
          </w:tcPr>
          <w:p>
            <w:pPr>
              <w:spacing w:after="0"/>
              <w:rPr>
                <w:sz w:val="24"/>
                <w:szCs w:val="24"/>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May 3,</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October 31,</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10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and cash equivalents. . . . . . . . . . . . . . . . . .</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5,593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4,238</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Receivables, net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412,725</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343,344</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239,637</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Inventories. . .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159,014</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158,841</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130,288</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current assets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34,429</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32,270</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35,010</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assets.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611,761</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538,693</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405,001</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319,010</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216,806</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229,080</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Less accumulated depreciation and amortization.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203,859</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148,100</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155,270</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115,151</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68,706</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73,810</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assets . .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73,102</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17,676</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18,066</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assets. . . . . . . . . . . . . . . . . . . . . .</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800,014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625,075</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496,877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 . . . . . . . . . . . . .</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10,353</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350</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Short-term borrowing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278,000</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148,585</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41,025</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Accounts payable .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57,064</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39,565</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43,524</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accrued liabilities.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160,252</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142,853</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122,958</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current liabilities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495,666</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341,356</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207,857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53,015</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53,339</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53,015</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long-term liabilities.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23,591</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20,201</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22,438</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Common stockholders' equity:</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rPr>
              <w:t>Common stock par value $1.00,</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authorized 35,000,000 shares; issued and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outstanding 11,979,539 shares at May 2,</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1997 (net of 930,465 treasury shares),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12,099,223 shares at May 3, 1996</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(net of 743,102 treasury shares), and</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12,032,143 shares at October 31, 1996 (net</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of 877,861 treasury shares)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11,980</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12,099</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12,032</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Additional paid-in capital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26,309</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33,359</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28,462</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Retained earnings.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192,276</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165,274</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173,630</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(2,823)</w:t>
            </w:r>
          </w:p>
        </w:tc>
        <w:tc>
          <w:tcPr>
            <w:tcW w:w="34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(553)</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(557)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Total common stockholders' equity.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227,742</w:t>
            </w:r>
          </w:p>
        </w:tc>
        <w:tc>
          <w:tcPr>
            <w:tcW w:w="34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210,179</w:t>
            </w:r>
          </w:p>
        </w:tc>
        <w:tc>
          <w:tcPr>
            <w:tcW w:w="380" w:type="dxa"/>
            <w:vAlign w:val="bottom"/>
          </w:tcPr>
          <w:p>
            <w:pPr>
              <w:spacing w:after="0"/>
              <w:rPr>
                <w:sz w:val="15"/>
                <w:szCs w:val="15"/>
                <w:color w:val="auto"/>
              </w:rPr>
            </w:pP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213,567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Total liabilities and common stockholders' equity . . .</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800,014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625,075</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496,877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5" w:right="1440" w:bottom="1440" w:gutter="0" w:footer="0" w:header="0"/>
        </w:sectPr>
      </w:pPr>
    </w:p>
    <w:bookmarkStart w:id="4" w:name="page5"/>
    <w:bookmarkEnd w:id="4"/>
    <w:p>
      <w:pPr>
        <w:jc w:val="center"/>
        <w:ind w:right="249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STATEMENTS OF CASH FLOWS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(DOLLARS IN THOUSANDS)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4"/>
        </w:trPr>
        <w:tc>
          <w:tcPr>
            <w:tcW w:w="5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7"/>
              </w:rPr>
              <w:t>May 2,</w:t>
            </w:r>
          </w:p>
        </w:tc>
        <w:tc>
          <w:tcPr>
            <w:tcW w:w="3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May 3,</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Net earnings.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21,531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25,318</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jc w:val="right"/>
              <w:ind w:right="2541"/>
              <w:spacing w:after="0"/>
              <w:rPr>
                <w:sz w:val="20"/>
                <w:szCs w:val="20"/>
                <w:color w:val="auto"/>
              </w:rPr>
            </w:pPr>
            <w:r>
              <w:rPr>
                <w:rFonts w:ascii="Courier New" w:cs="Courier New" w:eastAsia="Courier New" w:hAnsi="Courier New"/>
                <w:sz w:val="16"/>
                <w:szCs w:val="16"/>
                <w:color w:val="auto"/>
              </w:rPr>
              <w:t>used in operating activities: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depreciation and amortization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10,521</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8,831</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Gain on disposal of property, plant and equipment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1,529</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Tax benefits related to employee stock</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option transactions.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1,766</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1,490</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Receivables, net . . . . .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(147,979)</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(144,528)</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Inventories. . . . .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2,063</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(12,979)</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Other current assets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1,609</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Accounts payable and accrued expenses.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26,634</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14,597</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Accrued income taxes . . .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4,308</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3,557</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cash used in operating activities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(78,442)</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(102,220)</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Purchases of property, plant and equipment.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(17,551)</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(7,236)</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Proceeds from asset disposals . .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227</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Increase in other assets. . .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(9,685)</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(1,652)</w:t>
            </w:r>
          </w:p>
        </w:tc>
      </w:tr>
      <w:tr>
        <w:trPr>
          <w:trHeight w:val="183"/>
        </w:trPr>
        <w:tc>
          <w:tcPr>
            <w:tcW w:w="5960" w:type="dxa"/>
            <w:vAlign w:val="bottom"/>
          </w:tcPr>
          <w:p>
            <w:pPr>
              <w:ind w:left="280"/>
              <w:spacing w:after="0"/>
              <w:rPr>
                <w:sz w:val="20"/>
                <w:szCs w:val="20"/>
                <w:color w:val="auto"/>
              </w:rPr>
            </w:pPr>
            <w:r>
              <w:rPr>
                <w:rFonts w:ascii="Courier New" w:cs="Courier New" w:eastAsia="Courier New" w:hAnsi="Courier New"/>
                <w:sz w:val="16"/>
                <w:szCs w:val="16"/>
                <w:color w:val="auto"/>
              </w:rPr>
              <w:t>Acquisition of James Hardie Irrigation,</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of cash acquired . . .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(117,622)</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cash used in investing activities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(144,631)</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(8,704)</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Increase in short-term borrowing. .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236,975</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107,010</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Repayments of long-term debt.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(243)</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(5,007)</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Change in other long-term liabilities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990</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12,978</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Proceeds from sale of common stock. . . . . .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3,981</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3,238</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Purchases of common stock . .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(7,952)</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(7,150)</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Dividends on common stock . . . . . .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(2,885)</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(2,935)</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cash provided by financing activities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230,866</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108,134</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Foreign currency translation adjustment. . . . . . . . . . .</w:t>
            </w:r>
          </w:p>
        </w:tc>
        <w:tc>
          <w:tcPr>
            <w:tcW w:w="42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(2,266)</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(674)</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Net increase (decrease) in cash and cash equivalents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5,527</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(3,464)</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Cash and cash equivalents at beginning of period . . . . . .</w:t>
            </w:r>
          </w:p>
        </w:tc>
        <w:tc>
          <w:tcPr>
            <w:tcW w:w="42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7,702</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Cash and cash equivalents at end of period . . . . . . . . .</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5,593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4,238</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5" w:right="1440" w:bottom="1440" w:gutter="0" w:footer="0" w:header="0"/>
        </w:sectPr>
      </w:pPr>
    </w:p>
    <w:bookmarkStart w:id="5" w:name="page6"/>
    <w:bookmarkEnd w:id="5"/>
    <w:p>
      <w:pPr>
        <w:jc w:val="center"/>
        <w:ind w:right="2599"/>
        <w:spacing w:after="0" w:line="241"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MAY 2, 1997</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8" w:lineRule="exact"/>
        <w:rPr>
          <w:sz w:val="20"/>
          <w:szCs w:val="20"/>
          <w:color w:val="auto"/>
        </w:rPr>
      </w:pPr>
    </w:p>
    <w:p>
      <w:pPr>
        <w:ind w:left="480" w:right="3059"/>
        <w:spacing w:after="0" w:line="242"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2, 1997 are not necessarily indicative of the results that may be expected for the year ended October 31, 1997.</w:t>
      </w:r>
    </w:p>
    <w:p>
      <w:pPr>
        <w:spacing w:after="0" w:line="192" w:lineRule="exact"/>
        <w:rPr>
          <w:sz w:val="20"/>
          <w:szCs w:val="20"/>
          <w:color w:val="auto"/>
        </w:rPr>
      </w:pPr>
    </w:p>
    <w:p>
      <w:pPr>
        <w:ind w:left="480" w:right="3259"/>
        <w:spacing w:after="0" w:line="241" w:lineRule="auto"/>
        <w:rPr>
          <w:sz w:val="20"/>
          <w:szCs w:val="20"/>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8" w:lineRule="exact"/>
        <w:rPr>
          <w:sz w:val="20"/>
          <w:szCs w:val="20"/>
          <w:color w:val="auto"/>
        </w:rPr>
      </w:pPr>
    </w:p>
    <w:p>
      <w:pPr>
        <w:ind w:left="480" w:right="3059"/>
        <w:spacing w:after="0" w:line="242" w:lineRule="auto"/>
        <w:rPr>
          <w:sz w:val="20"/>
          <w:szCs w:val="20"/>
          <w:color w:val="auto"/>
        </w:rPr>
      </w:pPr>
      <w:r>
        <w:rPr>
          <w:rFonts w:ascii="Courier New" w:cs="Courier New" w:eastAsia="Courier New" w:hAnsi="Courier New"/>
          <w:sz w:val="16"/>
          <w:szCs w:val="16"/>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May 2, 1997, and May 3, 1996, respectively. Under the FIFO method, work-in-process inventories were $79,736,000 and $78,977,000 and finished goods inventories were $104,920,000 and $104,705,000 at May 2, 1997, and May 3, 1996,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ACQUISITIONS</w:t>
      </w:r>
    </w:p>
    <w:p>
      <w:pPr>
        <w:spacing w:after="0" w:line="188" w:lineRule="exact"/>
        <w:rPr>
          <w:sz w:val="20"/>
          <w:szCs w:val="20"/>
          <w:color w:val="auto"/>
        </w:rPr>
      </w:pPr>
    </w:p>
    <w:p>
      <w:pPr>
        <w:ind w:left="480" w:right="2599"/>
        <w:spacing w:after="0" w:line="242" w:lineRule="auto"/>
        <w:rPr>
          <w:sz w:val="20"/>
          <w:szCs w:val="20"/>
          <w:color w:val="auto"/>
        </w:rPr>
      </w:pPr>
      <w:r>
        <w:rPr>
          <w:rFonts w:ascii="Courier New" w:cs="Courier New" w:eastAsia="Courier New" w:hAnsi="Courier New"/>
          <w:sz w:val="16"/>
          <w:szCs w:val="16"/>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88" w:lineRule="exact"/>
        <w:rPr>
          <w:sz w:val="20"/>
          <w:szCs w:val="20"/>
          <w:color w:val="auto"/>
        </w:rPr>
      </w:pPr>
    </w:p>
    <w:p>
      <w:pPr>
        <w:ind w:left="480" w:right="2599"/>
        <w:spacing w:after="0" w:line="242" w:lineRule="auto"/>
        <w:rPr>
          <w:sz w:val="20"/>
          <w:szCs w:val="20"/>
          <w:color w:val="auto"/>
        </w:rPr>
      </w:pPr>
      <w:r>
        <w:rPr>
          <w:rFonts w:ascii="Courier New" w:cs="Courier New" w:eastAsia="Courier New" w:hAnsi="Courier New"/>
          <w:sz w:val="16"/>
          <w:szCs w:val="16"/>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BUSINESS ACQUISITIONS (CONTINUED)</w:t>
      </w:r>
    </w:p>
    <w:p>
      <w:pPr>
        <w:spacing w:after="0" w:line="188" w:lineRule="exact"/>
        <w:rPr>
          <w:sz w:val="20"/>
          <w:szCs w:val="20"/>
          <w:color w:val="auto"/>
        </w:rPr>
      </w:pPr>
    </w:p>
    <w:p>
      <w:pPr>
        <w:ind w:left="480" w:right="3340"/>
        <w:spacing w:after="0" w:line="242" w:lineRule="auto"/>
        <w:rPr>
          <w:sz w:val="20"/>
          <w:szCs w:val="20"/>
          <w:color w:val="auto"/>
        </w:rPr>
      </w:pPr>
      <w:r>
        <w:rPr>
          <w:rFonts w:ascii="Courier New" w:cs="Courier New" w:eastAsia="Courier New" w:hAnsi="Courier New"/>
          <w:sz w:val="16"/>
          <w:szCs w:val="16"/>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191" w:lineRule="exact"/>
        <w:rPr>
          <w:sz w:val="20"/>
          <w:szCs w:val="20"/>
          <w:color w:val="auto"/>
        </w:rPr>
      </w:pPr>
    </w:p>
    <w:p>
      <w:pPr>
        <w:ind w:left="480" w:right="3340"/>
        <w:spacing w:after="0" w:line="242" w:lineRule="auto"/>
        <w:rPr>
          <w:sz w:val="20"/>
          <w:szCs w:val="20"/>
          <w:color w:val="auto"/>
        </w:rPr>
      </w:pPr>
      <w:r>
        <w:rPr>
          <w:rFonts w:ascii="Courier New" w:cs="Courier New" w:eastAsia="Courier New" w:hAnsi="Courier New"/>
          <w:sz w:val="16"/>
          <w:szCs w:val="16"/>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33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Three Months Ended</w:t>
            </w:r>
          </w:p>
        </w:tc>
        <w:tc>
          <w:tcPr>
            <w:tcW w:w="2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000" w:type="dxa"/>
            <w:vAlign w:val="bottom"/>
          </w:tcPr>
          <w:p>
            <w:pPr>
              <w:spacing w:after="0"/>
              <w:rPr>
                <w:sz w:val="15"/>
                <w:szCs w:val="15"/>
                <w:color w:val="auto"/>
              </w:rPr>
            </w:pPr>
          </w:p>
        </w:tc>
        <w:tc>
          <w:tcPr>
            <w:tcW w:w="1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May 2,</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May 3,</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May 2,</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May 3,</w:t>
            </w:r>
          </w:p>
        </w:tc>
      </w:tr>
      <w:tr>
        <w:trPr>
          <w:trHeight w:val="183"/>
        </w:trPr>
        <w:tc>
          <w:tcPr>
            <w:tcW w:w="5000" w:type="dxa"/>
            <w:vAlign w:val="bottom"/>
          </w:tcPr>
          <w:p>
            <w:pPr>
              <w:spacing w:after="0"/>
              <w:rPr>
                <w:sz w:val="20"/>
                <w:szCs w:val="20"/>
                <w:color w:val="auto"/>
              </w:rPr>
            </w:pPr>
            <w:r>
              <w:rPr>
                <w:rFonts w:ascii="Courier New" w:cs="Courier New" w:eastAsia="Courier New" w:hAnsi="Courier New"/>
                <w:sz w:val="16"/>
                <w:szCs w:val="16"/>
                <w:color w:val="auto"/>
              </w:rPr>
              <w:t>(Dollars in thousands, except per share data)</w:t>
            </w:r>
          </w:p>
        </w:tc>
        <w:tc>
          <w:tcPr>
            <w:tcW w:w="192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1997</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4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000" w:type="dxa"/>
            <w:vAlign w:val="bottom"/>
          </w:tcPr>
          <w:p>
            <w:pPr>
              <w:spacing w:after="0"/>
              <w:rPr>
                <w:sz w:val="15"/>
                <w:szCs w:val="15"/>
                <w:color w:val="auto"/>
              </w:rPr>
            </w:pPr>
          </w:p>
        </w:tc>
        <w:tc>
          <w:tcPr>
            <w:tcW w:w="5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352,203</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332,509</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575,326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576,231</w:t>
            </w:r>
          </w:p>
        </w:tc>
      </w:tr>
      <w:tr>
        <w:trPr>
          <w:trHeight w:val="183"/>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19,040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16,914</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19,834</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22,649</w:t>
            </w:r>
          </w:p>
        </w:tc>
      </w:tr>
      <w:tr>
        <w:trPr>
          <w:trHeight w:val="183"/>
        </w:trPr>
        <w:tc>
          <w:tcPr>
            <w:tcW w:w="500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9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1.34</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1.79</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EVENT</w:t>
      </w:r>
    </w:p>
    <w:p>
      <w:pPr>
        <w:spacing w:after="0" w:line="188" w:lineRule="exact"/>
        <w:rPr>
          <w:sz w:val="20"/>
          <w:szCs w:val="20"/>
          <w:color w:val="auto"/>
        </w:rPr>
      </w:pPr>
    </w:p>
    <w:p>
      <w:pPr>
        <w:ind w:right="3340"/>
        <w:spacing w:after="0" w:line="242" w:lineRule="auto"/>
        <w:rPr>
          <w:sz w:val="20"/>
          <w:szCs w:val="20"/>
          <w:color w:val="auto"/>
        </w:rPr>
      </w:pPr>
      <w:r>
        <w:rPr>
          <w:rFonts w:ascii="Courier New" w:cs="Courier New" w:eastAsia="Courier New" w:hAnsi="Courier New"/>
          <w:sz w:val="16"/>
          <w:szCs w:val="16"/>
          <w:color w:val="auto"/>
        </w:rPr>
        <w:t>On June 4, 1997, the company announced that it had signed a non-binding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be material to the company.</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960"/>
          </w:cols>
          <w:pgMar w:left="240" w:top="665" w:right="699" w:bottom="1440" w:gutter="0" w:footer="0" w:header="0"/>
        </w:sectPr>
      </w:pPr>
    </w:p>
    <w:bookmarkStart w:id="7" w:name="page8"/>
    <w:bookmarkEnd w:id="7"/>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AND RESULTS OF OPERATIONS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88"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Second quarter net earnings rose 13.1% to $19.0 million from the net earnings of $16.8 million for the same period in the previous year. Earnings per share for the second quarter improved 15.0% to $1.53 from $1.33 in the previous period. Revenues increased from $288.6 million in the second quarter of 1996 to $352.2 million in the second quarter of 1997, as a result of factors discussed in the following paragraphs. The increase in sales was due in part to the acquisition of Hardie.</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For the six months ended May 2, 1997 net sales increased from the same period in 1996 by $61.0 million or 12.2%. Net earnings for the six months ended May 2, 1997 were $21.5 million as compared to $25.3 million for the same period last year.</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 both fiscal 1996 and 1997 the spring mowing season was cold and late in many key markets. In fiscal 1997 these unpredictable weather patterns heightened a conservative buying attitude among dealers and distributors. The company continues to focus on more efficient asset management, and integration of the Hardie acquisition.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sets forth net sales by product line.</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Three Months Ended</w:t>
            </w:r>
          </w:p>
        </w:tc>
        <w:tc>
          <w:tcPr>
            <w:tcW w:w="1160" w:type="dxa"/>
            <w:vAlign w:val="bottom"/>
          </w:tcPr>
          <w:p>
            <w:pPr>
              <w:spacing w:after="0"/>
              <w:rPr>
                <w:sz w:val="15"/>
                <w:szCs w:val="15"/>
                <w:color w:val="auto"/>
              </w:rPr>
            </w:pPr>
          </w:p>
        </w:tc>
      </w:tr>
      <w:tr>
        <w:trPr>
          <w:trHeight w:val="183"/>
        </w:trPr>
        <w:tc>
          <w:tcPr>
            <w:tcW w:w="3660" w:type="dxa"/>
            <w:vAlign w:val="bottom"/>
          </w:tcPr>
          <w:p>
            <w:pPr>
              <w:spacing w:after="0"/>
              <w:rPr>
                <w:sz w:val="15"/>
                <w:szCs w:val="15"/>
                <w:color w:val="auto"/>
              </w:rPr>
            </w:pPr>
          </w:p>
        </w:tc>
        <w:tc>
          <w:tcPr>
            <w:tcW w:w="6360" w:type="dxa"/>
            <w:vAlign w:val="bottom"/>
            <w:gridSpan w:val="7"/>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60" w:type="dxa"/>
            <w:vAlign w:val="bottom"/>
          </w:tcPr>
          <w:p>
            <w:pPr>
              <w:jc w:val="right"/>
              <w:ind w:right="1481"/>
              <w:spacing w:after="0"/>
              <w:rPr>
                <w:sz w:val="20"/>
                <w:szCs w:val="20"/>
                <w:color w:val="auto"/>
              </w:rPr>
            </w:pPr>
            <w:r>
              <w:rPr>
                <w:rFonts w:ascii="Courier New" w:cs="Courier New" w:eastAsia="Courier New" w:hAnsi="Courier New"/>
                <w:sz w:val="16"/>
                <w:szCs w:val="16"/>
                <w:color w:val="auto"/>
                <w:w w:val="98"/>
              </w:rPr>
              <w:t>(Dollars in thousands)</w:t>
            </w:r>
          </w:p>
        </w:tc>
        <w:tc>
          <w:tcPr>
            <w:tcW w:w="130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May 2,</w:t>
            </w:r>
          </w:p>
        </w:tc>
        <w:tc>
          <w:tcPr>
            <w:tcW w:w="38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May 3,</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3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Change</w:t>
            </w: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Change</w:t>
            </w:r>
          </w:p>
        </w:tc>
      </w:tr>
      <w:tr>
        <w:trPr>
          <w:trHeight w:val="183"/>
        </w:trPr>
        <w:tc>
          <w:tcPr>
            <w:tcW w:w="3660" w:type="dxa"/>
            <w:vAlign w:val="bottom"/>
          </w:tcPr>
          <w:p>
            <w:pPr>
              <w:spacing w:after="0"/>
              <w:rPr>
                <w:sz w:val="15"/>
                <w:szCs w:val="15"/>
                <w:color w:val="auto"/>
              </w:rPr>
            </w:pPr>
          </w:p>
        </w:tc>
        <w:tc>
          <w:tcPr>
            <w:tcW w:w="23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98"/>
              </w:rPr>
              <w:t>Consumer products. . . . . . . . . . .</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 . .$</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137,913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137,791</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98"/>
              </w:rPr>
              <w:t>Commercial products. . . . . . . . . .</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 . .</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122,030</w:t>
            </w:r>
          </w:p>
        </w:tc>
        <w:tc>
          <w:tcPr>
            <w:tcW w:w="3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108,523</w:t>
            </w:r>
          </w:p>
        </w:tc>
        <w:tc>
          <w:tcPr>
            <w:tcW w:w="4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13,507</w:t>
            </w: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w:t>
            </w:r>
          </w:p>
        </w:tc>
      </w:tr>
      <w:tr>
        <w:trPr>
          <w:trHeight w:val="183"/>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98"/>
              </w:rPr>
              <w:t>Irrigation products. . . . . . . . . .</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 . .</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92,260</w:t>
            </w:r>
          </w:p>
        </w:tc>
        <w:tc>
          <w:tcPr>
            <w:tcW w:w="3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42,332</w:t>
            </w:r>
          </w:p>
        </w:tc>
        <w:tc>
          <w:tcPr>
            <w:tcW w:w="4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49,928</w:t>
            </w:r>
          </w:p>
        </w:tc>
        <w:tc>
          <w:tcPr>
            <w:tcW w:w="11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117.9</w:t>
            </w:r>
          </w:p>
        </w:tc>
      </w:tr>
      <w:tr>
        <w:trPr>
          <w:trHeight w:val="183"/>
        </w:trPr>
        <w:tc>
          <w:tcPr>
            <w:tcW w:w="3660" w:type="dxa"/>
            <w:vAlign w:val="bottom"/>
          </w:tcPr>
          <w:p>
            <w:pPr>
              <w:spacing w:after="0"/>
              <w:rPr>
                <w:sz w:val="15"/>
                <w:szCs w:val="15"/>
                <w:color w:val="auto"/>
              </w:rPr>
            </w:pPr>
          </w:p>
        </w:tc>
        <w:tc>
          <w:tcPr>
            <w:tcW w:w="23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r>
      <w:tr>
        <w:trPr>
          <w:trHeight w:val="183"/>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rPr>
              <w:t>Total *. . . . . . . . . . . . . .</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 . .$</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352,203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288,646</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63,557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22.0%</w:t>
            </w:r>
          </w:p>
        </w:tc>
      </w:tr>
      <w:tr>
        <w:trPr>
          <w:trHeight w:val="183"/>
        </w:trPr>
        <w:tc>
          <w:tcPr>
            <w:tcW w:w="3660" w:type="dxa"/>
            <w:vAlign w:val="bottom"/>
          </w:tcPr>
          <w:p>
            <w:pPr>
              <w:spacing w:after="0"/>
              <w:rPr>
                <w:sz w:val="15"/>
                <w:szCs w:val="15"/>
                <w:color w:val="auto"/>
              </w:rPr>
            </w:pPr>
          </w:p>
        </w:tc>
        <w:tc>
          <w:tcPr>
            <w:tcW w:w="23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r>
      <w:tr>
        <w:trPr>
          <w:trHeight w:val="183"/>
        </w:trPr>
        <w:tc>
          <w:tcPr>
            <w:tcW w:w="3660" w:type="dxa"/>
            <w:vAlign w:val="bottom"/>
          </w:tcPr>
          <w:p>
            <w:pPr>
              <w:spacing w:after="0"/>
              <w:rPr>
                <w:sz w:val="15"/>
                <w:szCs w:val="15"/>
                <w:color w:val="auto"/>
              </w:rPr>
            </w:pPr>
          </w:p>
        </w:tc>
        <w:tc>
          <w:tcPr>
            <w:tcW w:w="23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r>
      <w:tr>
        <w:trPr>
          <w:trHeight w:val="183"/>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98"/>
              </w:rPr>
              <w:t>* Includes international sales of: . .</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 . .$</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81,954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64,339</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17,615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r>
      <w:tr>
        <w:trPr>
          <w:trHeight w:val="734"/>
        </w:trPr>
        <w:tc>
          <w:tcPr>
            <w:tcW w:w="3660" w:type="dxa"/>
            <w:vAlign w:val="bottom"/>
          </w:tcPr>
          <w:p>
            <w:pPr>
              <w:spacing w:after="0"/>
              <w:rPr>
                <w:sz w:val="24"/>
                <w:szCs w:val="24"/>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2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Six Months Ended</w:t>
            </w:r>
          </w:p>
        </w:tc>
        <w:tc>
          <w:tcPr>
            <w:tcW w:w="1240" w:type="dxa"/>
            <w:vAlign w:val="bottom"/>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5620" w:type="dxa"/>
            <w:vAlign w:val="bottom"/>
            <w:gridSpan w:val="7"/>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480" w:type="dxa"/>
            <w:vAlign w:val="bottom"/>
          </w:tcPr>
          <w:p>
            <w:pPr>
              <w:jc w:val="right"/>
              <w:ind w:right="2301"/>
              <w:spacing w:after="0"/>
              <w:rPr>
                <w:sz w:val="20"/>
                <w:szCs w:val="20"/>
                <w:color w:val="auto"/>
              </w:rPr>
            </w:pPr>
            <w:r>
              <w:rPr>
                <w:rFonts w:ascii="Courier New" w:cs="Courier New" w:eastAsia="Courier New" w:hAnsi="Courier New"/>
                <w:sz w:val="16"/>
                <w:szCs w:val="16"/>
                <w:color w:val="auto"/>
                <w:w w:val="98"/>
              </w:rPr>
              <w:t>(Dollars in thousands)</w:t>
            </w:r>
          </w:p>
        </w:tc>
        <w:tc>
          <w:tcPr>
            <w:tcW w:w="480" w:type="dxa"/>
            <w:vAlign w:val="bottom"/>
          </w:tcPr>
          <w:p>
            <w:pPr>
              <w:spacing w:after="0"/>
              <w:rPr>
                <w:sz w:val="15"/>
                <w:szCs w:val="15"/>
                <w:color w:val="auto"/>
              </w:rPr>
            </w:pP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May 2,</w:t>
            </w:r>
          </w:p>
        </w:tc>
        <w:tc>
          <w:tcPr>
            <w:tcW w:w="380" w:type="dxa"/>
            <w:vAlign w:val="bottom"/>
          </w:tcPr>
          <w:p>
            <w:pPr>
              <w:spacing w:after="0"/>
              <w:rPr>
                <w:sz w:val="15"/>
                <w:szCs w:val="15"/>
                <w:color w:val="auto"/>
              </w:rPr>
            </w:pPr>
          </w:p>
        </w:tc>
        <w:tc>
          <w:tcPr>
            <w:tcW w:w="11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May 3,</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11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Change</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Change</w:t>
            </w:r>
          </w:p>
        </w:tc>
      </w:tr>
      <w:tr>
        <w:trPr>
          <w:trHeight w:val="183"/>
        </w:trPr>
        <w:tc>
          <w:tcPr>
            <w:tcW w:w="448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7"/>
        </w:trPr>
        <w:tc>
          <w:tcPr>
            <w:tcW w:w="44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Consumer products. . . . . . . . . . . . .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221,555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240,432</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$(18,877)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3"/>
        </w:trPr>
        <w:tc>
          <w:tcPr>
            <w:tcW w:w="44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Commercial products. . . . . . . . . . . . .</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199,987</w:t>
            </w:r>
          </w:p>
        </w:tc>
        <w:tc>
          <w:tcPr>
            <w:tcW w:w="3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186,856</w:t>
            </w:r>
          </w:p>
        </w:tc>
        <w:tc>
          <w:tcPr>
            <w:tcW w:w="4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13,131</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w:t>
            </w:r>
          </w:p>
        </w:tc>
      </w:tr>
      <w:tr>
        <w:trPr>
          <w:trHeight w:val="183"/>
        </w:trPr>
        <w:tc>
          <w:tcPr>
            <w:tcW w:w="44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Irrigation products. . . . . . . . . . . . .</w:t>
            </w:r>
          </w:p>
        </w:tc>
        <w:tc>
          <w:tcPr>
            <w:tcW w:w="4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139,618</w:t>
            </w:r>
          </w:p>
        </w:tc>
        <w:tc>
          <w:tcPr>
            <w:tcW w:w="380" w:type="dxa"/>
            <w:vAlign w:val="bottom"/>
          </w:tcPr>
          <w:p>
            <w:pPr>
              <w:spacing w:after="0"/>
              <w:rPr>
                <w:sz w:val="15"/>
                <w:szCs w:val="15"/>
                <w:color w:val="auto"/>
              </w:rPr>
            </w:pP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72,859</w:t>
            </w:r>
          </w:p>
        </w:tc>
        <w:tc>
          <w:tcPr>
            <w:tcW w:w="4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66,759</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91.6</w:t>
            </w:r>
          </w:p>
        </w:tc>
      </w:tr>
      <w:tr>
        <w:trPr>
          <w:trHeight w:val="183"/>
        </w:trPr>
        <w:tc>
          <w:tcPr>
            <w:tcW w:w="448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r>
      <w:tr>
        <w:trPr>
          <w:trHeight w:val="183"/>
        </w:trPr>
        <w:tc>
          <w:tcPr>
            <w:tcW w:w="44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 . . . . . . . . . . . . . . .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561,160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500,147</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61,013</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12.2%</w:t>
            </w:r>
          </w:p>
        </w:tc>
      </w:tr>
      <w:tr>
        <w:trPr>
          <w:trHeight w:val="183"/>
        </w:trPr>
        <w:tc>
          <w:tcPr>
            <w:tcW w:w="448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1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r>
      <w:tr>
        <w:trPr>
          <w:trHeight w:val="183"/>
        </w:trPr>
        <w:tc>
          <w:tcPr>
            <w:tcW w:w="44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 Includes international sales of: . . . .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135,980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103,758</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32,222</w:t>
            </w:r>
          </w:p>
        </w:tc>
        <w:tc>
          <w:tcPr>
            <w:tcW w:w="1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31.1%</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PRODUCT SALES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Worldwide net sales of consumer products for the three months ended May 2, 1997 of $137.9 million were flat as compared to the prior year and down $18.9 million for the six months ended May 2, 1997. Again, as in fiscal 1996, this quarter had a slow start to the lawn and garden retail season because of unseasonably cool weather. Although retail demand was stronger this period than a year ago, dealers and distributors remained conservative and kept their inventories at a minimum. A snow storm also caused a ten day plant shutdown that resulted in lower production and sales of riding equipment during the first six months. These decreases in sales were offset slightly by sales of newly introduced electric and battery-operated walk-behind mowers.</w:t>
      </w:r>
    </w:p>
    <w:p>
      <w:pPr>
        <w:spacing w:after="0" w:line="190"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International consumer net sales for the three months ended May 2, 1997 increased from $20.7 million to $21.5 million and from $34.3 million to $36.8 million for the six months ended May 2, 1997 as a result of continued strong demand in Canada and the introduction of products in France's largest mass merchant. The new electric walk-behind mower has been well received in the international market.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COMMERCIAL PRODUCT SALES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Worldwide commercial product net sales for the three months ended May 2, 1997 were $122.0 million compared to $108.5 million in the same period in the prior year. Net sales for the six months ended May 2, 1997 were $200.0 million compared to $186.9 million in the same period in the prior year. Sales of equipment to golf courses did well, reflecting the continued growth of the golf market, and several new product introductions in the second quarter also reinforced sales.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International commercial net sales increased to $39.5 million for the three months ended May 2, 1997 from $36.5 million in the prior year. Net sales increased to $62.2 million for the six months ended May 2, 1997 from $55.9 million in the prior year. Equipment sales to the golf market were up as new courses were added in the Philippines, Korea and Egypt. Golf equipment sales also did well in Europe despite generally weak economic conditions.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IRRIGATION PRODUCT SALES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Worldwide irrigation product net sales rose 117.9% from $42.3 million in the same three month period last year to $92.3 million in the current year. Net sales for the six months ended May 2, 1997 were $139.6 compared to $72.9 in the same period in the prior year. This increase is almost entirely attributable to the acquisition of Hardie.</w:t>
      </w:r>
    </w:p>
    <w:p>
      <w:pPr>
        <w:spacing w:after="0" w:line="190"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International irrigation net sales, excluding Hardie sales, increased by 17.7% for the second quarter and 1.5% for the first six months of fiscal 1997, as compared to the corresponding period in the prior year.</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103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GROSS PROFIT</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Gross profit was $125.1 million and $200.3 million for the three and six months ended May 2, 1997, respectively, an increase of $21.3 million and $20.2 million from the three and six months ended May 3, 1996, respectively. As a percent of sales, gross profit for the three month period ended May 2, 1997 was 35.5% compared with 36.0% for the three month period ended May 3, 1996 and 35.7% for the six months ended May 2, 1997 versus 36.0% for the six month period ended May 3, 1996. The lower gross margin was primarily due to lower gross margins contributed by Hardie product sales. Manufacturing variances were relatively flat as compared to last year.</w:t>
      </w:r>
    </w:p>
    <w:p>
      <w:pPr>
        <w:spacing w:after="0" w:line="200" w:lineRule="exact"/>
        <w:rPr>
          <w:sz w:val="20"/>
          <w:szCs w:val="20"/>
          <w:color w:val="auto"/>
        </w:rPr>
      </w:pPr>
    </w:p>
    <w:p>
      <w:pPr>
        <w:spacing w:after="0" w:line="353"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6"/>
          <w:szCs w:val="16"/>
          <w:color w:val="auto"/>
        </w:rPr>
        <w:t>Selling, General and Administrative Expense</w:t>
      </w:r>
    </w:p>
    <w:p>
      <w:pPr>
        <w:spacing w:after="0" w:line="2"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6"/>
          <w:szCs w:val="16"/>
          <w:color w:val="auto"/>
        </w:rPr>
        <w:t>(Dollars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4380"/>
        <w:spacing w:after="0"/>
        <w:tabs>
          <w:tab w:leader="none" w:pos="7220" w:val="left"/>
        </w:tabs>
        <w:rPr>
          <w:sz w:val="20"/>
          <w:szCs w:val="20"/>
          <w:color w:val="auto"/>
        </w:rPr>
      </w:pPr>
      <w:r>
        <w:rPr>
          <w:rFonts w:ascii="Courier New" w:cs="Courier New" w:eastAsia="Courier New" w:hAnsi="Courier New"/>
          <w:sz w:val="16"/>
          <w:szCs w:val="16"/>
          <w:color w:val="auto"/>
        </w:rPr>
        <w:t>3 Months</w:t>
      </w:r>
      <w:r>
        <w:rPr>
          <w:sz w:val="20"/>
          <w:szCs w:val="20"/>
          <w:color w:val="auto"/>
        </w:rPr>
        <w:tab/>
      </w:r>
      <w:r>
        <w:rPr>
          <w:rFonts w:ascii="Courier New" w:cs="Courier New" w:eastAsia="Courier New" w:hAnsi="Courier New"/>
          <w:sz w:val="15"/>
          <w:szCs w:val="15"/>
          <w:color w:val="auto"/>
        </w:rPr>
        <w:t>3 Months</w:t>
      </w:r>
    </w:p>
    <w:p>
      <w:pPr>
        <w:spacing w:after="0" w:line="2" w:lineRule="exact"/>
        <w:rPr>
          <w:sz w:val="20"/>
          <w:szCs w:val="20"/>
          <w:color w:val="auto"/>
        </w:rPr>
      </w:pPr>
    </w:p>
    <w:p>
      <w:pPr>
        <w:ind w:left="4580"/>
        <w:spacing w:after="0"/>
        <w:tabs>
          <w:tab w:leader="none" w:pos="7420" w:val="left"/>
        </w:tabs>
        <w:rPr>
          <w:sz w:val="20"/>
          <w:szCs w:val="20"/>
          <w:color w:val="auto"/>
        </w:rPr>
      </w:pPr>
      <w:r>
        <w:rPr>
          <w:rFonts w:ascii="Courier New" w:cs="Courier New" w:eastAsia="Courier New" w:hAnsi="Courier New"/>
          <w:sz w:val="16"/>
          <w:szCs w:val="16"/>
          <w:color w:val="auto"/>
        </w:rPr>
        <w:t>Ended</w:t>
      </w:r>
      <w:r>
        <w:rPr>
          <w:sz w:val="20"/>
          <w:szCs w:val="20"/>
          <w:color w:val="auto"/>
        </w:rPr>
        <w:tab/>
      </w:r>
      <w:r>
        <w:rPr>
          <w:rFonts w:ascii="Courier New" w:cs="Courier New" w:eastAsia="Courier New" w:hAnsi="Courier New"/>
          <w:sz w:val="16"/>
          <w:szCs w:val="16"/>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960" w:right="779" w:firstLine="3529"/>
        <w:spacing w:after="0" w:line="239" w:lineRule="auto"/>
        <w:rPr>
          <w:sz w:val="20"/>
          <w:szCs w:val="20"/>
          <w:color w:val="auto"/>
        </w:rPr>
      </w:pPr>
      <w:r>
        <w:rPr>
          <w:rFonts w:ascii="Courier New" w:cs="Courier New" w:eastAsia="Courier New" w:hAnsi="Courier New"/>
          <w:sz w:val="16"/>
          <w:szCs w:val="16"/>
          <w:color w:val="auto"/>
        </w:rPr>
        <w:t>May 2, % of Net May 3, % of Net S G &amp; A 1997 Sales 1996 Sales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spacing w:after="0"/>
              <w:rPr>
                <w:sz w:val="20"/>
                <w:szCs w:val="20"/>
                <w:color w:val="auto"/>
              </w:rPr>
            </w:pPr>
            <w:r>
              <w:rPr>
                <w:rFonts w:ascii="Courier New" w:cs="Courier New" w:eastAsia="Courier New" w:hAnsi="Courier New"/>
                <w:sz w:val="16"/>
                <w:szCs w:val="16"/>
                <w:color w:val="auto"/>
              </w:rPr>
              <w:t>Administrative</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26.7</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Sales and Marketing</w:t>
            </w:r>
          </w:p>
        </w:tc>
        <w:tc>
          <w:tcPr>
            <w:tcW w:w="12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33.0</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9.3</w:t>
            </w:r>
          </w:p>
        </w:tc>
        <w:tc>
          <w:tcPr>
            <w:tcW w:w="5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24.3</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Warranty</w:t>
            </w:r>
          </w:p>
        </w:tc>
        <w:tc>
          <w:tcPr>
            <w:tcW w:w="12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w:t>
            </w:r>
          </w:p>
        </w:tc>
        <w:tc>
          <w:tcPr>
            <w:tcW w:w="5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Distributor/Dealer Financing</w:t>
            </w:r>
          </w:p>
        </w:tc>
        <w:tc>
          <w:tcPr>
            <w:tcW w:w="12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0.8</w:t>
            </w:r>
          </w:p>
        </w:tc>
        <w:tc>
          <w:tcPr>
            <w:tcW w:w="5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12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9.1</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w:t>
            </w:r>
          </w:p>
        </w:tc>
        <w:tc>
          <w:tcPr>
            <w:tcW w:w="5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Warehousing</w:t>
            </w:r>
          </w:p>
        </w:tc>
        <w:tc>
          <w:tcPr>
            <w:tcW w:w="12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5.4</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w:t>
            </w:r>
          </w:p>
        </w:tc>
        <w:tc>
          <w:tcPr>
            <w:tcW w:w="5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4.4</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r>
      <w:tr>
        <w:trPr>
          <w:trHeight w:val="183"/>
        </w:trPr>
        <w:tc>
          <w:tcPr>
            <w:tcW w:w="3620" w:type="dxa"/>
            <w:vAlign w:val="bottom"/>
          </w:tcPr>
          <w:p>
            <w:pPr>
              <w:spacing w:after="0"/>
              <w:rPr>
                <w:sz w:val="20"/>
                <w:szCs w:val="20"/>
                <w:color w:val="auto"/>
              </w:rPr>
            </w:pPr>
            <w:r>
              <w:rPr>
                <w:rFonts w:ascii="Courier New" w:cs="Courier New" w:eastAsia="Courier New" w:hAnsi="Courier New"/>
                <w:sz w:val="16"/>
                <w:szCs w:val="16"/>
                <w:color w:val="auto"/>
              </w:rPr>
              <w:t>Service/Quality Assurance</w:t>
            </w:r>
          </w:p>
        </w:tc>
        <w:tc>
          <w:tcPr>
            <w:tcW w:w="12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2.4</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0.7</w:t>
            </w:r>
          </w:p>
        </w:tc>
        <w:tc>
          <w:tcPr>
            <w:tcW w:w="520" w:type="dxa"/>
            <w:vAlign w:val="bottom"/>
          </w:tcPr>
          <w:p>
            <w:pPr>
              <w:spacing w:after="0"/>
              <w:rPr>
                <w:sz w:val="15"/>
                <w:szCs w:val="15"/>
                <w:color w:val="auto"/>
              </w:rPr>
            </w:pP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w:t>
            </w:r>
          </w:p>
        </w:tc>
      </w:tr>
      <w:tr>
        <w:trPr>
          <w:trHeight w:val="183"/>
        </w:trPr>
        <w:tc>
          <w:tcPr>
            <w:tcW w:w="3620" w:type="dxa"/>
            <w:vAlign w:val="bottom"/>
          </w:tcPr>
          <w:p>
            <w:pPr>
              <w:spacing w:after="0"/>
              <w:rPr>
                <w:sz w:val="15"/>
                <w:szCs w:val="15"/>
                <w:color w:val="auto"/>
              </w:rPr>
            </w:pP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620" w:type="dxa"/>
            <w:vAlign w:val="bottom"/>
          </w:tcPr>
          <w:p>
            <w:pPr>
              <w:ind w:left="480"/>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89.2</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25.3%</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73.5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25.5%</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 (SG&amp;A) for the three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 1997 increased $15.7 million from the prior year, and as a percent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decreased slightly to 25.3% from 25.5% for the same period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Hardie added $10.0 million in SG&amp;A expense during the second quarter of</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fiscal 1997.</w:t>
      </w:r>
      <w:r>
        <w:rPr>
          <w:sz w:val="20"/>
          <w:szCs w:val="20"/>
          <w:color w:val="auto"/>
        </w:rPr>
        <w:tab/>
      </w:r>
      <w:r>
        <w:rPr>
          <w:rFonts w:ascii="Courier New" w:cs="Courier New" w:eastAsia="Courier New" w:hAnsi="Courier New"/>
          <w:sz w:val="15"/>
          <w:szCs w:val="15"/>
          <w:color w:val="auto"/>
        </w:rPr>
        <w:t>SG&amp;A expense for the six months ended May 2, 1997 increased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$20.3 million from the prior year, including Hardie's SG&amp;A expense of $16.1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as a percent of sales increased to 28.1% from 27.5% for the same</w:t>
      </w:r>
    </w:p>
    <w:p>
      <w:pPr>
        <w:spacing w:after="0" w:line="2"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period in fiscal 1996.</w:t>
      </w:r>
      <w:r>
        <w:rPr>
          <w:sz w:val="20"/>
          <w:szCs w:val="20"/>
          <w:color w:val="auto"/>
        </w:rPr>
        <w:tab/>
      </w:r>
      <w:r>
        <w:rPr>
          <w:rFonts w:ascii="Courier New" w:cs="Courier New" w:eastAsia="Courier New" w:hAnsi="Courier New"/>
          <w:sz w:val="15"/>
          <w:szCs w:val="15"/>
          <w:color w:val="auto"/>
        </w:rPr>
        <w:t>Administrative expenses, net of Hardie, increased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million for the quarter and $2.2 million for the six months ended May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due mainly to increased costs for information systems and overall</w:t>
      </w:r>
    </w:p>
    <w:p>
      <w:pPr>
        <w:spacing w:after="0" w:line="2"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6"/>
          <w:szCs w:val="16"/>
          <w:color w:val="auto"/>
        </w:rPr>
        <w:t>increases in administrative expenses.</w:t>
      </w:r>
      <w:r>
        <w:rPr>
          <w:sz w:val="20"/>
          <w:szCs w:val="20"/>
          <w:color w:val="auto"/>
        </w:rPr>
        <w:tab/>
      </w:r>
      <w:r>
        <w:rPr>
          <w:rFonts w:ascii="Courier New" w:cs="Courier New" w:eastAsia="Courier New" w:hAnsi="Courier New"/>
          <w:sz w:val="15"/>
          <w:szCs w:val="15"/>
          <w:color w:val="auto"/>
        </w:rPr>
        <w:t>Sales and marketing expenses, net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Hardie, increased by $4.9 million for the quarter and $5.1 million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May 2, 1997 due to increased promotional costs of new</w:t>
      </w:r>
    </w:p>
    <w:p>
      <w:pPr>
        <w:spacing w:after="0" w:line="2"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6"/>
          <w:szCs w:val="16"/>
          <w:color w:val="auto"/>
        </w:rPr>
        <w:t>products for the landscape contractor group.</w:t>
      </w:r>
      <w:r>
        <w:rPr>
          <w:sz w:val="20"/>
          <w:szCs w:val="20"/>
          <w:color w:val="auto"/>
        </w:rPr>
        <w:tab/>
      </w:r>
      <w:r>
        <w:rPr>
          <w:rFonts w:ascii="Courier New" w:cs="Courier New" w:eastAsia="Courier New" w:hAnsi="Courier New"/>
          <w:sz w:val="15"/>
          <w:szCs w:val="15"/>
          <w:color w:val="auto"/>
        </w:rPr>
        <w:t>The percent of sales change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 expense was the result of timing of marketing program</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expenses.</w:t>
        <w:tab/>
        <w:t>Warranty expense, net of Hardie, decreased $1.9 million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and $3.7 million for the six months ended May 2, 1997 due primarily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 reserve established in the prior period for required rework on a</w:t>
      </w:r>
    </w:p>
    <w:p>
      <w:pPr>
        <w:spacing w:after="0" w:line="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6"/>
          <w:szCs w:val="16"/>
          <w:color w:val="auto"/>
        </w:rPr>
        <w:t>lawnmower product.</w:t>
      </w:r>
      <w:r>
        <w:rPr>
          <w:sz w:val="20"/>
          <w:szCs w:val="20"/>
          <w:color w:val="auto"/>
        </w:rPr>
        <w:tab/>
      </w:r>
      <w:r>
        <w:rPr>
          <w:rFonts w:ascii="Courier New" w:cs="Courier New" w:eastAsia="Courier New" w:hAnsi="Courier New"/>
          <w:sz w:val="15"/>
          <w:szCs w:val="15"/>
          <w:color w:val="auto"/>
        </w:rPr>
        <w:t>Warranty expense as a percent of sales also decreased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prior year as a result of a change in the mix of products sold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warranty related refund received from a vendor. Distributor/dealer financing,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and warehousing expenses, net of Hardie, were flat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compared to the same period in fiscal 1996.</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FINANCIAL POSITION AS OF MAY 2, 1997</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MAY 2, 1997 COMPARED TO MAY 3,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assets at May 2, 1997 were $800.0 million, up $174.9 million from May 3,</w:t>
      </w:r>
    </w:p>
    <w:p>
      <w:pPr>
        <w:spacing w:after="0" w:line="2" w:lineRule="exact"/>
        <w:rPr>
          <w:sz w:val="20"/>
          <w:szCs w:val="20"/>
          <w:color w:val="auto"/>
        </w:rPr>
      </w:pPr>
    </w:p>
    <w:p>
      <w:pPr>
        <w:spacing w:after="0"/>
        <w:tabs>
          <w:tab w:leader="none" w:pos="640" w:val="left"/>
          <w:tab w:leader="none" w:pos="5980" w:val="left"/>
        </w:tabs>
        <w:rPr>
          <w:sz w:val="20"/>
          <w:szCs w:val="20"/>
          <w:color w:val="auto"/>
        </w:rPr>
      </w:pPr>
      <w:r>
        <w:rPr>
          <w:rFonts w:ascii="Courier New" w:cs="Courier New" w:eastAsia="Courier New" w:hAnsi="Courier New"/>
          <w:sz w:val="16"/>
          <w:szCs w:val="16"/>
          <w:color w:val="auto"/>
        </w:rPr>
        <w:t>1996.</w:t>
        <w:tab/>
        <w:t>Of this increase, Hardie accounted for $168.3 million.</w:t>
        <w:tab/>
        <w:t>Cash, net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Hardie of $4.4 million, decreased from the prior period as the result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improved asset management policies. Accounts receivable, net, increased by $69.4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with $60.7 million in net receivables attributable to Hardie.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remaining increase in receivables is the result of higher sales in both the</w:t>
      </w:r>
    </w:p>
    <w:p>
      <w:pPr>
        <w:spacing w:after="0" w:line="2"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commercial and international divisions.</w:t>
      </w:r>
      <w:r>
        <w:rPr>
          <w:sz w:val="20"/>
          <w:szCs w:val="20"/>
          <w:color w:val="auto"/>
        </w:rPr>
        <w:tab/>
      </w:r>
      <w:r>
        <w:rPr>
          <w:rFonts w:ascii="Courier New" w:cs="Courier New" w:eastAsia="Courier New" w:hAnsi="Courier New"/>
          <w:sz w:val="15"/>
          <w:szCs w:val="15"/>
          <w:color w:val="auto"/>
        </w:rPr>
        <w:t>Inventory balances, net of Hardie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of approximately $24.9 million, declined by $24.8 million due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management strategies which match production more closely with retail</w:t>
      </w:r>
    </w:p>
    <w:p>
      <w:pPr>
        <w:spacing w:after="0" w:line="2" w:lineRule="exact"/>
        <w:rPr>
          <w:sz w:val="20"/>
          <w:szCs w:val="20"/>
          <w:color w:val="auto"/>
        </w:rPr>
      </w:pPr>
    </w:p>
    <w:p>
      <w:pPr>
        <w:spacing w:after="0"/>
        <w:tabs>
          <w:tab w:leader="none" w:pos="5120" w:val="left"/>
        </w:tabs>
        <w:rPr>
          <w:sz w:val="20"/>
          <w:szCs w:val="20"/>
          <w:color w:val="auto"/>
        </w:rPr>
      </w:pPr>
      <w:r>
        <w:rPr>
          <w:rFonts w:ascii="Courier New" w:cs="Courier New" w:eastAsia="Courier New" w:hAnsi="Courier New"/>
          <w:sz w:val="16"/>
          <w:szCs w:val="16"/>
          <w:color w:val="auto"/>
        </w:rPr>
        <w:t>demand and result in lower overall inventory levels.</w:t>
      </w:r>
      <w:r>
        <w:rPr>
          <w:sz w:val="20"/>
          <w:szCs w:val="20"/>
          <w:color w:val="auto"/>
        </w:rPr>
        <w:tab/>
      </w:r>
      <w:r>
        <w:rPr>
          <w:rFonts w:ascii="Courier New" w:cs="Courier New" w:eastAsia="Courier New" w:hAnsi="Courier New"/>
          <w:sz w:val="15"/>
          <w:szCs w:val="15"/>
          <w:color w:val="auto"/>
        </w:rPr>
        <w:t>Net property, plant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increased by approximately $46.4 million, with $30.4 million of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related to Hardie and the remaining increase related to the corporate</w:t>
      </w:r>
    </w:p>
    <w:p>
      <w:pPr>
        <w:spacing w:after="0" w:line="2"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6"/>
          <w:szCs w:val="16"/>
          <w:color w:val="auto"/>
        </w:rPr>
        <w:t>headquarters expansion and new tooling projects.</w:t>
      </w:r>
      <w:r>
        <w:rPr>
          <w:sz w:val="20"/>
          <w:szCs w:val="20"/>
          <w:color w:val="auto"/>
        </w:rPr>
        <w:tab/>
      </w:r>
      <w:r>
        <w:rPr>
          <w:rFonts w:ascii="Courier New" w:cs="Courier New" w:eastAsia="Courier New" w:hAnsi="Courier New"/>
          <w:sz w:val="15"/>
          <w:szCs w:val="15"/>
          <w:color w:val="auto"/>
        </w:rPr>
        <w:t>Other assets increased by</w:t>
      </w:r>
    </w:p>
    <w:p>
      <w:pPr>
        <w:spacing w:after="0" w:line="2"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6"/>
          <w:szCs w:val="16"/>
          <w:color w:val="auto"/>
        </w:rPr>
        <w:t>$55.4 million with Hardie accounting for $47.2 million.</w:t>
      </w:r>
      <w:r>
        <w:rPr>
          <w:sz w:val="20"/>
          <w:szCs w:val="20"/>
          <w:color w:val="auto"/>
        </w:rPr>
        <w:tab/>
      </w:r>
      <w:r>
        <w:rPr>
          <w:rFonts w:ascii="Courier New" w:cs="Courier New" w:eastAsia="Courier New" w:hAnsi="Courier New"/>
          <w:sz w:val="15"/>
          <w:szCs w:val="15"/>
          <w:color w:val="auto"/>
        </w:rPr>
        <w:t>The remainder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the result of the purchase of patents, additional acquisition costs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Hardie and the purchase of property for possible future corporate expansion.</w:t>
      </w: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current liabilities of $495.7 million at May 2, 1997 increased $154.3 million compared with current liabilities at May 3, 1996. The majority of this increase was short-term borrowing, which increased by $129.4 million over the prior year due primarily to the financing of both the purchase price and working capital needs of Hardie. The increase in short-term borrowing was offset by a decrease in trade payables, net of Hardie, primarily as a result of the timing of vendor payments. Other accrued liabilities increased by $17.4 million, primarily as a result of expenses related to the Hardie acquisition, and Hardie accrued liabilities acquired. The current portion of long-term debt was also reduced due to the repayment of Toro Credit Company ("TCC") debt. TCC is now being financed by the parent company on a consolidated basis. Other long-term liabilities also increased over the prior period, primarily as a result of accrued interest related to the interest rate swap agreement entered into during second quarter of fiscal 1996.</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MAY 2, 1997 COMPARED TO OCTOBER 31, 1996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assets at May 2, 1997 were $800.0 million, up $303.1 million from October 31, 1996. As indicated previously, Hardie accounted for approximately $168.3 million of this increase. Accounts receivable, net of Hardie, increased from October 31, 1996 primarily due to increased sales volumes. Inventory, net of Hardie, increased by $3.8 million primarily as a result of the normal buildup of consumer lawn and garden products manufactured in the first six months of the year. Net property, plant and equipment increased from $73.8 million to $115.2 million due to the addition of Hardie net property, plant and equipment of $30.4 million, the expansion of the corporate headquarters and routine capital expenditures. Other assets increased as a result of the excess of the purchase price of Hardie over the fair value of the net assets acquired of approximately $26.9 million plus additional capitalized acquisition costs of approximately $16.7 million and the acquisition of Hardie's other assets.</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current liabilities of $495.7 million at May 2, 1997 increased $287.8 million compared with current liabilities at October 31, 1996. The majority of this increase was the result of additional short-term borrowings of $237.0 million a portion of which was used to finance the purchase price and working capital needs of Hardie. The remaining increase in short-term borrowing reflects the company's strategy of utilizing short-term borrowing to fund the company's seasonal working capital needs. Other accrued liabilities increased as a result of expenses related to the acquisition of Hardie and accruals for various seasonal sales and marketing programs which are at their peak during the spring selling season. There were no significant changes in long-term debt and other long-term liabilities from October 31, 1996 to May 31, 1997.</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primary use of cash during the first six months of fiscal 1997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Cash used in operating activities for the first six months of fiscal 1997 was primarily for the seasonal increase in accounts receivable.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Management believes that the combination of funds available through its existing financing arrangements, coupled with forecasted cash flows, will provide the capital resources for its anticipated needs.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8"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The company is subject to the effects of changing prices. The company has, however, generally been able to pass along inflationary increases in its costs by increasing the prices of its products.</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5" w:right="1440" w:bottom="1440" w:gutter="0" w:footer="0" w:header="0"/>
        </w:sectPr>
      </w:pPr>
    </w:p>
    <w:bookmarkStart w:id="12" w:name="page13"/>
    <w:bookmarkEnd w:id="12"/>
    <w:p>
      <w:pPr>
        <w:ind w:left="2580"/>
        <w:spacing w:after="0"/>
        <w:tabs>
          <w:tab w:leader="none" w:pos="350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369"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Results of Votes of Security Holders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The Annual Meeting of Stockholders was held on March 13, 1997.</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results of the stockholder votes were as follows:</w:t>
      </w:r>
    </w:p>
    <w:p>
      <w:pPr>
        <w:sectPr>
          <w:pgSz w:w="11900" w:h="16838" w:orient="portrait"/>
          <w:cols w:equalWidth="0" w:num="1">
            <w:col w:w="10219"/>
          </w:cols>
          <w:pgMar w:left="240" w:top="665"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For</w:t>
      </w:r>
    </w:p>
    <w:p>
      <w:pPr>
        <w:spacing w:after="0" w:line="2"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3">
            <w:col w:w="6620" w:space="720"/>
            <w:col w:w="720" w:space="720"/>
            <w:col w:w="1439"/>
          </w:cols>
          <w:pgMar w:left="240" w:top="665" w:right="1440" w:bottom="1440" w:gutter="0" w:footer="0" w:header="0"/>
          <w:type w:val="continuous"/>
        </w:sectPr>
      </w:pPr>
    </w:p>
    <w:p>
      <w:pPr>
        <w:ind w:left="960" w:hanging="485"/>
        <w:spacing w:after="0"/>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2"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Janet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K.</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Cooper</w:t>
            </w:r>
          </w:p>
        </w:tc>
        <w:tc>
          <w:tcPr>
            <w:tcW w:w="2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10,086,165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179,512</w:t>
            </w:r>
          </w:p>
        </w:tc>
      </w:tr>
      <w:tr>
        <w:trPr>
          <w:trHeight w:val="183"/>
        </w:trPr>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Kendrick</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B. Melrose</w:t>
            </w:r>
          </w:p>
        </w:tc>
        <w:tc>
          <w:tcPr>
            <w:tcW w:w="2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10,080,644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185,033</w:t>
            </w:r>
          </w:p>
        </w:tc>
      </w:tr>
      <w:tr>
        <w:trPr>
          <w:trHeight w:val="183"/>
        </w:trPr>
        <w:tc>
          <w:tcPr>
            <w:tcW w:w="520" w:type="dxa"/>
            <w:vAlign w:val="bottom"/>
          </w:tcPr>
          <w:p>
            <w:pPr>
              <w:spacing w:after="0"/>
              <w:rPr>
                <w:sz w:val="20"/>
                <w:szCs w:val="20"/>
                <w:color w:val="auto"/>
              </w:rPr>
            </w:pPr>
            <w:r>
              <w:rPr>
                <w:rFonts w:ascii="Courier New" w:cs="Courier New" w:eastAsia="Courier New" w:hAnsi="Courier New"/>
                <w:sz w:val="16"/>
                <w:szCs w:val="16"/>
                <w:color w:val="auto"/>
              </w:rPr>
              <w:t>Edwin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H.</w:t>
            </w:r>
          </w:p>
        </w:tc>
        <w:tc>
          <w:tcPr>
            <w:tcW w:w="2480" w:type="dxa"/>
            <w:vAlign w:val="bottom"/>
          </w:tcPr>
          <w:p>
            <w:pPr>
              <w:ind w:left="40"/>
              <w:spacing w:after="0"/>
              <w:rPr>
                <w:sz w:val="20"/>
                <w:szCs w:val="20"/>
                <w:color w:val="auto"/>
              </w:rPr>
            </w:pPr>
            <w:r>
              <w:rPr>
                <w:rFonts w:ascii="Courier New" w:cs="Courier New" w:eastAsia="Courier New" w:hAnsi="Courier New"/>
                <w:sz w:val="16"/>
                <w:szCs w:val="16"/>
                <w:color w:val="auto"/>
              </w:rPr>
              <w:t>Wingate</w:t>
            </w:r>
          </w:p>
        </w:tc>
        <w:tc>
          <w:tcPr>
            <w:tcW w:w="2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10,077,796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187,881</w:t>
            </w:r>
          </w:p>
        </w:tc>
      </w:tr>
    </w:tbl>
    <w:p>
      <w:pPr>
        <w:spacing w:after="0" w:line="2" w:lineRule="exact"/>
        <w:rPr>
          <w:sz w:val="20"/>
          <w:szCs w:val="20"/>
          <w:color w:val="auto"/>
        </w:rPr>
      </w:pPr>
    </w:p>
    <w:p>
      <w:pPr>
        <w:ind w:left="960" w:hanging="485"/>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Amendment of Continuous</w:t>
      </w:r>
    </w:p>
    <w:p>
      <w:pPr>
        <w:spacing w:after="0" w:line="2"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3480" w:type="dxa"/>
            <w:vAlign w:val="bottom"/>
          </w:tcPr>
          <w:p>
            <w:pPr>
              <w:spacing w:after="0"/>
              <w:rPr>
                <w:sz w:val="20"/>
                <w:szCs w:val="20"/>
                <w:color w:val="auto"/>
              </w:rPr>
            </w:pPr>
            <w:r>
              <w:rPr>
                <w:rFonts w:ascii="Courier New" w:cs="Courier New" w:eastAsia="Courier New" w:hAnsi="Courier New"/>
                <w:sz w:val="16"/>
                <w:szCs w:val="16"/>
                <w:color w:val="auto"/>
              </w:rPr>
              <w:t>Performance Award Plan</w:t>
            </w:r>
          </w:p>
        </w:tc>
        <w:tc>
          <w:tcPr>
            <w:tcW w:w="2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9,381,511</w:t>
            </w:r>
          </w:p>
        </w:tc>
        <w:tc>
          <w:tcPr>
            <w:tcW w:w="14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768,642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115,524</w:t>
            </w:r>
          </w:p>
        </w:tc>
      </w:tr>
    </w:tbl>
    <w:p>
      <w:pPr>
        <w:spacing w:after="0" w:line="2" w:lineRule="exact"/>
        <w:rPr>
          <w:sz w:val="20"/>
          <w:szCs w:val="20"/>
          <w:color w:val="auto"/>
        </w:rPr>
      </w:pPr>
    </w:p>
    <w:p>
      <w:pPr>
        <w:ind w:left="960" w:hanging="485"/>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Amendment of Annual Management</w:t>
      </w:r>
    </w:p>
    <w:p>
      <w:pPr>
        <w:spacing w:after="0" w:line="2"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Courier New" w:cs="Courier New" w:eastAsia="Courier New" w:hAnsi="Courier New"/>
                <w:sz w:val="16"/>
                <w:szCs w:val="16"/>
                <w:color w:val="auto"/>
              </w:rPr>
              <w:t>Incentive Plan</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9,391,586</w:t>
            </w:r>
          </w:p>
        </w:tc>
        <w:tc>
          <w:tcPr>
            <w:tcW w:w="14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744,455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129,636</w:t>
            </w:r>
          </w:p>
        </w:tc>
      </w:tr>
      <w:tr>
        <w:trPr>
          <w:trHeight w:val="183"/>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4.</w:t>
            </w:r>
          </w:p>
        </w:tc>
        <w:tc>
          <w:tcPr>
            <w:tcW w:w="4680" w:type="dxa"/>
            <w:vAlign w:val="bottom"/>
          </w:tcPr>
          <w:p>
            <w:pPr>
              <w:ind w:left="160"/>
              <w:spacing w:after="0"/>
              <w:rPr>
                <w:sz w:val="20"/>
                <w:szCs w:val="20"/>
                <w:color w:val="auto"/>
              </w:rPr>
            </w:pPr>
            <w:r>
              <w:rPr>
                <w:rFonts w:ascii="Courier New" w:cs="Courier New" w:eastAsia="Courier New" w:hAnsi="Courier New"/>
                <w:sz w:val="16"/>
                <w:szCs w:val="16"/>
                <w:color w:val="auto"/>
              </w:rPr>
              <w:t>Approval of Selection of Independent Auditors</w:t>
            </w:r>
          </w:p>
        </w:tc>
        <w:tc>
          <w:tcPr>
            <w:tcW w:w="15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10,060,566</w:t>
            </w:r>
          </w:p>
        </w:tc>
        <w:tc>
          <w:tcPr>
            <w:tcW w:w="140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115,283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89,828</w:t>
            </w:r>
          </w:p>
        </w:tc>
      </w:tr>
    </w:tbl>
    <w:p>
      <w:pPr>
        <w:spacing w:after="0" w:line="200" w:lineRule="exact"/>
        <w:rPr>
          <w:sz w:val="20"/>
          <w:szCs w:val="20"/>
          <w:color w:val="auto"/>
        </w:rPr>
      </w:pPr>
    </w:p>
    <w:p>
      <w:pPr>
        <w:spacing w:after="0" w:line="35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760" w:hanging="476"/>
        <w:spacing w:after="0"/>
        <w:tabs>
          <w:tab w:leader="none" w:pos="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11  Computation of Earnings per Common Share</w:t>
      </w:r>
    </w:p>
    <w:p>
      <w:pPr>
        <w:spacing w:after="0" w:line="185" w:lineRule="exact"/>
        <w:rPr>
          <w:rFonts w:ascii="Courier New" w:cs="Courier New" w:eastAsia="Courier New" w:hAnsi="Courier New"/>
          <w:sz w:val="16"/>
          <w:szCs w:val="16"/>
          <w:color w:val="auto"/>
        </w:rPr>
      </w:pPr>
    </w:p>
    <w:p>
      <w:pPr>
        <w:ind w:left="760" w:hanging="476"/>
        <w:spacing w:after="0"/>
        <w:tabs>
          <w:tab w:leader="none" w:pos="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27  Financial Data Schedule</w:t>
      </w:r>
    </w:p>
    <w:p>
      <w:pPr>
        <w:spacing w:after="0" w:line="185"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Summarized financial data; electronic filing only.</w:t>
      </w:r>
    </w:p>
    <w:p>
      <w:pPr>
        <w:spacing w:after="0" w:line="185" w:lineRule="exact"/>
        <w:rPr>
          <w:rFonts w:ascii="Courier New" w:cs="Courier New" w:eastAsia="Courier New" w:hAnsi="Courier New"/>
          <w:sz w:val="16"/>
          <w:szCs w:val="16"/>
          <w:color w:val="auto"/>
        </w:rPr>
      </w:pPr>
    </w:p>
    <w:p>
      <w:pPr>
        <w:ind w:left="760" w:hanging="476"/>
        <w:spacing w:after="0"/>
        <w:tabs>
          <w:tab w:leader="none" w:pos="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rFonts w:ascii="Courier New" w:cs="Courier New" w:eastAsia="Courier New" w:hAnsi="Courier New"/>
          <w:sz w:val="16"/>
          <w:szCs w:val="16"/>
          <w:color w:val="auto"/>
        </w:rPr>
      </w:pPr>
    </w:p>
    <w:p>
      <w:pPr>
        <w:ind w:left="760" w:right="26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190" w:lineRule="exact"/>
        <w:rPr>
          <w:rFonts w:ascii="Courier New" w:cs="Courier New" w:eastAsia="Courier New" w:hAnsi="Courier New"/>
          <w:sz w:val="16"/>
          <w:szCs w:val="16"/>
          <w:color w:val="auto"/>
        </w:rPr>
      </w:pPr>
    </w:p>
    <w:p>
      <w:pPr>
        <w:ind w:left="760"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5" w:right="1440" w:bottom="1440" w:gutter="0" w:footer="0" w:header="0"/>
          <w:type w:val="continuous"/>
        </w:sectPr>
      </w:pPr>
    </w:p>
    <w:bookmarkStart w:id="13" w:name="page14"/>
    <w:bookmarkEnd w:id="13"/>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6"/>
          <w:szCs w:val="16"/>
          <w:color w:val="auto"/>
        </w:rPr>
        <w:t>(Registrant)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/s/ Stephen P. Wolfe</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Stephen P. Wolfe</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Vice President, Finance</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Chief Financial Officer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June 16, 1997</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48" w:right="1440" w:bottom="1440" w:gutter="0" w:footer="0" w:header="0"/>
        </w:sectPr>
      </w:pPr>
    </w:p>
    <w:bookmarkStart w:id="14" w:name="page15"/>
    <w:bookmarkEnd w:id="14"/>
    <w:p>
      <w:pPr>
        <w:ind w:left="6682"/>
        <w:spacing w:after="0"/>
        <w:rPr>
          <w:sz w:val="20"/>
          <w:szCs w:val="20"/>
          <w:color w:val="auto"/>
        </w:rPr>
      </w:pPr>
      <w:r>
        <w:rPr>
          <w:rFonts w:ascii="Courier New" w:cs="Courier New" w:eastAsia="Courier New" w:hAnsi="Courier New"/>
          <w:sz w:val="16"/>
          <w:szCs w:val="16"/>
          <w:color w:val="auto"/>
        </w:rPr>
        <w:t>Exhibit 11</w:t>
      </w:r>
    </w:p>
    <w:p>
      <w:pPr>
        <w:spacing w:after="0" w:line="186"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COMPUTATION OF EARNINGS PER COMMON SHARE (UNAUDITED)</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(DOLLARS IN THOUSANDS, EXCEPT PER-SHARE DATA)</w:t>
      </w:r>
    </w:p>
    <w:p>
      <w:pPr>
        <w:spacing w:after="0" w:line="200" w:lineRule="exact"/>
        <w:rPr>
          <w:sz w:val="20"/>
          <w:szCs w:val="20"/>
          <w:color w:val="auto"/>
        </w:rPr>
      </w:pPr>
    </w:p>
    <w:p>
      <w:pPr>
        <w:spacing w:after="0" w:line="35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15"/>
                <w:szCs w:val="15"/>
                <w:color w:val="auto"/>
              </w:rPr>
            </w:pPr>
          </w:p>
        </w:tc>
        <w:tc>
          <w:tcPr>
            <w:tcW w:w="224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596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Courier New" w:cs="Courier New" w:eastAsia="Courier New" w:hAnsi="Courier New"/>
                <w:sz w:val="11"/>
                <w:szCs w:val="11"/>
                <w:color w:val="auto"/>
                <w:w w:val="70"/>
              </w:rPr>
              <w:t>-------------------------</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7"/>
              </w:rPr>
              <w:t>May 2,</w:t>
            </w:r>
          </w:p>
        </w:tc>
        <w:tc>
          <w:tcPr>
            <w:tcW w:w="400" w:type="dxa"/>
            <w:vAlign w:val="bottom"/>
          </w:tcPr>
          <w:p>
            <w:pPr>
              <w:spacing w:after="0"/>
              <w:rPr>
                <w:sz w:val="15"/>
                <w:szCs w:val="15"/>
                <w:color w:val="auto"/>
              </w:rPr>
            </w:pP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May 3,</w:t>
            </w:r>
          </w:p>
        </w:tc>
        <w:tc>
          <w:tcPr>
            <w:tcW w:w="380" w:type="dxa"/>
            <w:vAlign w:val="bottom"/>
          </w:tcPr>
          <w:p>
            <w:pPr>
              <w:spacing w:after="0"/>
              <w:rPr>
                <w:sz w:val="15"/>
                <w:szCs w:val="15"/>
                <w:color w:val="auto"/>
              </w:rPr>
            </w:pP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May 2,</w:t>
            </w:r>
          </w:p>
        </w:tc>
        <w:tc>
          <w:tcPr>
            <w:tcW w:w="38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May 3,</w:t>
            </w:r>
          </w:p>
        </w:tc>
      </w:tr>
      <w:tr>
        <w:trPr>
          <w:trHeight w:val="183"/>
        </w:trPr>
        <w:tc>
          <w:tcPr>
            <w:tcW w:w="5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4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380" w:type="dxa"/>
            <w:vAlign w:val="bottom"/>
          </w:tcPr>
          <w:p>
            <w:pPr>
              <w:spacing w:after="0"/>
              <w:rPr>
                <w:sz w:val="15"/>
                <w:szCs w:val="15"/>
                <w:color w:val="auto"/>
              </w:rPr>
            </w:pPr>
          </w:p>
        </w:tc>
        <w:tc>
          <w:tcPr>
            <w:tcW w:w="10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Net earnings . . . . . . . . . . . .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19,040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16,820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21,531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25,318</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Primary:</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Shares of common stock and common</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stock equivalents: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ind w:left="580"/>
              <w:spacing w:after="0"/>
              <w:rPr>
                <w:sz w:val="20"/>
                <w:szCs w:val="20"/>
                <w:color w:val="auto"/>
              </w:rPr>
            </w:pPr>
            <w:r>
              <w:rPr>
                <w:rFonts w:ascii="Courier New" w:cs="Courier New" w:eastAsia="Courier New" w:hAnsi="Courier New"/>
                <w:sz w:val="16"/>
                <w:szCs w:val="16"/>
                <w:color w:val="auto"/>
              </w:rPr>
              <w:t>Weighted average number of common shares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outstanding. . . . . . . . . . . . . . . . . . . . .</w:t>
            </w: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12,075,340</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12,222,437</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12,080,429</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12,220,874</w:t>
            </w:r>
          </w:p>
        </w:tc>
      </w:tr>
      <w:tr>
        <w:trPr>
          <w:trHeight w:val="183"/>
        </w:trPr>
        <w:tc>
          <w:tcPr>
            <w:tcW w:w="5960" w:type="dxa"/>
            <w:vAlign w:val="bottom"/>
          </w:tcPr>
          <w:p>
            <w:pPr>
              <w:ind w:left="580"/>
              <w:spacing w:after="0"/>
              <w:rPr>
                <w:sz w:val="20"/>
                <w:szCs w:val="20"/>
                <w:color w:val="auto"/>
              </w:rPr>
            </w:pPr>
            <w:r>
              <w:rPr>
                <w:rFonts w:ascii="Courier New" w:cs="Courier New" w:eastAsia="Courier New" w:hAnsi="Courier New"/>
                <w:sz w:val="16"/>
                <w:szCs w:val="16"/>
                <w:color w:val="auto"/>
              </w:rPr>
              <w:t>Dilutive effect of outstanding</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stock options (1). . . . . . . . . . . . . . . . . .</w:t>
            </w:r>
          </w:p>
        </w:tc>
        <w:tc>
          <w:tcPr>
            <w:tcW w:w="420" w:type="dxa"/>
            <w:vAlign w:val="bottom"/>
          </w:tcPr>
          <w:p>
            <w:pPr>
              <w:spacing w:after="0"/>
              <w:rPr>
                <w:sz w:val="15"/>
                <w:szCs w:val="15"/>
                <w:color w:val="auto"/>
              </w:rPr>
            </w:pP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361,208</w:t>
            </w:r>
          </w:p>
        </w:tc>
        <w:tc>
          <w:tcPr>
            <w:tcW w:w="40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429,796</w:t>
            </w:r>
          </w:p>
        </w:tc>
        <w:tc>
          <w:tcPr>
            <w:tcW w:w="38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381,289</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437,539</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12,436,548</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12,652,233</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12,461,718</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12,658,413</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580"/>
              <w:spacing w:after="0"/>
              <w:rPr>
                <w:sz w:val="20"/>
                <w:szCs w:val="20"/>
                <w:color w:val="auto"/>
              </w:rPr>
            </w:pPr>
            <w:r>
              <w:rPr>
                <w:rFonts w:ascii="Courier New" w:cs="Courier New" w:eastAsia="Courier New" w:hAnsi="Courier New"/>
                <w:sz w:val="16"/>
                <w:szCs w:val="16"/>
                <w:color w:val="auto"/>
              </w:rPr>
              <w:t>Net earnings per share of common stock</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common stock equivalent.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Shares of common stock and common</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ind w:left="380"/>
              <w:spacing w:after="0"/>
              <w:rPr>
                <w:sz w:val="20"/>
                <w:szCs w:val="20"/>
                <w:color w:val="auto"/>
              </w:rPr>
            </w:pPr>
            <w:r>
              <w:rPr>
                <w:rFonts w:ascii="Courier New" w:cs="Courier New" w:eastAsia="Courier New" w:hAnsi="Courier New"/>
                <w:sz w:val="16"/>
                <w:szCs w:val="16"/>
                <w:color w:val="auto"/>
              </w:rPr>
              <w:t>stock equivalents: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ind w:left="580"/>
              <w:spacing w:after="0"/>
              <w:rPr>
                <w:sz w:val="20"/>
                <w:szCs w:val="20"/>
                <w:color w:val="auto"/>
              </w:rPr>
            </w:pPr>
            <w:r>
              <w:rPr>
                <w:rFonts w:ascii="Courier New" w:cs="Courier New" w:eastAsia="Courier New" w:hAnsi="Courier New"/>
                <w:sz w:val="16"/>
                <w:szCs w:val="16"/>
                <w:color w:val="auto"/>
              </w:rPr>
              <w:t>Weighted average number of common shares</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outstanding. . . . . . . . . . . . . . . . . . . . .</w:t>
            </w: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12,075,340</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12,222,437</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12,080,429</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12,220,874</w:t>
            </w:r>
          </w:p>
        </w:tc>
      </w:tr>
      <w:tr>
        <w:trPr>
          <w:trHeight w:val="183"/>
        </w:trPr>
        <w:tc>
          <w:tcPr>
            <w:tcW w:w="5960" w:type="dxa"/>
            <w:vAlign w:val="bottom"/>
          </w:tcPr>
          <w:p>
            <w:pPr>
              <w:ind w:left="580"/>
              <w:spacing w:after="0"/>
              <w:rPr>
                <w:sz w:val="20"/>
                <w:szCs w:val="20"/>
                <w:color w:val="auto"/>
              </w:rPr>
            </w:pPr>
            <w:r>
              <w:rPr>
                <w:rFonts w:ascii="Courier New" w:cs="Courier New" w:eastAsia="Courier New" w:hAnsi="Courier New"/>
                <w:sz w:val="16"/>
                <w:szCs w:val="16"/>
                <w:color w:val="auto"/>
              </w:rPr>
              <w:t>Dilutive effect of outstanding</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stock options (2). . . . . . . . . . . . . . . . . .</w:t>
            </w:r>
          </w:p>
        </w:tc>
        <w:tc>
          <w:tcPr>
            <w:tcW w:w="420" w:type="dxa"/>
            <w:vAlign w:val="bottom"/>
          </w:tcPr>
          <w:p>
            <w:pPr>
              <w:spacing w:after="0"/>
              <w:rPr>
                <w:sz w:val="15"/>
                <w:szCs w:val="15"/>
                <w:color w:val="auto"/>
              </w:rPr>
            </w:pP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410,346</w:t>
            </w:r>
          </w:p>
        </w:tc>
        <w:tc>
          <w:tcPr>
            <w:tcW w:w="40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429,796</w:t>
            </w:r>
          </w:p>
        </w:tc>
        <w:tc>
          <w:tcPr>
            <w:tcW w:w="38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431,468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445,315</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12,485,686</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12,652,233</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12,511,897</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12,666,189</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ind w:left="580"/>
              <w:spacing w:after="0"/>
              <w:rPr>
                <w:sz w:val="20"/>
                <w:szCs w:val="20"/>
                <w:color w:val="auto"/>
              </w:rPr>
            </w:pPr>
            <w:r>
              <w:rPr>
                <w:rFonts w:ascii="Courier New" w:cs="Courier New" w:eastAsia="Courier New" w:hAnsi="Courier New"/>
                <w:sz w:val="16"/>
                <w:szCs w:val="16"/>
                <w:color w:val="auto"/>
              </w:rPr>
              <w:t>Net earnings per share of common stock</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5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and common stock equivalent. . . . . . . . . . . . .</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960" w:type="dxa"/>
            <w:vAlign w:val="bottom"/>
          </w:tcPr>
          <w:p>
            <w:pPr>
              <w:spacing w:after="0"/>
              <w:rPr>
                <w:sz w:val="15"/>
                <w:szCs w:val="15"/>
                <w:color w:val="auto"/>
              </w:rPr>
            </w:pPr>
          </w:p>
        </w:tc>
        <w:tc>
          <w:tcPr>
            <w:tcW w:w="14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left="482" w:right="4000" w:hanging="482"/>
        <w:spacing w:after="0" w:line="265" w:lineRule="auto"/>
        <w:tabs>
          <w:tab w:leader="none" w:pos="48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options and options exercised in the current period are converted to common stock equivalents by the treasury stock method using the average market price of the company's stock during each period.</w:t>
      </w:r>
    </w:p>
    <w:p>
      <w:pPr>
        <w:spacing w:after="0" w:line="170" w:lineRule="exact"/>
        <w:rPr>
          <w:rFonts w:ascii="Courier New" w:cs="Courier New" w:eastAsia="Courier New" w:hAnsi="Courier New"/>
          <w:sz w:val="15"/>
          <w:szCs w:val="15"/>
          <w:color w:val="auto"/>
        </w:rPr>
      </w:pPr>
    </w:p>
    <w:p>
      <w:pPr>
        <w:ind w:left="482" w:right="4000" w:hanging="482"/>
        <w:spacing w:after="0" w:line="241"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442"/>
          </w:cols>
          <w:pgMar w:left="238" w:top="506" w:right="219"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0" w:right="2559"/>
        <w:spacing w:after="0" w:line="24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EARNINGS AND RETAINED EARNINGS,THE CONDENSED CONSOLIDATED BALANCE SHEET AND EXHIBIT 11 AND IS QUALIFIED IN ITS ENTIRETY BY REFERENCE TO SUCH FINANCIAL STATEMENTS.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6-MOS</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OCT-31-1997</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NOV-01-1996</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MAY-02-1997</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5,593</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412,725</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159,014</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611,761</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319,010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203,859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800,014</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495,666</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53,365</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11,980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215,762</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800,014</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352,203</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352,203</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227,086</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89,160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(1,600)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6,085</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31,472</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12,432</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19,040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19,040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1.53</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1.52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LONG-TERM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DOES NOT INCLUDE ADDITIONAL PAID-IN-CAPITAL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INCLUDED IN QUARTERLY FINANCIAL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NET RECEIVABLES</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2019-12-13T14:04:11Z</dcterms:created>
  <dcterms:modified xsi:type="dcterms:W3CDTF">2019-12-13T14:04:11Z</dcterms:modified>
</cp:coreProperties>
</file>