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459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45909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Ellis Gary Lee</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02/26/2019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ind w:left="780"/>
              <w:spacing w:after="0" w:line="132"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6"/>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2"/>
          </w:tcPr>
          <w:p>
            <w:pPr>
              <w:ind w:left="78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Pr>
          <w:p>
            <w:pPr>
              <w:spacing w:after="0"/>
              <w:rPr>
                <w:sz w:val="23"/>
                <w:szCs w:val="23"/>
                <w:color w:val="auto"/>
              </w:rPr>
            </w:pPr>
          </w:p>
        </w:tc>
        <w:tc>
          <w:tcPr>
            <w:tcW w:w="1840" w:type="dxa"/>
            <w:vAlign w:val="bottom"/>
            <w:gridSpan w:val="2"/>
          </w:tcPr>
          <w:p>
            <w:pPr>
              <w:ind w:left="880"/>
              <w:spacing w:after="0"/>
              <w:rPr>
                <w:sz w:val="20"/>
                <w:szCs w:val="20"/>
                <w:color w:val="auto"/>
              </w:rPr>
            </w:pPr>
            <w:r>
              <w:rPr>
                <w:rFonts w:ascii="Arial" w:cs="Arial" w:eastAsia="Arial" w:hAnsi="Arial"/>
                <w:sz w:val="17"/>
                <w:szCs w:val="17"/>
                <w:color w:val="0000FF"/>
              </w:rPr>
              <w:t>02/26/2019</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17"/>
              <w:spacing w:after="0"/>
              <w:rPr>
                <w:sz w:val="20"/>
                <w:szCs w:val="20"/>
                <w:color w:val="auto"/>
              </w:rPr>
            </w:pPr>
            <w:r>
              <w:rPr>
                <w:rFonts w:ascii="Arial" w:cs="Arial" w:eastAsia="Arial" w:hAnsi="Arial"/>
                <w:sz w:val="13"/>
                <w:szCs w:val="13"/>
                <w:color w:val="0000FF"/>
              </w:rPr>
              <w:t>M</w:t>
            </w:r>
          </w:p>
        </w:tc>
        <w:tc>
          <w:tcPr>
            <w:tcW w:w="740" w:type="dxa"/>
            <w:vAlign w:val="bottom"/>
          </w:tcPr>
          <w:p>
            <w:pPr>
              <w:ind w:left="240"/>
              <w:spacing w:after="0"/>
              <w:rPr>
                <w:sz w:val="20"/>
                <w:szCs w:val="20"/>
                <w:color w:val="auto"/>
              </w:rPr>
            </w:pPr>
            <w:r>
              <w:rPr>
                <w:rFonts w:ascii="Arial" w:cs="Arial" w:eastAsia="Arial" w:hAnsi="Arial"/>
                <w:sz w:val="17"/>
                <w:szCs w:val="17"/>
                <w:color w:val="0000FF"/>
                <w:w w:val="92"/>
              </w:rPr>
              <w:t>15,108</w:t>
            </w:r>
          </w:p>
        </w:tc>
        <w:tc>
          <w:tcPr>
            <w:tcW w:w="660" w:type="dxa"/>
            <w:vAlign w:val="bottom"/>
          </w:tcPr>
          <w:p>
            <w:pPr>
              <w:ind w:left="340"/>
              <w:spacing w:after="0"/>
              <w:rPr>
                <w:sz w:val="20"/>
                <w:szCs w:val="20"/>
                <w:color w:val="auto"/>
              </w:rPr>
            </w:pPr>
            <w:r>
              <w:rPr>
                <w:rFonts w:ascii="Arial" w:cs="Arial" w:eastAsia="Arial" w:hAnsi="Arial"/>
                <w:sz w:val="17"/>
                <w:szCs w:val="17"/>
                <w:color w:val="0000FF"/>
              </w:rPr>
              <w:t>A</w:t>
            </w:r>
          </w:p>
        </w:tc>
        <w:tc>
          <w:tcPr>
            <w:tcW w:w="7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9.2525</w:t>
            </w:r>
          </w:p>
        </w:tc>
        <w:tc>
          <w:tcPr>
            <w:tcW w:w="1240" w:type="dxa"/>
            <w:vAlign w:val="bottom"/>
            <w:gridSpan w:val="2"/>
          </w:tcPr>
          <w:p>
            <w:pPr>
              <w:jc w:val="center"/>
              <w:spacing w:after="0"/>
              <w:rPr>
                <w:sz w:val="20"/>
                <w:szCs w:val="20"/>
                <w:color w:val="auto"/>
              </w:rPr>
            </w:pPr>
            <w:r>
              <w:rPr>
                <w:rFonts w:ascii="Arial" w:cs="Arial" w:eastAsia="Arial" w:hAnsi="Arial"/>
                <w:sz w:val="17"/>
                <w:szCs w:val="17"/>
                <w:color w:val="0000FF"/>
                <w:w w:val="92"/>
              </w:rPr>
              <w:t>43,861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8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02/26/2019</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17"/>
              <w:spacing w:after="0"/>
              <w:rPr>
                <w:sz w:val="20"/>
                <w:szCs w:val="20"/>
                <w:color w:val="auto"/>
              </w:rPr>
            </w:pPr>
            <w:r>
              <w:rPr>
                <w:rFonts w:ascii="Arial" w:cs="Arial" w:eastAsia="Arial" w:hAnsi="Arial"/>
                <w:sz w:val="13"/>
                <w:szCs w:val="13"/>
                <w:color w:val="0000FF"/>
                <w:w w:val="91"/>
              </w:rPr>
              <w:t>S</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15,108</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68.6</w:t>
            </w:r>
            <w:r>
              <w:rPr>
                <w:rFonts w:ascii="Arial" w:cs="Arial" w:eastAsia="Arial" w:hAnsi="Arial"/>
                <w:sz w:val="22"/>
                <w:szCs w:val="22"/>
                <w:color w:val="008000"/>
                <w:w w:val="99"/>
                <w:vertAlign w:val="superscript"/>
              </w:rPr>
              <w:t>(1)</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2"/>
              </w:rPr>
              <w:t>28,753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3"/>
              </w:rPr>
              <w:t>Common Stock Units</w:t>
            </w:r>
          </w:p>
        </w:tc>
        <w:tc>
          <w:tcPr>
            <w:tcW w:w="10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7"/>
              </w:rPr>
              <w:t>3,774.396</w:t>
            </w:r>
            <w:r>
              <w:rPr>
                <w:rFonts w:ascii="Arial" w:cs="Arial" w:eastAsia="Arial" w:hAnsi="Arial"/>
                <w:sz w:val="22"/>
                <w:szCs w:val="22"/>
                <w:color w:val="008000"/>
                <w:w w:val="87"/>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102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860" w:type="dxa"/>
            <w:vAlign w:val="bottom"/>
          </w:tcPr>
          <w:p>
            <w:pPr>
              <w:ind w:left="1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9.2525</w:t>
            </w:r>
          </w:p>
        </w:tc>
        <w:tc>
          <w:tcPr>
            <w:tcW w:w="1020" w:type="dxa"/>
            <w:vAlign w:val="bottom"/>
          </w:tcPr>
          <w:p>
            <w:pPr>
              <w:jc w:val="right"/>
              <w:ind w:right="138"/>
              <w:spacing w:after="0"/>
              <w:rPr>
                <w:sz w:val="20"/>
                <w:szCs w:val="20"/>
                <w:color w:val="auto"/>
              </w:rPr>
            </w:pPr>
            <w:r>
              <w:rPr>
                <w:rFonts w:ascii="Arial" w:cs="Arial" w:eastAsia="Arial" w:hAnsi="Arial"/>
                <w:sz w:val="13"/>
                <w:szCs w:val="13"/>
                <w:color w:val="0000FF"/>
              </w:rPr>
              <w:t>02/26/2019</w:t>
            </w:r>
          </w:p>
        </w:tc>
        <w:tc>
          <w:tcPr>
            <w:tcW w:w="1180" w:type="dxa"/>
            <w:vAlign w:val="bottom"/>
          </w:tcPr>
          <w:p>
            <w:pPr>
              <w:spacing w:after="0"/>
              <w:rPr>
                <w:sz w:val="17"/>
                <w:szCs w:val="17"/>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rPr>
                <w:sz w:val="20"/>
                <w:szCs w:val="20"/>
                <w:color w:val="auto"/>
              </w:rPr>
            </w:pPr>
            <w:r>
              <w:rPr>
                <w:rFonts w:ascii="Arial" w:cs="Arial" w:eastAsia="Arial" w:hAnsi="Arial"/>
                <w:sz w:val="13"/>
                <w:szCs w:val="13"/>
                <w:color w:val="0000FF"/>
              </w:rPr>
              <w:t>15,108</w:t>
            </w:r>
          </w:p>
        </w:tc>
        <w:tc>
          <w:tcPr>
            <w:tcW w:w="820" w:type="dxa"/>
            <w:vAlign w:val="bottom"/>
            <w:gridSpan w:val="2"/>
          </w:tcPr>
          <w:p>
            <w:pPr>
              <w:ind w:left="280"/>
              <w:spacing w:after="0"/>
              <w:rPr>
                <w:sz w:val="20"/>
                <w:szCs w:val="20"/>
                <w:color w:val="auto"/>
              </w:rPr>
            </w:pPr>
            <w:r>
              <w:rPr>
                <w:rFonts w:ascii="Arial" w:cs="Arial" w:eastAsia="Arial" w:hAnsi="Arial"/>
                <w:sz w:val="11"/>
                <w:szCs w:val="11"/>
                <w:color w:val="008000"/>
              </w:rPr>
              <w:t>(3)</w:t>
            </w:r>
          </w:p>
        </w:tc>
        <w:tc>
          <w:tcPr>
            <w:tcW w:w="740" w:type="dxa"/>
            <w:vAlign w:val="bottom"/>
          </w:tcPr>
          <w:p>
            <w:pPr>
              <w:ind w:left="20"/>
              <w:spacing w:after="0"/>
              <w:rPr>
                <w:sz w:val="20"/>
                <w:szCs w:val="20"/>
                <w:color w:val="auto"/>
              </w:rPr>
            </w:pPr>
            <w:r>
              <w:rPr>
                <w:rFonts w:ascii="Arial" w:cs="Arial" w:eastAsia="Arial" w:hAnsi="Arial"/>
                <w:sz w:val="13"/>
                <w:szCs w:val="13"/>
                <w:color w:val="0000FF"/>
              </w:rPr>
              <w:t>11/02/2019</w:t>
            </w:r>
          </w:p>
        </w:tc>
        <w:tc>
          <w:tcPr>
            <w:tcW w:w="66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15,108</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Stock</w:t>
            </w:r>
          </w:p>
        </w:tc>
        <w:tc>
          <w:tcPr>
            <w:tcW w:w="8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60" w:type="dxa"/>
            <w:vAlign w:val="bottom"/>
          </w:tcPr>
          <w:p>
            <w:pPr>
              <w:ind w:left="12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80" w:firstLine="8"/>
        <w:spacing w:after="0" w:line="254"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of common stock were sold in multiple transactions at prices ranging from $68.38 to $68.80,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1" w:lineRule="exact"/>
        <w:rPr>
          <w:rFonts w:ascii="Arial" w:cs="Arial" w:eastAsia="Arial" w:hAnsi="Arial"/>
          <w:sz w:val="13"/>
          <w:szCs w:val="13"/>
          <w:color w:val="008000"/>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14.487 common stock units acquired by the reporting person since the date of his last report under the dividend reinvestment feature of The Toro Company Deferred Compensation Plan for Non-Employee Directors.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vested in three equal annual installments commencing on the first anniversary of the date of grant, which was November 2, 2009.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Nancy A. McGrath,</w:t>
            </w:r>
          </w:p>
        </w:tc>
        <w:tc>
          <w:tcPr>
            <w:tcW w:w="70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02/27/2019</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9017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2019-12-23T21:20:03Z</dcterms:created>
  <dcterms:modified xsi:type="dcterms:W3CDTF">2019-12-23T21:20:03Z</dcterms:modified>
</cp:coreProperties>
</file>