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71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7194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BURKART PHILIP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12/01/2009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VP, Irrigation Businesses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9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60" w:type="dxa"/>
            <w:vAlign w:val="bottom"/>
          </w:tcPr>
          <w:p>
            <w:pPr>
              <w:jc w:val="right"/>
              <w:ind w:right="253"/>
              <w:spacing w:after="0"/>
              <w:rPr>
                <w:sz w:val="20"/>
                <w:szCs w:val="20"/>
                <w:color w:val="auto"/>
              </w:rPr>
            </w:pPr>
            <w:r>
              <w:rPr>
                <w:rFonts w:ascii="Arial" w:cs="Arial" w:eastAsia="Arial" w:hAnsi="Arial"/>
                <w:sz w:val="18"/>
                <w:szCs w:val="18"/>
                <w:color w:val="0000FF"/>
              </w:rPr>
              <w:t>40,777</w:t>
            </w:r>
          </w:p>
        </w:tc>
        <w:tc>
          <w:tcPr>
            <w:tcW w:w="980" w:type="dxa"/>
            <w:vAlign w:val="bottom"/>
          </w:tcPr>
          <w:p>
            <w:pPr>
              <w:ind w:left="460"/>
              <w:spacing w:after="0"/>
              <w:rPr>
                <w:sz w:val="20"/>
                <w:szCs w:val="20"/>
                <w:color w:val="auto"/>
              </w:rPr>
            </w:pPr>
            <w:r>
              <w:rPr>
                <w:rFonts w:ascii="Arial" w:cs="Arial" w:eastAsia="Arial" w:hAnsi="Arial"/>
                <w:sz w:val="18"/>
                <w:szCs w:val="18"/>
                <w:color w:val="0000FF"/>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The Toro</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Company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ind w:right="13"/>
              <w:spacing w:after="0" w:line="217" w:lineRule="exact"/>
              <w:rPr>
                <w:sz w:val="20"/>
                <w:szCs w:val="20"/>
                <w:color w:val="auto"/>
              </w:rPr>
            </w:pPr>
            <w:r>
              <w:rPr>
                <w:rFonts w:ascii="Arial" w:cs="Arial" w:eastAsia="Arial" w:hAnsi="Arial"/>
                <w:sz w:val="18"/>
                <w:szCs w:val="18"/>
                <w:color w:val="0000FF"/>
                <w:w w:val="96"/>
              </w:rPr>
              <w:t>21,872.112</w:t>
            </w:r>
            <w:r>
              <w:rPr>
                <w:rFonts w:ascii="Arial" w:cs="Arial" w:eastAsia="Arial" w:hAnsi="Arial"/>
                <w:sz w:val="22"/>
                <w:szCs w:val="22"/>
                <w:color w:val="008000"/>
                <w:w w:val="96"/>
                <w:vertAlign w:val="superscript"/>
              </w:rPr>
              <w:t>(1)</w:t>
            </w:r>
          </w:p>
        </w:tc>
        <w:tc>
          <w:tcPr>
            <w:tcW w:w="980" w:type="dxa"/>
            <w:vAlign w:val="bottom"/>
          </w:tcPr>
          <w:p>
            <w:pPr>
              <w:ind w:left="480"/>
              <w:spacing w:after="0"/>
              <w:rPr>
                <w:sz w:val="20"/>
                <w:szCs w:val="20"/>
                <w:color w:val="auto"/>
              </w:rPr>
            </w:pPr>
            <w:r>
              <w:rPr>
                <w:rFonts w:ascii="Arial" w:cs="Arial" w:eastAsia="Arial" w:hAnsi="Arial"/>
                <w:sz w:val="18"/>
                <w:szCs w:val="18"/>
                <w:color w:val="0000FF"/>
              </w:rPr>
              <w:t>I</w:t>
            </w:r>
          </w:p>
        </w:tc>
        <w:tc>
          <w:tcPr>
            <w:tcW w:w="980" w:type="dxa"/>
            <w:vAlign w:val="bottom"/>
          </w:tcPr>
          <w:p>
            <w:pPr>
              <w:ind w:left="80"/>
              <w:spacing w:after="0"/>
              <w:rPr>
                <w:sz w:val="20"/>
                <w:szCs w:val="20"/>
                <w:color w:val="auto"/>
              </w:rPr>
            </w:pPr>
            <w:r>
              <w:rPr>
                <w:rFonts w:ascii="Arial" w:cs="Arial" w:eastAsia="Arial" w:hAnsi="Arial"/>
                <w:sz w:val="18"/>
                <w:szCs w:val="18"/>
                <w:color w:val="0000FF"/>
                <w:w w:val="94"/>
              </w:rPr>
              <w:t>Investment,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Savings &amp;</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ESOP</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243"/>
        </w:trPr>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40.73</w:t>
            </w:r>
          </w:p>
        </w:tc>
        <w:tc>
          <w:tcPr>
            <w:tcW w:w="1140" w:type="dxa"/>
            <w:vAlign w:val="bottom"/>
          </w:tcPr>
          <w:p>
            <w:pPr>
              <w:jc w:val="right"/>
              <w:ind w:right="198"/>
              <w:spacing w:after="0"/>
              <w:rPr>
                <w:sz w:val="20"/>
                <w:szCs w:val="20"/>
                <w:color w:val="auto"/>
              </w:rPr>
            </w:pPr>
            <w:r>
              <w:rPr>
                <w:rFonts w:ascii="Arial" w:cs="Arial" w:eastAsia="Arial" w:hAnsi="Arial"/>
                <w:sz w:val="14"/>
                <w:szCs w:val="14"/>
                <w:color w:val="0000FF"/>
              </w:rPr>
              <w:t>12/01/2009</w:t>
            </w:r>
          </w:p>
        </w:tc>
        <w:tc>
          <w:tcPr>
            <w:tcW w:w="1140" w:type="dxa"/>
            <w:vAlign w:val="bottom"/>
          </w:tcPr>
          <w:p>
            <w:pPr>
              <w:spacing w:after="0"/>
              <w:rPr>
                <w:sz w:val="21"/>
                <w:szCs w:val="21"/>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A</w:t>
            </w:r>
          </w:p>
        </w:tc>
        <w:tc>
          <w:tcPr>
            <w:tcW w:w="500" w:type="dxa"/>
            <w:vAlign w:val="bottom"/>
          </w:tcPr>
          <w:p>
            <w:pPr>
              <w:ind w:left="100"/>
              <w:spacing w:after="0"/>
              <w:rPr>
                <w:sz w:val="20"/>
                <w:szCs w:val="20"/>
                <w:color w:val="auto"/>
              </w:rPr>
            </w:pPr>
            <w:r>
              <w:rPr>
                <w:rFonts w:ascii="Arial" w:cs="Arial" w:eastAsia="Arial" w:hAnsi="Arial"/>
                <w:sz w:val="14"/>
                <w:szCs w:val="14"/>
                <w:color w:val="0000FF"/>
              </w:rPr>
              <w:t>8,500</w:t>
            </w:r>
          </w:p>
        </w:tc>
        <w:tc>
          <w:tcPr>
            <w:tcW w:w="280" w:type="dxa"/>
            <w:vAlign w:val="bottom"/>
          </w:tcPr>
          <w:p>
            <w:pPr>
              <w:spacing w:after="0"/>
              <w:rPr>
                <w:sz w:val="21"/>
                <w:szCs w:val="21"/>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(2)</w:t>
            </w:r>
          </w:p>
        </w:tc>
        <w:tc>
          <w:tcPr>
            <w:tcW w:w="760" w:type="dxa"/>
            <w:vAlign w:val="bottom"/>
          </w:tcPr>
          <w:p>
            <w:pPr>
              <w:ind w:left="80"/>
              <w:spacing w:after="0"/>
              <w:rPr>
                <w:sz w:val="20"/>
                <w:szCs w:val="20"/>
                <w:color w:val="auto"/>
              </w:rPr>
            </w:pPr>
            <w:r>
              <w:rPr>
                <w:rFonts w:ascii="Arial" w:cs="Arial" w:eastAsia="Arial" w:hAnsi="Arial"/>
                <w:sz w:val="14"/>
                <w:szCs w:val="14"/>
                <w:color w:val="0000FF"/>
                <w:w w:val="94"/>
              </w:rPr>
              <w:t>12/01/2019</w:t>
            </w: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ind w:left="60"/>
              <w:spacing w:after="0"/>
              <w:rPr>
                <w:sz w:val="20"/>
                <w:szCs w:val="20"/>
                <w:color w:val="auto"/>
              </w:rPr>
            </w:pPr>
            <w:r>
              <w:rPr>
                <w:rFonts w:ascii="Arial" w:cs="Arial" w:eastAsia="Arial" w:hAnsi="Arial"/>
                <w:sz w:val="18"/>
                <w:szCs w:val="18"/>
                <w:color w:val="0000FF"/>
              </w:rPr>
              <w:t>8,500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rPr>
                <w:sz w:val="20"/>
                <w:szCs w:val="20"/>
                <w:color w:val="auto"/>
              </w:rPr>
            </w:pPr>
            <w:r>
              <w:rPr>
                <w:rFonts w:ascii="Arial" w:cs="Arial" w:eastAsia="Arial" w:hAnsi="Arial"/>
                <w:sz w:val="14"/>
                <w:szCs w:val="14"/>
                <w:color w:val="0000FF"/>
              </w:rPr>
              <w:t>8,500</w:t>
            </w:r>
          </w:p>
        </w:tc>
        <w:tc>
          <w:tcPr>
            <w:tcW w:w="760" w:type="dxa"/>
            <w:vAlign w:val="bottom"/>
          </w:tcPr>
          <w:p>
            <w:pPr>
              <w:ind w:left="3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21"/>
                <w:szCs w:val="21"/>
                <w:color w:val="auto"/>
              </w:rPr>
            </w:pPr>
          </w:p>
        </w:tc>
      </w:tr>
      <w:tr>
        <w:trPr>
          <w:trHeight w:val="172"/>
        </w:trPr>
        <w:tc>
          <w:tcPr>
            <w:tcW w:w="720" w:type="dxa"/>
            <w:vAlign w:val="bottom"/>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under the dividend reinvestment feature of The Toro Company Investment, Savings &amp; ESOP (IS&amp;ESOP) since the date of his last report: 89.801 shares acquired on January 12, 2009, 124.729 shares acquired on April 13, 2009, 109.646 shares acquired on July 10, 2009, and 83.624 shares acquired on October 19, 2009. Also includes 163.857 shares acquired on March 5, 2009 through contributions to the IS&amp;ESOP, and an account adjustment (rounding) of 1.24 shares of common stock on January 12, 2009.</w:t>
      </w:r>
    </w:p>
    <w:p>
      <w:pPr>
        <w:spacing w:after="0" w:line="2"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Amy E. Dahl,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12/02/2009</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Amy E. Dahl, Timothy P. Dordell and Stephen P. Wolfe, signing singly, true and lawful attorneys-in-fact relative to the filings identified below in connection with the undersigned's derivative and non-derivative securities of The Toro Company (the ?Company?) to:</w:t>
      </w:r>
    </w:p>
    <w:p>
      <w:pPr>
        <w:spacing w:after="0" w:line="210" w:lineRule="exact"/>
        <w:rPr>
          <w:sz w:val="20"/>
          <w:szCs w:val="20"/>
          <w:color w:val="auto"/>
        </w:rPr>
      </w:pPr>
    </w:p>
    <w:p>
      <w:pPr>
        <w:ind w:right="3359" w:firstLine="8"/>
        <w:spacing w:after="0" w:line="236"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Forms 3, 4 and 5 in accordance with Section 16(a) of the Securities Exchange Act of 1934, as amended, and the rules thereunder;</w:t>
      </w:r>
    </w:p>
    <w:p>
      <w:pPr>
        <w:spacing w:after="0" w:line="208" w:lineRule="exact"/>
        <w:rPr>
          <w:rFonts w:ascii="Courier New" w:cs="Courier New" w:eastAsia="Courier New" w:hAnsi="Courier New"/>
          <w:sz w:val="18"/>
          <w:szCs w:val="18"/>
          <w:color w:val="auto"/>
        </w:rPr>
      </w:pPr>
    </w:p>
    <w:p>
      <w:pPr>
        <w:ind w:right="3459" w:firstLine="8"/>
        <w:spacing w:after="0" w:line="273" w:lineRule="auto"/>
        <w:tabs>
          <w:tab w:leader="none" w:pos="84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Forms 3, 4, and 5 and the timely filing of such forms with the United States Securities and Exchange Commission and any stock exchange or similar authority; and</w:t>
      </w:r>
    </w:p>
    <w:p>
      <w:pPr>
        <w:spacing w:after="0" w:line="184" w:lineRule="exact"/>
        <w:rPr>
          <w:rFonts w:ascii="Courier New" w:cs="Courier New" w:eastAsia="Courier New" w:hAnsi="Courier New"/>
          <w:sz w:val="16"/>
          <w:szCs w:val="16"/>
          <w:color w:val="auto"/>
        </w:rPr>
      </w:pPr>
    </w:p>
    <w:p>
      <w:pPr>
        <w:ind w:right="325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either of their discretions.</w:t>
      </w:r>
    </w:p>
    <w:p>
      <w:pPr>
        <w:spacing w:after="0" w:line="212" w:lineRule="exact"/>
        <w:rPr>
          <w:sz w:val="20"/>
          <w:szCs w:val="20"/>
          <w:color w:val="auto"/>
        </w:rPr>
      </w:pPr>
    </w:p>
    <w:p>
      <w:pPr>
        <w:ind w:right="3259"/>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 and the rules thereunder.</w:t>
      </w:r>
    </w:p>
    <w:p>
      <w:pPr>
        <w:spacing w:after="0" w:line="387" w:lineRule="exact"/>
        <w:rPr>
          <w:sz w:val="20"/>
          <w:szCs w:val="20"/>
          <w:color w:val="auto"/>
        </w:rPr>
      </w:pPr>
    </w:p>
    <w:p>
      <w:pPr>
        <w:ind w:right="3359"/>
        <w:spacing w:after="0" w:line="273"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effective as of the date indicated below, and said Power of Attorney shall remain in effect until revoked by the undersigned in writing, or at such time as the undersigned is no longer an officer of the Company, whichever first occurs.</w:t>
      </w:r>
    </w:p>
    <w:p>
      <w:pPr>
        <w:sectPr>
          <w:pgSz w:w="11900" w:h="16838" w:orient="portrait"/>
          <w:cols w:equalWidth="0" w:num="1">
            <w:col w:w="10219"/>
          </w:cols>
          <w:pgMar w:left="240" w:top="136" w:right="1440" w:bottom="1440" w:gutter="0" w:footer="0" w:header="0"/>
        </w:sect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Philip A. Burkart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Philip A. Burkart</w:t>
      </w:r>
    </w:p>
    <w:p>
      <w:pPr>
        <w:spacing w:after="0" w:line="200" w:lineRule="exact"/>
        <w:rPr>
          <w:sz w:val="20"/>
          <w:szCs w:val="20"/>
          <w:color w:val="auto"/>
        </w:rPr>
      </w:pPr>
    </w:p>
    <w:p>
      <w:pPr>
        <w:sectPr>
          <w:pgSz w:w="11900" w:h="16838" w:orient="portrait"/>
          <w:cols w:equalWidth="0" w:num="2">
            <w:col w:w="980" w:space="720"/>
            <w:col w:w="8519"/>
          </w:cols>
          <w:pgMar w:left="240" w:top="136"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w:t>
      </w:r>
    </w:p>
    <w:p>
      <w:pPr>
        <w:spacing w:after="0" w:line="20" w:lineRule="exact"/>
        <w:rPr>
          <w:sz w:val="20"/>
          <w:szCs w:val="20"/>
          <w:color w:val="auto"/>
        </w:rPr>
      </w:pPr>
      <w:r>
        <w:rPr>
          <w:sz w:val="20"/>
          <w:szCs w:val="20"/>
          <w:color w:val="auto"/>
        </w:rPr>
        <w:br w:type="column"/>
      </w:r>
    </w:p>
    <w:p>
      <w:pPr>
        <w:spacing w:after="0"/>
        <w:tabs>
          <w:tab w:leader="none" w:pos="280" w:val="left"/>
        </w:tabs>
        <w:rPr>
          <w:sz w:val="20"/>
          <w:szCs w:val="20"/>
          <w:color w:val="auto"/>
        </w:rPr>
      </w:pPr>
      <w:r>
        <w:rPr>
          <w:rFonts w:ascii="Courier New" w:cs="Courier New" w:eastAsia="Courier New" w:hAnsi="Courier New"/>
          <w:sz w:val="16"/>
          <w:szCs w:val="16"/>
          <w:color w:val="auto"/>
        </w:rPr>
        <w:t>:</w:t>
        <w:tab/>
        <w:t>February 6, 2009</w:t>
      </w:r>
    </w:p>
    <w:sectPr>
      <w:pgSz w:w="11900" w:h="16838" w:orient="portrait"/>
      <w:cols w:equalWidth="0" w:num="2">
        <w:col w:w="540" w:space="320"/>
        <w:col w:w="935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3"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2019-12-16T23:52:57Z</dcterms:created>
  <dcterms:modified xsi:type="dcterms:W3CDTF">2019-12-16T23:52:57Z</dcterms:modified>
</cp:coreProperties>
</file>