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Happe Michael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03/20/2012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83"/>
        <w:spacing w:after="0"/>
        <w:rPr>
          <w:sz w:val="20"/>
          <w:szCs w:val="20"/>
          <w:color w:val="auto"/>
        </w:rPr>
      </w:pPr>
      <w:r>
        <w:rPr>
          <w:rFonts w:ascii="Arial" w:cs="Arial" w:eastAsia="Arial" w:hAnsi="Arial"/>
          <w:sz w:val="18"/>
          <w:szCs w:val="18"/>
          <w:color w:val="0000FF"/>
        </w:rPr>
        <w:t>Group VP, Res. &amp; Cont.</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03/20/2012</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8"/>
              </w:rPr>
              <w:t>1,500</w:t>
            </w:r>
            <w:r>
              <w:rPr>
                <w:rFonts w:ascii="Arial" w:cs="Arial" w:eastAsia="Arial" w:hAnsi="Arial"/>
                <w:sz w:val="22"/>
                <w:szCs w:val="22"/>
                <w:color w:val="008000"/>
                <w:w w:val="88"/>
                <w:vertAlign w:val="superscript"/>
              </w:rPr>
              <w:t>(1)</w:t>
            </w:r>
          </w:p>
        </w:tc>
        <w:tc>
          <w:tcPr>
            <w:tcW w:w="5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5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280"/>
              <w:spacing w:after="0"/>
              <w:rPr>
                <w:sz w:val="20"/>
                <w:szCs w:val="20"/>
                <w:color w:val="auto"/>
              </w:rPr>
            </w:pPr>
            <w:r>
              <w:rPr>
                <w:rFonts w:ascii="Arial" w:cs="Arial" w:eastAsia="Arial" w:hAnsi="Arial"/>
                <w:sz w:val="18"/>
                <w:szCs w:val="18"/>
                <w:color w:val="0000FF"/>
              </w:rPr>
              <w:t>3,043.317</w:t>
            </w:r>
            <w:r>
              <w:rPr>
                <w:rFonts w:ascii="Arial" w:cs="Arial" w:eastAsia="Arial" w:hAnsi="Arial"/>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3"/>
          </w:tcPr>
          <w:p>
            <w:pPr>
              <w:ind w:left="280"/>
              <w:spacing w:after="0" w:line="217" w:lineRule="exact"/>
              <w:rPr>
                <w:sz w:val="20"/>
                <w:szCs w:val="20"/>
                <w:color w:val="auto"/>
              </w:rPr>
            </w:pPr>
            <w:r>
              <w:rPr>
                <w:rFonts w:ascii="Arial" w:cs="Arial" w:eastAsia="Arial" w:hAnsi="Arial"/>
                <w:sz w:val="18"/>
                <w:szCs w:val="18"/>
                <w:color w:val="0000FF"/>
              </w:rPr>
              <w:t>5,175.718</w:t>
            </w:r>
            <w:r>
              <w:rPr>
                <w:rFonts w:ascii="Arial" w:cs="Arial" w:eastAsia="Arial" w:hAnsi="Arial"/>
                <w:sz w:val="22"/>
                <w:szCs w:val="22"/>
                <w:color w:val="008000"/>
                <w:vertAlign w:val="superscript"/>
              </w:rPr>
              <w:t>(3)</w:t>
            </w:r>
          </w:p>
        </w:tc>
        <w:tc>
          <w:tcPr>
            <w:tcW w:w="30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280"/>
              <w:spacing w:after="0"/>
              <w:rPr>
                <w:sz w:val="20"/>
                <w:szCs w:val="20"/>
                <w:color w:val="auto"/>
              </w:rPr>
            </w:pPr>
            <w:r>
              <w:rPr>
                <w:rFonts w:ascii="Arial" w:cs="Arial" w:eastAsia="Arial" w:hAnsi="Arial"/>
                <w:sz w:val="18"/>
                <w:szCs w:val="18"/>
                <w:color w:val="0000FF"/>
              </w:rPr>
              <w:t>1,153.998</w:t>
            </w:r>
            <w:r>
              <w:rPr>
                <w:rFonts w:ascii="Arial" w:cs="Arial" w:eastAsia="Arial" w:hAnsi="Arial"/>
                <w:sz w:val="22"/>
                <w:szCs w:val="22"/>
                <w:color w:val="008000"/>
                <w:vertAlign w:val="superscript"/>
              </w:rPr>
              <w:t>(4)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is an award of restricted stock that vests and becomes non-forfeitable in full on March 20, 2015, which is the third anniversary of the date of grant.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5.357 shares of common stock acquired by the reporting person under The Toro Company Dividend Reinvestment Plan since the date of his last report.</w:t>
      </w:r>
    </w:p>
    <w:p>
      <w:pPr>
        <w:spacing w:after="0" w:line="41"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the following shares of common stock acquired by the reporting person since the date of his last report: 16.807 shares acquired under the dividend reinvestment feature of The Toro Company Investment, Savings &amp; ESOP (IS&amp;ESOP); 87.401 shares acquired through individual and issuer matching contributions to the IS&amp;ESOP; and 239.320 shares acquired through issuer annual investment fund contributions to the IS&amp;ESOP.</w:t>
      </w:r>
    </w:p>
    <w:p>
      <w:pPr>
        <w:spacing w:after="0" w:line="30"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3.998 performance share units acquired by the reporting person under the dividend reinvestment feature of The Toro Company Deferred Compensation Plan for Officers since the date of his last report.</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03/21/2012</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245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2019-12-17T00:22:22Z</dcterms:created>
  <dcterms:modified xsi:type="dcterms:W3CDTF">2019-12-17T00:22:22Z</dcterms:modified>
</cp:coreProperties>
</file>