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2008</w:t>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126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20" w:space="720"/>
            <w:col w:w="3360"/>
          </w:cols>
          <w:pgMar w:left="240" w:top="1264" w:right="239" w:bottom="1440" w:gutter="0" w:footer="0" w:header="0"/>
          <w:type w:val="continuous"/>
        </w:sect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Bloomington, Minnesota 55420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92"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4" w:lineRule="exact"/>
        <w:rPr>
          <w:sz w:val="24"/>
          <w:szCs w:val="24"/>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Yes S</w:t>
        <w:tab/>
        <w:t>No £</w:t>
      </w:r>
    </w:p>
    <w:p>
      <w:pPr>
        <w:spacing w:after="0" w:line="250"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89" w:lineRule="exact"/>
        <w:rPr>
          <w:sz w:val="24"/>
          <w:szCs w:val="24"/>
          <w:color w:val="auto"/>
        </w:rPr>
      </w:pPr>
    </w:p>
    <w:p>
      <w:pPr>
        <w:spacing w:after="0"/>
        <w:tabs>
          <w:tab w:leader="none" w:pos="2260" w:val="left"/>
          <w:tab w:leader="none" w:pos="4240" w:val="left"/>
          <w:tab w:leader="none" w:pos="6500" w:val="left"/>
        </w:tabs>
        <w:rPr>
          <w:sz w:val="20"/>
          <w:szCs w:val="20"/>
          <w:color w:val="auto"/>
        </w:rPr>
      </w:pPr>
      <w:r>
        <w:rPr>
          <w:rFonts w:ascii="Times New Roman" w:cs="Times New Roman" w:eastAsia="Times New Roman" w:hAnsi="Times New Roman"/>
          <w:sz w:val="18"/>
          <w:szCs w:val="18"/>
          <w:color w:val="auto"/>
        </w:rPr>
        <w:t>Large accelerated filer S</w:t>
      </w:r>
      <w:r>
        <w:rPr>
          <w:sz w:val="20"/>
          <w:szCs w:val="20"/>
          <w:color w:val="auto"/>
        </w:rPr>
        <w:tab/>
      </w:r>
      <w:r>
        <w:rPr>
          <w:rFonts w:ascii="Times New Roman" w:cs="Times New Roman" w:eastAsia="Times New Roman" w:hAnsi="Times New Roman"/>
          <w:sz w:val="18"/>
          <w:szCs w:val="18"/>
          <w:color w:val="auto"/>
        </w:rPr>
        <w:t>Accelerated filer £</w:t>
      </w:r>
      <w:r>
        <w:rPr>
          <w:sz w:val="20"/>
          <w:szCs w:val="20"/>
          <w:color w:val="auto"/>
        </w:rPr>
        <w:tab/>
      </w:r>
      <w:r>
        <w:rPr>
          <w:rFonts w:ascii="Times New Roman" w:cs="Times New Roman" w:eastAsia="Times New Roman" w:hAnsi="Times New Roman"/>
          <w:sz w:val="18"/>
          <w:szCs w:val="18"/>
          <w:color w:val="auto"/>
        </w:rPr>
        <w:t>Non-accelerated filer £</w:t>
      </w:r>
      <w:r>
        <w:rPr>
          <w:sz w:val="20"/>
          <w:szCs w:val="20"/>
          <w:color w:val="auto"/>
        </w:rPr>
        <w:tab/>
      </w:r>
      <w:r>
        <w:rPr>
          <w:rFonts w:ascii="Times New Roman" w:cs="Times New Roman" w:eastAsia="Times New Roman" w:hAnsi="Times New Roman"/>
          <w:sz w:val="18"/>
          <w:szCs w:val="18"/>
          <w:color w:val="auto"/>
        </w:rPr>
        <w:t>Smaller reporting company £</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50"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Yes £</w:t>
        <w:tab/>
        <w:t>No S</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as of May 30, 2007 was 37,507,093.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731520</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64" w:right="239" w:bottom="1440" w:gutter="0" w:footer="0" w:header="0"/>
          <w:type w:val="continuous"/>
        </w:sectPr>
      </w:pPr>
    </w:p>
    <w:bookmarkStart w:id="1" w:name="page2"/>
    <w:bookmarkEnd w:id="1"/>
    <w:p>
      <w:pPr>
        <w:ind w:left="400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3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32"/>
          <w:szCs w:val="32"/>
          <w:b w:val="1"/>
          <w:bCs w:val="1"/>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2"/>
          </w:tcPr>
          <w:p>
            <w:pPr>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920" w:type="dxa"/>
            <w:vAlign w:val="bottom"/>
            <w:gridSpan w:val="3"/>
          </w:tcPr>
          <w:p>
            <w:pPr>
              <w:spacing w:after="0"/>
              <w:rPr>
                <w:sz w:val="17"/>
                <w:szCs w:val="17"/>
                <w:color w:val="auto"/>
              </w:rPr>
            </w:pPr>
          </w:p>
        </w:tc>
        <w:tc>
          <w:tcPr>
            <w:tcW w:w="8540" w:type="dxa"/>
            <w:vAlign w:val="bottom"/>
            <w:gridSpan w:val="18"/>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1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Page Number</w:t>
            </w:r>
          </w:p>
        </w:tc>
        <w:tc>
          <w:tcPr>
            <w:tcW w:w="0" w:type="dxa"/>
            <w:vAlign w:val="bottom"/>
          </w:tcPr>
          <w:p>
            <w:pPr>
              <w:spacing w:after="0"/>
              <w:rPr>
                <w:sz w:val="1"/>
                <w:szCs w:val="1"/>
                <w:color w:val="auto"/>
              </w:rPr>
            </w:pPr>
          </w:p>
        </w:tc>
      </w:tr>
      <w:tr>
        <w:trPr>
          <w:trHeight w:val="27"/>
        </w:trPr>
        <w:tc>
          <w:tcPr>
            <w:tcW w:w="640" w:type="dxa"/>
            <w:vAlign w:val="bottom"/>
            <w:tcBorders>
              <w:top w:val="single" w:sz="8" w:color="0000EE"/>
              <w:bottom w:val="single" w:sz="8" w:color="0000EE"/>
            </w:tcBorders>
            <w:gridSpan w:val="2"/>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Item 1.</w:t>
              </w:r>
            </w:hyperlink>
          </w:p>
        </w:tc>
        <w:tc>
          <w:tcPr>
            <w:tcW w:w="920" w:type="dxa"/>
            <w:vAlign w:val="bottom"/>
            <w:gridSpan w:val="3"/>
            <w:vMerge w:val="restart"/>
          </w:tcPr>
          <w:p>
            <w:pPr>
              <w:spacing w:after="0"/>
              <w:rPr>
                <w:sz w:val="2"/>
                <w:szCs w:val="2"/>
                <w:color w:val="auto"/>
              </w:rPr>
            </w:pPr>
          </w:p>
        </w:tc>
        <w:tc>
          <w:tcPr>
            <w:tcW w:w="2440" w:type="dxa"/>
            <w:vAlign w:val="bottom"/>
            <w:tcBorders>
              <w:top w:val="single" w:sz="8" w:color="0000EE"/>
              <w:bottom w:val="single" w:sz="8" w:color="0000EE"/>
            </w:tcBorders>
            <w:gridSpan w:val="10"/>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100" w:type="dxa"/>
            <w:vAlign w:val="bottom"/>
            <w:gridSpan w:val="8"/>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0"/>
        </w:trPr>
        <w:tc>
          <w:tcPr>
            <w:tcW w:w="640" w:type="dxa"/>
            <w:vAlign w:val="bottom"/>
            <w:gridSpan w:val="2"/>
            <w:vMerge w:val="continue"/>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2440" w:type="dxa"/>
            <w:vAlign w:val="bottom"/>
            <w:gridSpan w:val="10"/>
            <w:vMerge w:val="continue"/>
          </w:tcPr>
          <w:p>
            <w:pPr>
              <w:spacing w:after="0"/>
              <w:rPr>
                <w:sz w:val="24"/>
                <w:szCs w:val="24"/>
                <w:color w:val="auto"/>
              </w:rPr>
            </w:pPr>
          </w:p>
        </w:tc>
        <w:tc>
          <w:tcPr>
            <w:tcW w:w="6100" w:type="dxa"/>
            <w:vAlign w:val="bottom"/>
            <w:gridSpan w:val="8"/>
            <w:vMerge w:val="continue"/>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20" w:type="dxa"/>
            <w:vAlign w:val="bottom"/>
            <w:gridSpan w:val="17"/>
          </w:tcPr>
          <w:p>
            <w:pPr>
              <w:spacing w:after="0" w:line="195"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Earnings (Unaudited) –Three and Six Months Ended May 2, 2008 and</w:t>
              </w:r>
            </w:hyperlink>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7560" w:type="dxa"/>
            <w:vAlign w:val="bottom"/>
            <w:tcBorders>
              <w:top w:val="single" w:sz="8" w:color="0000EE"/>
            </w:tcBorders>
            <w:gridSpan w:val="14"/>
          </w:tcPr>
          <w:p>
            <w:pPr>
              <w:spacing w:after="0" w:line="195"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May 4, 2007</w:t>
              </w:r>
            </w:hyperlink>
          </w:p>
        </w:tc>
        <w:tc>
          <w:tcPr>
            <w:tcW w:w="320" w:type="dxa"/>
            <w:vAlign w:val="bottom"/>
            <w:gridSpan w:val="2"/>
          </w:tcPr>
          <w:p>
            <w:pPr>
              <w:spacing w:after="0"/>
              <w:rPr>
                <w:sz w:val="16"/>
                <w:szCs w:val="16"/>
                <w:color w:val="auto"/>
              </w:rPr>
            </w:pPr>
          </w:p>
        </w:tc>
        <w:tc>
          <w:tcPr>
            <w:tcW w:w="13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(Unaudited) - May 2, 2008, May 4, 2007, and October 31, 2007</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(Unaudited) - Six Months Ended May 2, 2008 and May 4,</w:t>
              </w:r>
            </w:hyperlink>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gridSpan w:val="4"/>
          </w:tcPr>
          <w:p>
            <w:pPr>
              <w:ind w:left="660"/>
              <w:spacing w:after="0" w:line="195"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2007</w:t>
              </w:r>
            </w:hyperlink>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 (Unaudited)</w:t>
              </w:r>
            </w:hyperlink>
          </w:p>
        </w:tc>
        <w:tc>
          <w:tcPr>
            <w:tcW w:w="3320" w:type="dxa"/>
            <w:vAlign w:val="bottom"/>
            <w:gridSpan w:val="5"/>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6-12</w:t>
            </w:r>
          </w:p>
        </w:tc>
        <w:tc>
          <w:tcPr>
            <w:tcW w:w="0" w:type="dxa"/>
            <w:vAlign w:val="bottom"/>
          </w:tcPr>
          <w:p>
            <w:pPr>
              <w:spacing w:after="0"/>
              <w:rPr>
                <w:sz w:val="1"/>
                <w:szCs w:val="1"/>
                <w:color w:val="auto"/>
              </w:rPr>
            </w:pPr>
          </w:p>
        </w:tc>
      </w:tr>
      <w:tr>
        <w:trPr>
          <w:trHeight w:val="410"/>
        </w:trPr>
        <w:tc>
          <w:tcPr>
            <w:tcW w:w="1560" w:type="dxa"/>
            <w:vAlign w:val="bottom"/>
            <w:gridSpan w:val="5"/>
          </w:tcPr>
          <w:p>
            <w:pPr>
              <w:spacing w:after="0"/>
              <w:rPr>
                <w:rFonts w:ascii="Times New Roman" w:cs="Times New Roman" w:eastAsia="Times New Roman" w:hAnsi="Times New Roman"/>
                <w:sz w:val="18"/>
                <w:szCs w:val="18"/>
                <w:b w:val="1"/>
                <w:bCs w:val="1"/>
                <w:color w:val="0000EE"/>
              </w:rPr>
            </w:pPr>
            <w:hyperlink w:anchor="page13">
              <w:r>
                <w:rPr>
                  <w:rFonts w:ascii="Times New Roman" w:cs="Times New Roman" w:eastAsia="Times New Roman" w:hAnsi="Times New Roman"/>
                  <w:sz w:val="18"/>
                  <w:szCs w:val="18"/>
                  <w:b w:val="1"/>
                  <w:bCs w:val="1"/>
                  <w:color w:val="0000EE"/>
                </w:rPr>
                <w:t>Item 2.</w:t>
              </w:r>
            </w:hyperlink>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560" w:type="dxa"/>
            <w:vAlign w:val="bottom"/>
            <w:gridSpan w:val="5"/>
          </w:tcPr>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Item 3.</w:t>
              </w:r>
            </w:hyperlink>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Disclosures about Market Risk</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560" w:type="dxa"/>
            <w:vAlign w:val="bottom"/>
            <w:gridSpan w:val="5"/>
          </w:tcPr>
          <w:p>
            <w:pPr>
              <w:spacing w:after="0"/>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Item 4.</w:t>
              </w:r>
            </w:hyperlink>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560" w:type="dxa"/>
            <w:vAlign w:val="bottom"/>
            <w:gridSpan w:val="5"/>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PART II.</w:t>
              </w:r>
            </w:hyperlink>
          </w:p>
        </w:tc>
        <w:tc>
          <w:tcPr>
            <w:tcW w:w="8540" w:type="dxa"/>
            <w:vAlign w:val="bottom"/>
            <w:gridSpan w:val="18"/>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OTHER INFORMATION:</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Item 1.</w:t>
              </w:r>
            </w:hyperlink>
          </w:p>
        </w:tc>
        <w:tc>
          <w:tcPr>
            <w:tcW w:w="8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Proceedings</w:t>
              </w:r>
            </w:hyperlink>
          </w:p>
        </w:tc>
        <w:tc>
          <w:tcPr>
            <w:tcW w:w="6440" w:type="dxa"/>
            <w:vAlign w:val="bottom"/>
            <w:gridSpan w:val="9"/>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25">
              <w:r>
                <w:rPr>
                  <w:rFonts w:ascii="Times New Roman" w:cs="Times New Roman" w:eastAsia="Times New Roman" w:hAnsi="Times New Roman"/>
                  <w:sz w:val="18"/>
                  <w:szCs w:val="18"/>
                  <w:b w:val="1"/>
                  <w:bCs w:val="1"/>
                  <w:color w:val="0000EE"/>
                  <w:w w:val="98"/>
                </w:rPr>
                <w:t>Item 1A.</w:t>
              </w:r>
            </w:hyperlink>
          </w:p>
        </w:tc>
        <w:tc>
          <w:tcPr>
            <w:tcW w:w="8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Risk Factors</w:t>
              </w:r>
            </w:hyperlink>
          </w:p>
        </w:tc>
        <w:tc>
          <w:tcPr>
            <w:tcW w:w="7300" w:type="dxa"/>
            <w:vAlign w:val="bottom"/>
            <w:gridSpan w:val="13"/>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10"/>
        </w:trPr>
        <w:tc>
          <w:tcPr>
            <w:tcW w:w="1560" w:type="dxa"/>
            <w:vAlign w:val="bottom"/>
            <w:gridSpan w:val="5"/>
          </w:tcPr>
          <w:p>
            <w:pPr>
              <w:spacing w:after="0"/>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Item 2.</w:t>
              </w:r>
            </w:hyperlink>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Unregistered Sales of Equity Securities and Use of Proceeds</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560" w:type="dxa"/>
            <w:vAlign w:val="bottom"/>
            <w:gridSpan w:val="5"/>
          </w:tcPr>
          <w:p>
            <w:pPr>
              <w:spacing w:after="0"/>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Item 4.</w:t>
              </w:r>
            </w:hyperlink>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Submission of Matters to a Vote of Security Holders</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60" w:type="dxa"/>
            <w:vAlign w:val="bottom"/>
            <w:tcBorders>
              <w:left w:val="single" w:sz="8" w:color="0000EE"/>
            </w:tcBorders>
            <w:gridSpan w:val="7"/>
            <w:shd w:val="clear" w:color="auto" w:fill="0000EE"/>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560" w:type="dxa"/>
            <w:vAlign w:val="bottom"/>
            <w:gridSpan w:val="5"/>
          </w:tcPr>
          <w:p>
            <w:pPr>
              <w:spacing w:after="0"/>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Item 6.</w:t>
              </w:r>
            </w:hyperlink>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20" w:type="dxa"/>
            <w:vAlign w:val="bottom"/>
            <w:gridSpan w:val="1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Signatures</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THE TORO COMPANY AND SUBSIDIARIES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2"/>
          <w:szCs w:val="22"/>
          <w:b w:val="1"/>
          <w:bCs w:val="1"/>
          <w:color w:val="auto"/>
        </w:rPr>
        <w:t>(Dollars and shares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7"/>
        </w:trPr>
        <w:tc>
          <w:tcPr>
            <w:tcW w:w="4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60"/>
              <w:spacing w:after="0" w:line="197" w:lineRule="exact"/>
              <w:rPr>
                <w:sz w:val="20"/>
                <w:szCs w:val="20"/>
                <w:color w:val="auto"/>
              </w:rPr>
            </w:pPr>
            <w:r>
              <w:rPr>
                <w:rFonts w:ascii="Times New Roman" w:cs="Times New Roman" w:eastAsia="Times New Roman" w:hAnsi="Times New Roman"/>
                <w:sz w:val="18"/>
                <w:szCs w:val="18"/>
                <w:color w:val="auto"/>
                <w:w w:val="97"/>
              </w:rPr>
              <w:t>May 2,</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20"/>
              <w:spacing w:after="0" w:line="197"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7"/>
                <w:szCs w:val="17"/>
                <w:color w:val="auto"/>
              </w:rPr>
            </w:pPr>
          </w:p>
        </w:tc>
      </w:tr>
      <w:tr>
        <w:trPr>
          <w:trHeight w:val="240"/>
        </w:trPr>
        <w:tc>
          <w:tcPr>
            <w:tcW w:w="4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638,510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686,653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1,065,741</w:t>
            </w: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410,744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441,937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667,406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680,960</w:t>
            </w:r>
          </w:p>
        </w:tc>
      </w:tr>
      <w:tr>
        <w:trPr>
          <w:trHeight w:val="27"/>
        </w:trPr>
        <w:tc>
          <w:tcPr>
            <w:tcW w:w="4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227,766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244,716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376,903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384,781</w:t>
            </w:r>
          </w:p>
        </w:tc>
      </w:tr>
      <w:tr>
        <w:trPr>
          <w:trHeight w:val="215"/>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125,843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242,060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238,124</w:t>
            </w:r>
          </w:p>
        </w:tc>
      </w:tr>
      <w:tr>
        <w:trPr>
          <w:trHeight w:val="27"/>
        </w:trPr>
        <w:tc>
          <w:tcPr>
            <w:tcW w:w="4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102,823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118,873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134,843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146,657</w:t>
            </w: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(10,302)</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(10,276)</w:t>
            </w: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3,867</w:t>
            </w:r>
          </w:p>
        </w:tc>
      </w:tr>
      <w:tr>
        <w:trPr>
          <w:trHeight w:val="27"/>
        </w:trPr>
        <w:tc>
          <w:tcPr>
            <w:tcW w:w="47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96,606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125,441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140,248</w:t>
            </w: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44,030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46,832</w:t>
            </w:r>
          </w:p>
        </w:tc>
      </w:tr>
      <w:tr>
        <w:trPr>
          <w:trHeight w:val="27"/>
        </w:trPr>
        <w:tc>
          <w:tcPr>
            <w:tcW w:w="47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62,784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74,966</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93,416</w:t>
            </w:r>
          </w:p>
        </w:tc>
      </w:tr>
      <w:tr>
        <w:trPr>
          <w:trHeight w:val="20"/>
        </w:trPr>
        <w:tc>
          <w:tcPr>
            <w:tcW w:w="4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4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4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outstanding – Basic</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38,313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41,119</w:t>
            </w:r>
          </w:p>
        </w:tc>
      </w:tr>
      <w:tr>
        <w:trPr>
          <w:trHeight w:val="215"/>
        </w:trPr>
        <w:tc>
          <w:tcPr>
            <w:tcW w:w="4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outstanding – Diluted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39,263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 (Unaudited)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May 4,</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October 31,</w:t>
            </w:r>
          </w:p>
        </w:tc>
      </w:tr>
      <w:tr>
        <w:trPr>
          <w:trHeight w:val="240"/>
        </w:trPr>
        <w:tc>
          <w:tcPr>
            <w:tcW w:w="6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p>
        </w:tc>
      </w:tr>
      <w:tr>
        <w:trPr>
          <w:trHeight w:val="202"/>
        </w:trPr>
        <w:tc>
          <w:tcPr>
            <w:tcW w:w="74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32,053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62,047</w:t>
            </w: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577,223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283,115</w:t>
            </w: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265,428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247,906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251,275</w:t>
            </w: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10,677</w:t>
            </w: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57,814</w:t>
            </w:r>
          </w:p>
        </w:tc>
      </w:tr>
      <w:tr>
        <w:trPr>
          <w:trHeight w:val="27"/>
        </w:trPr>
        <w:tc>
          <w:tcPr>
            <w:tcW w:w="6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2"/>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936,872</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664,928</w:t>
            </w:r>
          </w:p>
        </w:tc>
      </w:tr>
      <w:tr>
        <w:trPr>
          <w:trHeight w:val="215"/>
        </w:trPr>
        <w:tc>
          <w:tcPr>
            <w:tcW w:w="6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599,189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562,220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577,082</w:t>
            </w:r>
          </w:p>
        </w:tc>
      </w:tr>
      <w:tr>
        <w:trPr>
          <w:trHeight w:val="215"/>
        </w:trPr>
        <w:tc>
          <w:tcPr>
            <w:tcW w:w="7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393,097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406,410</w:t>
            </w:r>
          </w:p>
        </w:tc>
      </w:tr>
      <w:tr>
        <w:trPr>
          <w:trHeight w:val="27"/>
        </w:trPr>
        <w:tc>
          <w:tcPr>
            <w:tcW w:w="6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169,123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170,672</w:t>
            </w:r>
          </w:p>
        </w:tc>
      </w:tr>
      <w:tr>
        <w:trPr>
          <w:trHeight w:val="215"/>
        </w:trPr>
        <w:tc>
          <w:tcPr>
            <w:tcW w:w="6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5,185</w:t>
            </w: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9,153</w:t>
            </w: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86,097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81,665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86,224</w:t>
            </w: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14,675</w:t>
            </w:r>
          </w:p>
        </w:tc>
      </w:tr>
      <w:tr>
        <w:trPr>
          <w:trHeight w:val="27"/>
        </w:trPr>
        <w:tc>
          <w:tcPr>
            <w:tcW w:w="6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1,203,887</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1,206,261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950,837</w:t>
            </w:r>
          </w:p>
        </w:tc>
      </w:tr>
      <w:tr>
        <w:trPr>
          <w:trHeight w:val="20"/>
        </w:trPr>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440" w:type="dxa"/>
            <w:vAlign w:val="bottom"/>
            <w:gridSpan w:val="3"/>
          </w:tcPr>
          <w:p>
            <w:pPr>
              <w:spacing w:after="0" w:line="175"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45,825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117,425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120,642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90,966</w:t>
            </w: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280,069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248,521</w:t>
            </w:r>
          </w:p>
        </w:tc>
      </w:tr>
      <w:tr>
        <w:trPr>
          <w:trHeight w:val="27"/>
        </w:trPr>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7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521,536</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341,470</w:t>
            </w:r>
          </w:p>
        </w:tc>
      </w:tr>
      <w:tr>
        <w:trPr>
          <w:trHeight w:val="215"/>
        </w:trPr>
        <w:tc>
          <w:tcPr>
            <w:tcW w:w="6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227,753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223,141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227,598</w:t>
            </w: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 and other long-term liabilities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11,331</w:t>
            </w:r>
          </w:p>
        </w:tc>
      </w:tr>
      <w:tr>
        <w:trPr>
          <w:trHeight w:val="215"/>
        </w:trPr>
        <w:tc>
          <w:tcPr>
            <w:tcW w:w="6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7440" w:type="dxa"/>
            <w:vAlign w:val="bottom"/>
            <w:gridSpan w:val="3"/>
            <w:shd w:val="clear" w:color="auto" w:fill="CCEEFF"/>
          </w:tcPr>
          <w:p>
            <w:pPr>
              <w:ind w:left="100"/>
              <w:spacing w:after="0" w:line="197" w:lineRule="exact"/>
              <w:rPr>
                <w:sz w:val="20"/>
                <w:szCs w:val="20"/>
                <w:color w:val="auto"/>
              </w:rPr>
            </w:pPr>
            <w:r>
              <w:rPr>
                <w:rFonts w:ascii="Times New Roman" w:cs="Times New Roman" w:eastAsia="Times New Roman" w:hAnsi="Times New Roman"/>
                <w:sz w:val="18"/>
                <w:szCs w:val="18"/>
                <w:color w:val="auto"/>
              </w:rPr>
              <w:t>Preferred stock, par value $1.00, authorized 1,000,000 voting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7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850,000 non-voting shares, none issued and outstanding</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7440" w:type="dxa"/>
            <w:vAlign w:val="bottom"/>
            <w:gridSpan w:val="3"/>
          </w:tcPr>
          <w:p>
            <w:pPr>
              <w:ind w:left="100"/>
              <w:spacing w:after="0" w:line="197" w:lineRule="exact"/>
              <w:rPr>
                <w:sz w:val="20"/>
                <w:szCs w:val="20"/>
                <w:color w:val="auto"/>
              </w:rPr>
            </w:pPr>
            <w:r>
              <w:rPr>
                <w:rFonts w:ascii="Times New Roman" w:cs="Times New Roman" w:eastAsia="Times New Roman" w:hAnsi="Times New Roman"/>
                <w:sz w:val="18"/>
                <w:szCs w:val="18"/>
                <w:color w:val="auto"/>
              </w:rPr>
              <w:t>Common stock, par value $1.00, authorized 100,000,000 shares,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issued and outstanding 37,364,763 shares as of May 2,</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2008 (net of 16,667,457 treasury shares), 40,109,017 shares as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of May 4, 2007 (net of 13,923,203 treasury shares), and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37,950,831 shares as of October 31, 2007 (net of 16,081,389</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treasury shares)</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40,109</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37,951</w:t>
            </w:r>
          </w:p>
        </w:tc>
      </w:tr>
      <w:tr>
        <w:trPr>
          <w:trHeight w:val="215"/>
        </w:trPr>
        <w:tc>
          <w:tcPr>
            <w:tcW w:w="7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416,692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335,384</w:t>
            </w:r>
          </w:p>
        </w:tc>
      </w:tr>
      <w:tr>
        <w:trPr>
          <w:trHeight w:val="215"/>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(4,898)</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w:t>
            </w:r>
          </w:p>
        </w:tc>
      </w:tr>
      <w:tr>
        <w:trPr>
          <w:trHeight w:val="27"/>
        </w:trPr>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7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451,903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370,438</w:t>
            </w:r>
          </w:p>
        </w:tc>
      </w:tr>
      <w:tr>
        <w:trPr>
          <w:trHeight w:val="27"/>
        </w:trPr>
        <w:tc>
          <w:tcPr>
            <w:tcW w:w="6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7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1,203,887</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1,206,261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950,837</w:t>
            </w:r>
          </w:p>
        </w:tc>
      </w:tr>
      <w:tr>
        <w:trPr>
          <w:trHeight w:val="20"/>
        </w:trPr>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AND SUBSIDIARIES Condensed Consolidated Statements of Cash Flows (Unaudited) (Dollars in thousands)</w:t>
      </w:r>
    </w:p>
    <w:tbl>
      <w:tblPr>
        <w:tblLayout w:type="fixed"/>
        <w:tblInd w:w="0" w:type="dxa"/>
        <w:tblCellMar>
          <w:top w:w="0" w:type="dxa"/>
          <w:left w:w="0" w:type="dxa"/>
          <w:bottom w:w="0" w:type="dxa"/>
          <w:right w:w="0" w:type="dxa"/>
        </w:tblCellMar>
      </w:tblPr>
      <w:tr>
        <w:trPr>
          <w:trHeight w:val="220"/>
        </w:trPr>
        <w:tc>
          <w:tcPr>
            <w:tcW w:w="5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7"/>
        </w:trPr>
        <w:tc>
          <w:tcPr>
            <w:tcW w:w="5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40"/>
              <w:spacing w:after="0" w:line="197"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7"/>
                <w:szCs w:val="17"/>
                <w:color w:val="auto"/>
              </w:rPr>
            </w:pPr>
          </w:p>
        </w:tc>
      </w:tr>
      <w:tr>
        <w:trPr>
          <w:trHeight w:val="240"/>
        </w:trPr>
        <w:tc>
          <w:tcPr>
            <w:tcW w:w="54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93,416</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losses from investments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21,836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20,393</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 of a business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3,828</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deferred income taxes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(260,988)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(282,982)</w:t>
            </w:r>
          </w:p>
        </w:tc>
      </w:tr>
      <w:tr>
        <w:trPr>
          <w:trHeight w:val="215"/>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(13,920)</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(5,628)</w:t>
            </w:r>
          </w:p>
        </w:tc>
      </w:tr>
      <w:tr>
        <w:trPr>
          <w:trHeight w:val="215"/>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(2,322)</w:t>
            </w:r>
          </w:p>
        </w:tc>
      </w:tr>
      <w:tr>
        <w:trPr>
          <w:trHeight w:val="197"/>
        </w:trPr>
        <w:tc>
          <w:tcPr>
            <w:tcW w:w="546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Accounts payable, accrued liabilities, and deferred revenue and</w:t>
            </w: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61,291</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54,941</w:t>
            </w:r>
          </w:p>
        </w:tc>
      </w:tr>
      <w:tr>
        <w:trPr>
          <w:trHeight w:val="27"/>
        </w:trPr>
        <w:tc>
          <w:tcPr>
            <w:tcW w:w="54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5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(111,292)</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(120,310)</w:t>
            </w:r>
          </w:p>
        </w:tc>
      </w:tr>
      <w:tr>
        <w:trPr>
          <w:trHeight w:val="215"/>
        </w:trPr>
        <w:tc>
          <w:tcPr>
            <w:tcW w:w="54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(22,479)</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(21,752)</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investment in affiliates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other assets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a business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r>
      <w:tr>
        <w:trPr>
          <w:trHeight w:val="27"/>
        </w:trPr>
        <w:tc>
          <w:tcPr>
            <w:tcW w:w="546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2"/>
        </w:trPr>
        <w:tc>
          <w:tcPr>
            <w:tcW w:w="5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(22,089)</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(22,771)</w:t>
            </w:r>
          </w:p>
        </w:tc>
      </w:tr>
      <w:tr>
        <w:trPr>
          <w:trHeight w:val="215"/>
        </w:trPr>
        <w:tc>
          <w:tcPr>
            <w:tcW w:w="54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short-term debt</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151,128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45,455</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long-term debt, net of costs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121,436</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long-term debt, net of costs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tax benefits from stock-based awards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5,464</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6,992</w:t>
            </w:r>
          </w:p>
        </w:tc>
      </w:tr>
      <w:tr>
        <w:trPr>
          <w:trHeight w:val="215"/>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(36,906)</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(41,912)</w:t>
            </w:r>
          </w:p>
        </w:tc>
      </w:tr>
      <w:tr>
        <w:trPr>
          <w:trHeight w:val="215"/>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(11,478)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(9,865)</w:t>
            </w:r>
          </w:p>
        </w:tc>
      </w:tr>
      <w:tr>
        <w:trPr>
          <w:trHeight w:val="27"/>
        </w:trPr>
        <w:tc>
          <w:tcPr>
            <w:tcW w:w="546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2"/>
        </w:trPr>
        <w:tc>
          <w:tcPr>
            <w:tcW w:w="5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104,051</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127,570</w:t>
            </w:r>
          </w:p>
        </w:tc>
      </w:tr>
      <w:tr>
        <w:trPr>
          <w:trHeight w:val="215"/>
        </w:trPr>
        <w:tc>
          <w:tcPr>
            <w:tcW w:w="54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r>
      <w:tr>
        <w:trPr>
          <w:trHeight w:val="215"/>
        </w:trPr>
        <w:tc>
          <w:tcPr>
            <w:tcW w:w="54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(29,994)</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(14,726)</w:t>
            </w:r>
          </w:p>
        </w:tc>
      </w:tr>
      <w:tr>
        <w:trPr>
          <w:trHeight w:val="21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62,047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55,523</w:t>
            </w:r>
          </w:p>
        </w:tc>
      </w:tr>
      <w:tr>
        <w:trPr>
          <w:trHeight w:val="27"/>
        </w:trPr>
        <w:tc>
          <w:tcPr>
            <w:tcW w:w="546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3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40,797</w:t>
            </w:r>
          </w:p>
        </w:tc>
      </w:tr>
      <w:tr>
        <w:trPr>
          <w:trHeight w:val="20"/>
        </w:trPr>
        <w:tc>
          <w:tcPr>
            <w:tcW w:w="5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05"/>
        </w:trPr>
        <w:tc>
          <w:tcPr>
            <w:tcW w:w="5460" w:type="dxa"/>
            <w:vAlign w:val="bottom"/>
          </w:tcPr>
          <w:p>
            <w:pPr>
              <w:spacing w:after="0"/>
              <w:rPr>
                <w:sz w:val="24"/>
                <w:szCs w:val="24"/>
                <w:color w:val="auto"/>
              </w:rPr>
            </w:pPr>
          </w:p>
        </w:tc>
        <w:tc>
          <w:tcPr>
            <w:tcW w:w="336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 w:name="page6"/>
    <w:bookmarkEnd w:id="5"/>
    <w:p>
      <w:pPr>
        <w:jc w:val="center"/>
        <w:spacing w:after="0" w:line="244" w:lineRule="auto"/>
        <w:rPr>
          <w:sz w:val="20"/>
          <w:szCs w:val="20"/>
          <w:color w:val="auto"/>
        </w:rPr>
      </w:pPr>
      <w:r>
        <w:rPr>
          <w:rFonts w:ascii="Times New Roman" w:cs="Times New Roman" w:eastAsia="Times New Roman" w:hAnsi="Times New Roman"/>
          <w:sz w:val="22"/>
          <w:szCs w:val="22"/>
          <w:b w:val="1"/>
          <w:bCs w:val="1"/>
          <w:color w:val="auto"/>
        </w:rPr>
        <w:t>THE TORO COMPANY AND SUBSIDIARIES Notes to Condensed Consolidated Financial Statements (Unaudited) May 2, 2008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May 2, 2008 cannot be annualized to determine the expected results for the fiscal year ending October 31, 2008. Additional factors that could cause our actual results to differ materially from our expected results, including any forward-looking statements made in this report, are described in our most recently filed Annual Report on Form 10-K (Item 1A) and later in this report under Item 2, Management’s Discussion and Analysis of Financial Condition and Results of Operations– Forward-Looking Information.</w:t>
      </w:r>
    </w:p>
    <w:p>
      <w:pPr>
        <w:spacing w:after="0" w:line="6" w:lineRule="exact"/>
        <w:rPr>
          <w:sz w:val="20"/>
          <w:szCs w:val="20"/>
          <w:color w:val="auto"/>
        </w:rPr>
      </w:pPr>
    </w:p>
    <w:p>
      <w:pPr>
        <w:jc w:val="both"/>
        <w:ind w:right="200" w:firstLine="221"/>
        <w:spacing w:after="0" w:line="249" w:lineRule="auto"/>
        <w:rPr>
          <w:sz w:val="20"/>
          <w:szCs w:val="20"/>
          <w:color w:val="auto"/>
        </w:rPr>
      </w:pPr>
      <w:r>
        <w:rPr>
          <w:rFonts w:ascii="Times New Roman" w:cs="Times New Roman" w:eastAsia="Times New Roman" w:hAnsi="Times New Roman"/>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right="440" w:firstLine="224"/>
        <w:spacing w:after="0" w:line="258"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notes included in the company’s Annual Report on Form 10-K for the fiscal year ended October 31, 2007. The policies described in that report are used for preparing quarterly reports.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54"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generally accepted accounting principles,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and the components of other comprehensive income (loss)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7"/>
        </w:trPr>
        <w:tc>
          <w:tcPr>
            <w:tcW w:w="44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(Dollars in thousands)</w:t>
            </w:r>
          </w:p>
        </w:tc>
        <w:tc>
          <w:tcPr>
            <w:tcW w:w="1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20"/>
              <w:spacing w:after="0" w:line="197" w:lineRule="exact"/>
              <w:rPr>
                <w:sz w:val="20"/>
                <w:szCs w:val="20"/>
                <w:color w:val="auto"/>
              </w:rPr>
            </w:pPr>
            <w:r>
              <w:rPr>
                <w:rFonts w:ascii="Times New Roman" w:cs="Times New Roman" w:eastAsia="Times New Roman" w:hAnsi="Times New Roman"/>
                <w:sz w:val="18"/>
                <w:szCs w:val="18"/>
                <w:color w:val="auto"/>
                <w:w w:val="97"/>
              </w:rPr>
              <w:t>May 2,</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400"/>
              <w:spacing w:after="0" w:line="197" w:lineRule="exact"/>
              <w:rPr>
                <w:sz w:val="20"/>
                <w:szCs w:val="20"/>
                <w:color w:val="auto"/>
              </w:rPr>
            </w:pPr>
            <w:r>
              <w:rPr>
                <w:rFonts w:ascii="Times New Roman" w:cs="Times New Roman" w:eastAsia="Times New Roman" w:hAnsi="Times New Roman"/>
                <w:sz w:val="18"/>
                <w:szCs w:val="18"/>
                <w:color w:val="auto"/>
                <w:w w:val="97"/>
              </w:rPr>
              <w:t>May 2,</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7"/>
                <w:szCs w:val="17"/>
                <w:color w:val="auto"/>
              </w:rPr>
            </w:pPr>
          </w:p>
        </w:tc>
      </w:tr>
      <w:tr>
        <w:trPr>
          <w:trHeight w:val="240"/>
        </w:trPr>
        <w:tc>
          <w:tcPr>
            <w:tcW w:w="4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p>
        </w:tc>
      </w:tr>
      <w:tr>
        <w:trPr>
          <w:trHeight w:val="21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62,784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74,966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93,416</w:t>
            </w:r>
          </w:p>
        </w:tc>
      </w:tr>
      <w:tr>
        <w:trPr>
          <w:trHeight w:val="215"/>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3,324</w:t>
            </w:r>
          </w:p>
        </w:tc>
      </w:tr>
      <w:tr>
        <w:trPr>
          <w:trHeight w:val="197"/>
        </w:trPr>
        <w:tc>
          <w:tcPr>
            <w:tcW w:w="440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Minimum pension liability adjustment,</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of tax</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instruments, net of tax</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2,038</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r>
      <w:tr>
        <w:trPr>
          <w:trHeight w:val="27"/>
        </w:trPr>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5"/>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66,615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76,457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95,367</w:t>
            </w:r>
          </w:p>
        </w:tc>
      </w:tr>
      <w:tr>
        <w:trPr>
          <w:trHeight w:val="841"/>
        </w:trPr>
        <w:tc>
          <w:tcPr>
            <w:tcW w:w="440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7"/>
        </w:trPr>
        <w:tc>
          <w:tcPr>
            <w:tcW w:w="44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The company accounts for stock-based compensation awards in accordance with the provisions of Statement of Financial Accounting Standards (SFAS) No. 123 (Revised 2004), “Share-Based Payment.” During the first quarter of fiscal 2008, option awards were granted with an exercise price equal to the closing price of the company’s common stock on the date of grant, as reported by the New York Stock Exchange. No options were granted during the second quarter of fiscal 2008. For certain non-officer employees, the options vest in full two years from the date of grant and have a five-year term. For officers, certain key employees, and members of our Board of Directors, the options vest one-third each year over a three-year period and have a ten-year term. Compensation expense equal to the grant date fair value is recognized for these awards over the vesting period. The company also issues performance share awards to officers and other key employees. The company determines the fair value of these performance share awards as of the date of grant and recognizes the expense over the three-year vesting period. Total compensation expense for option and performance share awards for the second quarter of fiscal 2008 and 2007 was $1.4 million and $1.9 million, respectively. Year-to-date compensation expense for option and performance share awards through the second quarter of fiscal 2008 and 2007 was $3.3 million and $3.8 million, respectively.</w:t>
      </w:r>
    </w:p>
    <w:p>
      <w:pPr>
        <w:spacing w:after="0" w:line="5" w:lineRule="exact"/>
        <w:rPr>
          <w:sz w:val="20"/>
          <w:szCs w:val="20"/>
          <w:color w:val="auto"/>
        </w:rPr>
      </w:pPr>
    </w:p>
    <w:p>
      <w:pPr>
        <w:ind w:right="200" w:firstLine="221"/>
        <w:spacing w:after="0" w:line="250" w:lineRule="auto"/>
        <w:rPr>
          <w:sz w:val="20"/>
          <w:szCs w:val="20"/>
          <w:color w:val="auto"/>
        </w:rPr>
      </w:pPr>
      <w:r>
        <w:rPr>
          <w:rFonts w:ascii="Times New Roman" w:cs="Times New Roman" w:eastAsia="Times New Roman" w:hAnsi="Times New Roman"/>
          <w:sz w:val="18"/>
          <w:szCs w:val="18"/>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60" w:type="dxa"/>
            <w:vAlign w:val="bottom"/>
          </w:tcPr>
          <w:p>
            <w:pPr>
              <w:spacing w:after="0"/>
              <w:rPr>
                <w:sz w:val="20"/>
                <w:szCs w:val="20"/>
                <w:color w:val="auto"/>
              </w:rPr>
            </w:pPr>
          </w:p>
        </w:tc>
        <w:tc>
          <w:tcPr>
            <w:tcW w:w="2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Fiscal 2008</w:t>
            </w:r>
          </w:p>
        </w:tc>
        <w:tc>
          <w:tcPr>
            <w:tcW w:w="240" w:type="dxa"/>
            <w:vAlign w:val="bottom"/>
          </w:tcPr>
          <w:p>
            <w:pPr>
              <w:spacing w:after="0"/>
              <w:rPr>
                <w:sz w:val="20"/>
                <w:szCs w:val="20"/>
                <w:color w:val="auto"/>
              </w:rPr>
            </w:pPr>
          </w:p>
        </w:tc>
        <w:tc>
          <w:tcPr>
            <w:tcW w:w="2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Fiscal 2007</w:t>
            </w:r>
          </w:p>
        </w:tc>
      </w:tr>
      <w:tr>
        <w:trPr>
          <w:trHeight w:val="197"/>
        </w:trPr>
        <w:tc>
          <w:tcPr>
            <w:tcW w:w="65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Expected life of option in years</w:t>
            </w:r>
          </w:p>
        </w:tc>
        <w:tc>
          <w:tcPr>
            <w:tcW w:w="2220" w:type="dxa"/>
            <w:vAlign w:val="bottom"/>
          </w:tcPr>
          <w:p>
            <w:pPr>
              <w:jc w:val="center"/>
              <w:ind w:right="90"/>
              <w:spacing w:after="0" w:line="197" w:lineRule="exact"/>
              <w:rPr>
                <w:sz w:val="20"/>
                <w:szCs w:val="20"/>
                <w:color w:val="auto"/>
              </w:rPr>
            </w:pPr>
            <w:r>
              <w:rPr>
                <w:rFonts w:ascii="Times New Roman" w:cs="Times New Roman" w:eastAsia="Times New Roman" w:hAnsi="Times New Roman"/>
                <w:sz w:val="18"/>
                <w:szCs w:val="18"/>
                <w:color w:val="auto"/>
                <w:w w:val="96"/>
              </w:rPr>
              <w:t>3 – 6.5</w:t>
            </w:r>
          </w:p>
        </w:tc>
        <w:tc>
          <w:tcPr>
            <w:tcW w:w="240" w:type="dxa"/>
            <w:vAlign w:val="bottom"/>
          </w:tcPr>
          <w:p>
            <w:pPr>
              <w:spacing w:after="0"/>
              <w:rPr>
                <w:sz w:val="17"/>
                <w:szCs w:val="17"/>
                <w:color w:val="auto"/>
              </w:rPr>
            </w:pPr>
          </w:p>
        </w:tc>
        <w:tc>
          <w:tcPr>
            <w:tcW w:w="2400" w:type="dxa"/>
            <w:vAlign w:val="bottom"/>
          </w:tcPr>
          <w:p>
            <w:pPr>
              <w:jc w:val="center"/>
              <w:ind w:right="70"/>
              <w:spacing w:after="0" w:line="197" w:lineRule="exact"/>
              <w:rPr>
                <w:sz w:val="20"/>
                <w:szCs w:val="20"/>
                <w:color w:val="auto"/>
              </w:rPr>
            </w:pPr>
            <w:r>
              <w:rPr>
                <w:rFonts w:ascii="Times New Roman" w:cs="Times New Roman" w:eastAsia="Times New Roman" w:hAnsi="Times New Roman"/>
                <w:sz w:val="18"/>
                <w:szCs w:val="18"/>
                <w:color w:val="auto"/>
                <w:w w:val="96"/>
              </w:rPr>
              <w:t>3 – 6.5</w:t>
            </w:r>
          </w:p>
        </w:tc>
      </w:tr>
      <w:tr>
        <w:trPr>
          <w:trHeight w:val="21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24.84% - 25.75%</w:t>
            </w:r>
          </w:p>
        </w:tc>
        <w:tc>
          <w:tcPr>
            <w:tcW w:w="26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24.96% - 26.44%</w:t>
            </w:r>
          </w:p>
        </w:tc>
      </w:tr>
      <w:tr>
        <w:trPr>
          <w:trHeight w:val="21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25.26%</w:t>
            </w:r>
          </w:p>
        </w:tc>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25.65%</w:t>
            </w:r>
          </w:p>
        </w:tc>
      </w:tr>
      <w:tr>
        <w:trPr>
          <w:trHeight w:val="21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3.10% - 4.08%</w:t>
            </w:r>
          </w:p>
        </w:tc>
        <w:tc>
          <w:tcPr>
            <w:tcW w:w="26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4.42% - 4.53%</w:t>
            </w:r>
          </w:p>
        </w:tc>
      </w:tr>
      <w:tr>
        <w:trPr>
          <w:trHeight w:val="21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0.92%- 0.95%</w:t>
            </w:r>
          </w:p>
        </w:tc>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0.78%- 0.90%</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dividend yield</w:t>
            </w:r>
          </w:p>
        </w:tc>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0.94%</w:t>
            </w:r>
          </w:p>
        </w:tc>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0.84%</w:t>
            </w:r>
          </w:p>
        </w:tc>
      </w:tr>
    </w:tbl>
    <w:p>
      <w:pPr>
        <w:spacing w:after="0" w:line="223"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first quarter of fiscal 2008 was $13.90 per share and during the first two quarters of fiscal 2007 was $12.32 per share. The fair value of performance share awards granted during the first quarters of fiscal 2008 and 2007 was $58.96 per share and $44.90 per share, respectively. No performance share awards were granted during the second quarters of fiscal 2008 or fiscal 2007.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54"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4,</w:t>
            </w: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31,</w:t>
            </w:r>
          </w:p>
        </w:tc>
        <w:tc>
          <w:tcPr>
            <w:tcW w:w="0" w:type="dxa"/>
            <w:vAlign w:val="bottom"/>
          </w:tcPr>
          <w:p>
            <w:pPr>
              <w:spacing w:after="0"/>
              <w:rPr>
                <w:sz w:val="1"/>
                <w:szCs w:val="1"/>
                <w:color w:val="auto"/>
              </w:rPr>
            </w:pPr>
          </w:p>
        </w:tc>
      </w:tr>
      <w:tr>
        <w:trPr>
          <w:trHeight w:val="240"/>
        </w:trPr>
        <w:tc>
          <w:tcPr>
            <w:tcW w:w="4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3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68,367</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service parts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240,531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242,965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307,829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311,332</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Less: LIFO</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40,860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42,889</w:t>
            </w:r>
          </w:p>
        </w:tc>
        <w:tc>
          <w:tcPr>
            <w:tcW w:w="0" w:type="dxa"/>
            <w:vAlign w:val="bottom"/>
          </w:tcPr>
          <w:p>
            <w:pPr>
              <w:spacing w:after="0"/>
              <w:rPr>
                <w:sz w:val="1"/>
                <w:szCs w:val="1"/>
                <w:color w:val="auto"/>
              </w:rPr>
            </w:pPr>
          </w:p>
        </w:tc>
      </w:tr>
      <w:tr>
        <w:trPr>
          <w:trHeight w:val="215"/>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reserves</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19,063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17,168</w:t>
            </w:r>
          </w:p>
        </w:tc>
        <w:tc>
          <w:tcPr>
            <w:tcW w:w="0" w:type="dxa"/>
            <w:vAlign w:val="bottom"/>
          </w:tcPr>
          <w:p>
            <w:pPr>
              <w:spacing w:after="0"/>
              <w:rPr>
                <w:sz w:val="1"/>
                <w:szCs w:val="1"/>
                <w:color w:val="auto"/>
              </w:rPr>
            </w:pPr>
          </w:p>
        </w:tc>
      </w:tr>
      <w:tr>
        <w:trPr>
          <w:trHeight w:val="27"/>
        </w:trPr>
        <w:tc>
          <w:tcPr>
            <w:tcW w:w="410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265,428</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247,906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251,275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34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41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0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7"/>
        </w:trPr>
        <w:tc>
          <w:tcPr>
            <w:tcW w:w="7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7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25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5"/>
        </w:trPr>
        <w:tc>
          <w:tcPr>
            <w:tcW w:w="60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(Shares in thousands)</w:t>
            </w:r>
          </w:p>
        </w:tc>
        <w:tc>
          <w:tcPr>
            <w:tcW w:w="1640" w:type="dxa"/>
            <w:vAlign w:val="bottom"/>
            <w:tcBorders>
              <w:top w:val="single" w:sz="8" w:color="auto"/>
            </w:tcBorders>
            <w:gridSpan w:val="3"/>
          </w:tcPr>
          <w:p>
            <w:pPr>
              <w:jc w:val="center"/>
              <w:ind w:right="500"/>
              <w:spacing w:after="0" w:line="195" w:lineRule="exact"/>
              <w:rPr>
                <w:sz w:val="20"/>
                <w:szCs w:val="20"/>
                <w:color w:val="auto"/>
              </w:rPr>
            </w:pPr>
            <w:r>
              <w:rPr>
                <w:rFonts w:ascii="Times New Roman" w:cs="Times New Roman" w:eastAsia="Times New Roman" w:hAnsi="Times New Roman"/>
                <w:sz w:val="18"/>
                <w:szCs w:val="18"/>
                <w:color w:val="auto"/>
                <w:w w:val="97"/>
              </w:rPr>
              <w:t>May 2,</w:t>
            </w:r>
          </w:p>
        </w:tc>
        <w:tc>
          <w:tcPr>
            <w:tcW w:w="900" w:type="dxa"/>
            <w:vAlign w:val="bottom"/>
            <w:tcBorders>
              <w:top w:val="single" w:sz="8" w:color="auto"/>
            </w:tcBorders>
          </w:tcPr>
          <w:p>
            <w:pPr>
              <w:jc w:val="right"/>
              <w:ind w:right="230"/>
              <w:spacing w:after="0" w:line="195" w:lineRule="exact"/>
              <w:rPr>
                <w:sz w:val="20"/>
                <w:szCs w:val="20"/>
                <w:color w:val="auto"/>
              </w:rPr>
            </w:pPr>
            <w:r>
              <w:rPr>
                <w:rFonts w:ascii="Times New Roman" w:cs="Times New Roman" w:eastAsia="Times New Roman" w:hAnsi="Times New Roman"/>
                <w:sz w:val="18"/>
                <w:szCs w:val="18"/>
                <w:color w:val="auto"/>
              </w:rPr>
              <w:t>May 4,</w:t>
            </w:r>
          </w:p>
        </w:tc>
        <w:tc>
          <w:tcPr>
            <w:tcW w:w="2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00"/>
              <w:spacing w:after="0" w:line="195" w:lineRule="exact"/>
              <w:rPr>
                <w:sz w:val="20"/>
                <w:szCs w:val="20"/>
                <w:color w:val="auto"/>
              </w:rPr>
            </w:pPr>
            <w:r>
              <w:rPr>
                <w:rFonts w:ascii="Times New Roman" w:cs="Times New Roman" w:eastAsia="Times New Roman" w:hAnsi="Times New Roman"/>
                <w:sz w:val="18"/>
                <w:szCs w:val="18"/>
                <w:color w:val="auto"/>
                <w:w w:val="97"/>
              </w:rPr>
              <w:t>May 2,</w:t>
            </w:r>
          </w:p>
        </w:tc>
        <w:tc>
          <w:tcPr>
            <w:tcW w:w="1140" w:type="dxa"/>
            <w:vAlign w:val="bottom"/>
            <w:tcBorders>
              <w:top w:val="single" w:sz="8" w:color="auto"/>
            </w:tcBorders>
          </w:tcPr>
          <w:p>
            <w:pPr>
              <w:jc w:val="right"/>
              <w:ind w:right="230"/>
              <w:spacing w:after="0" w:line="195"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6"/>
                <w:szCs w:val="16"/>
                <w:color w:val="auto"/>
              </w:rPr>
            </w:pPr>
          </w:p>
        </w:tc>
      </w:tr>
      <w:tr>
        <w:trPr>
          <w:trHeight w:val="195"/>
        </w:trPr>
        <w:tc>
          <w:tcPr>
            <w:tcW w:w="60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Basic</w:t>
            </w:r>
          </w:p>
        </w:tc>
        <w:tc>
          <w:tcPr>
            <w:tcW w:w="1140" w:type="dxa"/>
            <w:vAlign w:val="bottom"/>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rPr>
              <w:t>2008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16"/>
                <w:szCs w:val="16"/>
                <w:color w:val="auto"/>
              </w:rPr>
            </w:pPr>
          </w:p>
        </w:tc>
        <w:tc>
          <w:tcPr>
            <w:tcW w:w="1120" w:type="dxa"/>
            <w:vAlign w:val="bottom"/>
          </w:tcPr>
          <w:p>
            <w:pPr>
              <w:jc w:val="right"/>
              <w:ind w:right="290"/>
              <w:spacing w:after="0" w:line="195" w:lineRule="exact"/>
              <w:rPr>
                <w:sz w:val="20"/>
                <w:szCs w:val="20"/>
                <w:color w:val="auto"/>
              </w:rPr>
            </w:pPr>
            <w:r>
              <w:rPr>
                <w:rFonts w:ascii="Times New Roman" w:cs="Times New Roman" w:eastAsia="Times New Roman" w:hAnsi="Times New Roman"/>
                <w:sz w:val="18"/>
                <w:szCs w:val="18"/>
                <w:color w:val="auto"/>
              </w:rPr>
              <w:t>2008</w:t>
            </w:r>
          </w:p>
        </w:tc>
        <w:tc>
          <w:tcPr>
            <w:tcW w:w="220" w:type="dxa"/>
            <w:vAlign w:val="bottom"/>
          </w:tcPr>
          <w:p>
            <w:pPr>
              <w:spacing w:after="0"/>
              <w:rPr>
                <w:sz w:val="16"/>
                <w:szCs w:val="16"/>
                <w:color w:val="auto"/>
              </w:rPr>
            </w:pPr>
          </w:p>
        </w:tc>
        <w:tc>
          <w:tcPr>
            <w:tcW w:w="1140" w:type="dxa"/>
            <w:vAlign w:val="bottom"/>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6"/>
                <w:szCs w:val="16"/>
                <w:color w:val="auto"/>
              </w:rPr>
            </w:pPr>
          </w:p>
        </w:tc>
      </w:tr>
      <w:tr>
        <w:trPr>
          <w:trHeight w:val="27"/>
        </w:trPr>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38,239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38,301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41,078</w:t>
            </w:r>
          </w:p>
        </w:tc>
      </w:tr>
      <w:tr>
        <w:trPr>
          <w:trHeight w:val="22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Assumed issuance of contingent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197"/>
        </w:trPr>
        <w:tc>
          <w:tcPr>
            <w:tcW w:w="608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Weighted-average number of shares of common stock and assumed issuance of</w:t>
            </w: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4"/>
        </w:trPr>
        <w:tc>
          <w:tcPr>
            <w:tcW w:w="6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38,239</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41,119</w:t>
            </w:r>
          </w:p>
        </w:tc>
      </w:tr>
      <w:tr>
        <w:trPr>
          <w:trHeight w:val="168"/>
        </w:trPr>
        <w:tc>
          <w:tcPr>
            <w:tcW w:w="60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Diluted</w:t>
            </w: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8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Weighted-average number of shares of common stock and assumed issuance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6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38,239</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41,119</w:t>
            </w:r>
          </w:p>
        </w:tc>
      </w:tr>
      <w:tr>
        <w:trPr>
          <w:trHeight w:val="22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197"/>
        </w:trPr>
        <w:tc>
          <w:tcPr>
            <w:tcW w:w="608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Weighted-average number of shares of common stock, assumed issuance of</w:t>
            </w: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4"/>
        </w:trPr>
        <w:tc>
          <w:tcPr>
            <w:tcW w:w="6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shares, and effect of dilutive securities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39,126</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39,263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42,255</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ind w:right="400" w:firstLine="224"/>
        <w:spacing w:after="0" w:line="255" w:lineRule="auto"/>
        <w:rPr>
          <w:sz w:val="20"/>
          <w:szCs w:val="20"/>
          <w:color w:val="auto"/>
        </w:rPr>
      </w:pPr>
      <w:r>
        <w:rPr>
          <w:rFonts w:ascii="Times New Roman" w:cs="Times New Roman" w:eastAsia="Times New Roman" w:hAnsi="Times New Roman"/>
          <w:sz w:val="18"/>
          <w:szCs w:val="18"/>
          <w:color w:val="auto"/>
        </w:rPr>
        <w:t>Options to purchase an aggregate of 715,135 shares of common stock outstanding during the second quarter of fiscal 2008 were excluded from the diluted net earnings per share calculation because their exercise prices were greater than the average market price of the company’s common stock during the second quarter of fiscal 2008. Options to purchase an aggregate of 164,940 and 11,240 shares of common stock outstanding during the year-to-date periods through the second quarter of fiscal 2008 and 2007, respectively, were excluded from the diluted net earnings per share calculations because their exercise prices were greater than the average market price of the company’s common stock during the year-to-date periods through the second quarters of fiscal 2008 and 2007.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for the first six months of fiscal 2008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Professional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Residential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Segment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Segment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October 31, 2007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75,457</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86,224</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2, 2008</w:t>
            </w: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75,394</w:t>
            </w:r>
          </w:p>
        </w:tc>
        <w:tc>
          <w:tcPr>
            <w:tcW w:w="160" w:type="dxa"/>
            <w:vAlign w:val="bottom"/>
            <w:tcBorders>
              <w:lef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86,097</w:t>
            </w:r>
          </w:p>
        </w:tc>
        <w:tc>
          <w:tcPr>
            <w:tcW w:w="0" w:type="dxa"/>
            <w:vAlign w:val="bottom"/>
          </w:tcPr>
          <w:p>
            <w:pPr>
              <w:spacing w:after="0"/>
              <w:rPr>
                <w:sz w:val="1"/>
                <w:szCs w:val="1"/>
                <w:color w:val="auto"/>
              </w:rPr>
            </w:pPr>
          </w:p>
        </w:tc>
      </w:tr>
      <w:tr>
        <w:trPr>
          <w:trHeight w:val="451"/>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6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other amortizable intangible assets were as follows: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May 2, 2008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October 31, 2007</w:t>
            </w:r>
          </w:p>
        </w:tc>
        <w:tc>
          <w:tcPr>
            <w:tcW w:w="0" w:type="dxa"/>
            <w:vAlign w:val="bottom"/>
          </w:tcPr>
          <w:p>
            <w:pPr>
              <w:spacing w:after="0"/>
              <w:rPr>
                <w:sz w:val="1"/>
                <w:szCs w:val="1"/>
                <w:color w:val="auto"/>
              </w:rPr>
            </w:pPr>
          </w:p>
        </w:tc>
      </w:tr>
      <w:tr>
        <w:trPr>
          <w:trHeight w:val="197"/>
        </w:trPr>
        <w:tc>
          <w:tcPr>
            <w:tcW w:w="54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(Dollars in thousands)</w:t>
            </w:r>
          </w:p>
        </w:tc>
        <w:tc>
          <w:tcPr>
            <w:tcW w:w="680" w:type="dxa"/>
            <w:vAlign w:val="bottom"/>
          </w:tcPr>
          <w:p>
            <w:pPr>
              <w:spacing w:after="0"/>
              <w:rPr>
                <w:sz w:val="17"/>
                <w:szCs w:val="17"/>
                <w:color w:val="auto"/>
              </w:rPr>
            </w:pPr>
          </w:p>
        </w:tc>
        <w:tc>
          <w:tcPr>
            <w:tcW w:w="1380" w:type="dxa"/>
            <w:vAlign w:val="bottom"/>
            <w:tcBorders>
              <w:top w:val="single" w:sz="8" w:color="auto"/>
            </w:tcBorders>
            <w:gridSpan w:val="3"/>
          </w:tcPr>
          <w:p>
            <w:pPr>
              <w:jc w:val="center"/>
              <w:ind w:right="240"/>
              <w:spacing w:after="0" w:line="197"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7"/>
              </w:rPr>
              <w:t>Accumulated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7" w:lineRule="exact"/>
              <w:rPr>
                <w:sz w:val="20"/>
                <w:szCs w:val="20"/>
                <w:color w:val="auto"/>
              </w:rPr>
            </w:pPr>
            <w:r>
              <w:rPr>
                <w:rFonts w:ascii="Times New Roman" w:cs="Times New Roman" w:eastAsia="Times New Roman" w:hAnsi="Times New Roman"/>
                <w:sz w:val="18"/>
                <w:szCs w:val="18"/>
                <w:color w:val="auto"/>
              </w:rPr>
              <w:t>Gross Carrying</w:t>
            </w:r>
          </w:p>
        </w:tc>
        <w:tc>
          <w:tcPr>
            <w:tcW w:w="1140" w:type="dxa"/>
            <w:vAlign w:val="bottom"/>
            <w:tcBorders>
              <w:top w:val="single" w:sz="8" w:color="auto"/>
            </w:tcBorders>
            <w:gridSpan w:val="2"/>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Amortization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(6,223)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(10,896)</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10,545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1"/>
        </w:trPr>
        <w:tc>
          <w:tcPr>
            <w:tcW w:w="54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9" w:right="239" w:bottom="1440" w:gutter="0" w:footer="0" w:header="0"/>
        </w:sectPr>
      </w:pPr>
    </w:p>
    <w:bookmarkStart w:id="8" w:name="page9"/>
    <w:bookmarkEnd w:id="8"/>
    <w:p>
      <w:pPr>
        <w:ind w:right="280" w:firstLine="214"/>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during the first six months of fiscal 2008 was $994,000. Estimated amortization expense for the remainder of fiscal 2008 and succeeding fiscal years is as follows: fiscal 2008 (remainder), $822,000; fiscal 2009, $1,499,000; fiscal 2010, $1,206,000; fiscal 2011, $1,132,000; fiscal 2012, $1,099,000; fiscal 2013, $926,000; and after fiscal 2013, $3,861,000.</w:t>
      </w:r>
    </w:p>
    <w:p>
      <w:pPr>
        <w:spacing w:after="0" w:line="1" w:lineRule="exact"/>
        <w:rPr>
          <w:sz w:val="20"/>
          <w:szCs w:val="20"/>
          <w:color w:val="auto"/>
        </w:rPr>
      </w:pPr>
    </w:p>
    <w:p>
      <w:pPr>
        <w:ind w:right="680" w:firstLine="221"/>
        <w:spacing w:after="0" w:line="258" w:lineRule="auto"/>
        <w:rPr>
          <w:sz w:val="20"/>
          <w:szCs w:val="20"/>
          <w:color w:val="auto"/>
        </w:rPr>
      </w:pPr>
      <w:r>
        <w:rPr>
          <w:rFonts w:ascii="Times New Roman" w:cs="Times New Roman" w:eastAsia="Times New Roman" w:hAnsi="Times New Roman"/>
          <w:sz w:val="18"/>
          <w:szCs w:val="18"/>
          <w:color w:val="auto"/>
        </w:rPr>
        <w:t>The company also had $5.6 million of non-amortizable intangible assets related to the Hayter and Rain Master brand names as of May 2, 2008 and October 31, 2007.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25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shows the summarized financial information concerning the company’s reportable segments: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20" w:type="dxa"/>
            <w:vAlign w:val="bottom"/>
            <w:gridSpan w:val="3"/>
          </w:tcPr>
          <w:p>
            <w:pPr>
              <w:spacing w:after="0" w:line="193" w:lineRule="exact"/>
              <w:rPr>
                <w:sz w:val="20"/>
                <w:szCs w:val="20"/>
                <w:color w:val="auto"/>
              </w:rPr>
            </w:pPr>
            <w:r>
              <w:rPr>
                <w:rFonts w:ascii="Times New Roman" w:cs="Times New Roman" w:eastAsia="Times New Roman" w:hAnsi="Times New Roman"/>
                <w:sz w:val="18"/>
                <w:szCs w:val="18"/>
                <w:color w:val="auto"/>
              </w:rPr>
              <w:t>Three months ended May 2, 2008</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color w:val="auto"/>
              </w:rPr>
              <w:t>Professional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80"/>
              <w:spacing w:after="0" w:line="193" w:lineRule="exact"/>
              <w:rPr>
                <w:sz w:val="20"/>
                <w:szCs w:val="20"/>
                <w:color w:val="auto"/>
              </w:rPr>
            </w:pPr>
            <w:r>
              <w:rPr>
                <w:rFonts w:ascii="Times New Roman" w:cs="Times New Roman" w:eastAsia="Times New Roman" w:hAnsi="Times New Roman"/>
                <w:sz w:val="18"/>
                <w:szCs w:val="18"/>
                <w:color w:val="auto"/>
                <w:w w:val="98"/>
              </w:rPr>
              <w:t>Residential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line="193"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line="193" w:lineRule="exact"/>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7"/>
        </w:trPr>
        <w:tc>
          <w:tcPr>
            <w:tcW w:w="22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429,884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201,315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638,510</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96,616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(21,083)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96,606</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Three months ended May 4, 2007</w:t>
            </w: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60"/>
              <w:spacing w:after="0" w:line="175" w:lineRule="exact"/>
              <w:rPr>
                <w:sz w:val="20"/>
                <w:szCs w:val="20"/>
                <w:color w:val="auto"/>
              </w:rPr>
            </w:pPr>
            <w:r>
              <w:rPr>
                <w:rFonts w:ascii="Times New Roman" w:cs="Times New Roman" w:eastAsia="Times New Roman" w:hAnsi="Times New Roman"/>
                <w:sz w:val="18"/>
                <w:szCs w:val="18"/>
                <w:color w:val="auto"/>
              </w:rPr>
              <w:t>Professional</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80"/>
              <w:spacing w:after="0" w:line="175" w:lineRule="exact"/>
              <w:rPr>
                <w:sz w:val="20"/>
                <w:szCs w:val="20"/>
                <w:color w:val="auto"/>
              </w:rPr>
            </w:pPr>
            <w:r>
              <w:rPr>
                <w:rFonts w:ascii="Times New Roman" w:cs="Times New Roman" w:eastAsia="Times New Roman" w:hAnsi="Times New Roman"/>
                <w:sz w:val="18"/>
                <w:szCs w:val="18"/>
                <w:color w:val="auto"/>
                <w:w w:val="98"/>
              </w:rPr>
              <w:t>Residential</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420"/>
              <w:spacing w:after="0" w:line="175"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300"/>
              <w:spacing w:after="0" w:line="175" w:lineRule="exact"/>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7"/>
        </w:trPr>
        <w:tc>
          <w:tcPr>
            <w:tcW w:w="22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40" w:type="dxa"/>
            <w:vAlign w:val="bottom"/>
            <w:tcBorders>
              <w:top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102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2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4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447,857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228,204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686,653</w:t>
            </w: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(19,699)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108,490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114,560</w:t>
            </w: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gridSpan w:val="3"/>
          </w:tcPr>
          <w:p>
            <w:pPr>
              <w:spacing w:after="0" w:line="175" w:lineRule="exact"/>
              <w:rPr>
                <w:sz w:val="20"/>
                <w:szCs w:val="20"/>
                <w:color w:val="auto"/>
              </w:rPr>
            </w:pPr>
            <w:r>
              <w:rPr>
                <w:rFonts w:ascii="Times New Roman" w:cs="Times New Roman" w:eastAsia="Times New Roman" w:hAnsi="Times New Roman"/>
                <w:sz w:val="18"/>
                <w:szCs w:val="18"/>
                <w:color w:val="auto"/>
              </w:rPr>
              <w:t>Six months ended May 2, 2008</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color w:val="auto"/>
              </w:rPr>
              <w:t>Professional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color w:val="auto"/>
                <w:w w:val="98"/>
              </w:rPr>
              <w:t>Residential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20"/>
              <w:spacing w:after="0" w:line="175"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5"/>
                <w:szCs w:val="15"/>
                <w:color w:val="auto"/>
              </w:rPr>
            </w:pPr>
          </w:p>
        </w:tc>
        <w:tc>
          <w:tcPr>
            <w:tcW w:w="104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7"/>
        </w:trPr>
        <w:tc>
          <w:tcPr>
            <w:tcW w:w="2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723,080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309,491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1,044,309</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(20,415)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(47,582)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125,441</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634,679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308,713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260,495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1,203,887</w:t>
            </w: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gridSpan w:val="3"/>
          </w:tcPr>
          <w:p>
            <w:pPr>
              <w:spacing w:after="0" w:line="175" w:lineRule="exact"/>
              <w:rPr>
                <w:sz w:val="20"/>
                <w:szCs w:val="20"/>
                <w:color w:val="auto"/>
              </w:rPr>
            </w:pPr>
            <w:r>
              <w:rPr>
                <w:rFonts w:ascii="Times New Roman" w:cs="Times New Roman" w:eastAsia="Times New Roman" w:hAnsi="Times New Roman"/>
                <w:sz w:val="18"/>
                <w:szCs w:val="18"/>
                <w:color w:val="auto"/>
              </w:rPr>
              <w:t>Six months ended May 4, 2007</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color w:val="auto"/>
              </w:rPr>
              <w:t>Professional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color w:val="auto"/>
                <w:w w:val="98"/>
              </w:rPr>
              <w:t>Residential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20"/>
              <w:spacing w:after="0" w:line="175"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5"/>
                <w:szCs w:val="15"/>
                <w:color w:val="auto"/>
              </w:rPr>
            </w:pPr>
          </w:p>
        </w:tc>
        <w:tc>
          <w:tcPr>
            <w:tcW w:w="104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7"/>
        </w:trPr>
        <w:tc>
          <w:tcPr>
            <w:tcW w:w="2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719,999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330,062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1,065,741</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(26,285)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156,850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(48,411)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140,248</w:t>
            </w: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577,430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303,855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324,976</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1,206,261</w:t>
            </w:r>
          </w:p>
        </w:tc>
        <w:tc>
          <w:tcPr>
            <w:tcW w:w="0" w:type="dxa"/>
            <w:vAlign w:val="bottom"/>
          </w:tcPr>
          <w:p>
            <w:pPr>
              <w:spacing w:after="0"/>
              <w:rPr>
                <w:sz w:val="1"/>
                <w:szCs w:val="1"/>
                <w:color w:val="auto"/>
              </w:rPr>
            </w:pPr>
          </w:p>
        </w:tc>
      </w:tr>
      <w:tr>
        <w:trPr>
          <w:trHeight w:val="439"/>
        </w:trPr>
        <w:tc>
          <w:tcPr>
            <w:tcW w:w="738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The following table presents the details of the other segment operating loss before income taxes: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7"/>
        </w:trPr>
        <w:tc>
          <w:tcPr>
            <w:tcW w:w="412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(Dollars in thousands)</w:t>
            </w:r>
          </w:p>
        </w:tc>
        <w:tc>
          <w:tcPr>
            <w:tcW w:w="1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60"/>
              <w:spacing w:after="0" w:line="197" w:lineRule="exact"/>
              <w:rPr>
                <w:sz w:val="20"/>
                <w:szCs w:val="20"/>
                <w:color w:val="auto"/>
              </w:rPr>
            </w:pPr>
            <w:r>
              <w:rPr>
                <w:rFonts w:ascii="Times New Roman" w:cs="Times New Roman" w:eastAsia="Times New Roman" w:hAnsi="Times New Roman"/>
                <w:sz w:val="18"/>
                <w:szCs w:val="18"/>
                <w:color w:val="auto"/>
                <w:w w:val="97"/>
              </w:rPr>
              <w:t>May 2,</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7" w:lineRule="exact"/>
              <w:rPr>
                <w:sz w:val="20"/>
                <w:szCs w:val="20"/>
                <w:color w:val="auto"/>
              </w:rPr>
            </w:pPr>
            <w:r>
              <w:rPr>
                <w:rFonts w:ascii="Times New Roman" w:cs="Times New Roman" w:eastAsia="Times New Roman" w:hAnsi="Times New Roman"/>
                <w:sz w:val="18"/>
                <w:szCs w:val="18"/>
                <w:color w:val="auto"/>
                <w:w w:val="97"/>
              </w:rPr>
              <w:t>May 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400"/>
              <w:spacing w:after="0" w:line="197" w:lineRule="exact"/>
              <w:rPr>
                <w:sz w:val="20"/>
                <w:szCs w:val="20"/>
                <w:color w:val="auto"/>
              </w:rPr>
            </w:pPr>
            <w:r>
              <w:rPr>
                <w:rFonts w:ascii="Times New Roman" w:cs="Times New Roman" w:eastAsia="Times New Roman" w:hAnsi="Times New Roman"/>
                <w:sz w:val="18"/>
                <w:szCs w:val="18"/>
                <w:color w:val="auto"/>
                <w:w w:val="97"/>
              </w:rPr>
              <w:t>May 2,</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10"/>
              <w:spacing w:after="0" w:line="197" w:lineRule="exact"/>
              <w:rPr>
                <w:sz w:val="20"/>
                <w:szCs w:val="20"/>
                <w:color w:val="auto"/>
              </w:rPr>
            </w:pPr>
            <w:r>
              <w:rPr>
                <w:rFonts w:ascii="Times New Roman" w:cs="Times New Roman" w:eastAsia="Times New Roman" w:hAnsi="Times New Roman"/>
                <w:sz w:val="18"/>
                <w:szCs w:val="18"/>
                <w:color w:val="auto"/>
                <w:w w:val="97"/>
              </w:rPr>
              <w:t>May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(22,704)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(48,293)</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charge revenue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197"/>
        </w:trPr>
        <w:tc>
          <w:tcPr>
            <w:tcW w:w="41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Elimination of corporate financing</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5,250</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7,106</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(10,302)</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7"/>
        </w:trPr>
        <w:tc>
          <w:tcPr>
            <w:tcW w:w="2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(21,360)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(47,582)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1"/>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Warranty Guarantees</w:t>
      </w:r>
    </w:p>
    <w:p>
      <w:pPr>
        <w:spacing w:after="0" w:line="25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Warranty provisions, claims, and changes in estimates for the first six-month periods in fiscal 2008 and 2007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Beginning</w:t>
            </w:r>
          </w:p>
        </w:tc>
        <w:tc>
          <w:tcPr>
            <w:tcW w:w="14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Warranty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Changes in</w:t>
            </w: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Ending</w:t>
            </w:r>
          </w:p>
        </w:tc>
      </w:tr>
      <w:tr>
        <w:trPr>
          <w:trHeight w:val="24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Claims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Estimates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2008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62,030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24,497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(16,934)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69,561</w:t>
            </w:r>
          </w:p>
        </w:tc>
      </w:tr>
      <w:tr>
        <w:trPr>
          <w:trHeight w:val="215"/>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65,235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(17,657)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72,191</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and Deferred Compensation Plans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net periodic benefit costs of the postretirement health-care benefit plan: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Six Months Ended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38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(Dollars in thousands)</w:t>
            </w:r>
          </w:p>
        </w:tc>
        <w:tc>
          <w:tcPr>
            <w:tcW w:w="224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May 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May 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0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179</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257</w:t>
            </w:r>
          </w:p>
        </w:tc>
        <w:tc>
          <w:tcPr>
            <w:tcW w:w="8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1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2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1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losses</w:t>
            </w: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106</w:t>
            </w:r>
          </w:p>
        </w:tc>
        <w:tc>
          <w:tcPr>
            <w:tcW w:w="8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w:t>
            </w:r>
          </w:p>
        </w:tc>
        <w:tc>
          <w:tcPr>
            <w:tcW w:w="30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9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92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446</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As of May 2, 2008, the company had made approximately $250,000 of contributions in fiscal 2008. The company presently expects to contribute a total of $500,000 to its postretirement health-care benefit plan in fiscal 2008, including contributions made through May 2, 2008.</w:t>
      </w:r>
    </w:p>
    <w:p>
      <w:pPr>
        <w:ind w:right="280" w:firstLine="221"/>
        <w:spacing w:after="0" w:line="249" w:lineRule="auto"/>
        <w:rPr>
          <w:sz w:val="20"/>
          <w:szCs w:val="20"/>
          <w:color w:val="auto"/>
        </w:rPr>
      </w:pPr>
      <w:r>
        <w:rPr>
          <w:rFonts w:ascii="Times New Roman" w:cs="Times New Roman" w:eastAsia="Times New Roman" w:hAnsi="Times New Roman"/>
          <w:sz w:val="18"/>
          <w:szCs w:val="18"/>
          <w:color w:val="auto"/>
        </w:rPr>
        <w:t>The company maintains The Toro Company Investment, Savings and Employee Stock Ownership Plan for eligible employees. The company’s expenses under this plan were $3.8 million and $8.2 million for the second quarter and year-to-date periods in fiscal 2008, respectively, and $4.2 million and $9.9 million for the second quarter and year-to-date periods in fiscal 2007, respectively.</w:t>
      </w:r>
    </w:p>
    <w:p>
      <w:pPr>
        <w:spacing w:after="0" w:line="1" w:lineRule="exact"/>
        <w:rPr>
          <w:sz w:val="20"/>
          <w:szCs w:val="20"/>
          <w:color w:val="auto"/>
        </w:rPr>
      </w:pPr>
    </w:p>
    <w:p>
      <w:pPr>
        <w:ind w:right="200" w:firstLine="224"/>
        <w:spacing w:after="0" w:line="252" w:lineRule="auto"/>
        <w:rPr>
          <w:sz w:val="20"/>
          <w:szCs w:val="20"/>
          <w:color w:val="auto"/>
        </w:rPr>
      </w:pPr>
      <w:r>
        <w:rPr>
          <w:rFonts w:ascii="Times New Roman" w:cs="Times New Roman" w:eastAsia="Times New Roman" w:hAnsi="Times New Roman"/>
          <w:sz w:val="18"/>
          <w:szCs w:val="18"/>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which amounted to $18 million. The fair value of the company’s investment in the deferred compensation plans as of May 2, 2008 was $18.8 million, which reduced the company’s deferred compensation liability reflected in accrued liabilities on the condensed consolidated balance sheet.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4"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As of November 1, 2007, the company adopted the provisions of Financial Accounting Standards Board Interpretation No. 48, “Accounting for Uncertainty in Income Taxes” (FIN 48). This interpretation clarifies the accounting for income taxes by prescribing the minimum threshold a tax position is required to meet before being recognized in the financial statements, as well as guidance on de-recognition, measurement, classification, and disclosure of tax positions. The adoption of FIN 48 resulted in no cumulative effect of accounting change by the company as of November 1, 2007. As of May 2, 2008 and October 31, 2007, the company had $5.5 million and $5.6 million, respectively, of liabilities recorded related to unrecognized tax benefits. Accrued interest and penalties on these unrecognized tax benefits was $0.9 million as of May 2, 2008 and October 31, 2007. As of October 31, 2007, the liability accrual including interest and penalties was classified as a component of accrued liabilities – income taxes on the company’s consolidated balance sheet. In accordance with the adoption of FIN 48, the liability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 w:name="page11"/>
    <w:bookmarkEnd w:id="10"/>
    <w:p>
      <w:pPr>
        <w:ind w:right="200"/>
        <w:spacing w:after="0" w:line="255" w:lineRule="auto"/>
        <w:rPr>
          <w:sz w:val="20"/>
          <w:szCs w:val="20"/>
          <w:color w:val="auto"/>
        </w:rPr>
      </w:pPr>
      <w:r>
        <w:rPr>
          <w:rFonts w:ascii="Times New Roman" w:cs="Times New Roman" w:eastAsia="Times New Roman" w:hAnsi="Times New Roman"/>
          <w:sz w:val="18"/>
          <w:szCs w:val="18"/>
          <w:color w:val="auto"/>
        </w:rPr>
        <w:t>accrual including interest and penalties was classified as a component of deferred revenue and other long-term liabilities on the company’s condensed consolidated balance sheet as of February 1, 2008 and May 2, 2008. The company recognizes potential interest and penalties related to income tax positions as a component of provision for income taxes on the consolidated statements of earnings. Included in the liability balance as of May 2, 2008 are approximately $3.1 million of unrecognized tax benefits that, if recognized, will affect the company’s effective tax rate. The company does not anticipate that the total amount of unrecognized tax benefits will significantly change during the next twelve months. With few exceptions, the company is no longer subject to federal, state, or foreign income tax examinations for fiscal years prior to fiscal 2004.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54"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company uses derivative instruments to manage exposure to foreign currency exchange rates. The company uses derivative instruments only in an attempt to limit underlying exposure to currency exchange rate fluctuations, and not for trading purposes. The company documents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effective in offsetting changes in cash flows of the hedged item.</w:t>
      </w:r>
    </w:p>
    <w:p>
      <w:pPr>
        <w:spacing w:after="0" w:line="3" w:lineRule="exact"/>
        <w:rPr>
          <w:sz w:val="20"/>
          <w:szCs w:val="20"/>
          <w:color w:val="auto"/>
        </w:rPr>
      </w:pPr>
    </w:p>
    <w:p>
      <w:pPr>
        <w:ind w:right="160" w:firstLine="221"/>
        <w:spacing w:after="0" w:line="249" w:lineRule="auto"/>
        <w:rPr>
          <w:sz w:val="20"/>
          <w:szCs w:val="20"/>
          <w:color w:val="auto"/>
        </w:rPr>
      </w:pPr>
      <w:r>
        <w:rPr>
          <w:rFonts w:ascii="Times New Roman" w:cs="Times New Roman" w:eastAsia="Times New Roman" w:hAnsi="Times New Roman"/>
          <w:sz w:val="18"/>
          <w:szCs w:val="18"/>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income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to sales or cost of sales. During the three and six months ended May 2, 2008, the amount of losses reclassified to earnings for such cash flow hedges was $3.7 million and $5.6 million, respectively. For the six months ended May 2, 2008, the losses treated as a reduction to net sales for contracts to hedge trade sales were $5.8 million and the gains treated as a reduction of cost of sales for contracts to hedge inventory purchases were $0.2 million. As of May 2, 2008, the notional amount of such contracts outstanding was $95.2 million. The unrecognized after-tax loss portion of the fair value of the contracts recorded in accumulated other comprehensive income as of May 2, 2008 was $1.7 million.</w:t>
      </w:r>
    </w:p>
    <w:p>
      <w:pPr>
        <w:spacing w:after="0" w:line="3" w:lineRule="exact"/>
        <w:rPr>
          <w:sz w:val="20"/>
          <w:szCs w:val="20"/>
          <w:color w:val="auto"/>
        </w:rPr>
      </w:pPr>
    </w:p>
    <w:p>
      <w:pPr>
        <w:jc w:val="both"/>
        <w:ind w:right="260" w:firstLine="221"/>
        <w:spacing w:after="0" w:line="254" w:lineRule="auto"/>
        <w:rPr>
          <w:sz w:val="20"/>
          <w:szCs w:val="20"/>
          <w:color w:val="auto"/>
        </w:rPr>
      </w:pPr>
      <w:r>
        <w:rPr>
          <w:rFonts w:ascii="Times New Roman" w:cs="Times New Roman" w:eastAsia="Times New Roman" w:hAnsi="Times New Roman"/>
          <w:sz w:val="18"/>
          <w:szCs w:val="18"/>
          <w:color w:val="auto"/>
        </w:rPr>
        <w:t>The company also enters into other foreign currency exchange contracts to hedge intracompany financing transactions and other activities, which do not meet the hedge accounting criteria of SFAS No. 133, “Accounting for Derivative Instruments and Hedging Activities;” therefore, changes in the fair value of these instruments are recorded in other income, net.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adverse effect on our consolidated financial condition or results of operations.</w:t>
      </w:r>
    </w:p>
    <w:p>
      <w:pPr>
        <w:spacing w:after="0" w:line="5" w:lineRule="exact"/>
        <w:rPr>
          <w:sz w:val="20"/>
          <w:szCs w:val="20"/>
          <w:color w:val="auto"/>
        </w:rPr>
      </w:pPr>
    </w:p>
    <w:p>
      <w:pPr>
        <w:ind w:firstLine="224"/>
        <w:spacing w:after="0" w:line="249" w:lineRule="auto"/>
        <w:rPr>
          <w:sz w:val="20"/>
          <w:szCs w:val="20"/>
          <w:color w:val="auto"/>
        </w:rPr>
      </w:pPr>
      <w:r>
        <w:rPr>
          <w:rFonts w:ascii="Times New Roman" w:cs="Times New Roman" w:eastAsia="Times New Roman" w:hAnsi="Times New Roman"/>
          <w:sz w:val="18"/>
          <w:szCs w:val="18"/>
          <w:color w:val="auto"/>
        </w:rPr>
        <w:t>On June 3, 2004, eight individuals who claim to have purchased lawnmowers in Illinois and Minnesota filed a lawsuit in Illinois state court against us and eight other defendants alleging that the horsepower labels on the products the plaintiffs purchased were inaccurate. The plaintiffs amended their complaint to add 89 additional plaintiffs and an engine manufacturer as an additional defendant. The amended complaint asserted violations of the federal Racketeer Influenced and Corrupt Organizations Act (“RICO”) and statutory and common law claims arising from the laws of 48 states.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 In late May 2006, the case was removed to federal court in the Southern District of Illinois. On August 1, 2006, all of the defendants, except MTD Products Inc. (“MTD”), filed motions to dismiss the claims in the amended complaint. On August 4, 2006, the plaintiffs filed a motion for preliminary approval of a settlement agreement with MTD and certification of a settlement class. All remaining non-settling defendants filed counterclaims against MTD for potential contribution amounts, and MTD filed cross claims against the non-settling defendants. On December 21, 2006, another defendant, American Honda Motor Company (“Honda”), notified us that it had reached an agreement of settlement with the plaintiffs. On March 30, 2007, the court entered an order dismissing plaintiffs’ complaint, subject to the ability to re-plead certain claims pursuant to a detailed written order to follow. On May 8, 2008, the court issued a memorandum and order that (i) dismissed the RICO claims in their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teh memorandum and order. As of the date hereof, the plaintiffs have (i) re-filed the Illinois claims with the court; and (ii) commenced the process of filing non-Illinois claims in various local courts, including filings made in the federal courts in the District of New Jersey and the Northern District of California with essentially the same state law claims. On June 2, 2008, the plaintiffs filed a motion with the Judicial Panel on Multidistrict Litigation that (i) states their intent to file lawsuits in all 50 states and the District of Columbia; and (ii) seeks to have all of the cases transferred to the District of New Jersey for coordinated pretrial proceedings.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1" w:name="page12"/>
    <w:bookmarkEnd w:id="11"/>
    <w:p>
      <w:pPr>
        <w:ind w:firstLine="269"/>
        <w:spacing w:after="0" w:line="257" w:lineRule="auto"/>
        <w:rPr>
          <w:sz w:val="20"/>
          <w:szCs w:val="20"/>
          <w:color w:val="auto"/>
        </w:rPr>
      </w:pPr>
      <w:r>
        <w:rPr>
          <w:rFonts w:ascii="Times New Roman" w:cs="Times New Roman" w:eastAsia="Times New Roman" w:hAnsi="Times New Roman"/>
          <w:sz w:val="20"/>
          <w:szCs w:val="20"/>
          <w:color w:val="auto"/>
        </w:rPr>
        <w:t>In July 2005, Textron Innovations Inc., the patent holding company of Textron, Inc., filed a lawsuit in Delaware Federal District Court against us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502" w:right="279" w:bottom="1440" w:gutter="0" w:footer="0" w:header="0"/>
        </w:sectPr>
      </w:pPr>
    </w:p>
    <w:bookmarkStart w:id="12" w:name="page13"/>
    <w:bookmarkEnd w:id="12"/>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and marketing professional turf maintenance equipment and services, turf and agricultural micro-irrigation systems, landscaping equipment, and residential yard and irrigation products worldwide. We sell our products through a network of distributors, dealers, hardware retailers, home centers, mass retailers, and over the Internet, mainly through internet retailers. Our businesses are organized into two reportable business segments: professional and residential. A third segment called “other” consists of domestic company-owned distribution companies and corporate activities, including corporate financing activities. Our emphasis is to provide well-built, dependable, and innovative products supported by an extensive service network. A significant portion of our revenues has historically been attributable to new and enhanced products. As part of our “GrowLean” initiative, we are focusing our efforts on revenue growth, profit improvement, and asset management while maximizing our use of Lean methods to reduce costs and improve quality and efficiency in our manufacturing facilities and corporate offices. We believe we have opportunities to create a leaner, cohesive enterprise that has the potential to deliver sustainable long-term financial performance. The goals of this initiative are to grow net sales at an average annual rate of 8 percent or more and achieve a consistent after-tax annual return on net sales of 7 percent or more over the three-year period ending October 31, 2009. Our long-term asset management goal is to reduce average net working capital as a percent of net sales below 20 percent, or in the “teens.” We define net working capital as accounts receivable plus inventory less trade payables.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results for the second quarter of fiscal 2008 were down with a net sales decline of 7.0 percent and a net earnings decrease of 16.3 percent each as compared to the second quarter of fiscal 2007. Year-to-date net earnings were down 12.9 percent in fiscal 2008 compared to the same period last fiscal year on a year-to-date net sales decline of 2.0 percent. These results were attributable to the continued weakening of the domestic economy and a late spring in many of our key markets, which led to cautious ordering from our domestic customers and resulted in a reduction of field inventory levels for most of our domestic businesses as of the end of the second quarter of fiscal 2008 compared to the same period last fiscal year. International continued to grow with an increase in net sales of 4.7 percent and 10.8 percent for the second quarter and year-to-date periods of fiscal 2008, respectively, compared to the same periods last fiscal year. Net earnings as a percentage of net sales declined from 10.9 percent and 8.8 percent in the second quarter and year-to-date periods of fiscal 2007, respectively, to 9.8 percent and 7.8 percent in the second quarter and year-to-date periods of fiscal 2008, respectively. This decline in net earnings as a percent of net sales was the result of an increase in selling, general, and administrative (SG&amp;A) expenses as a percent of net sales for the second quarter and year-to-date periods of fiscal 2008 compared to the same periods last fiscal year, a higher effective tax rate, and lower other income.</w:t>
      </w:r>
    </w:p>
    <w:p>
      <w:pPr>
        <w:spacing w:after="0" w:line="5" w:lineRule="exact"/>
        <w:rPr>
          <w:sz w:val="20"/>
          <w:szCs w:val="20"/>
          <w:color w:val="auto"/>
        </w:rPr>
      </w:pPr>
    </w:p>
    <w:p>
      <w:pPr>
        <w:ind w:firstLine="221"/>
        <w:spacing w:after="0" w:line="264" w:lineRule="auto"/>
        <w:rPr>
          <w:sz w:val="20"/>
          <w:szCs w:val="20"/>
          <w:color w:val="auto"/>
        </w:rPr>
      </w:pPr>
      <w:r>
        <w:rPr>
          <w:rFonts w:ascii="Times New Roman" w:cs="Times New Roman" w:eastAsia="Times New Roman" w:hAnsi="Times New Roman"/>
          <w:sz w:val="17"/>
          <w:szCs w:val="17"/>
          <w:color w:val="auto"/>
        </w:rPr>
        <w:t>We increased our second quarter cash dividend by 25 percent from $0.12 to $0.15 per share compared to the quarterly cash dividend paid in the second quarter of fiscal 2007. In addition, our Board of Directors recently authorized the repurchase of an additional 4 million shares of the company’s common stock.</w:t>
      </w:r>
    </w:p>
    <w:p>
      <w:pPr>
        <w:ind w:right="20" w:firstLine="221"/>
        <w:spacing w:after="0" w:line="251" w:lineRule="auto"/>
        <w:rPr>
          <w:sz w:val="20"/>
          <w:szCs w:val="20"/>
          <w:color w:val="auto"/>
        </w:rPr>
      </w:pPr>
      <w:r>
        <w:rPr>
          <w:rFonts w:ascii="Times New Roman" w:cs="Times New Roman" w:eastAsia="Times New Roman" w:hAnsi="Times New Roman"/>
          <w:sz w:val="18"/>
          <w:szCs w:val="18"/>
          <w:color w:val="auto"/>
        </w:rPr>
        <w:t>We expect the difficult domestic economic environment encountered in the first half of fiscal 2008 to persist for the remainder of the fiscal year. We are taking proactive measures to manage through the tough economic environment by adjusting production plans, controlling costs, and managing our assets. We expect our fiscal 2008 net sales to be equal to our fiscal 2007 net sales levels and anticipate our net earnings per share to be flat to down 5 percent compared to our fiscal 2007 results. We continue to keep a cautionary eye on the domestic and global economies, weather, field inventory levels, retail demand, commodity prices, competitive actions, and other factors identified below under the heading “Forward-Looking Information,” which could cause our actual results to differ from our outlook.</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254"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Net earnings for the second quarter of fiscal 2008 were $62.8 million or $1.60 per diluted share compared to $75.0 million or $1.77 per diluted share for the second quarter of fiscal 2007, a net earnings per diluted share decrease of 9.6 percent. Year-to-date net earnings in fiscal 2008 were $81.4 million or $2.07 per diluted share compared to $93.4 million or $2.21 per diluted share last fiscal year, a net earnings per diluted share decrease of 6.3 percent. The primary factors contributing to these declines were lower sales volumes, fixed SG&amp;A costs over lower sales volumes, increased spending for marketing, additional investments in engineering, and a higher effective tax rate. In addition, second quarter and year-to-date fiscal 2008 net earnings per diluted share were benefited by approximately $0.11 per share and $0.14 per share, respectively, compared to the same periods in fiscal 2007, as a result of reduced shares outstanding from repurchases of our common stock.</w:t>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summarizes the major operating costs and other income as a percentage of net sales: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60" w:type="dxa"/>
            <w:vAlign w:val="bottom"/>
          </w:tcPr>
          <w:p>
            <w:pPr>
              <w:spacing w:after="0"/>
              <w:rPr>
                <w:sz w:val="20"/>
                <w:szCs w:val="20"/>
                <w:color w:val="auto"/>
              </w:rPr>
            </w:pPr>
          </w:p>
        </w:tc>
        <w:tc>
          <w:tcPr>
            <w:tcW w:w="27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Three Months Ended</w:t>
            </w:r>
          </w:p>
        </w:tc>
        <w:tc>
          <w:tcPr>
            <w:tcW w:w="26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7"/>
        </w:trPr>
        <w:tc>
          <w:tcPr>
            <w:tcW w:w="596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560"/>
              <w:spacing w:after="0" w:line="197" w:lineRule="exact"/>
              <w:rPr>
                <w:sz w:val="20"/>
                <w:szCs w:val="20"/>
                <w:color w:val="auto"/>
              </w:rPr>
            </w:pPr>
            <w:r>
              <w:rPr>
                <w:rFonts w:ascii="Times New Roman" w:cs="Times New Roman" w:eastAsia="Times New Roman" w:hAnsi="Times New Roman"/>
                <w:sz w:val="18"/>
                <w:szCs w:val="18"/>
                <w:color w:val="auto"/>
              </w:rPr>
              <w:t>May 2,</w:t>
            </w:r>
          </w:p>
        </w:tc>
        <w:tc>
          <w:tcPr>
            <w:tcW w:w="1120" w:type="dxa"/>
            <w:vAlign w:val="bottom"/>
            <w:tcBorders>
              <w:top w:val="single" w:sz="8" w:color="auto"/>
            </w:tcBorders>
          </w:tcPr>
          <w:p>
            <w:pPr>
              <w:jc w:val="right"/>
              <w:ind w:right="210"/>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197" w:lineRule="exact"/>
              <w:rPr>
                <w:sz w:val="20"/>
                <w:szCs w:val="20"/>
                <w:color w:val="auto"/>
              </w:rPr>
            </w:pPr>
            <w:r>
              <w:rPr>
                <w:rFonts w:ascii="Times New Roman" w:cs="Times New Roman" w:eastAsia="Times New Roman" w:hAnsi="Times New Roman"/>
                <w:sz w:val="18"/>
                <w:szCs w:val="18"/>
                <w:color w:val="auto"/>
              </w:rPr>
              <w:t>May 2,</w:t>
            </w:r>
          </w:p>
        </w:tc>
        <w:tc>
          <w:tcPr>
            <w:tcW w:w="1140" w:type="dxa"/>
            <w:vAlign w:val="bottom"/>
            <w:tcBorders>
              <w:top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color w:val="auto"/>
              </w:rPr>
              <w:t>May 4,</w:t>
            </w:r>
          </w:p>
        </w:tc>
        <w:tc>
          <w:tcPr>
            <w:tcW w:w="160" w:type="dxa"/>
            <w:vAlign w:val="bottom"/>
          </w:tcPr>
          <w:p>
            <w:pPr>
              <w:spacing w:after="0"/>
              <w:rPr>
                <w:sz w:val="17"/>
                <w:szCs w:val="17"/>
                <w:color w:val="auto"/>
              </w:rPr>
            </w:pPr>
          </w:p>
        </w:tc>
      </w:tr>
      <w:tr>
        <w:trPr>
          <w:trHeight w:val="240"/>
        </w:trPr>
        <w:tc>
          <w:tcPr>
            <w:tcW w:w="59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2007</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tcPr>
          <w:p>
            <w:pPr>
              <w:spacing w:after="0"/>
              <w:rPr>
                <w:sz w:val="20"/>
                <w:szCs w:val="20"/>
                <w:color w:val="auto"/>
              </w:rPr>
            </w:pP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59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w:t>
            </w:r>
          </w:p>
        </w:tc>
      </w:tr>
      <w:tr>
        <w:trPr>
          <w:trHeight w:val="197"/>
        </w:trPr>
        <w:tc>
          <w:tcPr>
            <w:tcW w:w="59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3"/>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59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5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4"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8"/>
          <w:szCs w:val="18"/>
          <w:color w:val="auto"/>
        </w:rPr>
        <w:t>Worldwide consolidated net sales for the second quarter and year-to-date periods of fiscal 2008 were down 7.0 percent and 2.0 percent, respectively, from the same periods in the prior fiscal year. Professional segment net sales were down for the second quarter of fiscal 2008 compared to the second quarter of fiscal 2007 for most product lines as a result of continued weakening of the domestic economy, unfavorable weather in key markets, and customers’ reluctance to place orders due to the uncertain economic environment, which has resulted in lower field inventory levels for most of our domestic businesses. In addition, sales of domestic landscape contractor equipment were also down as a result of the same previously mentioned factors, as well as from distribution changes. Residential segment net sales declined for the second quarter and year-to-date periods of fiscal 2008 compared to the same periods in fiscal 2007 as a result of the continued weakening of the domestic economy and a late spring in key markets. However, the year-to-date results were somewhat tempered by higher snow thrower product sales due to heavy snowfalls during the winter season of 2007-2008. Other segment net sales were also down for the second quarter and year-to-date periods of fiscal 2008 compared to the same periods in fiscal 2007 as a result of the weak domestic economic conditions and late arriving spring weather, as well as the sale of a portion of the operations of one of our company-owned distributorships. On a positive note, international sales increased for the second quarter and year-to-date periods of fiscal 2008 compared to the same periods in fiscal 2007 as a result continued demand for our products in international markets. A weaker U.S. dollar compared to other worldwide currencies in which we transact business benefited our net sales by approximately $11.3 million and $19.6 million for the second quarter and year-to-date periods of fiscal 2008,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As a percentage of net sales, gross profit for the second quarter of fiscal 2008 increased slightly to 35.7 percent compared to 35.6 percent in the second quarter of fiscal 2007. Gross profit as a percent of net sales for the year-to-date period of fiscal 2008 remained unchanged at 36.1 percent compared to the year-to-date period of fiscal 2007. Higher commodity costs and increased freight expense from higher fuel prices led to the decrease in gross profit and were offset by the following factors: (i) favorable product mix (ii) a weaker U.S. dollar compared to other worldwide currencies in which we transact business; and (iii) continued focus on cost reduction efforts and productivity improvements as part of our GrowLean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25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decreased slightly by 0.7 percent for the second quarter of fiscal 2008 compared to the second quarter of fiscal 2007. However, SG&amp;A expense increased by 1.7 percent for the year-to-date period of fiscal 2008 compared to the year-to-date period of fiscal 2007. SG&amp;A expense as a percentage of net sales for the second quarter and year-to-date periods of fiscal 2008 increased to 19.6 percent and 23.2 percent, respectively, compared to 18.3 percent and 22.3 percent for the second quarter and year-to-date periods of fiscal 2007, respectively. The increase in SG&amp;A expense as a percentage of net sales was due primarily to fixed SG&amp;A costs over lower sales volumes, increased spending for marketing, and additional investments in engineering. Somewhat offsetting those increases was a decline in incentive compensation expense for the second quarter and year-to-date periods of fiscal 2008 compared to the same periods last fiscal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Interest expense for the second quarter of fiscal 2008 was down 6.4 percent compared to the second quarter of fiscal 2007 as a result of lower levels of average short-term debt and a decline in average interest rates. However, interest expense for the year-to-date period of fiscal 2008 increased slightly by 0.3 percent compared to the same period in the prior fiscal year due to higher average debt levels somewhat offset by a decline in average interest rates.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2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Other income, net for the second quarter of fiscal 2008 decreased $2.3 million compared to the second quarter of fiscal 2007. Other income, net for the year-to-date period of fiscal 2008 declined by $3.0 million compared to the same period last fiscal year. These decreases were due to the following factors: (i) foreign currency exchange rate losses this year compared to foreign currency exchange rate gains last year; (ii) a decline in financing charge revenue; and (iii) lower interest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effective tax rate for the second quarter of fiscal 2008 was 35.0 percent compared to 34.6 percent for the second quarter of fiscal 2007. The effective tax rate for the year-to-date period of fiscal 2008 was 35.1 percent compared to 33.4 percent for the same period in the prior fiscal year. The increase in the effective tax rate was due to the accelerated phase-out of benefits for foreign export incentives as compared to the phase-in benefit for the domestic manufacturing credit, as well as the expiration of the federal research and experimentation tax credit on December 31, 2007.</w:t>
      </w:r>
    </w:p>
    <w:p>
      <w:pPr>
        <w:spacing w:after="0" w:line="3" w:lineRule="exact"/>
        <w:rPr>
          <w:sz w:val="20"/>
          <w:szCs w:val="20"/>
          <w:color w:val="auto"/>
        </w:rPr>
      </w:pPr>
    </w:p>
    <w:p>
      <w:pPr>
        <w:ind w:firstLine="224"/>
        <w:spacing w:after="0" w:line="251" w:lineRule="auto"/>
        <w:rPr>
          <w:sz w:val="20"/>
          <w:szCs w:val="20"/>
          <w:color w:val="auto"/>
        </w:rPr>
      </w:pPr>
      <w:r>
        <w:rPr>
          <w:rFonts w:ascii="Times New Roman" w:cs="Times New Roman" w:eastAsia="Times New Roman" w:hAnsi="Times New Roman"/>
          <w:sz w:val="18"/>
          <w:szCs w:val="18"/>
          <w:color w:val="auto"/>
        </w:rPr>
        <w:t>In 2006, the FASB issued Interpretation No. 48, “Accounting for Uncertainty in Income Taxes” (FIN 48), which clarifies the accounting for uncertainty in income taxes recognized in a company’s financial statements in accordance with FASB Statement No. 109, “Accounting for Income Taxes.” FIN 48 describes when an uncertain tax item should be recorded in the financial statements and for how much, provides guidance on recording interest and penalties, and prescribes accounting and reporting for income taxes in interim periods. FIN 48 was effective for us on November 1, 2007. The adoption of FIN 48 had no material impact on our consolidated financial position or results of operations for the first and second quarters of fiscal 2008.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SEGMENTS</w:t>
      </w:r>
    </w:p>
    <w:p>
      <w:pPr>
        <w:spacing w:after="0" w:line="24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As described previously, we operate in two reportable business segments: professional and residential. A third reportable segment called “other” consists of company-owned domestic distributorships, corporate activities, and financing functions.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749"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following table summarizes net sales by segment: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4"/>
        </w:trPr>
        <w:tc>
          <w:tcPr>
            <w:tcW w:w="6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7"/>
        </w:trPr>
        <w:tc>
          <w:tcPr>
            <w:tcW w:w="6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tcPr>
          <w:p>
            <w:pPr>
              <w:spacing w:after="0"/>
              <w:rPr>
                <w:sz w:val="17"/>
                <w:szCs w:val="17"/>
                <w:color w:val="auto"/>
              </w:rPr>
            </w:pPr>
          </w:p>
        </w:tc>
        <w:tc>
          <w:tcPr>
            <w:tcW w:w="1060" w:type="dxa"/>
            <w:vAlign w:val="bottom"/>
            <w:gridSpan w:val="2"/>
          </w:tcPr>
          <w:p>
            <w:pPr>
              <w:jc w:val="center"/>
              <w:ind w:right="320"/>
              <w:spacing w:after="0" w:line="197" w:lineRule="exact"/>
              <w:rPr>
                <w:sz w:val="20"/>
                <w:szCs w:val="20"/>
                <w:color w:val="auto"/>
              </w:rPr>
            </w:pPr>
            <w:r>
              <w:rPr>
                <w:rFonts w:ascii="Times New Roman" w:cs="Times New Roman" w:eastAsia="Times New Roman" w:hAnsi="Times New Roman"/>
                <w:sz w:val="18"/>
                <w:szCs w:val="18"/>
                <w:color w:val="auto"/>
                <w:w w:val="97"/>
              </w:rPr>
              <w:t>May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20"/>
              <w:spacing w:after="0" w:line="197" w:lineRule="exact"/>
              <w:rPr>
                <w:sz w:val="20"/>
                <w:szCs w:val="20"/>
                <w:color w:val="auto"/>
              </w:rPr>
            </w:pPr>
            <w:r>
              <w:rPr>
                <w:rFonts w:ascii="Times New Roman" w:cs="Times New Roman" w:eastAsia="Times New Roman" w:hAnsi="Times New Roman"/>
                <w:sz w:val="18"/>
                <w:szCs w:val="18"/>
                <w:color w:val="auto"/>
                <w:w w:val="97"/>
              </w:rPr>
              <w:t>May 4,</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0"/>
        </w:trPr>
        <w:tc>
          <w:tcPr>
            <w:tcW w:w="6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2007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429,884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(17,973)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(26,889)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5"/>
        </w:trPr>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686,653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197,770</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May 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7"/>
              </w:rPr>
              <w:t>May 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2007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723,080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(20,571)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5"/>
        </w:trPr>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1,065,741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321,474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34,753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6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1"/>
        </w:trPr>
        <w:tc>
          <w:tcPr>
            <w:tcW w:w="73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following table summarizes operating earnings (loss) before income taxes by segment: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4"/>
        </w:trPr>
        <w:tc>
          <w:tcPr>
            <w:tcW w:w="6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7"/>
        </w:trPr>
        <w:tc>
          <w:tcPr>
            <w:tcW w:w="6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tcPr>
          <w:p>
            <w:pPr>
              <w:spacing w:after="0"/>
              <w:rPr>
                <w:sz w:val="17"/>
                <w:szCs w:val="17"/>
                <w:color w:val="auto"/>
              </w:rPr>
            </w:pPr>
          </w:p>
        </w:tc>
        <w:tc>
          <w:tcPr>
            <w:tcW w:w="1060" w:type="dxa"/>
            <w:vAlign w:val="bottom"/>
            <w:gridSpan w:val="2"/>
          </w:tcPr>
          <w:p>
            <w:pPr>
              <w:jc w:val="center"/>
              <w:ind w:right="320"/>
              <w:spacing w:after="0" w:line="197" w:lineRule="exact"/>
              <w:rPr>
                <w:sz w:val="20"/>
                <w:szCs w:val="20"/>
                <w:color w:val="auto"/>
              </w:rPr>
            </w:pPr>
            <w:r>
              <w:rPr>
                <w:rFonts w:ascii="Times New Roman" w:cs="Times New Roman" w:eastAsia="Times New Roman" w:hAnsi="Times New Roman"/>
                <w:sz w:val="18"/>
                <w:szCs w:val="18"/>
                <w:color w:val="auto"/>
                <w:w w:val="97"/>
              </w:rPr>
              <w:t>May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20"/>
              <w:spacing w:after="0" w:line="197" w:lineRule="exact"/>
              <w:rPr>
                <w:sz w:val="20"/>
                <w:szCs w:val="20"/>
                <w:color w:val="auto"/>
              </w:rPr>
            </w:pPr>
            <w:r>
              <w:rPr>
                <w:rFonts w:ascii="Times New Roman" w:cs="Times New Roman" w:eastAsia="Times New Roman" w:hAnsi="Times New Roman"/>
                <w:sz w:val="18"/>
                <w:szCs w:val="18"/>
                <w:color w:val="auto"/>
                <w:w w:val="97"/>
              </w:rPr>
              <w:t>May 4,</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0"/>
        </w:trPr>
        <w:tc>
          <w:tcPr>
            <w:tcW w:w="6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2007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96,616</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27,430</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5"/>
        </w:trPr>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gridSpan w:val="5"/>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May 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7"/>
              </w:rPr>
              <w:t>May 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2007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(48,411)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5"/>
        </w:trPr>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w:t>
      </w:r>
    </w:p>
    <w:p>
      <w:pPr>
        <w:spacing w:after="0" w:line="3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u w:val="single" w:color="auto"/>
          <w:color w:val="auto"/>
        </w:rPr>
        <w:t>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net sales for the professional segment in the second quarter of fiscal 2008 were down 4.0 percent compared to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2007 and increased slightly by 0.4 percent for year-to-date period of fiscal 2008 compared to the same period last fiscal year. The second quarter net sales decrease was due to lower sales of most domestic product lines as a result of decreased demand due to the continued weakening of the domestic economy, unfavorable weather in key domestic markets, and customers’ reluctance to place orders due to the uncertain economic environment. In addition, sales of professionally installed irrigation systems were down due to the same factors mentioned, and from the poor domestic housing market. Sales of domestic landscape contractor equipment also declined as a result of the same previously mentioned factors, as well as from distribution changes. Domestic field inventory levels were lower as of the end of the second quarter of fiscal 2008 compared to the end of the second quarter of fiscal 2007, and retail demand increased slightly for the second quarter and year-to-date period of fiscal 2008 from the same periods in the prior fiscal year. Professional segment sales internationally were up in the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6" w:name="page17"/>
    <w:bookmarkEnd w:id="16"/>
    <w:p>
      <w:pPr>
        <w:ind w:right="220"/>
        <w:spacing w:after="0" w:line="280" w:lineRule="auto"/>
        <w:rPr>
          <w:sz w:val="20"/>
          <w:szCs w:val="20"/>
          <w:color w:val="auto"/>
        </w:rPr>
      </w:pPr>
      <w:r>
        <w:rPr>
          <w:rFonts w:ascii="Times New Roman" w:cs="Times New Roman" w:eastAsia="Times New Roman" w:hAnsi="Times New Roman"/>
          <w:sz w:val="18"/>
          <w:szCs w:val="18"/>
          <w:color w:val="auto"/>
        </w:rPr>
        <w:t>second quarter and year-to-date periods of fiscal 2008 compared to the same periods in the prior fiscal year due to the continued growth and demand for our products in international markets, particularly in the golf market.</w:t>
      </w:r>
    </w:p>
    <w:p>
      <w:pPr>
        <w:spacing w:after="0" w:line="187"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Operating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earnings for the professional segment in the second quarter and year-to-date periods of fiscal 2008 decreased 10.9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4.9 percent, respectively, compared to the same periods last fiscal year. Expressed as a percentage of net sales, professional segment operating margin decreased to 22.5 percent compared to 24.2 percent in the second quarter of fiscal 2007, and the fiscal 2008 year-to-date professional segment operating margin decreased to 20.6 percent compared to 21.8 percent from the same period last fiscal year. This profit decline was the result of lower gross margins due primarily to higher commodity costs and fuel prices, somewhat offset by the same factors discussed previously in the Gross Profit section. Higher SG&amp;A expense as a percentage of net sales also adversely affected operating earnings, which was due primarily to fixed SG&amp;A costs over lower sales volumes.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w:t>
      </w:r>
    </w:p>
    <w:p>
      <w:pPr>
        <w:spacing w:after="0" w:line="2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net sales for the residential segment in the second quarter and year-to-date periods of fiscal 2008 were down 11.8 percent and 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respectively, compared to the same periods last fiscal year. These decreases were due primarily to lower demand for walk power mowers and riding products as a result of the continued weakening of the domestic economy and a late spring, as well as increased competitive pressure for walk power mowers. Sales of electric trimmers were also down due to lost placement at a key retailer; however electric blower sales were up due to additional placement and an increase in retail demand. Net sales for the year-to-date period of fiscal 2008 compared to the same period last fiscal year were benefited by strong shipments of snow thrower products as a result of heavy snowfalls in key markets during the 2007/2008 winter season.</w:t>
      </w:r>
    </w:p>
    <w:p>
      <w:pPr>
        <w:spacing w:after="0" w:line="2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Operating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earnings for the residential segment in the second quarter of fiscal 2008 decreased 23.2 percent compared to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2007, and fiscal 2008 year-to-date operating earnings were down 24.9 percent compared to the same period last fiscal year. Expressed as a percentage of net sales, residential segment operating margin declined to 10.5 percent compared to 12.0 percent in the second quarter of fiscal 2007, and fiscal 2008 year-to-date residential segment operating margin decreased to 7.7 percent compared to 9.6 percent last fiscal year. The profit declines were primarily attributable to higher SG&amp;A costs due to fixed SG&amp;A costs over lower sales volumes. Residential segment gross margin for the second quarter of fiscal 2008 slightly improved compared to the second quarter of fiscal 2007; however, residential segment gross margin was down for the year-to-date period of fiscal 2008 compared to the same period last fiscal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for the other segment include sales from our wholly owned domestic distribution companies less sales from the professional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segments to those distribution companies. In addition, elimination of the professional and residential segments’ floor plan interest costs from Toro Credit Company are also included in this segment. Net sales for the other segment were down for the second quarter and year-to-date periods of fiscal 2008 compared to the same periods last fiscal year by $3.3 million, or 31.0 percent, and $3.9 million, or 25.1 percent, respectively, as a result of the continued weakening of the domestic economy and late arriving spring weather, as well as the sale of a portion of the operations of one of our company-owned distributorships in the first quarter of fiscal 2008.</w:t>
      </w:r>
    </w:p>
    <w:p>
      <w:pPr>
        <w:spacing w:after="0" w:line="2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i w:val="1"/>
          <w:iCs w:val="1"/>
          <w:u w:val="single" w:color="auto"/>
          <w:color w:val="auto"/>
        </w:rPr>
        <w:t>Operating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losses for the other segment were slightly down for the second quarter and year-to-date periods of fiscal 2008 by $0.3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percent, and $0.8 million, or 1.7 percent, respectively, compared to the same periods last fiscal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POSITION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Receivables as of the end of the second quarter of fiscal 2008 were down 5.2 percent compared to the end of the second quarter of fiscal 2007 due to the decline in net sales. Our average days sales outstanding for receivables improved to 71 days based on sales for the last twelve months ended May 2, 2008, compared to 75 days for the twelve months ended May 4, 2007. Inventory was up as of the end of the second quarter of fiscal 2008 by 7.1 percent compared to the end of the second quarter of fiscal 2007, and average inventory turnover was down by 3.0 percent for the twelve months ended May 2, 2008 compared to the twelve months ended May 4, 2007. We are taking proactive measures to manage through the tough economic environment by adjusting production plans, controlling costs, and managing our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5" w:lineRule="exact"/>
        <w:rPr>
          <w:sz w:val="20"/>
          <w:szCs w:val="20"/>
          <w:color w:val="auto"/>
        </w:rPr>
      </w:pPr>
    </w:p>
    <w:p>
      <w:pPr>
        <w:ind w:right="280" w:firstLine="224"/>
        <w:spacing w:after="0" w:line="249" w:lineRule="auto"/>
        <w:rPr>
          <w:sz w:val="20"/>
          <w:szCs w:val="20"/>
          <w:color w:val="auto"/>
        </w:rPr>
      </w:pPr>
      <w:r>
        <w:rPr>
          <w:rFonts w:ascii="Times New Roman" w:cs="Times New Roman" w:eastAsia="Times New Roman" w:hAnsi="Times New Roman"/>
          <w:sz w:val="18"/>
          <w:szCs w:val="18"/>
          <w:color w:val="auto"/>
        </w:rPr>
        <w:t>Our Board of Directors approved a cash dividend of $0.15 per share for the second quarter of fiscal 2008 paid on April 11, 2008, which was an increase over our cash dividend of $0.12 per share for the second quarter of fiscal 2007.</w:t>
      </w:r>
    </w:p>
    <w:p>
      <w:pPr>
        <w:spacing w:after="0" w:line="1" w:lineRule="exact"/>
        <w:rPr>
          <w:sz w:val="20"/>
          <w:szCs w:val="20"/>
          <w:color w:val="auto"/>
        </w:rPr>
      </w:pPr>
    </w:p>
    <w:p>
      <w:pPr>
        <w:ind w:right="520" w:firstLine="224"/>
        <w:spacing w:after="0" w:line="258" w:lineRule="auto"/>
        <w:rPr>
          <w:sz w:val="20"/>
          <w:szCs w:val="20"/>
          <w:color w:val="auto"/>
        </w:rPr>
      </w:pPr>
      <w:r>
        <w:rPr>
          <w:rFonts w:ascii="Times New Roman" w:cs="Times New Roman" w:eastAsia="Times New Roman" w:hAnsi="Times New Roman"/>
          <w:sz w:val="18"/>
          <w:szCs w:val="18"/>
          <w:color w:val="auto"/>
        </w:rPr>
        <w:t>On May 21, 2008, our Board of Directors also authorized the repurchase of an additional 4 million shares of our common stock in open-market or in privately negotiated transactions.</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in operating activities for the first six months of fiscal 2008 was 7.5 percent lower than the first six months of fiscal 2007 due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lower increase in receivables, somewhat offset by a decline in net earnings and a higher increase in inventory levels for the first six months of fiscal 2008 compared to the first six months of fiscal 2007. Cash used in investing activities was lower by $0.7 million, or 3.0 percent, compared to the first six months of fiscal 2007, due mainly to cash received from the sale of a portion of the operations of one of our company-owned distributorships in the first quarter of fiscal 2008. Cash provided by financing activities was lower by 18.4 percent compared to the first six months of fiscal 2007. This change of $23.5 million was due primarily to a lower increase in debt levels and a decline in proceeds and tax benefits from stock-based awards in the first six months of fiscal 2008 compared to the first six months of fiscal 2007.</w:t>
      </w:r>
    </w:p>
    <w:p>
      <w:pPr>
        <w:spacing w:after="0" w:line="21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Credit Lines and Other Capital Resources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is seasonal, with accounts receivable balances historically increasing between January and April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January and April. Seasonal cash requirements are financed from operations and with short-term financing arrangements, including a $225.0 million unsecured senior five-year revolving credit facility that expires in January 2012. Interest expense on this credit line is determined based on a LIBOR rate plus a basis point spread defined in the credit agreement. In addition, our non-U.S. operations maintain unsecured short-term lines of credit of approximately $21 million. These facilities bear interest at various rates depending on the rates in their respective countries of operation. We also have a letter of credit subfacility as part of our credit agreement. Average short-term debt was $103.0 million in the first six months of fiscal 2008 compared to $95.1 million in the first six months of fiscal 2007, an increase of 8.3 percent. This increase was due primarily to additional net proceeds from the issuance of the senior notes in April 2007 used to pay down short-term debt last year. As of May 2, 2008, we had $94.5 million of unutilized availability under our credit agreements.</w:t>
      </w:r>
    </w:p>
    <w:p>
      <w:pPr>
        <w:spacing w:after="0" w:line="5" w:lineRule="exact"/>
        <w:rPr>
          <w:sz w:val="20"/>
          <w:szCs w:val="20"/>
          <w:color w:val="auto"/>
        </w:rPr>
      </w:pPr>
    </w:p>
    <w:p>
      <w:pPr>
        <w:ind w:right="260" w:firstLine="224"/>
        <w:spacing w:after="0" w:line="258" w:lineRule="auto"/>
        <w:rPr>
          <w:sz w:val="20"/>
          <w:szCs w:val="20"/>
          <w:color w:val="auto"/>
        </w:rPr>
      </w:pPr>
      <w:r>
        <w:rPr>
          <w:rFonts w:ascii="Times New Roman" w:cs="Times New Roman" w:eastAsia="Times New Roman" w:hAnsi="Times New Roman"/>
          <w:sz w:val="18"/>
          <w:szCs w:val="18"/>
          <w:color w:val="auto"/>
        </w:rPr>
        <w:t>Significant financial covenants in our credit agreement are interest coverage and debt-to-capitalization ratios. We were in compliance with all covenants related to our credit agreements as of May 2, 2008, and expect to be in compliance with all covenants during the remainder of fiscal 2008.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5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Our off-balance sheet arrangements generally relate to customer financing activities, inventory purchase commitments, deferred compensation arrangements, and operating lease commitments. Third party financing companies purchased $107.1 million of receivables from us during the first six months of fiscal 2008, of which $102.7 million was outstanding as of May 2, 2008. See our most recently filed Annual Report on Form 10-K for further details regarding our off-balance sheet arrangements and contractual obligations. No material change in this information occurred during the first two quarters of fiscal 2008.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are subject to the effects of inflation and changing prices. In the first half of fiscal 2008, average prices paid for most commodities we purchase were higher compared to the first half of fiscal 2007, which hampered our gross margin growth rate in the first half of fiscal 2008 compared to the first half of fiscal 2007. We expect average prices paid for commodities we purchase, mainly steel, resin, and fuel, to increase for the remainder of fiscal 2008. We plan to attempt to mitigate the impact of these anticipated increases in commodity costs and other inflationary pressures by engaging in proactive vendor negotiations and internal cost reduction efforts, reviewing alternative sourcing options, and possible moderate price increases on some products.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0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3" w:lineRule="exact"/>
        <w:rPr>
          <w:sz w:val="20"/>
          <w:szCs w:val="20"/>
          <w:color w:val="auto"/>
        </w:rPr>
      </w:pPr>
    </w:p>
    <w:p>
      <w:pPr>
        <w:ind w:right="40" w:firstLine="224"/>
        <w:spacing w:after="0" w:line="251"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to the notes to our consolidated financial statements included in our Annual Report on Form 10-K for the fiscal year ended October 31, 2007.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Warranty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coverage on our products ranges from a period of six months to seven years, and generally covers parts, labor, and other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non-maintenance repairs. Warranty coverage generally does not cover operator abuse and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may result in an increase in our warranty accrual and a decrease in our net earnings.</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Sales Promotions and Incentives.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sale to a customer, we record an estimate for sales promotion and incentive costs, which are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from gross sales or as a component of SG&amp;A.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the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21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Inventory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value our inventories at the lower of the cost of inventory or net realizable value, with cost determined by either the last-in,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(LIFO) 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3" w:lineRule="exact"/>
        <w:rPr>
          <w:sz w:val="20"/>
          <w:szCs w:val="20"/>
          <w:color w:val="auto"/>
        </w:rPr>
      </w:pPr>
    </w:p>
    <w:p>
      <w:pPr>
        <w:ind w:right="160" w:firstLine="221"/>
        <w:spacing w:after="0" w:line="258" w:lineRule="auto"/>
        <w:rPr>
          <w:sz w:val="20"/>
          <w:szCs w:val="20"/>
          <w:color w:val="auto"/>
        </w:rPr>
      </w:pPr>
      <w:r>
        <w:rPr>
          <w:rFonts w:ascii="Times New Roman" w:cs="Times New Roman" w:eastAsia="Times New Roman" w:hAnsi="Times New Roman"/>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 w:name="page20"/>
    <w:bookmarkEnd w:id="19"/>
    <w:p>
      <w:pPr>
        <w:ind w:right="220"/>
        <w:spacing w:after="0" w:line="280" w:lineRule="auto"/>
        <w:rPr>
          <w:sz w:val="20"/>
          <w:szCs w:val="20"/>
          <w:color w:val="auto"/>
        </w:rPr>
      </w:pPr>
      <w:r>
        <w:rPr>
          <w:rFonts w:ascii="Times New Roman" w:cs="Times New Roman" w:eastAsia="Times New Roman" w:hAnsi="Times New Roman"/>
          <w:sz w:val="18"/>
          <w:szCs w:val="18"/>
          <w:color w:val="auto"/>
        </w:rPr>
        <w:t>levels. Though management considers reserve balances adequate and proper, changes in economic conditions in specific markets in which we operate could have an effect on the reserve balances required.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Accounts and Notes Receivable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value accounts and notes receivable net of an allowance for doubtful accounts. Each fiscal quarter, we prepare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may record a credit or charge to SG&amp;A in the period that we made such a determination.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to be Adopted</w:t>
      </w:r>
    </w:p>
    <w:p>
      <w:pPr>
        <w:spacing w:after="0" w:line="25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March 2008, the Financial Accounting Standards Board (FASB) issued Statement of Financial Accounting Standards (SFAS) No. 161, “Disclosures about Derivative Instruments and Hedging Activities, an amendment of FASB Statement No. 133.” SFAS No. 161 amends and expands the disclosure requirements of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w:t>
      </w:r>
    </w:p>
    <w:p>
      <w:pPr>
        <w:spacing w:after="0" w:line="5" w:lineRule="exact"/>
        <w:rPr>
          <w:sz w:val="20"/>
          <w:szCs w:val="20"/>
          <w:color w:val="auto"/>
        </w:rPr>
      </w:pPr>
    </w:p>
    <w:p>
      <w:pPr>
        <w:ind w:right="100" w:firstLine="224"/>
        <w:spacing w:after="0" w:line="249" w:lineRule="auto"/>
        <w:rPr>
          <w:sz w:val="20"/>
          <w:szCs w:val="20"/>
          <w:color w:val="auto"/>
        </w:rPr>
      </w:pPr>
      <w:r>
        <w:rPr>
          <w:rFonts w:ascii="Times New Roman" w:cs="Times New Roman" w:eastAsia="Times New Roman" w:hAnsi="Times New Roman"/>
          <w:sz w:val="18"/>
          <w:szCs w:val="18"/>
          <w:color w:val="auto"/>
        </w:rPr>
        <w:t>In December 2007, the FASB issued SFAS No. 141 (Revised 2007), “Business Combinations.” SFAS No. 141R applies to all business combinations and requires most identifiable assets, liabilities, noncontrolling interests, and goodwill acquired to be recorded at “full fair value.” We will adopt the provisions of SFAS No. 141R for any business combination occurring on or after November 1, 2009, as required.</w:t>
      </w:r>
    </w:p>
    <w:p>
      <w:pPr>
        <w:spacing w:after="0" w:line="1" w:lineRule="exact"/>
        <w:rPr>
          <w:sz w:val="20"/>
          <w:szCs w:val="20"/>
          <w:color w:val="auto"/>
        </w:rPr>
      </w:pPr>
    </w:p>
    <w:p>
      <w:pPr>
        <w:ind w:right="80" w:firstLine="224"/>
        <w:spacing w:after="0" w:line="249" w:lineRule="auto"/>
        <w:rPr>
          <w:sz w:val="20"/>
          <w:szCs w:val="20"/>
          <w:color w:val="auto"/>
        </w:rPr>
      </w:pPr>
      <w:r>
        <w:rPr>
          <w:rFonts w:ascii="Times New Roman" w:cs="Times New Roman" w:eastAsia="Times New Roman" w:hAnsi="Times New Roman"/>
          <w:sz w:val="18"/>
          <w:szCs w:val="18"/>
          <w:color w:val="auto"/>
        </w:rPr>
        <w:t>In September 2006, the FASB issued SFAS No. 157, “Fair Value Measurements.” SFAS No. 157 defines fair value, establishes a framework for measuring fair value, and expands disclosures concerning fair value. We will adopt the provisions of SFAS No. 157 for financial assets and liabilities and nonfinancial assets and liabilities measured at fair value on a recurring basis during the first quarter of fiscal 2009, as required. 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this new pronouncement will have a material impact on our consolidated financial condition or results of operations.</w:t>
      </w:r>
    </w:p>
    <w:p>
      <w:pPr>
        <w:spacing w:after="0" w:line="2" w:lineRule="exact"/>
        <w:rPr>
          <w:sz w:val="20"/>
          <w:szCs w:val="20"/>
          <w:color w:val="auto"/>
        </w:rPr>
      </w:pPr>
    </w:p>
    <w:p>
      <w:pPr>
        <w:ind w:right="80" w:firstLine="224"/>
        <w:spacing w:after="0" w:line="258" w:lineRule="auto"/>
        <w:rPr>
          <w:sz w:val="20"/>
          <w:szCs w:val="20"/>
          <w:color w:val="auto"/>
        </w:rPr>
      </w:pPr>
      <w:r>
        <w:rPr>
          <w:rFonts w:ascii="Times New Roman" w:cs="Times New Roman" w:eastAsia="Times New Roman" w:hAnsi="Times New Roman"/>
          <w:sz w:val="18"/>
          <w:szCs w:val="18"/>
          <w:color w:val="auto"/>
        </w:rPr>
        <w:t>No other new accounting pronouncement that has been issued but not yet effective for us during the second quarter of fiscal 2008 has had or is expected to have a material impact on our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“looking ahead”, “outlook”, “optimistic”, “plan”, “anticipate”, “estimate”, “believe”, “could”, “should”, “may”, “possible”,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20" w:name="page21"/>
    <w:bookmarkEnd w:id="20"/>
    <w:p>
      <w:pPr>
        <w:ind w:right="40"/>
        <w:spacing w:after="0" w:line="256"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 w:lineRule="exact"/>
        <w:rPr>
          <w:sz w:val="20"/>
          <w:szCs w:val="20"/>
          <w:color w:val="auto"/>
        </w:rPr>
      </w:pPr>
    </w:p>
    <w:p>
      <w:pPr>
        <w:jc w:val="both"/>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and outlook in the United States and around the world, including but not limited to slow domestic and worldwide economic growth rates; slow downs or reductions in home ownership, construction, and home sales; consumer spending levels; employment rates; interest rates; inflation; consumer confidence; and general economic and political conditions and expectations in the United States and the foreign countries in which we conduct business.</w:t>
      </w:r>
    </w:p>
    <w:p>
      <w:pPr>
        <w:spacing w:after="0" w:line="1" w:lineRule="exact"/>
        <w:rPr>
          <w:rFonts w:ascii="Times New Roman" w:cs="Times New Roman" w:eastAsia="Times New Roman" w:hAnsi="Times New Roman"/>
          <w:sz w:val="18"/>
          <w:szCs w:val="18"/>
          <w:color w:val="auto"/>
        </w:rPr>
      </w:pPr>
    </w:p>
    <w:p>
      <w:pPr>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and availability of raw materials and components that we purchase and increases in our other costs of doing business, including transportation costs, may adversely affect our profit margins and business.</w:t>
      </w:r>
    </w:p>
    <w:p>
      <w:pPr>
        <w:ind w:left="340" w:hanging="144"/>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may reduce demand for some of our products and adversely affect our net sales.</w:t>
      </w:r>
    </w:p>
    <w:p>
      <w:pPr>
        <w:spacing w:after="0" w:line="8" w:lineRule="exact"/>
        <w:rPr>
          <w:rFonts w:ascii="Times New Roman" w:cs="Times New Roman" w:eastAsia="Times New Roman" w:hAnsi="Times New Roman"/>
          <w:sz w:val="18"/>
          <w:szCs w:val="18"/>
          <w:color w:val="auto"/>
        </w:rPr>
      </w:pPr>
    </w:p>
    <w:p>
      <w:pPr>
        <w:jc w:val="both"/>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upon the level of growth in the residential and commercial construction markets, growth of homeowners’ who outsource lawn care, the amount of investment in golf course renovations and improvements, new golf course development, golf course closures, and the amount of government spending for grounds maintenance equipment.</w:t>
      </w:r>
    </w:p>
    <w:p>
      <w:pPr>
        <w:spacing w:after="0" w:line="1" w:lineRule="exact"/>
        <w:rPr>
          <w:rFonts w:ascii="Times New Roman" w:cs="Times New Roman" w:eastAsia="Times New Roman" w:hAnsi="Times New Roman"/>
          <w:sz w:val="18"/>
          <w:szCs w:val="18"/>
          <w:color w:val="auto"/>
        </w:rPr>
      </w:pPr>
    </w:p>
    <w:p>
      <w:pPr>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upon the amount of product placement at retailers, changing buying patterns of customers, and The Home Depot, Inc. as a major customer.</w:t>
      </w:r>
    </w:p>
    <w:p>
      <w:pPr>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enhance existing products and develop and market new products that respond to customer needs and preferences and achieve market acceptance, we may experience a decrease in demand for our products, and our business could suffer.</w:t>
      </w:r>
    </w:p>
    <w:p>
      <w:pPr>
        <w:jc w:val="both"/>
        <w:ind w:left="340" w:hanging="144"/>
        <w:spacing w:after="0" w:line="264" w:lineRule="auto"/>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in all of our product lines with numerous manufacturers, including from some competitors that have greater financial and other resources than we do. We may not be able to compete effectively against competitors’ actions, which could harm our business and operating results.</w:t>
      </w:r>
    </w:p>
    <w:p>
      <w:pPr>
        <w:jc w:val="both"/>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consolidated net sales is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 w:lineRule="exact"/>
        <w:rPr>
          <w:rFonts w:ascii="Times New Roman" w:cs="Times New Roman" w:eastAsia="Times New Roman" w:hAnsi="Times New Roman"/>
          <w:sz w:val="18"/>
          <w:szCs w:val="18"/>
          <w:color w:val="auto"/>
        </w:rPr>
      </w:pPr>
    </w:p>
    <w:p>
      <w:pPr>
        <w:ind w:left="340" w:hanging="144"/>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could result in declines in our reported net sales and net earnings.</w:t>
      </w:r>
    </w:p>
    <w:p>
      <w:pPr>
        <w:spacing w:after="0" w:line="8" w:lineRule="exact"/>
        <w:rPr>
          <w:rFonts w:ascii="Times New Roman" w:cs="Times New Roman" w:eastAsia="Times New Roman" w:hAnsi="Times New Roman"/>
          <w:sz w:val="18"/>
          <w:szCs w:val="18"/>
          <w:color w:val="auto"/>
        </w:rPr>
      </w:pPr>
    </w:p>
    <w:p>
      <w:pPr>
        <w:jc w:val="both"/>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spacing w:after="0" w:line="1" w:lineRule="exact"/>
        <w:rPr>
          <w:rFonts w:ascii="Times New Roman" w:cs="Times New Roman" w:eastAsia="Times New Roman" w:hAnsi="Times New Roman"/>
          <w:sz w:val="18"/>
          <w:szCs w:val="18"/>
          <w:color w:val="auto"/>
        </w:rPr>
      </w:pPr>
    </w:p>
    <w:p>
      <w:pPr>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our business in part through additional acquisitions and alliances, stronger customer relations, and new partnerships, which are risky and could harm our business, particularly if we are not able to successfully integrate such acquisitions, alliances, and partnerships.</w:t>
      </w:r>
    </w:p>
    <w:p>
      <w:pPr>
        <w:ind w:left="340" w:right="2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jc w:val="both"/>
        <w:ind w:left="34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1" w:lineRule="exact"/>
        <w:rPr>
          <w:rFonts w:ascii="Times New Roman" w:cs="Times New Roman" w:eastAsia="Times New Roman" w:hAnsi="Times New Roman"/>
          <w:sz w:val="18"/>
          <w:szCs w:val="18"/>
          <w:color w:val="auto"/>
        </w:rPr>
      </w:pPr>
    </w:p>
    <w:p>
      <w:pPr>
        <w:ind w:left="340" w:right="2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340" w:right="20" w:hanging="144"/>
        <w:spacing w:after="0" w:line="24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 w:lineRule="exact"/>
        <w:rPr>
          <w:rFonts w:ascii="Times New Roman" w:cs="Times New Roman" w:eastAsia="Times New Roman" w:hAnsi="Times New Roman"/>
          <w:sz w:val="18"/>
          <w:szCs w:val="18"/>
          <w:color w:val="auto"/>
        </w:rPr>
      </w:pPr>
    </w:p>
    <w:p>
      <w:pPr>
        <w:jc w:val="both"/>
        <w:ind w:left="340" w:hanging="144"/>
        <w:spacing w:after="0" w:line="25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ratings of lawnmowers, of which we are currently unable to assess whether such litigation would have a material adverse effect on our consolidated operating results or financial condition, although an adverse result might be material to our operating results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1" w:name="page22"/>
    <w:bookmarkEnd w:id="21"/>
    <w:p>
      <w:pPr>
        <w:ind w:left="340" w:hanging="144"/>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key employees, and attract and retain other qualified personnel, we may not be able to meet strategic objectives and our business could suffer.</w:t>
      </w:r>
    </w:p>
    <w:p>
      <w:pPr>
        <w:jc w:val="both"/>
        <w:ind w:left="340" w:hanging="144"/>
        <w:spacing w:after="0" w:line="249"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In addition, if we are unable to comply with the terms of our credit arrangements and indentures, especially the financial covenants, our credit arrangements could be terminated and our senior notes and debentures could become due and payable.</w:t>
      </w:r>
    </w:p>
    <w:p>
      <w:pPr>
        <w:spacing w:after="0" w:line="1" w:lineRule="exact"/>
        <w:rPr>
          <w:rFonts w:ascii="Times New Roman" w:cs="Times New Roman" w:eastAsia="Times New Roman" w:hAnsi="Times New Roman"/>
          <w:sz w:val="18"/>
          <w:szCs w:val="18"/>
          <w:color w:val="auto"/>
        </w:rPr>
      </w:pPr>
    </w:p>
    <w:p>
      <w:pPr>
        <w:jc w:val="both"/>
        <w:ind w:left="340" w:hanging="144"/>
        <w:spacing w:after="0" w:line="249"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number of other factors that may adversely affect our operating results, financial condition, or business, such as natural or man-made disasters that may result in shortages of raw materials, higher fuel costs, and an increase in insurance premiums; financial viability of some distributors and dealers and their ability to obtain adequate financing,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and continued threat of terrorist acts and war that may result in heightened security and higher costs for import and export shipments of components or finished goods, reduced leisure travel, and contraction of the U.S. and world economies.</w:t>
      </w:r>
    </w:p>
    <w:p>
      <w:pPr>
        <w:spacing w:after="0" w:line="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 w:lineRule="exact"/>
        <w:rPr>
          <w:sz w:val="20"/>
          <w:szCs w:val="20"/>
          <w:color w:val="auto"/>
        </w:rPr>
      </w:pPr>
    </w:p>
    <w:p>
      <w:pPr>
        <w:ind w:right="40" w:firstLine="221"/>
        <w:spacing w:after="0" w:line="250" w:lineRule="auto"/>
        <w:rPr>
          <w:sz w:val="20"/>
          <w:szCs w:val="20"/>
          <w:color w:val="auto"/>
        </w:rPr>
      </w:pPr>
      <w:r>
        <w:rPr>
          <w:rFonts w:ascii="Times New Roman" w:cs="Times New Roman" w:eastAsia="Times New Roman" w:hAnsi="Times New Roman"/>
          <w:sz w:val="18"/>
          <w:szCs w:val="18"/>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244"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 Exchange Rate Risk</w:t>
      </w:r>
      <w:r>
        <w:rPr>
          <w:rFonts w:ascii="Times New Roman" w:cs="Times New Roman" w:eastAsia="Times New Roman" w:hAnsi="Times New Roman"/>
          <w:sz w:val="18"/>
          <w:szCs w:val="18"/>
          <w:color w:val="auto"/>
        </w:rPr>
        <w:t>. In the normal course of business, we actively manage the exposure of our foreign currency market risk by entering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foreign currency exchange rate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results from operations outside the United States while a weaker dollar generally has a positive effect. Our primary currency exchange rate exposures are with the Euro, the Japanese yen, the Australian dollar, the Canadian dollar, the British pound, and the Mexican peso against the U.S. dollar.</w:t>
      </w:r>
    </w:p>
    <w:p>
      <w:pPr>
        <w:jc w:val="both"/>
        <w:ind w:firstLine="325"/>
        <w:spacing w:after="0" w:line="251" w:lineRule="auto"/>
        <w:rPr>
          <w:sz w:val="20"/>
          <w:szCs w:val="20"/>
          <w:color w:val="auto"/>
        </w:rPr>
      </w:pPr>
      <w:r>
        <w:rPr>
          <w:rFonts w:ascii="Times New Roman" w:cs="Times New Roman" w:eastAsia="Times New Roman" w:hAnsi="Times New Roman"/>
          <w:sz w:val="18"/>
          <w:szCs w:val="18"/>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six months ended May 2, 2008, the amount of losses reclassified 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2" w:name="page23"/>
    <w:bookmarkEnd w:id="22"/>
    <w:p>
      <w:pPr>
        <w:ind w:right="100"/>
        <w:spacing w:after="0" w:line="256" w:lineRule="auto"/>
        <w:rPr>
          <w:sz w:val="20"/>
          <w:szCs w:val="20"/>
          <w:color w:val="auto"/>
        </w:rPr>
      </w:pPr>
      <w:r>
        <w:rPr>
          <w:rFonts w:ascii="Times New Roman" w:cs="Times New Roman" w:eastAsia="Times New Roman" w:hAnsi="Times New Roman"/>
          <w:sz w:val="18"/>
          <w:szCs w:val="18"/>
          <w:color w:val="auto"/>
        </w:rPr>
        <w:t>earnings for such cash flow hedges was $3.7 million and $5.6 million, respectively. For the six months ended May 2, 2008, the losses treated as a reduction to net sales for contracts to hedge trade sales were $5.8 million and the gains treated as a reduction of cost of sales for contracts to hedge inventory purchases were $0.2 million.</w:t>
      </w:r>
    </w:p>
    <w:p>
      <w:pPr>
        <w:spacing w:after="0" w:line="1" w:lineRule="exact"/>
        <w:rPr>
          <w:sz w:val="20"/>
          <w:szCs w:val="20"/>
          <w:color w:val="auto"/>
        </w:rPr>
      </w:pPr>
    </w:p>
    <w:p>
      <w:pPr>
        <w:ind w:right="160" w:firstLine="221"/>
        <w:spacing w:after="0" w:line="251" w:lineRule="auto"/>
        <w:rPr>
          <w:sz w:val="20"/>
          <w:szCs w:val="20"/>
          <w:color w:val="auto"/>
        </w:rPr>
      </w:pPr>
      <w:r>
        <w:rPr>
          <w:rFonts w:ascii="Times New Roman" w:cs="Times New Roman" w:eastAsia="Times New Roman" w:hAnsi="Times New Roman"/>
          <w:sz w:val="18"/>
          <w:szCs w:val="18"/>
          <w:color w:val="auto"/>
        </w:rPr>
        <w:t>The following foreign currency exchange rate contracts held by us have maturity dates in fiscal 2008 and fiscal 2009.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income (AOCI), and fair value impact of derivative instruments in other income, net for the six months ended May 2, 2008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Value in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5"/>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Contracted</w:t>
            </w: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Impact</w:t>
            </w:r>
          </w:p>
        </w:tc>
      </w:tr>
      <w:tr>
        <w:trPr>
          <w:trHeight w:val="244"/>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(except average contracted rate)</w:t>
            </w: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00" w:type="dxa"/>
            <w:vAlign w:val="bottom"/>
          </w:tcPr>
          <w:p>
            <w:pPr>
              <w:spacing w:after="0"/>
              <w:rPr>
                <w:sz w:val="21"/>
                <w:szCs w:val="21"/>
                <w:color w:val="auto"/>
              </w:rPr>
            </w:pPr>
          </w:p>
        </w:tc>
      </w:tr>
      <w:tr>
        <w:trPr>
          <w:trHeight w:val="21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US dollar/Sell Australian dollar</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0.8871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51,640.5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(1,519.5)</w:t>
            </w:r>
          </w:p>
        </w:tc>
      </w:tr>
      <w:tr>
        <w:trPr>
          <w:trHeight w:val="21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Buy US dollar/Sell Canadian dollar</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0.9865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(200.4)</w:t>
            </w:r>
          </w:p>
        </w:tc>
      </w:tr>
      <w:tr>
        <w:trPr>
          <w:trHeight w:val="21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US dollar/Sell Euro</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122,089.8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(6,506.2)</w:t>
            </w:r>
          </w:p>
        </w:tc>
      </w:tr>
      <w:tr>
        <w:trPr>
          <w:trHeight w:val="21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Buy US dollar/Sell British pound</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1.9641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r>
      <w:tr>
        <w:trPr>
          <w:trHeight w:val="21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Mexican peso/Sell US dollar</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11.0864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w:t>
            </w:r>
          </w:p>
        </w:tc>
      </w:tr>
    </w:tbl>
    <w:p>
      <w:pPr>
        <w:spacing w:after="0" w:line="224" w:lineRule="exact"/>
        <w:rPr>
          <w:sz w:val="20"/>
          <w:szCs w:val="20"/>
          <w:color w:val="auto"/>
        </w:rPr>
      </w:pPr>
    </w:p>
    <w:p>
      <w:pPr>
        <w:jc w:val="both"/>
        <w:ind w:right="100" w:firstLine="224"/>
        <w:spacing w:after="0" w:line="31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i w:val="1"/>
          <w:iCs w:val="1"/>
          <w:u w:val="single" w:color="auto"/>
          <w:color w:val="auto"/>
        </w:rPr>
        <w:t>Interest Rate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market risk on interest rates relates primarily to LIBOR-based short-term debt from commercial banks as well as the potential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fair 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20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Commodity Price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raw materials used in our products are exposed to commodity price changes. The primary commodity price exposures are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aluminum, fuel, petroleum-based resin, and linerboard. Further information regarding rising prices for commodities is presented in Item 2 of this Quarterly Report on Form 10-Q, in the section entitled “Inflation.”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enter into fixed-price contracts for future purchases of natural gas in the normal course of operations as a means to manage natural gas price risks.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meet the definition of “normal purchases and normal sales” and, therefore, are not considered derivative instruments for accounting purposes.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24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second quarter ended May 2, 2008 that has materially affected, or is reasonably likely to materially affect, our internal control over financial reporting.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ind w:right="20"/>
        <w:spacing w:after="0" w:line="249" w:lineRule="auto"/>
        <w:rPr>
          <w:sz w:val="20"/>
          <w:szCs w:val="20"/>
          <w:color w:val="auto"/>
        </w:rPr>
      </w:pPr>
      <w:r>
        <w:rPr>
          <w:rFonts w:ascii="Times New Roman" w:cs="Times New Roman" w:eastAsia="Times New Roman" w:hAnsi="Times New Roman"/>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adverse effect on our consolidated financial condition or results of operations.</w:t>
      </w:r>
    </w:p>
    <w:p>
      <w:pPr>
        <w:spacing w:after="0" w:line="2" w:lineRule="exact"/>
        <w:rPr>
          <w:sz w:val="20"/>
          <w:szCs w:val="20"/>
          <w:color w:val="auto"/>
        </w:rPr>
      </w:pPr>
    </w:p>
    <w:p>
      <w:pPr>
        <w:ind w:firstLine="224"/>
        <w:spacing w:after="0" w:line="249" w:lineRule="auto"/>
        <w:rPr>
          <w:sz w:val="20"/>
          <w:szCs w:val="20"/>
          <w:color w:val="auto"/>
        </w:rPr>
      </w:pPr>
      <w:r>
        <w:rPr>
          <w:rFonts w:ascii="Times New Roman" w:cs="Times New Roman" w:eastAsia="Times New Roman" w:hAnsi="Times New Roman"/>
          <w:sz w:val="18"/>
          <w:szCs w:val="18"/>
          <w:color w:val="auto"/>
        </w:rPr>
        <w:t>On June 3, 2004, eight individuals who claim to have purchased lawnmowers in Illinois and Minnesota filed a lawsuit in Illinois state court against us and eight other defendants alleging that the horsepower labels on the products the plaintiffs purchased were inaccurate. The plaintiffs amended their complaint to add 89 additional plaintiffs and an engine manufacturer as an additional defendant. The amended complaint asserted violations of the federal Racketeer Influenced and Corrupt Organizations Act (“RICO”) and statutory and common law claims arising from the laws of 48 states.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 In late May 2006, the case was removed to federal court in the Southern District of Illinois. On August 1, 2006, all of the defendants, except MTD Products Inc. (“MTD”), filed motions to dismiss the claims in the amended complaint. On August 4, 2006, the plaintiffs filed a motion for preliminary approval of a settlement agreement with MTD and certification of a settlement class. All remaining non-settling defendants filed counterclaims against MTD for potential contribution amounts, and MTD filed cross claims against the non-settling defendants. On December 21, 2006, another defendant, American Honda Motor Company (“Honda”), notified us that it had reached an agreement of settlement with the plaintiffs. On March 30, 2007, the court entered an order dismissing plaintiffs’ complaint, subject to the ability to re-plead certain claims pursuant to a detailed written order to follow. On May 8, 2008, the court issued a memorandum and order that (i) dismissed the RICO claims in their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As of the date hereof, the plaintiffs have (i) re-filed the Illinois claims with the court; and (ii) commenced the process of filing non-Illinois claims in various local courts, including filings made in the federal courts in the District of New Jersey and the Northern District of California with essentially the same state law claims. On June 2, 2008, the plaintiffs filed a motion with the Judicial Panel on Multidistrict Litigation that (i) states their intent to file lawsuits in all 50 states and the District of Columbia; and (ii) seeks to have all of the cases transferred to the District of New Jersey for coordinated pretrial proceedings.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8" w:lineRule="exact"/>
        <w:rPr>
          <w:sz w:val="20"/>
          <w:szCs w:val="20"/>
          <w:color w:val="auto"/>
        </w:rPr>
      </w:pPr>
    </w:p>
    <w:p>
      <w:pPr>
        <w:ind w:right="20" w:firstLine="224"/>
        <w:spacing w:after="0" w:line="250" w:lineRule="auto"/>
        <w:rPr>
          <w:sz w:val="20"/>
          <w:szCs w:val="20"/>
          <w:color w:val="auto"/>
        </w:rPr>
      </w:pPr>
      <w:r>
        <w:rPr>
          <w:rFonts w:ascii="Times New Roman" w:cs="Times New Roman" w:eastAsia="Times New Roman" w:hAnsi="Times New Roman"/>
          <w:sz w:val="18"/>
          <w:szCs w:val="18"/>
          <w:color w:val="auto"/>
        </w:rPr>
        <w:t>In July 2005, Textron Innovations Inc., the patent holding company of Textron, Inc., filed a lawsuit in Delaware Federal District Court against us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740" w:right="2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24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There has been no material change in those risk factors.</w:t>
      </w:r>
    </w:p>
    <w:p>
      <w:pPr>
        <w:spacing w:after="0" w:line="19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second quarter of fiscal 2008 stock repurchase activity.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Total Number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Shares that</w:t>
            </w: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Purchased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w:t>
            </w: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As Part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Yet Be</w:t>
            </w: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Publicly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Announced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 the</w:t>
            </w:r>
          </w:p>
        </w:tc>
      </w:tr>
      <w:tr>
        <w:trPr>
          <w:trHeight w:val="215"/>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Shares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Plans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Plans or</w:t>
            </w:r>
          </w:p>
        </w:tc>
      </w:tr>
      <w:tr>
        <w:trPr>
          <w:trHeight w:val="240"/>
        </w:trPr>
        <w:tc>
          <w:tcPr>
            <w:tcW w:w="59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Purchased (1)</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Paid per 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 Programs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Programs (1)</w:t>
            </w:r>
          </w:p>
        </w:tc>
      </w:tr>
      <w:tr>
        <w:trPr>
          <w:trHeight w:val="412"/>
        </w:trPr>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 2008 through</w:t>
            </w: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2008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544,089</w:t>
            </w:r>
          </w:p>
        </w:tc>
      </w:tr>
      <w:tr>
        <w:trPr>
          <w:trHeight w:val="41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March 1, 2008 through</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March 28, 2008</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524,089</w:t>
            </w:r>
          </w:p>
        </w:tc>
      </w:tr>
      <w:tr>
        <w:trPr>
          <w:trHeight w:val="41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March 29, 2008 through</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May 2, 2008</w:t>
            </w:r>
          </w:p>
        </w:tc>
        <w:tc>
          <w:tcPr>
            <w:tcW w:w="1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103,719(2)</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423,289</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4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123,719</w:t>
            </w:r>
          </w:p>
        </w:tc>
        <w:tc>
          <w:tcPr>
            <w:tcW w:w="320" w:type="dxa"/>
            <w:vAlign w:val="bottom"/>
          </w:tcPr>
          <w:p>
            <w:pPr>
              <w:spacing w:after="0"/>
              <w:rPr>
                <w:sz w:val="24"/>
                <w:szCs w:val="24"/>
                <w:color w:val="auto"/>
              </w:rPr>
            </w:pPr>
          </w:p>
        </w:tc>
        <w:tc>
          <w:tcPr>
            <w:tcW w:w="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120,800</w:t>
            </w:r>
          </w:p>
        </w:tc>
        <w:tc>
          <w:tcPr>
            <w:tcW w:w="1140" w:type="dxa"/>
            <w:vAlign w:val="bottom"/>
          </w:tcPr>
          <w:p>
            <w:pPr>
              <w:spacing w:after="0"/>
              <w:rPr>
                <w:sz w:val="24"/>
                <w:szCs w:val="24"/>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4" w:lineRule="exact"/>
        <w:rPr>
          <w:sz w:val="20"/>
          <w:szCs w:val="20"/>
          <w:color w:val="auto"/>
        </w:rPr>
      </w:pPr>
    </w:p>
    <w:p>
      <w:pPr>
        <w:ind w:left="280" w:right="200" w:hanging="272"/>
        <w:spacing w:after="0" w:line="256"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22, 2007, our Board of Directors authorized the repurchase of 3,000,000 shares of our common stock in open-market or in privately negotiated transactions. This program has no expiration date but may be terminated by our Board of Directors at any time. We purchased an aggregate of 120,800 shares during the periods indicated above under this program. There are 423,289 shares remaining for repurchase under this program.</w:t>
      </w:r>
    </w:p>
    <w:p>
      <w:pPr>
        <w:spacing w:after="0" w:line="1" w:lineRule="exact"/>
        <w:rPr>
          <w:rFonts w:ascii="Times New Roman" w:cs="Times New Roman" w:eastAsia="Times New Roman" w:hAnsi="Times New Roman"/>
          <w:sz w:val="18"/>
          <w:szCs w:val="18"/>
          <w:color w:val="auto"/>
        </w:rPr>
      </w:pPr>
    </w:p>
    <w:p>
      <w:pPr>
        <w:ind w:left="280" w:hanging="272"/>
        <w:spacing w:after="0" w:line="254"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2,919 units (shares) of our common stock purchased in open-market transactions at an average price of $41.34 per share on behalf of a rabbi trust formed by us to pay benefit obligations to participants in deferred compensation plans. These 2,919 shares were not repurchased under our repurchase program described in footnote (1) above.</w:t>
      </w:r>
    </w:p>
    <w:p>
      <w:pPr>
        <w:spacing w:after="0" w:line="211"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On May 21, 2008, our Board of Directors authorized the repurchase of an additional 4,000,000 shares of our common stock in open-market or in privately negotiated transactions. This program has no expiration date but may be terminated by our Board of Directors at any time.</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b w:val="1"/>
          <w:bCs w:val="1"/>
          <w:color w:val="auto"/>
        </w:rPr>
        <w:t>Item 4. SUBMISSION OF MATTERS TO A VOTE OF SECURITY HOLDERS</w:t>
      </w:r>
    </w:p>
    <w:p>
      <w:pPr>
        <w:spacing w:after="0" w:line="244"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Meeting of Shareholders was held on March 11, 2008.</w:t>
      </w:r>
    </w:p>
    <w:p>
      <w:pPr>
        <w:spacing w:after="0" w:line="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shareholder votes on the proposals brought before the meeting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Against/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Broker</w:t>
            </w:r>
          </w:p>
        </w:tc>
      </w:tr>
      <w:tr>
        <w:trPr>
          <w:trHeight w:val="240"/>
        </w:trPr>
        <w:tc>
          <w:tcPr>
            <w:tcW w:w="608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For</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Withheld</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Abstain</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Non-Votes</w:t>
            </w:r>
          </w:p>
        </w:tc>
      </w:tr>
      <w:tr>
        <w:trPr>
          <w:trHeight w:val="197"/>
        </w:trPr>
        <w:tc>
          <w:tcPr>
            <w:tcW w:w="6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 Election of Directors – for terms ending at the 2011</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5"/>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Meeting of Shareholders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Katherine J. Harless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34,133,144</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543,591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5"/>
        </w:trPr>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Michael J. Hoffman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34,147,889</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528,846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Inge G. Thulin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34,132,447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544,288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jc w:val="right"/>
        <w:ind w:left="340" w:right="5520" w:hanging="332"/>
        <w:spacing w:after="0" w:line="264" w:lineRule="auto"/>
        <w:tabs>
          <w:tab w:leader="none" w:pos="19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amendment to The Toro Company 2000 Stock Option Plan to increase the number of shares of our common stock authorized for issuance under the</w:t>
      </w:r>
    </w:p>
    <w:tbl>
      <w:tblPr>
        <w:tblLayout w:type="fixed"/>
        <w:tblInd w:w="0" w:type="dxa"/>
        <w:tblCellMar>
          <w:top w:w="0" w:type="dxa"/>
          <w:left w:w="0" w:type="dxa"/>
          <w:bottom w:w="0" w:type="dxa"/>
          <w:right w:w="0" w:type="dxa"/>
        </w:tblCellMar>
      </w:tblPr>
      <w:tr>
        <w:trPr>
          <w:trHeight w:val="197"/>
        </w:trPr>
        <w:tc>
          <w:tcPr>
            <w:tcW w:w="57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plan by 800,000</w:t>
            </w:r>
          </w:p>
        </w:tc>
        <w:tc>
          <w:tcPr>
            <w:tcW w:w="18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26,924,161</w:t>
            </w:r>
          </w:p>
        </w:tc>
        <w:tc>
          <w:tcPr>
            <w:tcW w:w="144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2,097,690</w:t>
            </w:r>
          </w:p>
        </w:tc>
        <w:tc>
          <w:tcPr>
            <w:tcW w:w="128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475,399</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5,179,484</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3. Ratify Selection of Independent Registered Public Accounting Firm</w:t>
            </w:r>
          </w:p>
        </w:tc>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34,234,406</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333,261</w:t>
            </w: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109,067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Janet K. Cooper, Gary L. Ellis, and Gregg W. Steinhafel continue to serve as directors for terms ending at the 2009 Annual Meeting of Shareholders.</w:t>
      </w:r>
    </w:p>
    <w:p>
      <w:pPr>
        <w:spacing w:after="0" w:line="250" w:lineRule="exact"/>
        <w:rPr>
          <w:sz w:val="20"/>
          <w:szCs w:val="20"/>
          <w:color w:val="auto"/>
        </w:rPr>
      </w:pPr>
    </w:p>
    <w:p>
      <w:pPr>
        <w:ind w:left="200" w:right="440"/>
        <w:spacing w:after="0" w:line="280" w:lineRule="auto"/>
        <w:rPr>
          <w:sz w:val="20"/>
          <w:szCs w:val="20"/>
          <w:color w:val="auto"/>
        </w:rPr>
      </w:pPr>
      <w:r>
        <w:rPr>
          <w:rFonts w:ascii="Times New Roman" w:cs="Times New Roman" w:eastAsia="Times New Roman" w:hAnsi="Times New Roman"/>
          <w:sz w:val="18"/>
          <w:szCs w:val="18"/>
          <w:color w:val="auto"/>
        </w:rPr>
        <w:t>Robert C. Buhrmaster, Winslow H. Buxton, Robert H. Nassau, and Christopher A. Twomey continue to serve as directors for terms ending at the 2010 Annual Meeting of Shareholders.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Ronald O. Baukol retired as a director upon the expiration of his term at the 2008 Annual Meeting of Shareholders.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4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3" w:lineRule="exact"/>
        <w:rPr>
          <w:rFonts w:ascii="Times New Roman" w:cs="Times New Roman" w:eastAsia="Times New Roman" w:hAnsi="Times New Roman"/>
          <w:sz w:val="18"/>
          <w:szCs w:val="18"/>
          <w:color w:val="auto"/>
        </w:rPr>
      </w:pPr>
    </w:p>
    <w:p>
      <w:pPr>
        <w:ind w:left="1860" w:right="560" w:hanging="1398"/>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3(i) and 4(a)The Amended and Restated Certificate of Incorporation of Registrant (incorporated by reference to Exhibit 3(i)(a) and 4(a) to Registrant’s Current Report on Form 8-K dated March 15, 2005, Commission File No. 1-8649).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3(ii) and 4(b)</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Bylaws of Registrant (incorporated by reference to Exhibit 3 to Registrant’s Current Report on Form 8-K dated November 30, 2005,</w:t>
            </w:r>
          </w:p>
        </w:tc>
      </w:tr>
      <w:tr>
        <w:trPr>
          <w:trHeight w:val="234"/>
        </w:trPr>
        <w:tc>
          <w:tcPr>
            <w:tcW w:w="164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 File No. 1-8649).</w:t>
            </w:r>
          </w:p>
        </w:tc>
      </w:tr>
      <w:tr>
        <w:trPr>
          <w:trHeight w:val="412"/>
        </w:trPr>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4(c)</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Specimen Form of Common Stock Certificate (incorporated by reference to Exhibit 4(c) to Registrant’s Annual Report on Form 10-</w:t>
            </w:r>
          </w:p>
        </w:tc>
      </w:tr>
      <w:tr>
        <w:trPr>
          <w:trHeight w:val="234"/>
        </w:trPr>
        <w:tc>
          <w:tcPr>
            <w:tcW w:w="164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 for the fiscal year ended October 31, 2006, Commission File No. 1-8649).</w:t>
            </w:r>
          </w:p>
        </w:tc>
      </w:tr>
      <w:tr>
        <w:trPr>
          <w:trHeight w:val="412"/>
        </w:trPr>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4(d)</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Rights Agreement dated as of May 20, 1998, between Registrant and Wells Fargo Bank Minnesota, National Association relating to</w:t>
            </w:r>
          </w:p>
        </w:tc>
      </w:tr>
      <w:tr>
        <w:trPr>
          <w:trHeight w:val="215"/>
        </w:trPr>
        <w:tc>
          <w:tcPr>
            <w:tcW w:w="164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rights to purchase Series B Junior Participating Voting Preferred Stock, as amended (incorporated by reference to Registrant’s</w:t>
            </w:r>
          </w:p>
        </w:tc>
      </w:tr>
      <w:tr>
        <w:trPr>
          <w:trHeight w:val="234"/>
        </w:trPr>
        <w:tc>
          <w:tcPr>
            <w:tcW w:w="164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Report on Form 8-K dated May 20, 1998, Commission File No. 1-8649).</w:t>
            </w:r>
          </w:p>
        </w:tc>
      </w:tr>
      <w:tr>
        <w:trPr>
          <w:trHeight w:val="412"/>
        </w:trPr>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4(e)</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Adjusted Purchase Price or Number of Shares dated April 14, 2003 filed by Registrant with Wells Fargo Bank</w:t>
            </w:r>
          </w:p>
        </w:tc>
      </w:tr>
      <w:tr>
        <w:trPr>
          <w:trHeight w:val="215"/>
        </w:trPr>
        <w:tc>
          <w:tcPr>
            <w:tcW w:w="164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Minnesota, N.A., as Rights Agent, in connection with Rights Agreement dated as of May 20, 1998 (incorporated by reference to</w:t>
            </w:r>
          </w:p>
        </w:tc>
      </w:tr>
      <w:tr>
        <w:trPr>
          <w:trHeight w:val="215"/>
        </w:trPr>
        <w:tc>
          <w:tcPr>
            <w:tcW w:w="164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2 to Registrant’s Amendment No. 1 to Registration Statement on Form 8-A/A as filed with the Securities and Exchange</w:t>
            </w:r>
          </w:p>
        </w:tc>
      </w:tr>
      <w:tr>
        <w:trPr>
          <w:trHeight w:val="234"/>
        </w:trPr>
        <w:tc>
          <w:tcPr>
            <w:tcW w:w="164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 on April 14, 2003, Commission File No. 1-8649).</w:t>
            </w:r>
          </w:p>
        </w:tc>
      </w:tr>
      <w:tr>
        <w:trPr>
          <w:trHeight w:val="699"/>
        </w:trPr>
        <w:tc>
          <w:tcPr>
            <w:tcW w:w="1640" w:type="dxa"/>
            <w:vAlign w:val="bottom"/>
          </w:tcPr>
          <w:p>
            <w:pPr>
              <w:spacing w:after="0"/>
              <w:rPr>
                <w:sz w:val="24"/>
                <w:szCs w:val="24"/>
                <w:color w:val="auto"/>
              </w:rPr>
            </w:pPr>
          </w:p>
        </w:tc>
        <w:tc>
          <w:tcPr>
            <w:tcW w:w="97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26</w:t>
            </w:r>
          </w:p>
        </w:tc>
      </w:tr>
      <w:tr>
        <w:trPr>
          <w:trHeight w:val="117"/>
        </w:trPr>
        <w:tc>
          <w:tcPr>
            <w:tcW w:w="1640" w:type="dxa"/>
            <w:vAlign w:val="bottom"/>
            <w:tcBorders>
              <w:bottom w:val="single" w:sz="8" w:color="808080"/>
            </w:tcBorders>
          </w:tcPr>
          <w:p>
            <w:pPr>
              <w:spacing w:after="0"/>
              <w:rPr>
                <w:sz w:val="10"/>
                <w:szCs w:val="10"/>
                <w:color w:val="auto"/>
              </w:rPr>
            </w:pPr>
          </w:p>
        </w:tc>
        <w:tc>
          <w:tcPr>
            <w:tcW w:w="9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Certificate of Adjusted Purchase Price or Number of Shares dated April 12, 2005 filed by Registrant with Wells Fargo Bank</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Minnesota, N.A., as Rights Agent, in connection with Rights Agreement dated as of May 20, 1998 (incorporated by reference to</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2 to Registrant’s Amendment No. 2 to Registration Statement on Form 8-A/A as filed with the Securities and Exchange</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Commission on March 21, 2005, Commission File No. 1-8649).</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Indenture dated as of January 31, 1997, between Registrant and First National Trust Association, as Trustee, relating to the</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Registrant’s 7.125% Notes due June 15, 2007 and its 7.80% Debentures due June 15, 2027 (incorporated by reference to Exhibit 4(a)</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 Registrant’s Current Report on Form 8-K dated June 24, 1997, Commission File No. 1-8649).</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4(h)</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Indenture dated as of April 20, 2007, between Registrant and The Bank of New York Trust Company, N.A., as Trustee, relating to</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Registrant’s 6.625% Notes due May 1, 2037 (incorporated by reference to Exhibit 4.3 to Registrant’s Registration Statement on</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S-3 as filed with the Securities and Exchange Commission on April 23, 2007, Registration No. 333-142282).</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Supplemental Indenture dated as of April 26, 2007, between Registrant and The Bank of New York Trust Company, N.A., as</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Trustee, relating to the Registrant’s 6.625% Notes due May 1, 2037 (incorporated by reference to Exhibit 4.1 to Registrant’s Current</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Report on Form 8-K dated April 23, 2007, Commission File No. 1-8649).</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4(j)</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Form of The Toro Company 6.625% Note due May 1, 2037 (incorporated by reference to Exhibit 4.2 to Registrant’s Current Report</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 Form 8-K dated April 23, 2007, Commission File No. 1-8649).</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Toro Company 2000 Stock Option Plan (As Amended March 11, 2008) (incorporated by reference to Exhibit 10.1 to</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Registrant’s Current Report on Form 8-K dated March 11, 2008, Commission File No. 1-8649).</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No.4 to Credit Agreement, dated as of February 29, 2008, among The Toro Company, Toro Credit Company, Toro</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Manufacturing LLC, Exmark Manufacturing Company Incorporated, and certain subsidiaries as Borrowers, the lenders from time to</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time party thereto, and Bank of America, N.A., as Administrative Agent, Swing Line Lender, and Letter of Credit Issuer</w:t>
            </w:r>
          </w:p>
        </w:tc>
      </w:tr>
      <w:tr>
        <w:trPr>
          <w:trHeight w:val="215"/>
        </w:trPr>
        <w:tc>
          <w:tcPr>
            <w:tcW w:w="900" w:type="dxa"/>
            <w:vAlign w:val="bottom"/>
          </w:tcPr>
          <w:p>
            <w:pPr>
              <w:spacing w:after="0"/>
              <w:rPr>
                <w:sz w:val="18"/>
                <w:szCs w:val="18"/>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(incorporated by reference to Exhibit 10.1 to Registrant’s Current Report on Form 8-K dated February 29, 2008, Commission File</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 1-8649).</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(Section 302 of the Sarbanes-Oxley Act of 2002) (filed</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herewith).</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(Section 302 of the Sarbanes-Oxley Act of 2002) (filed</w:t>
            </w:r>
          </w:p>
        </w:tc>
      </w:tr>
      <w:tr>
        <w:trPr>
          <w:trHeight w:val="234"/>
        </w:trPr>
        <w:tc>
          <w:tcPr>
            <w:tcW w:w="900" w:type="dxa"/>
            <w:vAlign w:val="bottom"/>
          </w:tcPr>
          <w:p>
            <w:pPr>
              <w:spacing w:after="0"/>
              <w:rPr>
                <w:sz w:val="20"/>
                <w:szCs w:val="20"/>
                <w:color w:val="auto"/>
              </w:rPr>
            </w:pPr>
          </w:p>
        </w:tc>
        <w:tc>
          <w:tcPr>
            <w:tcW w:w="10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herewith).</w:t>
            </w:r>
          </w:p>
        </w:tc>
      </w:tr>
    </w:tbl>
    <w:p>
      <w:pPr>
        <w:spacing w:after="0" w:line="197" w:lineRule="exact"/>
        <w:rPr>
          <w:sz w:val="20"/>
          <w:szCs w:val="20"/>
          <w:color w:val="auto"/>
        </w:rPr>
      </w:pPr>
    </w:p>
    <w:p>
      <w:pPr>
        <w:ind w:left="1400" w:right="300" w:hanging="1395"/>
        <w:spacing w:after="0" w:line="280" w:lineRule="auto"/>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83185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40"/>
          </w:cols>
          <w:pgMar w:left="700" w:top="578" w:right="2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left="200" w:right="2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832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color w:val="auto"/>
                <w:w w:val="98"/>
              </w:rPr>
              <w:t>THE TORO COMPANY</w:t>
            </w:r>
          </w:p>
        </w:tc>
      </w:tr>
      <w:tr>
        <w:trPr>
          <w:trHeight w:val="234"/>
        </w:trPr>
        <w:tc>
          <w:tcPr>
            <w:tcW w:w="3100" w:type="dxa"/>
            <w:vAlign w:val="bottom"/>
          </w:tcPr>
          <w:p>
            <w:pPr>
              <w:spacing w:after="0"/>
              <w:rPr>
                <w:sz w:val="20"/>
                <w:szCs w:val="20"/>
                <w:color w:val="auto"/>
              </w:rPr>
            </w:pPr>
          </w:p>
        </w:tc>
        <w:tc>
          <w:tcPr>
            <w:tcW w:w="832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2008</w:t>
            </w:r>
          </w:p>
        </w:tc>
        <w:tc>
          <w:tcPr>
            <w:tcW w:w="832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Stephen P. Wolfe</w:t>
            </w:r>
          </w:p>
        </w:tc>
      </w:tr>
      <w:tr>
        <w:trPr>
          <w:trHeight w:val="20"/>
        </w:trPr>
        <w:tc>
          <w:tcPr>
            <w:tcW w:w="3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17"/>
        </w:trPr>
        <w:tc>
          <w:tcPr>
            <w:tcW w:w="3100" w:type="dxa"/>
            <w:vAlign w:val="bottom"/>
          </w:tcPr>
          <w:p>
            <w:pPr>
              <w:spacing w:after="0"/>
              <w:rPr>
                <w:sz w:val="18"/>
                <w:szCs w:val="18"/>
                <w:color w:val="auto"/>
              </w:rPr>
            </w:pPr>
          </w:p>
        </w:tc>
        <w:tc>
          <w:tcPr>
            <w:tcW w:w="832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Stephen P. Wolfe</w:t>
            </w:r>
          </w:p>
        </w:tc>
      </w:tr>
      <w:tr>
        <w:trPr>
          <w:trHeight w:val="215"/>
        </w:trPr>
        <w:tc>
          <w:tcPr>
            <w:tcW w:w="3100" w:type="dxa"/>
            <w:vAlign w:val="bottom"/>
          </w:tcPr>
          <w:p>
            <w:pPr>
              <w:spacing w:after="0"/>
              <w:rPr>
                <w:sz w:val="18"/>
                <w:szCs w:val="18"/>
                <w:color w:val="auto"/>
              </w:rPr>
            </w:pPr>
          </w:p>
        </w:tc>
        <w:tc>
          <w:tcPr>
            <w:tcW w:w="832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215"/>
        </w:trPr>
        <w:tc>
          <w:tcPr>
            <w:tcW w:w="3100" w:type="dxa"/>
            <w:vAlign w:val="bottom"/>
          </w:tcPr>
          <w:p>
            <w:pPr>
              <w:spacing w:after="0"/>
              <w:rPr>
                <w:sz w:val="18"/>
                <w:szCs w:val="18"/>
                <w:color w:val="auto"/>
              </w:rPr>
            </w:pPr>
          </w:p>
        </w:tc>
        <w:tc>
          <w:tcPr>
            <w:tcW w:w="832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3100" w:type="dxa"/>
            <w:vAlign w:val="bottom"/>
          </w:tcPr>
          <w:p>
            <w:pPr>
              <w:spacing w:after="0"/>
              <w:rPr>
                <w:sz w:val="20"/>
                <w:szCs w:val="20"/>
                <w:color w:val="auto"/>
              </w:rPr>
            </w:pPr>
          </w:p>
        </w:tc>
        <w:tc>
          <w:tcPr>
            <w:tcW w:w="832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tc>
      </w:tr>
      <w:tr>
        <w:trPr>
          <w:trHeight w:val="847"/>
        </w:trPr>
        <w:tc>
          <w:tcPr>
            <w:tcW w:w="3100" w:type="dxa"/>
            <w:vAlign w:val="bottom"/>
          </w:tcPr>
          <w:p>
            <w:pPr>
              <w:spacing w:after="0"/>
              <w:rPr>
                <w:sz w:val="24"/>
                <w:szCs w:val="24"/>
                <w:color w:val="auto"/>
              </w:rPr>
            </w:pPr>
          </w:p>
        </w:tc>
        <w:tc>
          <w:tcPr>
            <w:tcW w:w="292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28</w:t>
            </w:r>
          </w:p>
        </w:tc>
        <w:tc>
          <w:tcPr>
            <w:tcW w:w="13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17"/>
        </w:trPr>
        <w:tc>
          <w:tcPr>
            <w:tcW w:w="310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Hoffman, certify that:</w:t>
      </w:r>
    </w:p>
    <w:p>
      <w:pPr>
        <w:spacing w:after="0" w:line="250"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50" w:lineRule="exact"/>
        <w:rPr>
          <w:rFonts w:ascii="Times New Roman" w:cs="Times New Roman" w:eastAsia="Times New Roman" w:hAnsi="Times New Roman"/>
          <w:sz w:val="18"/>
          <w:szCs w:val="18"/>
          <w:color w:val="auto"/>
        </w:rPr>
      </w:pPr>
    </w:p>
    <w:p>
      <w:pPr>
        <w:ind w:firstLine="8"/>
        <w:spacing w:after="0" w:line="280" w:lineRule="auto"/>
        <w:tabs>
          <w:tab w:leader="none" w:pos="1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right="100" w:firstLine="8"/>
        <w:spacing w:after="0" w:line="280" w:lineRule="auto"/>
        <w:tabs>
          <w:tab w:leader="none" w:pos="1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right="60" w:firstLine="8"/>
        <w:spacing w:after="0" w:line="256" w:lineRule="auto"/>
        <w:tabs>
          <w:tab w:leader="none" w:pos="1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660" w:right="80" w:hanging="330"/>
        <w:spacing w:after="0" w:line="249"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80" w:hanging="330"/>
        <w:spacing w:after="0" w:line="249"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140" w:hanging="330"/>
        <w:spacing w:after="0" w:line="249"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60" w:hanging="330"/>
        <w:spacing w:after="0" w:line="258"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Times New Roman" w:cs="Times New Roman" w:eastAsia="Times New Roman" w:hAnsi="Times New Roman"/>
          <w:sz w:val="18"/>
          <w:szCs w:val="18"/>
          <w:color w:val="auto"/>
        </w:rPr>
      </w:pPr>
    </w:p>
    <w:p>
      <w:pPr>
        <w:ind w:right="520" w:firstLine="8"/>
        <w:spacing w:after="0" w:line="260" w:lineRule="auto"/>
        <w:tabs>
          <w:tab w:leader="none" w:pos="1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236"/>
        <w:spacing w:after="0" w:line="249" w:lineRule="auto"/>
        <w:tabs>
          <w:tab w:leader="none" w:pos="6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46"/>
        <w:spacing w:after="0" w:line="258" w:lineRule="auto"/>
        <w:tabs>
          <w:tab w:leader="none" w:pos="6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J. Hoffman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Hoffman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59"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Wolfe, certify that:</w:t>
      </w:r>
    </w:p>
    <w:p>
      <w:pPr>
        <w:spacing w:after="0" w:line="250"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50" w:lineRule="exact"/>
        <w:rPr>
          <w:rFonts w:ascii="Times New Roman" w:cs="Times New Roman" w:eastAsia="Times New Roman" w:hAnsi="Times New Roman"/>
          <w:sz w:val="18"/>
          <w:szCs w:val="18"/>
          <w:color w:val="auto"/>
        </w:rPr>
      </w:pPr>
    </w:p>
    <w:p>
      <w:pPr>
        <w:ind w:firstLine="8"/>
        <w:spacing w:after="0" w:line="280" w:lineRule="auto"/>
        <w:tabs>
          <w:tab w:leader="none" w:pos="1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right="100" w:firstLine="8"/>
        <w:spacing w:after="0" w:line="280" w:lineRule="auto"/>
        <w:tabs>
          <w:tab w:leader="none" w:pos="1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right="60" w:firstLine="8"/>
        <w:spacing w:after="0" w:line="256" w:lineRule="auto"/>
        <w:tabs>
          <w:tab w:leader="none" w:pos="1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660" w:right="80" w:hanging="330"/>
        <w:spacing w:after="0" w:line="249"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80" w:hanging="330"/>
        <w:spacing w:after="0" w:line="249"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140" w:hanging="330"/>
        <w:spacing w:after="0" w:line="249"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60" w:hanging="330"/>
        <w:spacing w:after="0" w:line="258"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Times New Roman" w:cs="Times New Roman" w:eastAsia="Times New Roman" w:hAnsi="Times New Roman"/>
          <w:sz w:val="18"/>
          <w:szCs w:val="18"/>
          <w:color w:val="auto"/>
        </w:rPr>
      </w:pPr>
    </w:p>
    <w:p>
      <w:pPr>
        <w:ind w:right="520" w:firstLine="8"/>
        <w:spacing w:after="0" w:line="260" w:lineRule="auto"/>
        <w:tabs>
          <w:tab w:leader="none" w:pos="1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236"/>
        <w:spacing w:after="0" w:line="249" w:lineRule="auto"/>
        <w:tabs>
          <w:tab w:leader="none" w:pos="6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46"/>
        <w:spacing w:after="0" w:line="258" w:lineRule="auto"/>
        <w:tabs>
          <w:tab w:leader="none" w:pos="6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Stephen P. Wolfe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P. Wolfe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359"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3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Toro Company (the “Company”) on Form 10-Q for the quarterly period ended May 2, 2008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9" w:lineRule="exact"/>
        <w:rPr>
          <w:sz w:val="20"/>
          <w:szCs w:val="20"/>
          <w:color w:val="auto"/>
        </w:rPr>
      </w:pPr>
    </w:p>
    <w:p>
      <w:pPr>
        <w:ind w:left="980" w:hanging="303"/>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0" w:lineRule="exact"/>
        <w:rPr>
          <w:rFonts w:ascii="Times New Roman" w:cs="Times New Roman" w:eastAsia="Times New Roman" w:hAnsi="Times New Roman"/>
          <w:sz w:val="18"/>
          <w:szCs w:val="18"/>
          <w:color w:val="auto"/>
        </w:rPr>
      </w:pPr>
    </w:p>
    <w:p>
      <w:pPr>
        <w:ind w:left="980" w:hanging="303"/>
        <w:spacing w:after="0"/>
        <w:tabs>
          <w:tab w:leader="none" w:pos="9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729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Hoffman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2008</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736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P. Wolfe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3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2019-12-13T13:42:11Z</dcterms:created>
  <dcterms:modified xsi:type="dcterms:W3CDTF">2019-12-13T13:42:11Z</dcterms:modified>
</cp:coreProperties>
</file>