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420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2099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Drake Angela 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0000FF"/>
        </w:rPr>
        <w:t>VP &amp; CFO</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520" w:type="dxa"/>
            <w:vAlign w:val="bottom"/>
            <w:gridSpan w:val="7"/>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3820" w:type="dxa"/>
            <w:vAlign w:val="bottom"/>
            <w:gridSpan w:val="10"/>
            <w:vMerge w:val="restart"/>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20" w:type="dxa"/>
            <w:vAlign w:val="bottom"/>
            <w:gridSpan w:val="7"/>
            <w:vMerge w:val="continue"/>
          </w:tcPr>
          <w:p>
            <w:pPr>
              <w:spacing w:after="0"/>
              <w:rPr>
                <w:sz w:val="7"/>
                <w:szCs w:val="7"/>
                <w:color w:val="auto"/>
              </w:rPr>
            </w:pPr>
          </w:p>
        </w:tc>
        <w:tc>
          <w:tcPr>
            <w:tcW w:w="38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ind w:left="4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40" w:type="dxa"/>
            <w:vAlign w:val="bottom"/>
            <w:gridSpan w:val="8"/>
          </w:tcPr>
          <w:p>
            <w:pPr>
              <w:ind w:left="22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272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2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06/16/2026</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center"/>
              <w:ind w:right="101"/>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160</w:t>
            </w:r>
          </w:p>
        </w:tc>
        <w:tc>
          <w:tcPr>
            <w:tcW w:w="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90.005</w:t>
            </w:r>
          </w:p>
        </w:tc>
        <w:tc>
          <w:tcPr>
            <w:tcW w:w="4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9,570.928</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593.465</w:t>
            </w:r>
            <w:r>
              <w:rPr>
                <w:rFonts w:ascii="Times New Roman" w:cs="Times New Roman" w:eastAsia="Times New Roman" w:hAnsi="Times New Roman"/>
                <w:sz w:val="21"/>
                <w:szCs w:val="21"/>
                <w:color w:val="008000"/>
                <w:vertAlign w:val="superscript"/>
              </w:rPr>
              <w:t>(1)</w:t>
            </w:r>
          </w:p>
        </w:tc>
        <w:tc>
          <w:tcPr>
            <w:tcW w:w="340" w:type="dxa"/>
            <w:vAlign w:val="bottom"/>
          </w:tcPr>
          <w:p>
            <w:pPr>
              <w:spacing w:after="0"/>
              <w:rPr>
                <w:sz w:val="17"/>
                <w:szCs w:val="17"/>
                <w:color w:val="auto"/>
              </w:rPr>
            </w:pPr>
          </w:p>
        </w:tc>
        <w:tc>
          <w:tcPr>
            <w:tcW w:w="54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761.138</w:t>
            </w:r>
            <w:r>
              <w:rPr>
                <w:rFonts w:ascii="Times New Roman" w:cs="Times New Roman" w:eastAsia="Times New Roman" w:hAnsi="Times New Roman"/>
                <w:sz w:val="21"/>
                <w:szCs w:val="21"/>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4,175.595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4,175.595</w:t>
            </w:r>
          </w:p>
        </w:tc>
        <w:tc>
          <w:tcPr>
            <w:tcW w:w="54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-1910715</wp:posOffset>
            </wp:positionV>
            <wp:extent cx="29210" cy="1915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5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111.189 net shares acquired through regular individual and issuer matching contributions to The Toro Company Retirement Plan less quarterly non-discretionary administrative fees.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3.048 performance share units acquired by the reporting person since the date of her last report under the dividend reinvestment feature of The Toro Company Deferred Compensation Plan for Officers.</w:t>
      </w:r>
    </w:p>
    <w:p>
      <w:pPr>
        <w:spacing w:after="0" w:line="53" w:lineRule="exact"/>
        <w:rPr>
          <w:rFonts w:ascii="Times New Roman" w:cs="Times New Roman" w:eastAsia="Times New Roman" w:hAnsi="Times New Roman"/>
          <w:sz w:val="12"/>
          <w:szCs w:val="12"/>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in three equal annual installments commencing on the first anniversary of the December 22, 2025 grant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29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85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2026-06-17T12:23:50Z</dcterms:created>
  <dcterms:modified xsi:type="dcterms:W3CDTF">2026-06-17T12:23:50Z</dcterms:modified>
</cp:coreProperties>
</file>