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4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July 1, 2010</w:t>
      </w:r>
    </w:p>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75"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4560" w:type="dxa"/>
            <w:vAlign w:val="bottom"/>
          </w:tcPr>
          <w:p>
            <w:pPr>
              <w:jc w:val="center"/>
              <w:ind w:right="670"/>
              <w:spacing w:after="0"/>
              <w:rPr>
                <w:sz w:val="20"/>
                <w:szCs w:val="20"/>
                <w:color w:val="auto"/>
              </w:rPr>
            </w:pPr>
            <w:r>
              <w:rPr>
                <w:rFonts w:ascii="Arial" w:cs="Arial" w:eastAsia="Arial" w:hAnsi="Arial"/>
                <w:sz w:val="18"/>
                <w:szCs w:val="18"/>
                <w:b w:val="1"/>
                <w:bCs w:val="1"/>
                <w:color w:val="auto"/>
                <w:w w:val="91"/>
              </w:rPr>
              <w:t>Delaware</w:t>
            </w:r>
          </w:p>
        </w:tc>
        <w:tc>
          <w:tcPr>
            <w:tcW w:w="2820" w:type="dxa"/>
            <w:vAlign w:val="bottom"/>
          </w:tcPr>
          <w:p>
            <w:pPr>
              <w:jc w:val="right"/>
              <w:ind w:right="1330"/>
              <w:spacing w:after="0"/>
              <w:rPr>
                <w:sz w:val="20"/>
                <w:szCs w:val="20"/>
                <w:color w:val="auto"/>
              </w:rPr>
            </w:pPr>
            <w:r>
              <w:rPr>
                <w:rFonts w:ascii="Arial" w:cs="Arial" w:eastAsia="Arial" w:hAnsi="Arial"/>
                <w:sz w:val="18"/>
                <w:szCs w:val="18"/>
                <w:b w:val="1"/>
                <w:bCs w:val="1"/>
                <w:color w:val="auto"/>
              </w:rPr>
              <w:t>1-8649</w:t>
            </w:r>
          </w:p>
        </w:tc>
        <w:tc>
          <w:tcPr>
            <w:tcW w:w="4040" w:type="dxa"/>
            <w:vAlign w:val="bottom"/>
          </w:tcPr>
          <w:p>
            <w:pPr>
              <w:jc w:val="right"/>
              <w:ind w:right="1370"/>
              <w:spacing w:after="0"/>
              <w:rPr>
                <w:sz w:val="20"/>
                <w:szCs w:val="20"/>
                <w:color w:val="auto"/>
              </w:rPr>
            </w:pPr>
            <w:r>
              <w:rPr>
                <w:rFonts w:ascii="Arial" w:cs="Arial" w:eastAsia="Arial" w:hAnsi="Arial"/>
                <w:sz w:val="18"/>
                <w:szCs w:val="18"/>
                <w:b w:val="1"/>
                <w:bCs w:val="1"/>
                <w:color w:val="auto"/>
              </w:rPr>
              <w:t>41-0580470</w:t>
            </w:r>
          </w:p>
        </w:tc>
      </w:tr>
      <w:tr>
        <w:trPr>
          <w:trHeight w:val="230"/>
        </w:trPr>
        <w:tc>
          <w:tcPr>
            <w:tcW w:w="4560" w:type="dxa"/>
            <w:vAlign w:val="bottom"/>
          </w:tcPr>
          <w:p>
            <w:pPr>
              <w:jc w:val="center"/>
              <w:ind w:right="650"/>
              <w:spacing w:after="0"/>
              <w:rPr>
                <w:sz w:val="20"/>
                <w:szCs w:val="20"/>
                <w:color w:val="auto"/>
              </w:rPr>
            </w:pPr>
            <w:r>
              <w:rPr>
                <w:rFonts w:ascii="Arial" w:cs="Arial" w:eastAsia="Arial" w:hAnsi="Arial"/>
                <w:sz w:val="18"/>
                <w:szCs w:val="18"/>
                <w:color w:val="auto"/>
                <w:w w:val="92"/>
              </w:rPr>
              <w:t>(State of Incorporation)</w:t>
            </w:r>
          </w:p>
        </w:tc>
        <w:tc>
          <w:tcPr>
            <w:tcW w:w="2820" w:type="dxa"/>
            <w:vAlign w:val="bottom"/>
          </w:tcPr>
          <w:p>
            <w:pPr>
              <w:jc w:val="center"/>
              <w:ind w:right="430"/>
              <w:spacing w:after="0"/>
              <w:rPr>
                <w:sz w:val="20"/>
                <w:szCs w:val="20"/>
                <w:color w:val="auto"/>
              </w:rPr>
            </w:pPr>
            <w:r>
              <w:rPr>
                <w:rFonts w:ascii="Arial" w:cs="Arial" w:eastAsia="Arial" w:hAnsi="Arial"/>
                <w:sz w:val="18"/>
                <w:szCs w:val="18"/>
                <w:color w:val="auto"/>
                <w:w w:val="92"/>
              </w:rPr>
              <w:t>(Commission File Number)</w:t>
            </w:r>
          </w:p>
        </w:tc>
        <w:tc>
          <w:tcPr>
            <w:tcW w:w="4040" w:type="dxa"/>
            <w:vAlign w:val="bottom"/>
          </w:tcPr>
          <w:p>
            <w:pPr>
              <w:jc w:val="center"/>
              <w:ind w:left="130"/>
              <w:spacing w:after="0"/>
              <w:rPr>
                <w:sz w:val="20"/>
                <w:szCs w:val="20"/>
                <w:color w:val="auto"/>
              </w:rPr>
            </w:pPr>
            <w:r>
              <w:rPr>
                <w:rFonts w:ascii="Arial" w:cs="Arial" w:eastAsia="Arial" w:hAnsi="Arial"/>
                <w:sz w:val="18"/>
                <w:szCs w:val="18"/>
                <w:color w:val="auto"/>
                <w:w w:val="93"/>
              </w:rPr>
              <w:t>(I.R.S. Employer Identification Number)</w:t>
            </w:r>
          </w:p>
        </w:tc>
      </w:tr>
      <w:tr>
        <w:trPr>
          <w:trHeight w:val="684"/>
        </w:trPr>
        <w:tc>
          <w:tcPr>
            <w:tcW w:w="4560" w:type="dxa"/>
            <w:vAlign w:val="bottom"/>
          </w:tcPr>
          <w:p>
            <w:pPr>
              <w:jc w:val="center"/>
              <w:ind w:left="1070"/>
              <w:spacing w:after="0"/>
              <w:rPr>
                <w:sz w:val="20"/>
                <w:szCs w:val="20"/>
                <w:color w:val="auto"/>
              </w:rPr>
            </w:pPr>
            <w:r>
              <w:rPr>
                <w:rFonts w:ascii="Arial" w:cs="Arial" w:eastAsia="Arial" w:hAnsi="Arial"/>
                <w:sz w:val="18"/>
                <w:szCs w:val="18"/>
                <w:b w:val="1"/>
                <w:bCs w:val="1"/>
                <w:color w:val="auto"/>
                <w:w w:val="88"/>
              </w:rPr>
              <w:t>8111 Lyndale Avenue South</w:t>
            </w:r>
          </w:p>
        </w:tc>
        <w:tc>
          <w:tcPr>
            <w:tcW w:w="28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20"/>
        </w:trPr>
        <w:tc>
          <w:tcPr>
            <w:tcW w:w="4560" w:type="dxa"/>
            <w:vAlign w:val="bottom"/>
          </w:tcPr>
          <w:p>
            <w:pPr>
              <w:jc w:val="center"/>
              <w:ind w:left="1070"/>
              <w:spacing w:after="0"/>
              <w:rPr>
                <w:sz w:val="20"/>
                <w:szCs w:val="20"/>
                <w:color w:val="auto"/>
              </w:rPr>
            </w:pPr>
            <w:r>
              <w:rPr>
                <w:rFonts w:ascii="Arial" w:cs="Arial" w:eastAsia="Arial" w:hAnsi="Arial"/>
                <w:sz w:val="18"/>
                <w:szCs w:val="18"/>
                <w:b w:val="1"/>
                <w:bCs w:val="1"/>
                <w:color w:val="auto"/>
                <w:w w:val="89"/>
              </w:rPr>
              <w:t>Bloomington, Minnesota</w:t>
            </w:r>
          </w:p>
        </w:tc>
        <w:tc>
          <w:tcPr>
            <w:tcW w:w="2820" w:type="dxa"/>
            <w:vAlign w:val="bottom"/>
          </w:tcPr>
          <w:p>
            <w:pPr>
              <w:spacing w:after="0"/>
              <w:rPr>
                <w:sz w:val="19"/>
                <w:szCs w:val="19"/>
                <w:color w:val="auto"/>
              </w:rPr>
            </w:pPr>
          </w:p>
        </w:tc>
        <w:tc>
          <w:tcPr>
            <w:tcW w:w="4040" w:type="dxa"/>
            <w:vAlign w:val="bottom"/>
          </w:tcPr>
          <w:p>
            <w:pPr>
              <w:jc w:val="right"/>
              <w:ind w:right="2550"/>
              <w:spacing w:after="0"/>
              <w:rPr>
                <w:sz w:val="20"/>
                <w:szCs w:val="20"/>
                <w:color w:val="auto"/>
              </w:rPr>
            </w:pPr>
            <w:r>
              <w:rPr>
                <w:rFonts w:ascii="Arial" w:cs="Arial" w:eastAsia="Arial" w:hAnsi="Arial"/>
                <w:sz w:val="18"/>
                <w:szCs w:val="18"/>
                <w:b w:val="1"/>
                <w:bCs w:val="1"/>
                <w:color w:val="auto"/>
              </w:rPr>
              <w:t>55420</w:t>
            </w:r>
          </w:p>
        </w:tc>
      </w:tr>
      <w:tr>
        <w:trPr>
          <w:trHeight w:val="237"/>
        </w:trPr>
        <w:tc>
          <w:tcPr>
            <w:tcW w:w="4560" w:type="dxa"/>
            <w:vAlign w:val="bottom"/>
            <w:tcBorders>
              <w:bottom w:val="single" w:sz="8" w:color="auto"/>
            </w:tcBorders>
          </w:tcPr>
          <w:p>
            <w:pPr>
              <w:jc w:val="center"/>
              <w:ind w:left="1050"/>
              <w:spacing w:after="0"/>
              <w:rPr>
                <w:sz w:val="20"/>
                <w:szCs w:val="20"/>
                <w:color w:val="auto"/>
              </w:rPr>
            </w:pPr>
            <w:r>
              <w:rPr>
                <w:rFonts w:ascii="Arial" w:cs="Arial" w:eastAsia="Arial" w:hAnsi="Arial"/>
                <w:sz w:val="18"/>
                <w:szCs w:val="18"/>
                <w:color w:val="auto"/>
                <w:w w:val="92"/>
              </w:rPr>
              <w:t>(Address of principal executive offices)</w:t>
            </w:r>
          </w:p>
        </w:tc>
        <w:tc>
          <w:tcPr>
            <w:tcW w:w="2820" w:type="dxa"/>
            <w:vAlign w:val="bottom"/>
            <w:tcBorders>
              <w:bottom w:val="single" w:sz="8" w:color="auto"/>
            </w:tcBorders>
          </w:tcPr>
          <w:p>
            <w:pPr>
              <w:spacing w:after="0"/>
              <w:rPr>
                <w:sz w:val="20"/>
                <w:szCs w:val="20"/>
                <w:color w:val="auto"/>
              </w:rPr>
            </w:pPr>
          </w:p>
        </w:tc>
        <w:tc>
          <w:tcPr>
            <w:tcW w:w="4040" w:type="dxa"/>
            <w:vAlign w:val="bottom"/>
            <w:tcBorders>
              <w:bottom w:val="single" w:sz="8" w:color="auto"/>
            </w:tcBorders>
          </w:tcPr>
          <w:p>
            <w:pPr>
              <w:jc w:val="center"/>
              <w:ind w:right="1590"/>
              <w:spacing w:after="0"/>
              <w:rPr>
                <w:sz w:val="20"/>
                <w:szCs w:val="20"/>
                <w:color w:val="auto"/>
              </w:rPr>
            </w:pPr>
            <w:r>
              <w:rPr>
                <w:rFonts w:ascii="Arial" w:cs="Arial" w:eastAsia="Arial" w:hAnsi="Arial"/>
                <w:sz w:val="18"/>
                <w:szCs w:val="18"/>
                <w:color w:val="auto"/>
                <w:w w:val="94"/>
              </w:rPr>
              <w:t>(Zip Code)</w:t>
            </w:r>
          </w:p>
        </w:tc>
      </w:tr>
      <w:tr>
        <w:trPr>
          <w:trHeight w:val="459"/>
        </w:trPr>
        <w:tc>
          <w:tcPr>
            <w:tcW w:w="4560" w:type="dxa"/>
            <w:vAlign w:val="bottom"/>
          </w:tcPr>
          <w:p>
            <w:pPr>
              <w:ind w:left="640"/>
              <w:spacing w:after="0"/>
              <w:rPr>
                <w:sz w:val="20"/>
                <w:szCs w:val="20"/>
                <w:color w:val="auto"/>
              </w:rPr>
            </w:pPr>
            <w:r>
              <w:rPr>
                <w:rFonts w:ascii="Arial" w:cs="Arial" w:eastAsia="Arial" w:hAnsi="Arial"/>
                <w:sz w:val="18"/>
                <w:szCs w:val="18"/>
                <w:color w:val="auto"/>
                <w:w w:val="93"/>
              </w:rPr>
              <w:t>Registrant’s telephone number, including area code:</w:t>
            </w:r>
          </w:p>
        </w:tc>
        <w:tc>
          <w:tcPr>
            <w:tcW w:w="2820" w:type="dxa"/>
            <w:vAlign w:val="bottom"/>
          </w:tcPr>
          <w:p>
            <w:pPr>
              <w:spacing w:after="0"/>
              <w:rPr>
                <w:sz w:val="24"/>
                <w:szCs w:val="24"/>
                <w:color w:val="auto"/>
              </w:rPr>
            </w:pPr>
          </w:p>
        </w:tc>
        <w:tc>
          <w:tcPr>
            <w:tcW w:w="4040" w:type="dxa"/>
            <w:vAlign w:val="bottom"/>
          </w:tcPr>
          <w:p>
            <w:pPr>
              <w:jc w:val="right"/>
              <w:ind w:right="550"/>
              <w:spacing w:after="0"/>
              <w:rPr>
                <w:sz w:val="20"/>
                <w:szCs w:val="20"/>
                <w:color w:val="auto"/>
              </w:rPr>
            </w:pPr>
            <w:r>
              <w:rPr>
                <w:rFonts w:ascii="Arial" w:cs="Arial" w:eastAsia="Arial" w:hAnsi="Arial"/>
                <w:sz w:val="18"/>
                <w:szCs w:val="18"/>
                <w:b w:val="1"/>
                <w:bCs w:val="1"/>
                <w:color w:val="auto"/>
              </w:rPr>
              <w:t>(952) 888-8801</w:t>
            </w:r>
          </w:p>
        </w:tc>
      </w:tr>
    </w:tbl>
    <w:p>
      <w:pPr>
        <w:spacing w:after="0" w:line="200" w:lineRule="exact"/>
        <w:rPr>
          <w:sz w:val="24"/>
          <w:szCs w:val="24"/>
          <w:color w:val="auto"/>
        </w:rPr>
      </w:pPr>
    </w:p>
    <w:p>
      <w:pPr>
        <w:spacing w:after="0" w:line="27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2592070</wp:posOffset>
            </wp:positionH>
            <wp:positionV relativeFrom="paragraph">
              <wp:posOffset>-10160</wp:posOffset>
            </wp:positionV>
            <wp:extent cx="207327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73275" cy="8890"/>
                    </a:xfrm>
                    <a:prstGeom prst="rect">
                      <a:avLst/>
                    </a:prstGeom>
                    <a:noFill/>
                  </pic:spPr>
                </pic:pic>
              </a:graphicData>
            </a:graphic>
          </wp:anchor>
        </w:drawing>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3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97"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450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4508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5 – Corporate Governance and Management</w:t>
      </w:r>
    </w:p>
    <w:p>
      <w:pPr>
        <w:spacing w:after="0" w:line="200" w:lineRule="exact"/>
        <w:rPr>
          <w:sz w:val="20"/>
          <w:szCs w:val="20"/>
          <w:color w:val="auto"/>
        </w:rPr>
      </w:pPr>
    </w:p>
    <w:p>
      <w:pPr>
        <w:spacing w:after="0" w:line="295"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left="660" w:right="40" w:hanging="652"/>
        <w:spacing w:after="0" w:line="289" w:lineRule="auto"/>
        <w:tabs>
          <w:tab w:leader="none" w:pos="66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July 1, 2010, The Toro Company Board of Directors, upon recommendation of the Nominating &amp; Governance Committee, increased the size of the Board from 9 directors to 10 directors and elected Mr. Jeffrey M. Ettinger to fill the vacancy created by such increase. Mr. Ettinger joins the class of directors having a term ending at Toro’s Annual Meeting of Shareholders to be held in March 2011. As of the date hereof, Mr. Ettinger has not been appointed to any Board committees. It is expected that Mr. Ettinger’s committee appointments will be determined at the next regularly scheduled Board meeting to be held in July 2010. There are no arrangements or understandings between Mr. Ettinger and any other person pursuant to which he was selected as a director, and there have been no transactions since the beginning of Toro’s last fiscal year, or are currently p roposed, regarding Mr. Ettinger that are required to be disclosed by Item 404(a) of Regulation S-K. In connection with the election of Mr. Ettinger to the Board, Toro entered into an Indemnification Agreement with Mr. Ettinger in the same form that Toro has entered into with its other directors, a copy of which is attached to Toro’s Annual Report on Form 10-K for the fiscal year ended October 31, 2006, as Exhibit 10(u).</w:t>
      </w:r>
    </w:p>
    <w:p>
      <w:pPr>
        <w:spacing w:after="0" w:line="193" w:lineRule="exact"/>
        <w:rPr>
          <w:rFonts w:ascii="Arial" w:cs="Arial" w:eastAsia="Arial" w:hAnsi="Arial"/>
          <w:sz w:val="16"/>
          <w:szCs w:val="16"/>
          <w:color w:val="auto"/>
        </w:rPr>
      </w:pPr>
    </w:p>
    <w:p>
      <w:pPr>
        <w:ind w:left="660"/>
        <w:spacing w:after="0" w:line="272" w:lineRule="auto"/>
        <w:rPr>
          <w:rFonts w:ascii="Arial" w:cs="Arial" w:eastAsia="Arial" w:hAnsi="Arial"/>
          <w:sz w:val="16"/>
          <w:szCs w:val="16"/>
          <w:color w:val="auto"/>
        </w:rPr>
      </w:pPr>
      <w:r>
        <w:rPr>
          <w:rFonts w:ascii="Arial" w:cs="Arial" w:eastAsia="Arial" w:hAnsi="Arial"/>
          <w:sz w:val="17"/>
          <w:szCs w:val="17"/>
          <w:color w:val="auto"/>
        </w:rPr>
        <w:t>Mr. Ettinger, 51, is the Chairman of the Board, President and Chief Executive Officer of Hormel Foods Corporation, Austin, Minnesota (a multinational manufacturer and marketer of consumer-branded food and meat products). He joined Hormel Foods in 1989 and has served in a variety of roles, including as Senior Attorney, Product Manager for Hormel® chili, Treasurer, and President and Chief Executive Officer of Jennie-O Turkey Store – the largest subsidiary of Hormel Foods. Mr. Ettinger was elected President of Hormel Foods in May 2004, Chief Executive Officer in January 2006, and Chairman of the Board in November 2006. Mr. Ettinger serves on the Board of Directors of Hormel Foods Corporation (NYSE: HRL) and is also currently a member of the boards of directors of the Grocery Manufacturers of Ameri ca, the American Meat Institute, the Minnesota Business Partnership, the Austin Medical Center Foundation and The Hormel Foundation.</w:t>
      </w:r>
    </w:p>
    <w:p>
      <w:pPr>
        <w:spacing w:after="0" w:line="204" w:lineRule="exact"/>
        <w:rPr>
          <w:rFonts w:ascii="Arial" w:cs="Arial" w:eastAsia="Arial" w:hAnsi="Arial"/>
          <w:sz w:val="16"/>
          <w:szCs w:val="16"/>
          <w:color w:val="auto"/>
        </w:rPr>
      </w:pPr>
    </w:p>
    <w:p>
      <w:pPr>
        <w:ind w:left="660" w:right="40"/>
        <w:spacing w:after="0" w:line="279" w:lineRule="auto"/>
        <w:rPr>
          <w:rFonts w:ascii="Arial" w:cs="Arial" w:eastAsia="Arial" w:hAnsi="Arial"/>
          <w:sz w:val="16"/>
          <w:szCs w:val="16"/>
          <w:color w:val="auto"/>
        </w:rPr>
      </w:pPr>
      <w:r>
        <w:rPr>
          <w:rFonts w:ascii="Arial" w:cs="Arial" w:eastAsia="Arial" w:hAnsi="Arial"/>
          <w:sz w:val="17"/>
          <w:szCs w:val="17"/>
          <w:color w:val="auto"/>
        </w:rPr>
        <w:t>Mr. Ettinger will receive compensation and participate in plans as a non-employee member of the Board as described on pages 23 to 27 in the Proxy Statement for Toro’s Annual Meeting of Shareholders held on March 16, 2010, under the heading “Board Compensation,” except that stock awards, stock option grants and common stock issued in lieu of cash annual retainers and meetings fees that were previously issued under The Toro Company 2000 Directors Stock Plan will now be issued under The Toro Company 2010 Equity and Incentive Plan.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7 – Regulation FD</w:t>
      </w:r>
    </w:p>
    <w:p>
      <w:pPr>
        <w:spacing w:after="0" w:line="25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left="660" w:right="420"/>
        <w:spacing w:after="0" w:line="277" w:lineRule="auto"/>
        <w:rPr>
          <w:sz w:val="20"/>
          <w:szCs w:val="20"/>
          <w:color w:val="auto"/>
        </w:rPr>
      </w:pPr>
      <w:r>
        <w:rPr>
          <w:rFonts w:ascii="Arial" w:cs="Arial" w:eastAsia="Arial" w:hAnsi="Arial"/>
          <w:sz w:val="18"/>
          <w:szCs w:val="18"/>
          <w:color w:val="auto"/>
        </w:rPr>
        <w:t>Attached to this Current Report on Form 8-K as Exhibit 99.1 is a copy of the press release issued by The Toro Company in connection with the announcement of the election of Jeffrey M. Ettinger to its Board of Directors.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Section 9 – Financial Statements and Exhibits</w:t>
      </w:r>
    </w:p>
    <w:p>
      <w:pPr>
        <w:spacing w:after="0" w:line="252" w:lineRule="exact"/>
        <w:rPr>
          <w:sz w:val="20"/>
          <w:szCs w:val="20"/>
          <w:color w:val="auto"/>
        </w:rPr>
      </w:pPr>
    </w:p>
    <w:p>
      <w:pPr>
        <w:spacing w:after="0"/>
        <w:tabs>
          <w:tab w:leader="none" w:pos="13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56" w:lineRule="exact"/>
        <w:rPr>
          <w:sz w:val="20"/>
          <w:szCs w:val="20"/>
          <w:color w:val="auto"/>
        </w:rPr>
      </w:pPr>
    </w:p>
    <w:p>
      <w:pPr>
        <w:ind w:left="1440" w:hanging="622"/>
        <w:spacing w:after="0"/>
        <w:tabs>
          <w:tab w:leader="none" w:pos="14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9940" w:type="dxa"/>
            <w:vAlign w:val="bottom"/>
            <w:tcBorders>
              <w:bottom w:val="single" w:sz="8" w:color="auto"/>
            </w:tcBorders>
          </w:tcPr>
          <w:p>
            <w:pPr>
              <w:ind w:left="4820"/>
              <w:spacing w:after="0"/>
              <w:rPr>
                <w:sz w:val="20"/>
                <w:szCs w:val="20"/>
                <w:color w:val="auto"/>
              </w:rPr>
            </w:pPr>
            <w:r>
              <w:rPr>
                <w:rFonts w:ascii="Arial" w:cs="Arial" w:eastAsia="Arial" w:hAnsi="Arial"/>
                <w:sz w:val="18"/>
                <w:szCs w:val="18"/>
                <w:b w:val="1"/>
                <w:bCs w:val="1"/>
                <w:color w:val="auto"/>
              </w:rPr>
              <w:t>Description</w:t>
            </w:r>
          </w:p>
        </w:tc>
      </w:tr>
      <w:tr>
        <w:trPr>
          <w:trHeight w:val="202"/>
        </w:trPr>
        <w:tc>
          <w:tcPr>
            <w:tcW w:w="1480" w:type="dxa"/>
            <w:vAlign w:val="bottom"/>
          </w:tcPr>
          <w:p>
            <w:pPr>
              <w:spacing w:after="0" w:line="201" w:lineRule="exact"/>
              <w:rPr>
                <w:sz w:val="20"/>
                <w:szCs w:val="20"/>
                <w:color w:val="auto"/>
              </w:rPr>
            </w:pPr>
            <w:r>
              <w:rPr>
                <w:rFonts w:ascii="Arial" w:cs="Arial" w:eastAsia="Arial" w:hAnsi="Arial"/>
                <w:sz w:val="18"/>
                <w:szCs w:val="18"/>
                <w:color w:val="auto"/>
              </w:rPr>
              <w:t>10.1</w:t>
            </w:r>
          </w:p>
        </w:tc>
        <w:tc>
          <w:tcPr>
            <w:tcW w:w="9940" w:type="dxa"/>
            <w:vAlign w:val="bottom"/>
          </w:tcPr>
          <w:p>
            <w:pPr>
              <w:ind w:left="600"/>
              <w:spacing w:after="0" w:line="201" w:lineRule="exact"/>
              <w:rPr>
                <w:sz w:val="20"/>
                <w:szCs w:val="20"/>
                <w:color w:val="auto"/>
              </w:rPr>
            </w:pPr>
            <w:r>
              <w:rPr>
                <w:rFonts w:ascii="Arial" w:cs="Arial" w:eastAsia="Arial" w:hAnsi="Arial"/>
                <w:sz w:val="18"/>
                <w:szCs w:val="18"/>
                <w:color w:val="auto"/>
                <w:w w:val="94"/>
              </w:rPr>
              <w:t>Form of Indemnification Agreement with the members of the Board of Directors (incorporated by reference to Exhibit 10(u) to</w:t>
            </w:r>
          </w:p>
        </w:tc>
      </w:tr>
      <w:tr>
        <w:trPr>
          <w:trHeight w:val="216"/>
        </w:trPr>
        <w:tc>
          <w:tcPr>
            <w:tcW w:w="1480" w:type="dxa"/>
            <w:vAlign w:val="bottom"/>
          </w:tcPr>
          <w:p>
            <w:pPr>
              <w:spacing w:after="0"/>
              <w:rPr>
                <w:sz w:val="18"/>
                <w:szCs w:val="18"/>
                <w:color w:val="auto"/>
              </w:rPr>
            </w:pPr>
          </w:p>
        </w:tc>
        <w:tc>
          <w:tcPr>
            <w:tcW w:w="9940" w:type="dxa"/>
            <w:vAlign w:val="bottom"/>
          </w:tcPr>
          <w:p>
            <w:pPr>
              <w:ind w:left="600"/>
              <w:spacing w:after="0"/>
              <w:rPr>
                <w:sz w:val="20"/>
                <w:szCs w:val="20"/>
                <w:color w:val="auto"/>
              </w:rPr>
            </w:pPr>
            <w:r>
              <w:rPr>
                <w:rFonts w:ascii="Arial" w:cs="Arial" w:eastAsia="Arial" w:hAnsi="Arial"/>
                <w:sz w:val="18"/>
                <w:szCs w:val="18"/>
                <w:color w:val="auto"/>
              </w:rPr>
              <w:t>The Toro Company Annual Report on Form 10-K for the fiscal year ended October 31, 2006)</w:t>
            </w:r>
          </w:p>
        </w:tc>
      </w:tr>
      <w:tr>
        <w:trPr>
          <w:trHeight w:val="230"/>
        </w:trPr>
        <w:tc>
          <w:tcPr>
            <w:tcW w:w="1480" w:type="dxa"/>
            <w:vAlign w:val="bottom"/>
          </w:tcPr>
          <w:p>
            <w:pPr>
              <w:spacing w:after="0"/>
              <w:rPr>
                <w:sz w:val="20"/>
                <w:szCs w:val="20"/>
                <w:color w:val="auto"/>
              </w:rPr>
            </w:pPr>
            <w:r>
              <w:rPr>
                <w:rFonts w:ascii="Arial" w:cs="Arial" w:eastAsia="Arial" w:hAnsi="Arial"/>
                <w:sz w:val="18"/>
                <w:szCs w:val="18"/>
                <w:color w:val="auto"/>
              </w:rPr>
              <w:t>99.1</w:t>
            </w:r>
          </w:p>
        </w:tc>
        <w:tc>
          <w:tcPr>
            <w:tcW w:w="9940" w:type="dxa"/>
            <w:vAlign w:val="bottom"/>
          </w:tcPr>
          <w:p>
            <w:pPr>
              <w:ind w:left="600"/>
              <w:spacing w:after="0"/>
              <w:rPr>
                <w:sz w:val="20"/>
                <w:szCs w:val="20"/>
                <w:color w:val="auto"/>
              </w:rPr>
            </w:pPr>
            <w:r>
              <w:rPr>
                <w:rFonts w:ascii="Arial" w:cs="Arial" w:eastAsia="Arial" w:hAnsi="Arial"/>
                <w:sz w:val="18"/>
                <w:szCs w:val="18"/>
                <w:color w:val="auto"/>
              </w:rPr>
              <w:t>Press release dated July 1, 2010 (furnished herewith).</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3" w:name="page4"/>
    <w:bookmarkEnd w:id="3"/>
    <w:p>
      <w:pPr>
        <w:jc w:val="center"/>
        <w:ind w:right="-159"/>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THE TORO COMPANY</w:t>
      </w:r>
    </w:p>
    <w:p>
      <w:pPr>
        <w:spacing w:after="0" w:line="23" w:lineRule="exact"/>
        <w:rPr>
          <w:sz w:val="20"/>
          <w:szCs w:val="20"/>
          <w:color w:val="auto"/>
        </w:rPr>
      </w:pPr>
    </w:p>
    <w:p>
      <w:pPr>
        <w:ind w:left="5200"/>
        <w:spacing w:after="0"/>
        <w:rPr>
          <w:sz w:val="20"/>
          <w:szCs w:val="20"/>
          <w:color w:val="auto"/>
        </w:rPr>
      </w:pPr>
      <w:r>
        <w:rPr>
          <w:rFonts w:ascii="Arial" w:cs="Arial" w:eastAsia="Arial" w:hAnsi="Arial"/>
          <w:sz w:val="18"/>
          <w:szCs w:val="18"/>
          <w:color w:val="auto"/>
        </w:rPr>
        <w:t>(Registrant)</w:t>
      </w:r>
    </w:p>
    <w:p>
      <w:pPr>
        <w:spacing w:after="0" w:line="238" w:lineRule="exact"/>
        <w:rPr>
          <w:sz w:val="20"/>
          <w:szCs w:val="20"/>
          <w:color w:val="auto"/>
        </w:rPr>
      </w:pPr>
    </w:p>
    <w:p>
      <w:pPr>
        <w:spacing w:after="0"/>
        <w:tabs>
          <w:tab w:leader="none" w:pos="5740" w:val="left"/>
        </w:tabs>
        <w:rPr>
          <w:sz w:val="20"/>
          <w:szCs w:val="20"/>
          <w:color w:val="auto"/>
        </w:rPr>
      </w:pPr>
      <w:r>
        <w:rPr>
          <w:rFonts w:ascii="Arial" w:cs="Arial" w:eastAsia="Arial" w:hAnsi="Arial"/>
          <w:sz w:val="18"/>
          <w:szCs w:val="18"/>
          <w:color w:val="auto"/>
        </w:rPr>
        <w:t>Date: July 1, 2010</w:t>
      </w:r>
      <w:r>
        <w:rPr>
          <w:sz w:val="20"/>
          <w:szCs w:val="20"/>
          <w:color w:val="auto"/>
        </w:rPr>
        <w:tab/>
      </w:r>
      <w:r>
        <w:rPr>
          <w:rFonts w:ascii="Arial" w:cs="Arial" w:eastAsia="Arial" w:hAnsi="Arial"/>
          <w:sz w:val="16"/>
          <w:szCs w:val="16"/>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14605</wp:posOffset>
            </wp:positionV>
            <wp:extent cx="144907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16"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Vice President, Secretary and General Counsel</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517" w:right="3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9360" w:type="dxa"/>
            <w:vAlign w:val="bottom"/>
          </w:tcPr>
          <w:p>
            <w:pPr>
              <w:ind w:left="29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2040" w:type="dxa"/>
            <w:vAlign w:val="bottom"/>
            <w:tcBorders>
              <w:bottom w:val="single" w:sz="8" w:color="auto"/>
            </w:tcBorders>
          </w:tcPr>
          <w:p>
            <w:pPr>
              <w:spacing w:after="0"/>
              <w:rPr>
                <w:sz w:val="21"/>
                <w:szCs w:val="21"/>
                <w:color w:val="auto"/>
              </w:rPr>
            </w:pPr>
          </w:p>
        </w:tc>
        <w:tc>
          <w:tcPr>
            <w:tcW w:w="936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Borders>
              <w:bottom w:val="single" w:sz="8" w:color="auto"/>
            </w:tcBorders>
            <w:vMerge w:val="continue"/>
          </w:tcPr>
          <w:p>
            <w:pPr>
              <w:spacing w:after="0"/>
              <w:rPr>
                <w:sz w:val="18"/>
                <w:szCs w:val="18"/>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NUMBER</w:t>
            </w: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02"/>
        </w:trPr>
        <w:tc>
          <w:tcPr>
            <w:tcW w:w="2060" w:type="dxa"/>
            <w:vAlign w:val="bottom"/>
            <w:gridSpan w:val="2"/>
          </w:tcPr>
          <w:p>
            <w:pPr>
              <w:spacing w:after="0" w:line="201" w:lineRule="exact"/>
              <w:rPr>
                <w:sz w:val="20"/>
                <w:szCs w:val="20"/>
                <w:color w:val="auto"/>
              </w:rPr>
            </w:pPr>
            <w:r>
              <w:rPr>
                <w:rFonts w:ascii="Arial" w:cs="Arial" w:eastAsia="Arial" w:hAnsi="Arial"/>
                <w:sz w:val="18"/>
                <w:szCs w:val="18"/>
                <w:color w:val="auto"/>
              </w:rPr>
              <w:t>10.1</w:t>
            </w:r>
          </w:p>
        </w:tc>
        <w:tc>
          <w:tcPr>
            <w:tcW w:w="9360" w:type="dxa"/>
            <w:vAlign w:val="bottom"/>
          </w:tcPr>
          <w:p>
            <w:pPr>
              <w:ind w:left="440"/>
              <w:spacing w:after="0" w:line="201" w:lineRule="exact"/>
              <w:rPr>
                <w:sz w:val="20"/>
                <w:szCs w:val="20"/>
                <w:color w:val="auto"/>
              </w:rPr>
            </w:pPr>
            <w:r>
              <w:rPr>
                <w:rFonts w:ascii="Arial" w:cs="Arial" w:eastAsia="Arial" w:hAnsi="Arial"/>
                <w:sz w:val="18"/>
                <w:szCs w:val="18"/>
                <w:color w:val="auto"/>
                <w:w w:val="96"/>
              </w:rPr>
              <w:t>Form of Indemnification Agreement with the members of the Board of Directors (incorporated by reference to Exhibit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040" w:type="dxa"/>
            <w:vAlign w:val="bottom"/>
            <w:tcBorders>
              <w:bottom w:val="single" w:sz="8" w:color="auto"/>
            </w:tcBorders>
          </w:tcPr>
          <w:p>
            <w:pPr>
              <w:spacing w:after="0"/>
              <w:rPr>
                <w:sz w:val="20"/>
                <w:szCs w:val="20"/>
                <w:color w:val="auto"/>
              </w:rPr>
            </w:pP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10(u) to The Toro Company Annual Report on Form 10-K for the fiscal year ended October 31, 2006)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99.1</w:t>
            </w:r>
          </w:p>
        </w:tc>
        <w:tc>
          <w:tcPr>
            <w:tcW w:w="936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Press release dated July 1, 2010 (furnished herewith).</w:t>
            </w:r>
          </w:p>
        </w:tc>
        <w:tc>
          <w:tcPr>
            <w:tcW w:w="0" w:type="dxa"/>
            <w:vAlign w:val="bottom"/>
          </w:tcPr>
          <w:p>
            <w:pPr>
              <w:spacing w:after="0"/>
              <w:rPr>
                <w:sz w:val="1"/>
                <w:szCs w:val="1"/>
                <w:color w:val="auto"/>
              </w:rPr>
            </w:pPr>
          </w:p>
        </w:tc>
      </w:tr>
      <w:tr>
        <w:trPr>
          <w:trHeight w:val="851"/>
        </w:trPr>
        <w:tc>
          <w:tcPr>
            <w:tcW w:w="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9360" w:type="dxa"/>
            <w:vAlign w:val="bottom"/>
          </w:tcPr>
          <w:p>
            <w:pPr>
              <w:ind w:left="36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40" w:type="dxa"/>
            <w:vAlign w:val="bottom"/>
            <w:tcBorders>
              <w:bottom w:val="single" w:sz="8" w:color="808080"/>
            </w:tcBorders>
          </w:tcPr>
          <w:p>
            <w:pPr>
              <w:spacing w:after="0"/>
              <w:rPr>
                <w:sz w:val="10"/>
                <w:szCs w:val="10"/>
                <w:color w:val="auto"/>
              </w:rPr>
            </w:pPr>
          </w:p>
        </w:tc>
        <w:tc>
          <w:tcPr>
            <w:tcW w:w="936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5" w:name="page6"/>
    <w:bookmarkEnd w:id="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637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376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320675</wp:posOffset>
            </wp:positionV>
            <wp:extent cx="1929765" cy="12693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929765"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John Wright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ind w:left="440" w:hanging="432"/>
        <w:spacing w:after="0"/>
        <w:tabs>
          <w:tab w:leader="none" w:pos="44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887-8865, </w:t>
      </w:r>
      <w:r>
        <w:rPr>
          <w:rFonts w:ascii="Arial" w:cs="Arial" w:eastAsia="Arial" w:hAnsi="Arial"/>
          <w:sz w:val="18"/>
          <w:szCs w:val="18"/>
          <w:u w:val="single" w:color="auto"/>
          <w:color w:val="auto"/>
        </w:rPr>
        <w:t>invest@toro.com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Branden Happel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Manager, Public Relations</w:t>
      </w:r>
    </w:p>
    <w:p>
      <w:pPr>
        <w:spacing w:after="0" w:line="9" w:lineRule="exact"/>
        <w:rPr>
          <w:sz w:val="20"/>
          <w:szCs w:val="20"/>
          <w:color w:val="auto"/>
        </w:rPr>
      </w:pPr>
    </w:p>
    <w:p>
      <w:pPr>
        <w:ind w:left="440" w:hanging="432"/>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887-8930, </w:t>
      </w:r>
      <w:r>
        <w:rPr>
          <w:rFonts w:ascii="Arial" w:cs="Arial" w:eastAsia="Arial" w:hAnsi="Arial"/>
          <w:sz w:val="18"/>
          <w:szCs w:val="18"/>
          <w:u w:val="single" w:color="auto"/>
          <w:color w:val="auto"/>
        </w:rPr>
        <w:t>pr@toro.com</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 Immediate Release</w:t>
      </w: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Toro Company Names Jeffrey M. Ettinger to its Board of Directors</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BLOOMINGTON, Minn. (July 1, 2010) – The Toro Company (NYSE:TTC) today announced that it has elected Jeffrey M. Ettinger to its Board of Directors, effective immediately. The addition of Mr. Ettinger brings the Toro board to 10 members.</w:t>
      </w:r>
    </w:p>
    <w:p>
      <w:pPr>
        <w:spacing w:after="0" w:line="19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Ettinger, 51, is the chairman of the board, president and chief executive officer of Hormel Foods Corporation (NYSE: HRL), a $6.5 billion multinational manufacturer and marketer of consumer-branded food and meat products based in Austin, Minnesota. Ettinger joined Hormel Foods in 1989 and has served in a variety of roles, including as senior attorney, product manager for Hormel® chili, treasurer, and president and chief executive officer of Jennie-O Turkey Store – the largest subsidiary of Hormel Foods. Ettinger was elected president of Hormel Foods in May 2004, chief executive officer in January 2006, and chairman of the board in November 2006.</w:t>
      </w:r>
    </w:p>
    <w:p>
      <w:pPr>
        <w:spacing w:after="0" w:line="215"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color w:val="auto"/>
        </w:rPr>
        <w:t>"Jeff is a seasoned executive with strong business acumen and a proven track record of driving growth through innovation and strategic acquisitions," said Michael J. Hoffman, Toro's chairman and CEO. "His perspectives and experience will be invaluable, and we’re very pleased to have him join our board."</w:t>
      </w:r>
    </w:p>
    <w:p>
      <w:pPr>
        <w:spacing w:after="0" w:line="151" w:lineRule="exact"/>
        <w:rPr>
          <w:sz w:val="20"/>
          <w:szCs w:val="20"/>
          <w:color w:val="auto"/>
        </w:rPr>
      </w:pPr>
    </w:p>
    <w:p>
      <w:pPr>
        <w:jc w:val="both"/>
        <w:ind w:right="320"/>
        <w:spacing w:after="0" w:line="264" w:lineRule="auto"/>
        <w:rPr>
          <w:sz w:val="20"/>
          <w:szCs w:val="20"/>
          <w:color w:val="auto"/>
        </w:rPr>
      </w:pPr>
      <w:r>
        <w:rPr>
          <w:rFonts w:ascii="Arial" w:cs="Arial" w:eastAsia="Arial" w:hAnsi="Arial"/>
          <w:sz w:val="18"/>
          <w:szCs w:val="18"/>
          <w:color w:val="auto"/>
        </w:rPr>
        <w:t>Ettinger is a native of Pasadena, California, and holds bachelor of arts and law degrees from the University of California, Los Angeles. He is currently a member of the board of directors of the Grocery Manufacturers of America, the American Meat Institute, the Minnesota Business Partnership, the Austin Medical Center Foundation and The Hormel Foundation.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The Toro Company</w:t>
      </w:r>
    </w:p>
    <w:p>
      <w:pPr>
        <w:spacing w:after="0" w:line="25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 xml:space="preserve">The Toro Company (NYSE: TTC) is a leading worldwide provider of turf and landscape maintenance equipment, and precision irrigation systems. With sales of more than $1.5 billion in fiscal 2009, Toro's global presence extends to more than 140 countries through its reputation of world-class service, innovation and turf expertise. Since 1914, the company has built a tradition of excellence around a number of strong brands to help customers care for golf courses, sports fields, public green spaces, commercial and residential properties, and agricultural fields. More information is available at </w:t>
      </w:r>
      <w:r>
        <w:rPr>
          <w:rFonts w:ascii="Arial" w:cs="Arial" w:eastAsia="Arial" w:hAnsi="Arial"/>
          <w:sz w:val="16"/>
          <w:szCs w:val="16"/>
          <w:u w:val="single" w:color="auto"/>
          <w:color w:val="auto"/>
        </w:rPr>
        <w:t>www.toro.com</w:t>
      </w:r>
      <w:r>
        <w:rPr>
          <w:rFonts w:ascii="Arial" w:cs="Arial" w:eastAsia="Arial" w:hAnsi="Arial"/>
          <w:sz w:val="16"/>
          <w:szCs w:val="16"/>
          <w:color w:val="auto"/>
        </w:rPr>
        <w: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440" w:right="299"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lowerLetter"/>
      <w:start w:val="4"/>
    </w:lvl>
  </w:abstractNum>
  <w:abstractNum w:abstractNumId="2">
    <w:nsid w:val="625558EC"/>
    <w:multiLevelType w:val="hybridMultilevel"/>
    <w:lvl w:ilvl="0">
      <w:lvlJc w:val="left"/>
      <w:lvlText w:val="(%1)"/>
      <w:numFmt w:val="lowerLetter"/>
      <w:start w:val="4"/>
    </w:lvl>
  </w:abstractNum>
  <w:abstractNum w:abstractNumId="3">
    <w:nsid w:val="238E1F29"/>
    <w:multiLevelType w:val="hybridMultilevel"/>
    <w:lvl w:ilvl="0">
      <w:lvlJc w:val="left"/>
      <w:lvlText w:val="(%1)"/>
      <w:numFmt w:val="decimal"/>
      <w:start w:val="952"/>
    </w:lvl>
  </w:abstractNum>
  <w:abstractNum w:abstractNumId="4">
    <w:nsid w:val="46E87CCD"/>
    <w:multiLevelType w:val="hybridMultilevel"/>
    <w:lvl w:ilvl="0">
      <w:lvlJc w:val="left"/>
      <w:lvlText w:val="(%1)"/>
      <w:numFmt w:val="decimal"/>
      <w:start w:val="95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2019-12-10T05:37:23Z</dcterms:created>
  <dcterms:modified xsi:type="dcterms:W3CDTF">2019-12-10T05:37:23Z</dcterms:modified>
</cp:coreProperties>
</file>