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3"/>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19" w:lineRule="exact"/>
        <w:rPr>
          <w:sz w:val="24"/>
          <w:szCs w:val="24"/>
          <w:color w:val="auto"/>
        </w:rPr>
      </w:pPr>
    </w:p>
    <w:p>
      <w:pPr>
        <w:jc w:val="center"/>
        <w:ind w:right="-603"/>
        <w:spacing w:after="0"/>
        <w:rPr>
          <w:sz w:val="20"/>
          <w:szCs w:val="20"/>
          <w:color w:val="auto"/>
        </w:rPr>
      </w:pPr>
      <w:r>
        <w:rPr>
          <w:rFonts w:ascii="Arial" w:cs="Arial" w:eastAsia="Arial" w:hAnsi="Arial"/>
          <w:sz w:val="19"/>
          <w:szCs w:val="19"/>
          <w:b w:val="1"/>
          <w:bCs w:val="1"/>
          <w:color w:val="auto"/>
        </w:rPr>
        <w:t>SECURITIES AND EXCHANGE COMMISSION</w:t>
      </w:r>
    </w:p>
    <w:p>
      <w:pPr>
        <w:spacing w:after="0" w:line="199"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Washington, D.C. 20549</w:t>
      </w:r>
    </w:p>
    <w:p>
      <w:pPr>
        <w:spacing w:after="0" w:line="215" w:lineRule="exact"/>
        <w:rPr>
          <w:sz w:val="24"/>
          <w:szCs w:val="24"/>
          <w:color w:val="auto"/>
        </w:rPr>
      </w:pPr>
    </w:p>
    <w:p>
      <w:pPr>
        <w:jc w:val="center"/>
        <w:ind w:right="-603"/>
        <w:spacing w:after="0"/>
        <w:rPr>
          <w:sz w:val="20"/>
          <w:szCs w:val="20"/>
          <w:color w:val="auto"/>
        </w:rPr>
      </w:pPr>
      <w:r>
        <w:rPr>
          <w:rFonts w:ascii="Arial" w:cs="Arial" w:eastAsia="Arial" w:hAnsi="Arial"/>
          <w:sz w:val="19"/>
          <w:szCs w:val="19"/>
          <w:b w:val="1"/>
          <w:bCs w:val="1"/>
          <w:color w:val="auto"/>
        </w:rPr>
        <w:t>FORM 8-K</w:t>
      </w:r>
    </w:p>
    <w:p>
      <w:pPr>
        <w:spacing w:after="0" w:line="221"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CURRENT REPORT</w:t>
      </w:r>
    </w:p>
    <w:p>
      <w:pPr>
        <w:spacing w:after="0" w:line="223"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3" w:lineRule="exact"/>
        <w:rPr>
          <w:sz w:val="24"/>
          <w:szCs w:val="24"/>
          <w:color w:val="auto"/>
        </w:rPr>
      </w:pPr>
    </w:p>
    <w:p>
      <w:pPr>
        <w:ind w:left="3424"/>
        <w:spacing w:after="0"/>
        <w:rPr>
          <w:sz w:val="20"/>
          <w:szCs w:val="20"/>
          <w:color w:val="auto"/>
        </w:rPr>
      </w:pPr>
      <w:r>
        <w:rPr>
          <w:rFonts w:ascii="Arial" w:cs="Arial" w:eastAsia="Arial" w:hAnsi="Arial"/>
          <w:sz w:val="16"/>
          <w:szCs w:val="16"/>
          <w:b w:val="1"/>
          <w:bCs w:val="1"/>
          <w:color w:val="auto"/>
        </w:rPr>
        <w:t>Date of Report (Date of earliest event reported): February 21, 2008</w:t>
      </w:r>
    </w:p>
    <w:p>
      <w:pPr>
        <w:spacing w:after="0" w:line="200" w:lineRule="exact"/>
        <w:rPr>
          <w:sz w:val="24"/>
          <w:szCs w:val="24"/>
          <w:color w:val="auto"/>
        </w:rPr>
      </w:pPr>
    </w:p>
    <w:p>
      <w:pPr>
        <w:spacing w:after="0" w:line="219" w:lineRule="exact"/>
        <w:rPr>
          <w:sz w:val="24"/>
          <w:szCs w:val="24"/>
          <w:color w:val="auto"/>
        </w:rPr>
      </w:pPr>
    </w:p>
    <w:p>
      <w:pPr>
        <w:jc w:val="center"/>
        <w:ind w:right="-603"/>
        <w:spacing w:after="0"/>
        <w:rPr>
          <w:sz w:val="20"/>
          <w:szCs w:val="20"/>
          <w:color w:val="auto"/>
        </w:rPr>
      </w:pPr>
      <w:r>
        <w:rPr>
          <w:rFonts w:ascii="Arial" w:cs="Arial" w:eastAsia="Arial" w:hAnsi="Arial"/>
          <w:sz w:val="29"/>
          <w:szCs w:val="29"/>
          <w:b w:val="1"/>
          <w:bCs w:val="1"/>
          <w:color w:val="auto"/>
        </w:rPr>
        <w:t>THE TORO COMPANY</w:t>
      </w:r>
    </w:p>
    <w:p>
      <w:pPr>
        <w:spacing w:after="0" w:line="28" w:lineRule="exact"/>
        <w:rPr>
          <w:sz w:val="24"/>
          <w:szCs w:val="24"/>
          <w:color w:val="auto"/>
        </w:rPr>
      </w:pPr>
    </w:p>
    <w:p>
      <w:pPr>
        <w:ind w:left="4064"/>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1584"/>
        <w:spacing w:after="0"/>
        <w:tabs>
          <w:tab w:leader="none" w:pos="5464" w:val="left"/>
          <w:tab w:leader="none" w:pos="9124"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1-8649</w:t>
      </w:r>
      <w:r>
        <w:rPr>
          <w:sz w:val="20"/>
          <w:szCs w:val="20"/>
          <w:color w:val="auto"/>
        </w:rPr>
        <w:tab/>
      </w:r>
      <w:r>
        <w:rPr>
          <w:rFonts w:ascii="Arial" w:cs="Arial" w:eastAsia="Arial" w:hAnsi="Arial"/>
          <w:sz w:val="14"/>
          <w:szCs w:val="14"/>
          <w:b w:val="1"/>
          <w:bCs w:val="1"/>
          <w:color w:val="auto"/>
        </w:rPr>
        <w:t>41-0580470</w:t>
      </w:r>
    </w:p>
    <w:p>
      <w:pPr>
        <w:spacing w:after="0" w:line="24" w:lineRule="exact"/>
        <w:rPr>
          <w:sz w:val="24"/>
          <w:szCs w:val="24"/>
          <w:color w:val="auto"/>
        </w:rPr>
      </w:pPr>
    </w:p>
    <w:p>
      <w:pPr>
        <w:ind w:left="1144"/>
        <w:spacing w:after="0"/>
        <w:tabs>
          <w:tab w:leader="none" w:pos="4804" w:val="left"/>
          <w:tab w:leader="none" w:pos="8204" w:val="left"/>
        </w:tabs>
        <w:rPr>
          <w:sz w:val="20"/>
          <w:szCs w:val="20"/>
          <w:color w:val="auto"/>
        </w:rPr>
      </w:pPr>
      <w:r>
        <w:rPr>
          <w:rFonts w:ascii="Arial" w:cs="Arial" w:eastAsia="Arial" w:hAnsi="Arial"/>
          <w:sz w:val="16"/>
          <w:szCs w:val="16"/>
          <w:color w:val="auto"/>
        </w:rPr>
        <w:t>(State of Incorporation)</w:t>
      </w:r>
      <w:r>
        <w:rPr>
          <w:sz w:val="20"/>
          <w:szCs w:val="20"/>
          <w:color w:val="auto"/>
        </w:rPr>
        <w:tab/>
      </w:r>
      <w:r>
        <w:rPr>
          <w:rFonts w:ascii="Arial" w:cs="Arial" w:eastAsia="Arial" w:hAnsi="Arial"/>
          <w:sz w:val="16"/>
          <w:szCs w:val="16"/>
          <w:color w:val="auto"/>
        </w:rPr>
        <w:t>(Commission File Number)</w:t>
      </w:r>
      <w:r>
        <w:rPr>
          <w:sz w:val="20"/>
          <w:szCs w:val="20"/>
          <w:color w:val="auto"/>
        </w:rPr>
        <w:tab/>
      </w:r>
      <w:r>
        <w:rPr>
          <w:rFonts w:ascii="Arial" w:cs="Arial" w:eastAsia="Arial" w:hAnsi="Arial"/>
          <w:sz w:val="14"/>
          <w:szCs w:val="14"/>
          <w:color w:val="auto"/>
        </w:rPr>
        <w:t>(I.R.S. Employer Identification Number)</w:t>
      </w:r>
    </w:p>
    <w:p>
      <w:pPr>
        <w:sectPr>
          <w:pgSz w:w="11900" w:h="16838" w:orient="portrait"/>
          <w:cols w:equalWidth="0" w:num="1">
            <w:col w:w="10824"/>
          </w:cols>
          <w:pgMar w:left="236" w:top="498" w:right="8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jc w:val="center"/>
        <w:ind w:right="2216"/>
        <w:spacing w:after="0"/>
        <w:rPr>
          <w:sz w:val="20"/>
          <w:szCs w:val="20"/>
          <w:color w:val="auto"/>
        </w:rPr>
      </w:pPr>
      <w:r>
        <w:rPr>
          <w:rFonts w:ascii="Arial" w:cs="Arial" w:eastAsia="Arial" w:hAnsi="Arial"/>
          <w:sz w:val="16"/>
          <w:szCs w:val="16"/>
          <w:b w:val="1"/>
          <w:bCs w:val="1"/>
          <w:color w:val="auto"/>
        </w:rPr>
        <w:t>8111 Lyndale Avenue South</w:t>
      </w:r>
    </w:p>
    <w:p>
      <w:pPr>
        <w:spacing w:after="0" w:line="24" w:lineRule="exact"/>
        <w:rPr>
          <w:sz w:val="24"/>
          <w:szCs w:val="24"/>
          <w:color w:val="auto"/>
        </w:rPr>
      </w:pPr>
    </w:p>
    <w:p>
      <w:pPr>
        <w:jc w:val="center"/>
        <w:ind w:right="2216"/>
        <w:spacing w:after="0"/>
        <w:rPr>
          <w:sz w:val="20"/>
          <w:szCs w:val="20"/>
          <w:color w:val="auto"/>
        </w:rPr>
      </w:pPr>
      <w:r>
        <w:rPr>
          <w:rFonts w:ascii="Arial" w:cs="Arial" w:eastAsia="Arial" w:hAnsi="Arial"/>
          <w:sz w:val="16"/>
          <w:szCs w:val="16"/>
          <w:b w:val="1"/>
          <w:bCs w:val="1"/>
          <w:color w:val="auto"/>
        </w:rPr>
        <w:t>Bloomington, Minnesota</w:t>
      </w:r>
    </w:p>
    <w:p>
      <w:pPr>
        <w:spacing w:after="0" w:line="8" w:lineRule="exact"/>
        <w:rPr>
          <w:sz w:val="24"/>
          <w:szCs w:val="24"/>
          <w:color w:val="auto"/>
        </w:rPr>
      </w:pPr>
    </w:p>
    <w:p>
      <w:pPr>
        <w:jc w:val="center"/>
        <w:ind w:right="2216"/>
        <w:spacing w:after="0"/>
        <w:rPr>
          <w:sz w:val="20"/>
          <w:szCs w:val="20"/>
          <w:color w:val="auto"/>
        </w:rPr>
      </w:pPr>
      <w:r>
        <w:rPr>
          <w:rFonts w:ascii="Arial" w:cs="Arial" w:eastAsia="Arial" w:hAnsi="Arial"/>
          <w:sz w:val="14"/>
          <w:szCs w:val="14"/>
          <w:u w:val="single" w:color="auto"/>
          <w:color w:val="auto"/>
        </w:rPr>
        <w:t>(Address of principal executive offices)</w:t>
      </w:r>
    </w:p>
    <w:p>
      <w:pPr>
        <w:spacing w:after="0" w:line="253" w:lineRule="exact"/>
        <w:rPr>
          <w:sz w:val="24"/>
          <w:szCs w:val="24"/>
          <w:color w:val="auto"/>
        </w:rPr>
      </w:pPr>
    </w:p>
    <w:p>
      <w:pPr>
        <w:jc w:val="right"/>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(952) 888-8801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55420</w:t>
      </w:r>
    </w:p>
    <w:p>
      <w:pPr>
        <w:spacing w:after="0" w:line="24" w:lineRule="exact"/>
        <w:rPr>
          <w:sz w:val="24"/>
          <w:szCs w:val="24"/>
          <w:color w:val="auto"/>
        </w:rPr>
      </w:pPr>
    </w:p>
    <w:p>
      <w:pPr>
        <w:jc w:val="center"/>
        <w:ind w:right="1900"/>
        <w:spacing w:after="0"/>
        <w:rPr>
          <w:sz w:val="20"/>
          <w:szCs w:val="20"/>
          <w:color w:val="auto"/>
        </w:rPr>
      </w:pPr>
      <w:r>
        <w:rPr>
          <w:rFonts w:ascii="Arial" w:cs="Arial" w:eastAsia="Arial" w:hAnsi="Arial"/>
          <w:sz w:val="14"/>
          <w:szCs w:val="14"/>
          <w:u w:val="single" w:color="auto"/>
          <w:color w:val="auto"/>
        </w:rPr>
        <w:t>(Zip Code)</w:t>
      </w:r>
    </w:p>
    <w:p>
      <w:pPr>
        <w:spacing w:after="0" w:line="613" w:lineRule="exact"/>
        <w:rPr>
          <w:sz w:val="24"/>
          <w:szCs w:val="24"/>
          <w:color w:val="auto"/>
        </w:rPr>
      </w:pPr>
    </w:p>
    <w:p>
      <w:pPr>
        <w:sectPr>
          <w:pgSz w:w="11900" w:h="16838" w:orient="portrait"/>
          <w:cols w:equalWidth="0" w:num="2">
            <w:col w:w="7924" w:space="300"/>
            <w:col w:w="2600"/>
          </w:cols>
          <w:pgMar w:left="236" w:top="498" w:right="839" w:bottom="1440" w:gutter="0" w:footer="0" w:header="0"/>
          <w:type w:val="continuous"/>
        </w:sectPr>
      </w:pPr>
    </w:p>
    <w:p>
      <w:pPr>
        <w:spacing w:after="0" w:line="243" w:lineRule="exact"/>
        <w:rPr>
          <w:sz w:val="24"/>
          <w:szCs w:val="24"/>
          <w:color w:val="auto"/>
        </w:rPr>
      </w:pPr>
    </w:p>
    <w:p>
      <w:pPr>
        <w:jc w:val="center"/>
        <w:ind w:right="-603"/>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-9525</wp:posOffset>
            </wp:positionV>
            <wp:extent cx="18326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jc w:val="center"/>
        <w:ind w:right="-60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6" w:lineRule="exact"/>
        <w:rPr>
          <w:sz w:val="24"/>
          <w:szCs w:val="24"/>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223"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223"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223" w:lineRule="exact"/>
        <w:rPr>
          <w:rFonts w:ascii="Arial" w:cs="Arial" w:eastAsia="Arial" w:hAnsi="Arial"/>
          <w:sz w:val="16"/>
          <w:szCs w:val="16"/>
          <w:color w:val="auto"/>
        </w:rPr>
      </w:pPr>
    </w:p>
    <w:p>
      <w:pPr>
        <w:ind w:left="124" w:hanging="124"/>
        <w:spacing w:after="0"/>
        <w:tabs>
          <w:tab w:leader="none" w:pos="1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489585</wp:posOffset>
            </wp:positionV>
            <wp:extent cx="726694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ectPr>
          <w:pgSz w:w="11900" w:h="16838" w:orient="portrait"/>
          <w:cols w:equalWidth="0" w:num="1">
            <w:col w:w="10824"/>
          </w:cols>
          <w:pgMar w:left="236" w:top="498"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2 — Financial Information</w:t>
      </w:r>
    </w:p>
    <w:p>
      <w:pPr>
        <w:spacing w:after="0" w:line="22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February 21, 2008, The Toro Company announced its earnings for the three months ended February 1, 2008.</w:t>
      </w:r>
    </w:p>
    <w:p>
      <w:pPr>
        <w:spacing w:after="0" w:line="223" w:lineRule="exact"/>
        <w:rPr>
          <w:sz w:val="20"/>
          <w:szCs w:val="20"/>
          <w:color w:val="auto"/>
        </w:rPr>
      </w:pPr>
    </w:p>
    <w:p>
      <w:pPr>
        <w:ind w:left="720"/>
        <w:spacing w:after="0" w:line="281" w:lineRule="auto"/>
        <w:rPr>
          <w:sz w:val="20"/>
          <w:szCs w:val="20"/>
          <w:color w:val="auto"/>
        </w:rPr>
      </w:pPr>
      <w:r>
        <w:rPr>
          <w:rFonts w:ascii="Arial" w:cs="Arial" w:eastAsia="Arial" w:hAnsi="Arial"/>
          <w:sz w:val="15"/>
          <w:szCs w:val="15"/>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671195</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470" w:right="2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23"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7" w:lineRule="exact"/>
        <w:rPr>
          <w:sz w:val="20"/>
          <w:szCs w:val="20"/>
          <w:color w:val="auto"/>
        </w:rPr>
      </w:pPr>
    </w:p>
    <w:p>
      <w:pPr>
        <w:ind w:left="544" w:hanging="544"/>
        <w:spacing w:after="0"/>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227"/>
        </w:trPr>
        <w:tc>
          <w:tcPr>
            <w:tcW w:w="1260" w:type="dxa"/>
            <w:vAlign w:val="bottom"/>
            <w:gridSpan w:val="2"/>
          </w:tcPr>
          <w:p>
            <w:pPr>
              <w:spacing w:after="0"/>
              <w:rPr>
                <w:sz w:val="20"/>
                <w:szCs w:val="20"/>
                <w:color w:val="auto"/>
              </w:rPr>
            </w:pPr>
            <w:r>
              <w:rPr>
                <w:rFonts w:ascii="Arial" w:cs="Arial" w:eastAsia="Arial" w:hAnsi="Arial"/>
                <w:sz w:val="19"/>
                <w:szCs w:val="19"/>
                <w:b w:val="1"/>
                <w:bCs w:val="1"/>
                <w:color w:val="auto"/>
              </w:rPr>
              <w:t>Exhibit No.</w:t>
            </w:r>
          </w:p>
        </w:tc>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Description</w:t>
            </w:r>
          </w:p>
        </w:tc>
        <w:tc>
          <w:tcPr>
            <w:tcW w:w="9380" w:type="dxa"/>
            <w:vAlign w:val="bottom"/>
          </w:tcPr>
          <w:p>
            <w:pPr>
              <w:spacing w:after="0"/>
              <w:rPr>
                <w:sz w:val="19"/>
                <w:szCs w:val="19"/>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192"/>
        </w:trPr>
        <w:tc>
          <w:tcPr>
            <w:tcW w:w="940" w:type="dxa"/>
            <w:vAlign w:val="bottom"/>
          </w:tcPr>
          <w:p>
            <w:pPr>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6"/>
                <w:szCs w:val="16"/>
                <w:color w:val="auto"/>
              </w:rPr>
            </w:pPr>
          </w:p>
        </w:tc>
        <w:tc>
          <w:tcPr>
            <w:tcW w:w="10180" w:type="dxa"/>
            <w:vAlign w:val="bottom"/>
            <w:gridSpan w:val="2"/>
          </w:tcPr>
          <w:p>
            <w:pPr>
              <w:spacing w:after="0"/>
              <w:rPr>
                <w:sz w:val="20"/>
                <w:szCs w:val="20"/>
                <w:color w:val="auto"/>
              </w:rPr>
            </w:pPr>
            <w:r>
              <w:rPr>
                <w:rFonts w:ascii="Arial" w:cs="Arial" w:eastAsia="Arial" w:hAnsi="Arial"/>
                <w:sz w:val="16"/>
                <w:szCs w:val="16"/>
                <w:color w:val="auto"/>
              </w:rPr>
              <w:t>Press release dated February 21, 2008 related to the announcement of earnings (furnished herewith).</w:t>
            </w:r>
          </w:p>
        </w:tc>
      </w:tr>
      <w:tr>
        <w:trPr>
          <w:trHeight w:val="1181"/>
        </w:trPr>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54"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SIGNATURES</w:t>
      </w:r>
    </w:p>
    <w:p>
      <w:pPr>
        <w:spacing w:after="0" w:line="227"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8340" w:type="dxa"/>
            <w:vAlign w:val="bottom"/>
            <w:gridSpan w:val="3"/>
          </w:tcPr>
          <w:p>
            <w:pPr>
              <w:ind w:left="1500"/>
              <w:spacing w:after="0"/>
              <w:rPr>
                <w:sz w:val="20"/>
                <w:szCs w:val="20"/>
                <w:color w:val="auto"/>
              </w:rPr>
            </w:pPr>
            <w:r>
              <w:rPr>
                <w:rFonts w:ascii="Arial" w:cs="Arial" w:eastAsia="Arial" w:hAnsi="Arial"/>
                <w:sz w:val="16"/>
                <w:szCs w:val="16"/>
                <w:color w:val="auto"/>
              </w:rPr>
              <w:t>THE TORO COMPANY</w:t>
            </w:r>
          </w:p>
        </w:tc>
      </w:tr>
      <w:tr>
        <w:trPr>
          <w:trHeight w:val="204"/>
        </w:trPr>
        <w:tc>
          <w:tcPr>
            <w:tcW w:w="3100" w:type="dxa"/>
            <w:vAlign w:val="bottom"/>
          </w:tcPr>
          <w:p>
            <w:pPr>
              <w:spacing w:after="0"/>
              <w:rPr>
                <w:sz w:val="17"/>
                <w:szCs w:val="17"/>
                <w:color w:val="auto"/>
              </w:rPr>
            </w:pPr>
          </w:p>
        </w:tc>
        <w:tc>
          <w:tcPr>
            <w:tcW w:w="8340" w:type="dxa"/>
            <w:vAlign w:val="bottom"/>
            <w:gridSpan w:val="3"/>
          </w:tcPr>
          <w:p>
            <w:pPr>
              <w:ind w:left="1500"/>
              <w:spacing w:after="0"/>
              <w:rPr>
                <w:sz w:val="20"/>
                <w:szCs w:val="20"/>
                <w:color w:val="auto"/>
              </w:rPr>
            </w:pPr>
            <w:r>
              <w:rPr>
                <w:rFonts w:ascii="Arial" w:cs="Arial" w:eastAsia="Arial" w:hAnsi="Arial"/>
                <w:sz w:val="16"/>
                <w:szCs w:val="16"/>
                <w:color w:val="auto"/>
              </w:rPr>
              <w:t>(Registrant)</w:t>
            </w:r>
          </w:p>
        </w:tc>
      </w:tr>
      <w:tr>
        <w:trPr>
          <w:trHeight w:val="371"/>
        </w:trPr>
        <w:tc>
          <w:tcPr>
            <w:tcW w:w="3100" w:type="dxa"/>
            <w:vAlign w:val="bottom"/>
          </w:tcPr>
          <w:p>
            <w:pPr>
              <w:spacing w:after="0"/>
              <w:rPr>
                <w:sz w:val="20"/>
                <w:szCs w:val="20"/>
                <w:color w:val="auto"/>
              </w:rPr>
            </w:pPr>
            <w:r>
              <w:rPr>
                <w:rFonts w:ascii="Arial" w:cs="Arial" w:eastAsia="Arial" w:hAnsi="Arial"/>
                <w:sz w:val="16"/>
                <w:szCs w:val="16"/>
                <w:color w:val="auto"/>
              </w:rPr>
              <w:t>Date: February 21, 2008</w:t>
            </w:r>
          </w:p>
        </w:tc>
        <w:tc>
          <w:tcPr>
            <w:tcW w:w="8340" w:type="dxa"/>
            <w:vAlign w:val="bottom"/>
            <w:gridSpan w:val="3"/>
          </w:tcPr>
          <w:p>
            <w:pPr>
              <w:ind w:left="2600"/>
              <w:spacing w:after="0"/>
              <w:rPr>
                <w:sz w:val="20"/>
                <w:szCs w:val="20"/>
                <w:color w:val="auto"/>
              </w:rPr>
            </w:pPr>
            <w:r>
              <w:rPr>
                <w:rFonts w:ascii="Arial" w:cs="Arial" w:eastAsia="Arial" w:hAnsi="Arial"/>
                <w:sz w:val="16"/>
                <w:szCs w:val="16"/>
                <w:color w:val="auto"/>
              </w:rPr>
              <w:t>By /s/ Stephen P. Wolfe</w:t>
            </w:r>
          </w:p>
        </w:tc>
      </w:tr>
      <w:tr>
        <w:trPr>
          <w:trHeight w:val="20"/>
        </w:trPr>
        <w:tc>
          <w:tcPr>
            <w:tcW w:w="3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195"/>
        </w:trPr>
        <w:tc>
          <w:tcPr>
            <w:tcW w:w="3100" w:type="dxa"/>
            <w:vAlign w:val="bottom"/>
          </w:tcPr>
          <w:p>
            <w:pPr>
              <w:spacing w:after="0"/>
              <w:rPr>
                <w:sz w:val="16"/>
                <w:szCs w:val="16"/>
                <w:color w:val="auto"/>
              </w:rPr>
            </w:pPr>
          </w:p>
        </w:tc>
        <w:tc>
          <w:tcPr>
            <w:tcW w:w="8340" w:type="dxa"/>
            <w:vAlign w:val="bottom"/>
            <w:gridSpan w:val="3"/>
          </w:tcPr>
          <w:p>
            <w:pPr>
              <w:ind w:left="2600"/>
              <w:spacing w:after="0"/>
              <w:rPr>
                <w:sz w:val="20"/>
                <w:szCs w:val="20"/>
                <w:color w:val="auto"/>
              </w:rPr>
            </w:pPr>
            <w:r>
              <w:rPr>
                <w:rFonts w:ascii="Arial" w:cs="Arial" w:eastAsia="Arial" w:hAnsi="Arial"/>
                <w:sz w:val="16"/>
                <w:szCs w:val="16"/>
                <w:color w:val="auto"/>
              </w:rPr>
              <w:t>Stephen P. Wolfe</w:t>
            </w:r>
          </w:p>
        </w:tc>
      </w:tr>
      <w:tr>
        <w:trPr>
          <w:trHeight w:val="192"/>
        </w:trPr>
        <w:tc>
          <w:tcPr>
            <w:tcW w:w="3100" w:type="dxa"/>
            <w:vAlign w:val="bottom"/>
          </w:tcPr>
          <w:p>
            <w:pPr>
              <w:spacing w:after="0"/>
              <w:rPr>
                <w:sz w:val="16"/>
                <w:szCs w:val="16"/>
                <w:color w:val="auto"/>
              </w:rPr>
            </w:pPr>
          </w:p>
        </w:tc>
        <w:tc>
          <w:tcPr>
            <w:tcW w:w="8340" w:type="dxa"/>
            <w:vAlign w:val="bottom"/>
            <w:gridSpan w:val="3"/>
          </w:tcPr>
          <w:p>
            <w:pPr>
              <w:ind w:left="2600"/>
              <w:spacing w:after="0"/>
              <w:rPr>
                <w:sz w:val="20"/>
                <w:szCs w:val="20"/>
                <w:color w:val="auto"/>
              </w:rPr>
            </w:pPr>
            <w:r>
              <w:rPr>
                <w:rFonts w:ascii="Arial" w:cs="Arial" w:eastAsia="Arial" w:hAnsi="Arial"/>
                <w:sz w:val="16"/>
                <w:szCs w:val="16"/>
                <w:color w:val="auto"/>
              </w:rPr>
              <w:t>Vice President, Finance</w:t>
            </w:r>
          </w:p>
        </w:tc>
      </w:tr>
      <w:tr>
        <w:trPr>
          <w:trHeight w:val="192"/>
        </w:trPr>
        <w:tc>
          <w:tcPr>
            <w:tcW w:w="3100" w:type="dxa"/>
            <w:vAlign w:val="bottom"/>
          </w:tcPr>
          <w:p>
            <w:pPr>
              <w:spacing w:after="0"/>
              <w:rPr>
                <w:sz w:val="16"/>
                <w:szCs w:val="16"/>
                <w:color w:val="auto"/>
              </w:rPr>
            </w:pPr>
          </w:p>
        </w:tc>
        <w:tc>
          <w:tcPr>
            <w:tcW w:w="8340" w:type="dxa"/>
            <w:vAlign w:val="bottom"/>
            <w:gridSpan w:val="3"/>
          </w:tcPr>
          <w:p>
            <w:pPr>
              <w:ind w:left="2600"/>
              <w:spacing w:after="0"/>
              <w:rPr>
                <w:sz w:val="20"/>
                <w:szCs w:val="20"/>
                <w:color w:val="auto"/>
              </w:rPr>
            </w:pPr>
            <w:r>
              <w:rPr>
                <w:rFonts w:ascii="Arial" w:cs="Arial" w:eastAsia="Arial" w:hAnsi="Arial"/>
                <w:sz w:val="16"/>
                <w:szCs w:val="16"/>
                <w:color w:val="auto"/>
              </w:rPr>
              <w:t>and Chief Financial Officer</w:t>
            </w:r>
          </w:p>
        </w:tc>
      </w:tr>
      <w:tr>
        <w:trPr>
          <w:trHeight w:val="204"/>
        </w:trPr>
        <w:tc>
          <w:tcPr>
            <w:tcW w:w="3100" w:type="dxa"/>
            <w:vAlign w:val="bottom"/>
          </w:tcPr>
          <w:p>
            <w:pPr>
              <w:spacing w:after="0"/>
              <w:rPr>
                <w:sz w:val="17"/>
                <w:szCs w:val="17"/>
                <w:color w:val="auto"/>
              </w:rPr>
            </w:pPr>
          </w:p>
        </w:tc>
        <w:tc>
          <w:tcPr>
            <w:tcW w:w="8340" w:type="dxa"/>
            <w:vAlign w:val="bottom"/>
            <w:gridSpan w:val="3"/>
          </w:tcPr>
          <w:p>
            <w:pPr>
              <w:ind w:left="2600"/>
              <w:spacing w:after="0"/>
              <w:rPr>
                <w:sz w:val="20"/>
                <w:szCs w:val="20"/>
                <w:color w:val="auto"/>
              </w:rPr>
            </w:pPr>
            <w:r>
              <w:rPr>
                <w:rFonts w:ascii="Arial" w:cs="Arial" w:eastAsia="Arial" w:hAnsi="Arial"/>
                <w:sz w:val="16"/>
                <w:szCs w:val="16"/>
                <w:color w:val="auto"/>
              </w:rPr>
              <w:t>(duly authorized officer and principal financial officer)</w:t>
            </w:r>
          </w:p>
        </w:tc>
      </w:tr>
      <w:tr>
        <w:trPr>
          <w:trHeight w:val="319"/>
        </w:trPr>
        <w:tc>
          <w:tcPr>
            <w:tcW w:w="31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40" w:type="dxa"/>
            <w:vAlign w:val="bottom"/>
          </w:tcPr>
          <w:p>
            <w:pPr>
              <w:ind w:left="150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gridSpan w:val="2"/>
          </w:tcPr>
          <w:p>
            <w:pPr>
              <w:spacing w:after="0" w:line="148" w:lineRule="exact"/>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ind w:left="520"/>
              <w:spacing w:after="0" w:line="148" w:lineRule="exact"/>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20" w:type="dxa"/>
            <w:vAlign w:val="bottom"/>
            <w:gridSpan w:val="2"/>
          </w:tcPr>
          <w:p>
            <w:pPr>
              <w:spacing w:after="0"/>
              <w:rPr>
                <w:sz w:val="20"/>
                <w:szCs w:val="20"/>
                <w:color w:val="auto"/>
              </w:rPr>
            </w:pPr>
            <w:r>
              <w:rPr>
                <w:rFonts w:ascii="Arial" w:cs="Arial" w:eastAsia="Arial" w:hAnsi="Arial"/>
                <w:sz w:val="16"/>
                <w:szCs w:val="16"/>
                <w:color w:val="auto"/>
              </w:rPr>
              <w:t>99.1</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6"/>
                <w:szCs w:val="16"/>
                <w:color w:val="auto"/>
              </w:rPr>
              <w:t>Press release dated February 21, 2008 related to the announcement of earnings (furnished herewith).</w:t>
            </w:r>
          </w:p>
        </w:tc>
        <w:tc>
          <w:tcPr>
            <w:tcW w:w="0" w:type="dxa"/>
            <w:vAlign w:val="bottom"/>
          </w:tcPr>
          <w:p>
            <w:pPr>
              <w:spacing w:after="0"/>
              <w:rPr>
                <w:sz w:val="1"/>
                <w:szCs w:val="1"/>
                <w:color w:val="auto"/>
              </w:rPr>
            </w:pPr>
          </w:p>
        </w:tc>
      </w:tr>
    </w:tbl>
    <w:p>
      <w:pPr>
        <w:sectPr>
          <w:pgSz w:w="11900" w:h="16838" w:orient="portrait"/>
          <w:cols w:equalWidth="0" w:num="1">
            <w:col w:w="11440"/>
          </w:cols>
          <w:pgMar w:left="240" w:top="554" w:right="21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451485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9"/>
          <w:szCs w:val="19"/>
          <w:color w:val="auto"/>
        </w:rPr>
        <w:t>Exhibit</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9"/>
          <w:szCs w:val="19"/>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710690" cy="1125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0690" cy="112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Relations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John Wright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Director, Investor Relations</w:t>
      </w:r>
    </w:p>
    <w:p>
      <w:pPr>
        <w:spacing w:after="0" w:line="8" w:lineRule="exact"/>
        <w:rPr>
          <w:sz w:val="20"/>
          <w:szCs w:val="20"/>
          <w:color w:val="auto"/>
        </w:rPr>
      </w:pPr>
    </w:p>
    <w:p>
      <w:pPr>
        <w:ind w:left="384" w:hanging="384"/>
        <w:spacing w:after="0"/>
        <w:tabs>
          <w:tab w:leader="none" w:pos="38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887-8865, </w:t>
      </w:r>
      <w:r>
        <w:rPr>
          <w:rFonts w:ascii="Arial" w:cs="Arial" w:eastAsia="Arial" w:hAnsi="Arial"/>
          <w:sz w:val="16"/>
          <w:szCs w:val="16"/>
          <w:u w:val="single" w:color="auto"/>
          <w:color w:val="auto"/>
        </w:rPr>
        <w:t>invest@toro.com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Media Relations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Branden Happel</w:t>
      </w:r>
    </w:p>
    <w:p>
      <w:pPr>
        <w:spacing w:after="0" w:line="8" w:lineRule="exact"/>
        <w:rPr>
          <w:sz w:val="20"/>
          <w:szCs w:val="20"/>
          <w:color w:val="auto"/>
        </w:rPr>
      </w:pPr>
    </w:p>
    <w:p>
      <w:pPr>
        <w:ind w:left="4" w:right="9600" w:hanging="4"/>
        <w:spacing w:after="0" w:line="331" w:lineRule="auto"/>
        <w:tabs>
          <w:tab w:leader="none" w:pos="39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887-8930, </w:t>
      </w:r>
      <w:r>
        <w:rPr>
          <w:rFonts w:ascii="Arial" w:cs="Arial" w:eastAsia="Arial" w:hAnsi="Arial"/>
          <w:sz w:val="14"/>
          <w:szCs w:val="14"/>
          <w:u w:val="single" w:color="auto"/>
          <w:color w:val="auto"/>
        </w:rPr>
        <w:t>pr@toro.com</w:t>
      </w:r>
      <w:r>
        <w:rPr>
          <w:rFonts w:ascii="Arial" w:cs="Arial" w:eastAsia="Arial" w:hAnsi="Arial"/>
          <w:sz w:val="14"/>
          <w:szCs w:val="14"/>
          <w:color w:val="auto"/>
        </w:rPr>
        <w:t xml:space="preserve"> www.thetorocompany.com</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For Immediate Release</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TORO REPORTS RECORD FIRST QUARTER SALES AND NET EARNINGS</w:t>
      </w:r>
    </w:p>
    <w:p>
      <w:pPr>
        <w:spacing w:after="0" w:line="227" w:lineRule="exact"/>
        <w:rPr>
          <w:sz w:val="20"/>
          <w:szCs w:val="20"/>
          <w:color w:val="auto"/>
        </w:rPr>
      </w:pPr>
    </w:p>
    <w:p>
      <w:pPr>
        <w:ind w:left="584" w:hanging="129"/>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sales up 7 percent to $405.8 million</w:t>
      </w:r>
    </w:p>
    <w:p>
      <w:pPr>
        <w:spacing w:after="0" w:line="20" w:lineRule="exact"/>
        <w:rPr>
          <w:rFonts w:ascii="Arial" w:cs="Arial" w:eastAsia="Arial" w:hAnsi="Arial"/>
          <w:sz w:val="16"/>
          <w:szCs w:val="16"/>
          <w:color w:val="auto"/>
        </w:rPr>
      </w:pPr>
    </w:p>
    <w:p>
      <w:pPr>
        <w:ind w:left="584" w:hanging="129"/>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International sales up 19.5 percent</w:t>
      </w:r>
    </w:p>
    <w:p>
      <w:pPr>
        <w:spacing w:after="0" w:line="7" w:lineRule="exact"/>
        <w:rPr>
          <w:rFonts w:ascii="Arial" w:cs="Arial" w:eastAsia="Arial" w:hAnsi="Arial"/>
          <w:sz w:val="16"/>
          <w:szCs w:val="16"/>
          <w:color w:val="auto"/>
        </w:rPr>
      </w:pPr>
    </w:p>
    <w:p>
      <w:pPr>
        <w:ind w:left="584" w:hanging="129"/>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Earnings from operations up 15.2 percent</w:t>
      </w:r>
    </w:p>
    <w:p>
      <w:pPr>
        <w:spacing w:after="0" w:line="7" w:lineRule="exact"/>
        <w:rPr>
          <w:rFonts w:ascii="Arial" w:cs="Arial" w:eastAsia="Arial" w:hAnsi="Arial"/>
          <w:sz w:val="16"/>
          <w:szCs w:val="16"/>
          <w:color w:val="auto"/>
        </w:rPr>
      </w:pPr>
    </w:p>
    <w:p>
      <w:pPr>
        <w:ind w:left="584" w:hanging="129"/>
        <w:spacing w:after="0"/>
        <w:tabs>
          <w:tab w:leader="none" w:pos="584"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earnings per share up 6.8 percent to $0.47</w:t>
      </w:r>
    </w:p>
    <w:p>
      <w:pPr>
        <w:spacing w:after="0" w:line="211" w:lineRule="exact"/>
        <w:rPr>
          <w:sz w:val="20"/>
          <w:szCs w:val="20"/>
          <w:color w:val="auto"/>
        </w:rPr>
      </w:pPr>
    </w:p>
    <w:p>
      <w:pPr>
        <w:ind w:left="4" w:right="260"/>
        <w:spacing w:after="0" w:line="276" w:lineRule="auto"/>
        <w:rPr>
          <w:sz w:val="20"/>
          <w:szCs w:val="20"/>
          <w:color w:val="auto"/>
        </w:rPr>
      </w:pPr>
      <w:r>
        <w:rPr>
          <w:rFonts w:ascii="Arial" w:cs="Arial" w:eastAsia="Arial" w:hAnsi="Arial"/>
          <w:sz w:val="16"/>
          <w:szCs w:val="16"/>
          <w:color w:val="auto"/>
        </w:rPr>
        <w:t>BLOOMINGTON, Minn. (Feb. 21, 2008) – The Toro Company (NYSE: TTC) today reported record net sales and net earnings for its fiscal 2008 first quarter ended February 1, 2008.</w:t>
      </w:r>
    </w:p>
    <w:p>
      <w:pPr>
        <w:spacing w:after="0" w:line="176" w:lineRule="exact"/>
        <w:rPr>
          <w:sz w:val="20"/>
          <w:szCs w:val="20"/>
          <w:color w:val="auto"/>
        </w:rPr>
      </w:pPr>
    </w:p>
    <w:p>
      <w:pPr>
        <w:ind w:left="4" w:right="380"/>
        <w:spacing w:after="0" w:line="276" w:lineRule="auto"/>
        <w:rPr>
          <w:sz w:val="20"/>
          <w:szCs w:val="20"/>
          <w:color w:val="auto"/>
        </w:rPr>
      </w:pPr>
      <w:r>
        <w:rPr>
          <w:rFonts w:ascii="Arial" w:cs="Arial" w:eastAsia="Arial" w:hAnsi="Arial"/>
          <w:sz w:val="16"/>
          <w:szCs w:val="16"/>
          <w:color w:val="auto"/>
        </w:rPr>
        <w:t>Net earnings for the quarter totaled $18.6 million, or $0.47 per share, on net sales of $405.8 million. In the comparable fiscal 2007 period, Toro reported net earnings of $18.5 million, or $0.44 per share, on net sales of $379.1 million.</w:t>
      </w:r>
    </w:p>
    <w:p>
      <w:pPr>
        <w:spacing w:after="0" w:line="176" w:lineRule="exact"/>
        <w:rPr>
          <w:sz w:val="20"/>
          <w:szCs w:val="20"/>
          <w:color w:val="auto"/>
        </w:rPr>
      </w:pPr>
    </w:p>
    <w:p>
      <w:pPr>
        <w:ind w:left="4" w:right="120"/>
        <w:spacing w:after="0" w:line="288" w:lineRule="auto"/>
        <w:rPr>
          <w:sz w:val="20"/>
          <w:szCs w:val="20"/>
          <w:color w:val="auto"/>
        </w:rPr>
      </w:pPr>
      <w:r>
        <w:rPr>
          <w:rFonts w:ascii="Arial" w:cs="Arial" w:eastAsia="Arial" w:hAnsi="Arial"/>
          <w:sz w:val="15"/>
          <w:szCs w:val="15"/>
          <w:color w:val="auto"/>
        </w:rPr>
        <w:t>“Sales grew in both our professional and residential segments due to strong contributions from our international business,” said Michael J. Hoffman, chairman and chief executive officer. “In addition, with our continued focus on asset management, we reduced both accounts receivable and inventory. While we’re concerned about the increasing domestic economic uncertainty, we believe our competitive position is strong and we are well-positioned for the upcoming season.”</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SEGMENT RESULTS</w:t>
      </w:r>
    </w:p>
    <w:p>
      <w:pPr>
        <w:spacing w:after="0" w:line="22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Professional</w:t>
      </w:r>
    </w:p>
    <w:p>
      <w:pPr>
        <w:spacing w:after="0" w:line="227" w:lineRule="exact"/>
        <w:rPr>
          <w:sz w:val="20"/>
          <w:szCs w:val="20"/>
          <w:color w:val="auto"/>
        </w:rPr>
      </w:pPr>
    </w:p>
    <w:p>
      <w:pPr>
        <w:jc w:val="both"/>
        <w:ind w:left="584" w:right="100" w:hanging="129"/>
        <w:spacing w:after="0" w:line="272" w:lineRule="auto"/>
        <w:tabs>
          <w:tab w:leader="none" w:pos="584"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Professional segment net sales for the fiscal 2008 first quarter increased 7.7 percent to $293.2 million. International sales growth continued in most professional businesses including strong demand from golf and grounds equipment customers. Also contributing to the increase were favorable currency effects and the acquisition of Rain Master™. Partially offsetting this increase was a decline in domestic landscape equipment sales, mainly due to reductions in field inventory.</w:t>
      </w:r>
    </w:p>
    <w:p>
      <w:pPr>
        <w:ind w:left="584" w:right="100" w:hanging="129"/>
        <w:spacing w:after="0" w:line="259" w:lineRule="auto"/>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Professional segment earnings for the fiscal 2008 first quarter were $52.5 million, up $4.2 million compared with the fiscal 2007 first quarter. The increase was mainly due to higher revenues, favorable currency changes and product mix.</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Residential</w:t>
      </w:r>
    </w:p>
    <w:p>
      <w:pPr>
        <w:spacing w:after="0" w:line="227" w:lineRule="exact"/>
        <w:rPr>
          <w:sz w:val="20"/>
          <w:szCs w:val="20"/>
          <w:color w:val="auto"/>
        </w:rPr>
      </w:pPr>
    </w:p>
    <w:p>
      <w:pPr>
        <w:jc w:val="both"/>
        <w:ind w:left="584" w:right="100" w:hanging="129"/>
        <w:spacing w:after="0" w:line="255"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Residential segment net sales for the fiscal 2008 first quarter increased 6.2 percent to $108.2 million. The increase resulted primarily from strong sales of snowthrowers and continued demand for the new and innovative Toro® TimeCutter® zero-turning-radius mowers, which were somewhat offset by a decline in walk power mowers due to timing of shipments.</w:t>
      </w:r>
    </w:p>
    <w:p>
      <w:pPr>
        <w:ind w:left="584" w:right="100" w:hanging="97"/>
        <w:spacing w:after="0" w:line="228" w:lineRule="auto"/>
        <w:tabs>
          <w:tab w:leader="none" w:pos="584" w:val="left"/>
        </w:tabs>
        <w:numPr>
          <w:ilvl w:val="1"/>
          <w:numId w:val="7"/>
        </w:numPr>
        <w:rPr>
          <w:rFonts w:ascii="Arial" w:cs="Arial" w:eastAsia="Arial" w:hAnsi="Arial"/>
          <w:sz w:val="19"/>
          <w:szCs w:val="19"/>
          <w:color w:val="auto"/>
        </w:rPr>
      </w:pPr>
      <w:r>
        <w:rPr>
          <w:rFonts w:ascii="Arial" w:cs="Arial" w:eastAsia="Arial" w:hAnsi="Arial"/>
          <w:sz w:val="16"/>
          <w:szCs w:val="16"/>
          <w:color w:val="auto"/>
        </w:rPr>
        <w:t>Residential segment earnings for the fiscal 2008 first quarter were $2.8 million, down $1.6 million compared with the fiscal 2007 first quarter. The decrease was primarily due to lower gross margin as a result of increased freight expense and higher tooling associated with new product investments.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REVIEW OF OPERATIONS</w:t>
      </w:r>
    </w:p>
    <w:p>
      <w:pPr>
        <w:spacing w:after="0" w:line="227" w:lineRule="exact"/>
        <w:rPr>
          <w:sz w:val="20"/>
          <w:szCs w:val="20"/>
          <w:color w:val="auto"/>
        </w:rPr>
      </w:pPr>
    </w:p>
    <w:p>
      <w:pPr>
        <w:ind w:left="4" w:right="400"/>
        <w:spacing w:after="0" w:line="276" w:lineRule="auto"/>
        <w:rPr>
          <w:sz w:val="20"/>
          <w:szCs w:val="20"/>
          <w:color w:val="auto"/>
        </w:rPr>
      </w:pPr>
      <w:r>
        <w:rPr>
          <w:rFonts w:ascii="Arial" w:cs="Arial" w:eastAsia="Arial" w:hAnsi="Arial"/>
          <w:sz w:val="16"/>
          <w:szCs w:val="16"/>
          <w:color w:val="auto"/>
        </w:rPr>
        <w:t>Gross margin for the fiscal 2008 first quarter was 36.8 percent compared with 36.9 percent in the comparable fiscal 2007 period. The slight decline in fiscal 2008 first quarter gross margin reflects mainly higher freight costs compared with the prior year’s first quarter.</w:t>
      </w:r>
    </w:p>
    <w:p>
      <w:pPr>
        <w:spacing w:after="0" w:line="176" w:lineRule="exact"/>
        <w:rPr>
          <w:sz w:val="20"/>
          <w:szCs w:val="20"/>
          <w:color w:val="auto"/>
        </w:rPr>
      </w:pPr>
    </w:p>
    <w:p>
      <w:pPr>
        <w:ind w:left="4" w:right="220"/>
        <w:spacing w:after="0" w:line="263" w:lineRule="auto"/>
        <w:rPr>
          <w:sz w:val="20"/>
          <w:szCs w:val="20"/>
          <w:color w:val="auto"/>
        </w:rPr>
      </w:pPr>
      <w:r>
        <w:rPr>
          <w:rFonts w:ascii="Arial" w:cs="Arial" w:eastAsia="Arial" w:hAnsi="Arial"/>
          <w:sz w:val="16"/>
          <w:szCs w:val="16"/>
          <w:color w:val="auto"/>
        </w:rPr>
        <w:t>SG&amp;A expenses for the fiscal 2008 first quarter improved to 28.9 percent of net sales from 29.6 percent in last year’s first quarter. The improvement resulted primarily from last year’s one-time retirement plan contribution expense and leveraging of fixed costs over higher sales. This was somewhat offset by higher marketing spending and additional investments in engineering.</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Interest expense for the quarter was up $0.4 million, or an increase of 8.8 percent, compared to the prior year’s first quarter.</w:t>
      </w:r>
    </w:p>
    <w:p>
      <w:pPr>
        <w:spacing w:after="0" w:line="223" w:lineRule="exact"/>
        <w:rPr>
          <w:sz w:val="20"/>
          <w:szCs w:val="20"/>
          <w:color w:val="auto"/>
        </w:rPr>
      </w:pPr>
    </w:p>
    <w:p>
      <w:pPr>
        <w:ind w:left="4" w:right="240"/>
        <w:spacing w:after="0" w:line="276" w:lineRule="auto"/>
        <w:rPr>
          <w:sz w:val="20"/>
          <w:szCs w:val="20"/>
          <w:color w:val="auto"/>
        </w:rPr>
      </w:pPr>
      <w:r>
        <w:rPr>
          <w:rFonts w:ascii="Arial" w:cs="Arial" w:eastAsia="Arial" w:hAnsi="Arial"/>
          <w:sz w:val="16"/>
          <w:szCs w:val="16"/>
          <w:color w:val="auto"/>
        </w:rPr>
        <w:t>The effective tax rate for the first quarter of fiscal 2008 was 35.4 percent compared with 28.2 percent in the fiscal 2007 first quarter. Last year’s tax rate reflected the retroactive reinstatement of the federal research and engineering tax credit.</w:t>
      </w:r>
    </w:p>
    <w:p>
      <w:pPr>
        <w:spacing w:after="0" w:line="176" w:lineRule="exact"/>
        <w:rPr>
          <w:sz w:val="20"/>
          <w:szCs w:val="20"/>
          <w:color w:val="auto"/>
        </w:rPr>
      </w:pPr>
    </w:p>
    <w:p>
      <w:pPr>
        <w:ind w:left="4" w:right="380"/>
        <w:spacing w:after="0" w:line="263" w:lineRule="auto"/>
        <w:rPr>
          <w:sz w:val="20"/>
          <w:szCs w:val="20"/>
          <w:color w:val="auto"/>
        </w:rPr>
      </w:pPr>
      <w:r>
        <w:rPr>
          <w:rFonts w:ascii="Arial" w:cs="Arial" w:eastAsia="Arial" w:hAnsi="Arial"/>
          <w:sz w:val="16"/>
          <w:szCs w:val="16"/>
          <w:color w:val="auto"/>
        </w:rPr>
        <w:t>Accounts receivable at the end of the fiscal 2008 first quarter totaled $344.7 million, down $12.5 million or 3.5 percent, on a sales increase of $26.7 million, or 7 percent. Net inventories at the end of the fiscal 2008 first quarter totaled $295.9 million, down $11.5 million or 3.7 percent compared with the end of the fiscal 2007 first quarter. Trade payables at the end of the fiscal 2008 quarter were down $5 million, or 4.7 percent, compared with the prior year’s first quarter.</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BUSINESS OUTLOOK</w:t>
      </w:r>
    </w:p>
    <w:p>
      <w:pPr>
        <w:sectPr>
          <w:pgSz w:w="11900" w:h="16838" w:orient="portrait"/>
          <w:cols w:equalWidth="0" w:num="1">
            <w:col w:w="11524"/>
          </w:cols>
          <w:pgMar w:left="236" w:top="252" w:right="139" w:bottom="27" w:gutter="0" w:footer="0" w:header="0"/>
        </w:sectPr>
      </w:pPr>
    </w:p>
    <w:bookmarkStart w:id="8" w:name="page9"/>
    <w:bookmarkEnd w:id="8"/>
    <w:p>
      <w:pPr>
        <w:ind w:right="120"/>
        <w:spacing w:after="0" w:line="263" w:lineRule="auto"/>
        <w:rPr>
          <w:sz w:val="20"/>
          <w:szCs w:val="20"/>
          <w:color w:val="auto"/>
        </w:rPr>
      </w:pPr>
      <w:r>
        <w:rPr>
          <w:rFonts w:ascii="Arial" w:cs="Arial" w:eastAsia="Arial" w:hAnsi="Arial"/>
          <w:sz w:val="16"/>
          <w:szCs w:val="16"/>
          <w:color w:val="auto"/>
        </w:rPr>
        <w:t>“We’re off to a strong start in the new fiscal year, but remain mindful that our peak selling season is still ahead of us,” said Hoffman. “Given the uncertainty in the economic environment and regional weather patterns, we are paying close attention to sales trends and field inventory, and are focusing on helping our retail partners drive demand for our strong brands and innovative new products.”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now expects to report an 8 to 10 percent increase in fiscal 2008 net earnings per share on revenue growth of 2 to 4 percent.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 its fiscal second quarter, Toro currently expects to report net earnings per share of $1.87 to $1.93.</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LIVE CONFERENCE CALL</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February 21, 2008 10:00 a.m. CST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www.thetorocompany.com/invest</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The Toro Company will conduct a conference call and webcast for investors beginning at 10:00 a.m. Central Time (CST) on February 21, 2008. The webcast will be available at </w:t>
      </w:r>
      <w:r>
        <w:rPr>
          <w:rFonts w:ascii="Arial" w:cs="Arial" w:eastAsia="Arial" w:hAnsi="Arial"/>
          <w:sz w:val="16"/>
          <w:szCs w:val="16"/>
          <w:i w:val="1"/>
          <w:iCs w:val="1"/>
          <w:u w:val="single" w:color="auto"/>
          <w:color w:val="auto"/>
        </w:rPr>
        <w:t>www.streetevents.com</w:t>
      </w:r>
      <w:r>
        <w:rPr>
          <w:rFonts w:ascii="Arial" w:cs="Arial" w:eastAsia="Arial" w:hAnsi="Arial"/>
          <w:sz w:val="16"/>
          <w:szCs w:val="16"/>
          <w:i w:val="1"/>
          <w:iCs w:val="1"/>
          <w:color w:val="auto"/>
        </w:rPr>
        <w:t xml:space="preserve"> or at </w:t>
      </w:r>
      <w:r>
        <w:rPr>
          <w:rFonts w:ascii="Arial" w:cs="Arial" w:eastAsia="Arial" w:hAnsi="Arial"/>
          <w:sz w:val="16"/>
          <w:szCs w:val="16"/>
          <w:i w:val="1"/>
          <w:iCs w:val="1"/>
          <w:u w:val="single" w:color="auto"/>
          <w:color w:val="auto"/>
        </w:rPr>
        <w:t>www.thetorocompany.com/invest</w:t>
      </w:r>
      <w:r>
        <w:rPr>
          <w:rFonts w:ascii="Arial" w:cs="Arial" w:eastAsia="Arial" w:hAnsi="Arial"/>
          <w:sz w:val="16"/>
          <w:szCs w:val="16"/>
          <w:i w:val="1"/>
          <w:iCs w:val="1"/>
          <w:color w:val="auto"/>
        </w:rPr>
        <w:t>. Webcast participants will need to complete a brief registration form and should allocate extra time before the webcast begins to register and, if necessary, download and install audio software.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w:t>
      </w:r>
    </w:p>
    <w:p>
      <w:pPr>
        <w:spacing w:after="0" w:line="2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resins and other commodities; rising fuel and other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894715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THE TORO COMPANY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Earnings (Unaudited)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and shares in thousands, except per-share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72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440"/>
              <w:spacing w:after="0" w:line="175" w:lineRule="exact"/>
              <w:rPr>
                <w:sz w:val="20"/>
                <w:szCs w:val="20"/>
                <w:color w:val="auto"/>
              </w:rPr>
            </w:pPr>
            <w:r>
              <w:rPr>
                <w:rFonts w:ascii="Arial" w:cs="Arial" w:eastAsia="Arial" w:hAnsi="Arial"/>
                <w:sz w:val="16"/>
                <w:szCs w:val="16"/>
                <w:b w:val="1"/>
                <w:bCs w:val="1"/>
                <w:color w:val="auto"/>
                <w:w w:val="95"/>
              </w:rPr>
              <w:t>February 1,</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92"/>
              </w:rPr>
              <w:t>February 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2008</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49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405,799</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379,088</w:t>
            </w: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149,137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140,065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Gross profit percent</w:t>
            </w: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Selling, general, and administrative expense</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117,117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112,281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Earnings from operations</w:t>
            </w: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32,020</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27,784</w:t>
            </w: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ind w:left="400"/>
              <w:spacing w:after="0"/>
              <w:rPr>
                <w:sz w:val="20"/>
                <w:szCs w:val="20"/>
                <w:color w:val="auto"/>
              </w:rPr>
            </w:pPr>
            <w:r>
              <w:rPr>
                <w:rFonts w:ascii="Arial" w:cs="Arial" w:eastAsia="Arial" w:hAnsi="Arial"/>
                <w:sz w:val="16"/>
                <w:szCs w:val="16"/>
                <w:color w:val="auto"/>
              </w:rPr>
              <w:t>Earnings before income taxes</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28,835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10,208</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ind w:left="400"/>
              <w:spacing w:after="0"/>
              <w:rPr>
                <w:sz w:val="20"/>
                <w:szCs w:val="20"/>
                <w:color w:val="auto"/>
              </w:rPr>
            </w:pPr>
            <w:r>
              <w:rPr>
                <w:rFonts w:ascii="Arial" w:cs="Arial" w:eastAsia="Arial" w:hAnsi="Arial"/>
                <w:sz w:val="16"/>
                <w:szCs w:val="16"/>
                <w:color w:val="auto"/>
              </w:rPr>
              <w:t>Net earnings</w:t>
            </w:r>
          </w:p>
        </w:tc>
        <w:tc>
          <w:tcPr>
            <w:tcW w:w="4840" w:type="dxa"/>
            <w:vAlign w:val="bottom"/>
          </w:tcPr>
          <w:p>
            <w:pPr>
              <w:spacing w:after="0"/>
              <w:rPr>
                <w:sz w:val="16"/>
                <w:szCs w:val="16"/>
                <w:color w:val="auto"/>
              </w:rPr>
            </w:pPr>
          </w:p>
        </w:tc>
        <w:tc>
          <w:tcPr>
            <w:tcW w:w="100" w:type="dxa"/>
            <w:vAlign w:val="bottom"/>
          </w:tcPr>
          <w:p>
            <w:pPr>
              <w:jc w:val="right"/>
              <w:ind w:right="23"/>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18,627</w:t>
            </w:r>
          </w:p>
        </w:tc>
        <w:tc>
          <w:tcPr>
            <w:tcW w:w="280" w:type="dxa"/>
            <w:vAlign w:val="bottom"/>
          </w:tcPr>
          <w:p>
            <w:pPr>
              <w:spacing w:after="0"/>
              <w:rPr>
                <w:sz w:val="16"/>
                <w:szCs w:val="16"/>
                <w:color w:val="auto"/>
              </w:rPr>
            </w:pPr>
          </w:p>
        </w:tc>
        <w:tc>
          <w:tcPr>
            <w:tcW w:w="10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18,450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Basic net earnings per share</w:t>
            </w:r>
          </w:p>
        </w:tc>
        <w:tc>
          <w:tcPr>
            <w:tcW w:w="49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0.49</w:t>
            </w:r>
          </w:p>
        </w:tc>
        <w:tc>
          <w:tcPr>
            <w:tcW w:w="280" w:type="dxa"/>
            <w:vAlign w:val="bottom"/>
          </w:tcPr>
          <w:p>
            <w:pPr>
              <w:spacing w:after="0"/>
              <w:rPr>
                <w:sz w:val="16"/>
                <w:szCs w:val="16"/>
                <w:color w:val="auto"/>
              </w:rPr>
            </w:pPr>
          </w:p>
        </w:tc>
        <w:tc>
          <w:tcPr>
            <w:tcW w:w="10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Diluted net earnings per share</w:t>
            </w:r>
          </w:p>
        </w:tc>
        <w:tc>
          <w:tcPr>
            <w:tcW w:w="49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0.47</w:t>
            </w:r>
          </w:p>
        </w:tc>
        <w:tc>
          <w:tcPr>
            <w:tcW w:w="280" w:type="dxa"/>
            <w:vAlign w:val="bottom"/>
          </w:tcPr>
          <w:p>
            <w:pPr>
              <w:spacing w:after="0"/>
              <w:rPr>
                <w:sz w:val="16"/>
                <w:szCs w:val="16"/>
                <w:color w:val="auto"/>
              </w:rPr>
            </w:pPr>
          </w:p>
        </w:tc>
        <w:tc>
          <w:tcPr>
            <w:tcW w:w="10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960" w:type="dxa"/>
            <w:vAlign w:val="bottom"/>
            <w:gridSpan w:val="3"/>
          </w:tcPr>
          <w:p>
            <w:pPr>
              <w:spacing w:after="0" w:line="179" w:lineRule="exact"/>
              <w:rPr>
                <w:sz w:val="20"/>
                <w:szCs w:val="20"/>
                <w:color w:val="auto"/>
              </w:rPr>
            </w:pPr>
            <w:r>
              <w:rPr>
                <w:rFonts w:ascii="Arial" w:cs="Arial" w:eastAsia="Arial" w:hAnsi="Arial"/>
                <w:sz w:val="16"/>
                <w:szCs w:val="16"/>
                <w:color w:val="auto"/>
              </w:rPr>
              <w:t>Weighted average number of shares of common</w:t>
            </w:r>
          </w:p>
        </w:tc>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stock outstanding – Basic</w:t>
            </w: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960" w:type="dxa"/>
            <w:vAlign w:val="bottom"/>
            <w:gridSpan w:val="3"/>
          </w:tcPr>
          <w:p>
            <w:pPr>
              <w:spacing w:after="0" w:line="179" w:lineRule="exact"/>
              <w:rPr>
                <w:sz w:val="20"/>
                <w:szCs w:val="20"/>
                <w:color w:val="auto"/>
              </w:rPr>
            </w:pPr>
            <w:r>
              <w:rPr>
                <w:rFonts w:ascii="Arial" w:cs="Arial" w:eastAsia="Arial" w:hAnsi="Arial"/>
                <w:sz w:val="16"/>
                <w:szCs w:val="16"/>
                <w:color w:val="auto"/>
              </w:rPr>
              <w:t>Weighted average number of shares of common</w:t>
            </w:r>
          </w:p>
        </w:tc>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stock outstanding – Dilutive</w:t>
            </w: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39,395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2"/>
          </w:tcPr>
          <w:p>
            <w:pPr>
              <w:jc w:val="right"/>
              <w:ind w:right="2263"/>
              <w:spacing w:after="0"/>
              <w:rPr>
                <w:sz w:val="20"/>
                <w:szCs w:val="20"/>
                <w:color w:val="auto"/>
              </w:rPr>
            </w:pPr>
            <w:r>
              <w:rPr>
                <w:rFonts w:ascii="Arial" w:cs="Arial" w:eastAsia="Arial" w:hAnsi="Arial"/>
                <w:sz w:val="16"/>
                <w:szCs w:val="16"/>
                <w:b w:val="1"/>
                <w:bCs w:val="1"/>
                <w:color w:val="auto"/>
              </w:rPr>
              <w:t>Segment Data (Unaudited)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40" w:type="dxa"/>
            <w:vAlign w:val="bottom"/>
            <w:gridSpan w:val="2"/>
          </w:tcPr>
          <w:p>
            <w:pPr>
              <w:jc w:val="right"/>
              <w:ind w:right="2423"/>
              <w:spacing w:after="0"/>
              <w:rPr>
                <w:sz w:val="20"/>
                <w:szCs w:val="20"/>
                <w:color w:val="auto"/>
              </w:rPr>
            </w:pPr>
            <w:r>
              <w:rPr>
                <w:rFonts w:ascii="Arial" w:cs="Arial" w:eastAsia="Arial" w:hAnsi="Arial"/>
                <w:sz w:val="16"/>
                <w:szCs w:val="16"/>
                <w:b w:val="1"/>
                <w:bCs w:val="1"/>
                <w:color w:val="auto"/>
              </w:rPr>
              <w:t>(Dollars in thousands)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February 1,</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February 2,</w:t>
            </w:r>
          </w:p>
        </w:tc>
        <w:tc>
          <w:tcPr>
            <w:tcW w:w="0" w:type="dxa"/>
            <w:vAlign w:val="bottom"/>
          </w:tcPr>
          <w:p>
            <w:pPr>
              <w:spacing w:after="0"/>
              <w:rPr>
                <w:sz w:val="1"/>
                <w:szCs w:val="1"/>
                <w:color w:val="auto"/>
              </w:rPr>
            </w:pPr>
          </w:p>
        </w:tc>
      </w:tr>
      <w:tr>
        <w:trPr>
          <w:trHeight w:val="172"/>
        </w:trPr>
        <w:tc>
          <w:tcPr>
            <w:tcW w:w="3980" w:type="dxa"/>
            <w:vAlign w:val="bottom"/>
            <w:gridSpan w:val="4"/>
          </w:tcPr>
          <w:p>
            <w:pPr>
              <w:spacing w:after="0" w:line="172" w:lineRule="exact"/>
              <w:rPr>
                <w:sz w:val="20"/>
                <w:szCs w:val="20"/>
                <w:color w:val="auto"/>
              </w:rPr>
            </w:pPr>
            <w:r>
              <w:rPr>
                <w:rFonts w:ascii="Arial" w:cs="Arial" w:eastAsia="Arial" w:hAnsi="Arial"/>
                <w:sz w:val="16"/>
                <w:szCs w:val="16"/>
                <w:b w:val="1"/>
                <w:bCs w:val="1"/>
                <w:color w:val="auto"/>
              </w:rPr>
              <w:t>Segment Net Sales</w:t>
            </w: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Professional</w:t>
            </w:r>
          </w:p>
        </w:tc>
        <w:tc>
          <w:tcPr>
            <w:tcW w:w="49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293,196</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272,142</w:t>
            </w:r>
          </w:p>
        </w:tc>
        <w:tc>
          <w:tcPr>
            <w:tcW w:w="1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Residential</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108,176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101,858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48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280" w:type="dxa"/>
            <w:vAlign w:val="bottom"/>
            <w:tcBorders>
              <w:left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Total*</w:t>
            </w:r>
          </w:p>
        </w:tc>
        <w:tc>
          <w:tcPr>
            <w:tcW w:w="4840" w:type="dxa"/>
            <w:vAlign w:val="bottom"/>
          </w:tcPr>
          <w:p>
            <w:pPr>
              <w:spacing w:after="0"/>
              <w:rPr>
                <w:sz w:val="16"/>
                <w:szCs w:val="16"/>
                <w:color w:val="auto"/>
              </w:rPr>
            </w:pPr>
          </w:p>
        </w:tc>
        <w:tc>
          <w:tcPr>
            <w:tcW w:w="10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405,799</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379,088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80" w:type="dxa"/>
            <w:vAlign w:val="bottom"/>
            <w:gridSpan w:val="4"/>
          </w:tcPr>
          <w:p>
            <w:pPr>
              <w:spacing w:after="0"/>
              <w:rPr>
                <w:sz w:val="20"/>
                <w:szCs w:val="20"/>
                <w:color w:val="auto"/>
              </w:rPr>
            </w:pPr>
            <w:r>
              <w:rPr>
                <w:rFonts w:ascii="Arial" w:cs="Arial" w:eastAsia="Arial" w:hAnsi="Arial"/>
                <w:sz w:val="16"/>
                <w:szCs w:val="16"/>
                <w:color w:val="auto"/>
              </w:rPr>
              <w:t>* Includes international sales of</w:t>
            </w:r>
          </w:p>
        </w:tc>
        <w:tc>
          <w:tcPr>
            <w:tcW w:w="49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158,457</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132,613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February 1,</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February 2,</w:t>
            </w:r>
          </w:p>
        </w:tc>
        <w:tc>
          <w:tcPr>
            <w:tcW w:w="0" w:type="dxa"/>
            <w:vAlign w:val="bottom"/>
          </w:tcPr>
          <w:p>
            <w:pPr>
              <w:spacing w:after="0"/>
              <w:rPr>
                <w:sz w:val="1"/>
                <w:szCs w:val="1"/>
                <w:color w:val="auto"/>
              </w:rPr>
            </w:pPr>
          </w:p>
        </w:tc>
      </w:tr>
      <w:tr>
        <w:trPr>
          <w:trHeight w:val="172"/>
        </w:trPr>
        <w:tc>
          <w:tcPr>
            <w:tcW w:w="3980" w:type="dxa"/>
            <w:vAlign w:val="bottom"/>
            <w:gridSpan w:val="4"/>
          </w:tcPr>
          <w:p>
            <w:pPr>
              <w:spacing w:after="0" w:line="172" w:lineRule="exact"/>
              <w:rPr>
                <w:sz w:val="20"/>
                <w:szCs w:val="20"/>
                <w:color w:val="auto"/>
              </w:rPr>
            </w:pPr>
            <w:r>
              <w:rPr>
                <w:rFonts w:ascii="Arial" w:cs="Arial" w:eastAsia="Arial" w:hAnsi="Arial"/>
                <w:sz w:val="16"/>
                <w:szCs w:val="16"/>
                <w:b w:val="1"/>
                <w:bCs w:val="1"/>
                <w:color w:val="auto"/>
              </w:rPr>
              <w:t>Segment Earnings (Loss) Before Income Taxes</w:t>
            </w: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Professional</w:t>
            </w:r>
          </w:p>
        </w:tc>
        <w:tc>
          <w:tcPr>
            <w:tcW w:w="49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52,510</w:t>
            </w:r>
          </w:p>
        </w:tc>
        <w:tc>
          <w:tcPr>
            <w:tcW w:w="2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48,360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Residential</w:t>
            </w: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48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(26,499)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(27,051)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8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
          </w:tcPr>
          <w:p>
            <w:pPr>
              <w:ind w:left="120"/>
              <w:spacing w:after="0"/>
              <w:rPr>
                <w:sz w:val="20"/>
                <w:szCs w:val="20"/>
                <w:color w:val="auto"/>
              </w:rPr>
            </w:pPr>
            <w:r>
              <w:rPr>
                <w:rFonts w:ascii="Arial" w:cs="Arial" w:eastAsia="Arial" w:hAnsi="Arial"/>
                <w:sz w:val="16"/>
                <w:szCs w:val="16"/>
                <w:color w:val="auto"/>
              </w:rPr>
              <w:t>Total</w:t>
            </w:r>
          </w:p>
        </w:tc>
        <w:tc>
          <w:tcPr>
            <w:tcW w:w="49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28,835</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25,688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54"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THE TORO COMPANY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1,</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February 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60" w:type="dxa"/>
            <w:vAlign w:val="bottom"/>
            <w:gridSpan w:val="3"/>
          </w:tcPr>
          <w:p>
            <w:pPr>
              <w:spacing w:after="0" w:line="180" w:lineRule="exact"/>
              <w:rPr>
                <w:sz w:val="20"/>
                <w:szCs w:val="20"/>
                <w:color w:val="auto"/>
              </w:rPr>
            </w:pPr>
            <w:r>
              <w:rPr>
                <w:rFonts w:ascii="Arial" w:cs="Arial" w:eastAsia="Arial" w:hAnsi="Arial"/>
                <w:sz w:val="16"/>
                <w:szCs w:val="16"/>
                <w:b w:val="1"/>
                <w:bCs w:val="1"/>
                <w:color w:val="auto"/>
              </w:rPr>
              <w:t>ASSETS</w:t>
            </w:r>
          </w:p>
        </w:tc>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Receivables, net</w:t>
            </w: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344,682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357,165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295,923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Prepaid expenses and other current assets</w:t>
            </w: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14,626</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14,905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5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56,870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55,801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gridSpan w:val="2"/>
          </w:tcPr>
          <w:p>
            <w:pPr>
              <w:ind w:left="260"/>
              <w:spacing w:after="0"/>
              <w:rPr>
                <w:sz w:val="20"/>
                <w:szCs w:val="20"/>
                <w:color w:val="auto"/>
              </w:rPr>
            </w:pPr>
            <w:r>
              <w:rPr>
                <w:rFonts w:ascii="Arial" w:cs="Arial" w:eastAsia="Arial" w:hAnsi="Arial"/>
                <w:sz w:val="16"/>
                <w:szCs w:val="16"/>
                <w:color w:val="auto"/>
              </w:rPr>
              <w:t>Total current assets</w:t>
            </w:r>
          </w:p>
        </w:tc>
        <w:tc>
          <w:tcPr>
            <w:tcW w:w="5340" w:type="dxa"/>
            <w:vAlign w:val="bottom"/>
            <w:tcBorders>
              <w:top w:val="single" w:sz="8" w:color="CCEEFF"/>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741,863</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765,337</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170,569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169,304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Goodwill and other assets, net</w:t>
            </w: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112,012</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97,933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5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1,031,109</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1,034,436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00" w:type="dxa"/>
            <w:vAlign w:val="bottom"/>
            <w:gridSpan w:val="2"/>
          </w:tcPr>
          <w:p>
            <w:pPr>
              <w:spacing w:after="0"/>
              <w:rPr>
                <w:sz w:val="15"/>
                <w:szCs w:val="15"/>
                <w:color w:val="auto"/>
              </w:rPr>
            </w:pPr>
          </w:p>
        </w:tc>
        <w:tc>
          <w:tcPr>
            <w:tcW w:w="28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5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5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2,241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debt</w:t>
            </w: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85,800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101,866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5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241,737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230,485</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ind w:left="260"/>
              <w:spacing w:after="0"/>
              <w:rPr>
                <w:sz w:val="20"/>
                <w:szCs w:val="20"/>
                <w:color w:val="auto"/>
              </w:rPr>
            </w:pPr>
            <w:r>
              <w:rPr>
                <w:rFonts w:ascii="Arial" w:cs="Arial" w:eastAsia="Arial" w:hAnsi="Arial"/>
                <w:sz w:val="16"/>
                <w:szCs w:val="16"/>
                <w:color w:val="auto"/>
              </w:rPr>
              <w:t>Total current liabilities</w:t>
            </w:r>
          </w:p>
        </w:tc>
        <w:tc>
          <w:tcPr>
            <w:tcW w:w="5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431,644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539,466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Long-term debt, less current portion</w:t>
            </w:r>
          </w:p>
        </w:tc>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228,241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revenue and other long-term liabilities</w:t>
            </w:r>
          </w:p>
        </w:tc>
        <w:tc>
          <w:tcPr>
            <w:tcW w:w="5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17,086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354,138</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1,031,109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1,034,436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4"/>
        </w:trPr>
        <w:tc>
          <w:tcPr>
            <w:tcW w:w="20" w:type="dxa"/>
            <w:vAlign w:val="bottom"/>
          </w:tcPr>
          <w:p>
            <w:pPr>
              <w:spacing w:after="0"/>
              <w:rPr>
                <w:sz w:val="24"/>
                <w:szCs w:val="24"/>
                <w:color w:val="auto"/>
              </w:rPr>
            </w:pPr>
          </w:p>
        </w:tc>
        <w:tc>
          <w:tcPr>
            <w:tcW w:w="580" w:type="dxa"/>
            <w:vAlign w:val="bottom"/>
            <w:tcBorders>
              <w:top w:val="single" w:sz="8" w:color="CCEEFF"/>
              <w:bottom w:val="single" w:sz="8" w:color="808080"/>
            </w:tcBorders>
          </w:tcPr>
          <w:p>
            <w:pPr>
              <w:spacing w:after="0"/>
              <w:rPr>
                <w:sz w:val="24"/>
                <w:szCs w:val="24"/>
                <w:color w:val="auto"/>
              </w:rPr>
            </w:pPr>
          </w:p>
        </w:tc>
        <w:tc>
          <w:tcPr>
            <w:tcW w:w="2860" w:type="dxa"/>
            <w:vAlign w:val="bottom"/>
            <w:tcBorders>
              <w:top w:val="single" w:sz="8" w:color="CCEEFF"/>
              <w:bottom w:val="single" w:sz="8" w:color="808080"/>
            </w:tcBorders>
          </w:tcPr>
          <w:p>
            <w:pPr>
              <w:spacing w:after="0"/>
              <w:rPr>
                <w:sz w:val="24"/>
                <w:szCs w:val="24"/>
                <w:color w:val="auto"/>
              </w:rPr>
            </w:pPr>
          </w:p>
        </w:tc>
        <w:tc>
          <w:tcPr>
            <w:tcW w:w="534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THE TORO COMPANY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420"/>
              <w:spacing w:after="0" w:line="175" w:lineRule="exact"/>
              <w:rPr>
                <w:sz w:val="20"/>
                <w:szCs w:val="20"/>
                <w:color w:val="auto"/>
              </w:rPr>
            </w:pPr>
            <w:r>
              <w:rPr>
                <w:rFonts w:ascii="Arial" w:cs="Arial" w:eastAsia="Arial" w:hAnsi="Arial"/>
                <w:sz w:val="16"/>
                <w:szCs w:val="16"/>
                <w:b w:val="1"/>
                <w:bCs w:val="1"/>
                <w:color w:val="auto"/>
                <w:w w:val="97"/>
              </w:rPr>
              <w:t>February 1,</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0"/>
              <w:spacing w:after="0" w:line="175" w:lineRule="exact"/>
              <w:rPr>
                <w:sz w:val="20"/>
                <w:szCs w:val="20"/>
                <w:color w:val="auto"/>
              </w:rPr>
            </w:pPr>
            <w:r>
              <w:rPr>
                <w:rFonts w:ascii="Arial" w:cs="Arial" w:eastAsia="Arial" w:hAnsi="Arial"/>
                <w:sz w:val="16"/>
                <w:szCs w:val="16"/>
                <w:b w:val="1"/>
                <w:bCs w:val="1"/>
                <w:color w:val="auto"/>
                <w:w w:val="97"/>
              </w:rPr>
              <w:t>February 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8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18,450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60" w:type="dxa"/>
            <w:vAlign w:val="bottom"/>
          </w:tcPr>
          <w:p>
            <w:pPr>
              <w:ind w:left="260"/>
              <w:spacing w:after="0" w:line="179" w:lineRule="exact"/>
              <w:rPr>
                <w:sz w:val="20"/>
                <w:szCs w:val="20"/>
                <w:color w:val="auto"/>
              </w:rPr>
            </w:pPr>
            <w:r>
              <w:rPr>
                <w:rFonts w:ascii="Arial" w:cs="Arial" w:eastAsia="Arial" w:hAnsi="Arial"/>
                <w:sz w:val="16"/>
                <w:szCs w:val="16"/>
                <w:color w:val="auto"/>
              </w:rPr>
              <w:t>Adjustments to reconcile net earnings to net cash</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60" w:type="dxa"/>
            <w:vAlign w:val="bottom"/>
          </w:tcPr>
          <w:p>
            <w:pPr>
              <w:ind w:left="560"/>
              <w:spacing w:after="0"/>
              <w:rPr>
                <w:sz w:val="20"/>
                <w:szCs w:val="20"/>
                <w:color w:val="auto"/>
              </w:rPr>
            </w:pPr>
            <w:r>
              <w:rPr>
                <w:rFonts w:ascii="Arial" w:cs="Arial" w:eastAsia="Arial" w:hAnsi="Arial"/>
                <w:sz w:val="16"/>
                <w:szCs w:val="16"/>
                <w:color w:val="auto"/>
              </w:rPr>
              <w:t>used in operating activities: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Equity losses from investments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Provision for depreciation and amortization</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10,986</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10,334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Gain on disposal of property, plant, and equipment</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Gain on sale of a business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(Increase) decrease in deferred income taxes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100"/>
              <w:spacing w:after="0"/>
              <w:rPr>
                <w:sz w:val="20"/>
                <w:szCs w:val="20"/>
                <w:color w:val="auto"/>
              </w:rPr>
            </w:pPr>
            <w:r>
              <w:rPr>
                <w:rFonts w:ascii="Arial" w:cs="Arial" w:eastAsia="Arial" w:hAnsi="Arial"/>
                <w:sz w:val="16"/>
                <w:szCs w:val="16"/>
                <w:color w:val="auto"/>
              </w:rPr>
              <w:t>Receivables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(62,267)</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(62,588)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(46,799)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(67,261)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100"/>
              <w:spacing w:after="0"/>
              <w:rPr>
                <w:sz w:val="20"/>
                <w:szCs w:val="20"/>
                <w:color w:val="auto"/>
              </w:rPr>
            </w:pPr>
            <w:r>
              <w:rPr>
                <w:rFonts w:ascii="Arial" w:cs="Arial" w:eastAsia="Arial" w:hAnsi="Arial"/>
                <w:sz w:val="16"/>
                <w:szCs w:val="16"/>
                <w:color w:val="auto"/>
              </w:rPr>
              <w:t>Prepaid expenses and other assets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(3,885)</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(5,737)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accrued liabilities, and deferred revenue and other long-term liabilities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840"/>
              <w:spacing w:after="0"/>
              <w:rPr>
                <w:sz w:val="20"/>
                <w:szCs w:val="20"/>
                <w:color w:val="auto"/>
              </w:rPr>
            </w:pPr>
            <w:r>
              <w:rPr>
                <w:rFonts w:ascii="Arial" w:cs="Arial" w:eastAsia="Arial" w:hAnsi="Arial"/>
                <w:sz w:val="16"/>
                <w:szCs w:val="16"/>
                <w:color w:val="auto"/>
              </w:rPr>
              <w:t>Net cash used in operating activities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(70,030)</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(110,854)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Purchases of property, plant, and equipment</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(11,027)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Proceeds from asset disposals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Increase in investment in affiliates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Decrease (increase) in other assets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sale of a business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Acquisitions, net of cash acquired</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used in investing activities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(10,953)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(14,273)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Increase in short-term debt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85,428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Repayments of long-term debt, net of costs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Excess tax benefits from stock-based awards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tcPr>
          <w:p>
            <w:pPr>
              <w:ind w:left="260"/>
              <w:spacing w:after="0"/>
              <w:rPr>
                <w:sz w:val="20"/>
                <w:szCs w:val="20"/>
                <w:color w:val="auto"/>
              </w:rPr>
            </w:pPr>
            <w:r>
              <w:rPr>
                <w:rFonts w:ascii="Arial" w:cs="Arial" w:eastAsia="Arial" w:hAnsi="Arial"/>
                <w:sz w:val="16"/>
                <w:szCs w:val="16"/>
                <w:color w:val="auto"/>
              </w:rPr>
              <w:t>Purchases of Toro common stock</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(31,835)</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(29,029)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Dividends paid on Toro common stock</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(5,737)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840"/>
              <w:spacing w:after="0"/>
              <w:rPr>
                <w:sz w:val="20"/>
                <w:szCs w:val="20"/>
                <w:color w:val="auto"/>
              </w:rPr>
            </w:pPr>
            <w:r>
              <w:rPr>
                <w:rFonts w:ascii="Arial" w:cs="Arial" w:eastAsia="Arial" w:hAnsi="Arial"/>
                <w:sz w:val="16"/>
                <w:szCs w:val="16"/>
                <w:color w:val="auto"/>
              </w:rPr>
              <w:t>Net cash provided by financing activities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48,735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99,725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Effect of exchange rates on cash</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(32,285)</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(25,472)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62,047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55,523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as of the end of the fiscal period</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30,051</w:t>
            </w:r>
          </w:p>
        </w:tc>
        <w:tc>
          <w:tcPr>
            <w:tcW w:w="0" w:type="dxa"/>
            <w:vAlign w:val="bottom"/>
          </w:tcPr>
          <w:p>
            <w:pPr>
              <w:spacing w:after="0"/>
              <w:rPr>
                <w:sz w:val="1"/>
                <w:szCs w:val="1"/>
                <w:color w:val="auto"/>
              </w:rPr>
            </w:pPr>
          </w:p>
        </w:tc>
      </w:tr>
      <w:tr>
        <w:trPr>
          <w:trHeight w:val="1002"/>
        </w:trPr>
        <w:tc>
          <w:tcPr>
            <w:tcW w:w="20" w:type="dxa"/>
            <w:vAlign w:val="bottom"/>
          </w:tcPr>
          <w:p>
            <w:pPr>
              <w:spacing w:after="0"/>
              <w:rPr>
                <w:sz w:val="24"/>
                <w:szCs w:val="24"/>
                <w:color w:val="auto"/>
              </w:rPr>
            </w:pPr>
          </w:p>
        </w:tc>
        <w:tc>
          <w:tcPr>
            <w:tcW w:w="7460" w:type="dxa"/>
            <w:vAlign w:val="bottom"/>
            <w:tcBorders>
              <w:top w:val="single" w:sz="8" w:color="CCEEFF"/>
              <w:bottom w:val="single" w:sz="8" w:color="808080"/>
            </w:tcBorders>
          </w:tcPr>
          <w:p>
            <w:pPr>
              <w:spacing w:after="0"/>
              <w:rPr>
                <w:sz w:val="24"/>
                <w:szCs w:val="24"/>
                <w:color w:val="auto"/>
              </w:rPr>
            </w:pPr>
          </w:p>
        </w:tc>
        <w:tc>
          <w:tcPr>
            <w:tcW w:w="13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2019-12-11T14:24:34Z</dcterms:created>
  <dcterms:modified xsi:type="dcterms:W3CDTF">2019-12-11T14:24:34Z</dcterms:modified>
</cp:coreProperties>
</file>