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June 15, 2006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SECURITIES ACT OF 1933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The Toro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color w:val="auto"/>
              </w:rPr>
              <w:t>41-0580470</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8111 Lyndale Avenue South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Bloomington, MN 55420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Toro Company 2000 Stock Option Plan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 Lawrence McIntyre, Esquire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Bloomington, MN 55420-1196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952-888-8801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Copy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Helen P. Starr, Esquire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607 Fourteenth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Registration Fee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right w:val="single" w:sz="8" w:color="auto"/>
            </w:tcBorders>
          </w:tcPr>
          <w:p>
            <w:pPr>
              <w:spacing w:after="0"/>
              <w:rPr>
                <w:sz w:val="14"/>
                <w:szCs w:val="14"/>
                <w:color w:val="auto"/>
              </w:rPr>
            </w:pPr>
          </w:p>
        </w:tc>
        <w:tc>
          <w:tcPr>
            <w:tcW w:w="1740" w:type="dxa"/>
            <w:vAlign w:val="bottom"/>
            <w:tcBorders>
              <w:top w:val="single" w:sz="8" w:color="auto"/>
              <w:right w:val="single" w:sz="8" w:color="auto"/>
            </w:tcBorders>
            <w:gridSpan w:val="2"/>
          </w:tcPr>
          <w:p>
            <w:pPr>
              <w:jc w:val="center"/>
              <w:ind w:right="119"/>
              <w:spacing w:after="0"/>
              <w:rPr>
                <w:sz w:val="20"/>
                <w:szCs w:val="20"/>
                <w:color w:val="auto"/>
              </w:rPr>
            </w:pPr>
            <w:r>
              <w:rPr>
                <w:rFonts w:ascii="Arial" w:cs="Arial" w:eastAsia="Arial" w:hAnsi="Arial"/>
                <w:sz w:val="14"/>
                <w:szCs w:val="14"/>
                <w:color w:val="auto"/>
                <w:w w:val="91"/>
              </w:rPr>
              <w:t>Proposed maximum</w:t>
            </w:r>
          </w:p>
        </w:tc>
        <w:tc>
          <w:tcPr>
            <w:tcW w:w="1720" w:type="dxa"/>
            <w:vAlign w:val="bottom"/>
            <w:tcBorders>
              <w:top w:val="single" w:sz="8" w:color="auto"/>
              <w:right w:val="single" w:sz="8" w:color="auto"/>
            </w:tcBorders>
          </w:tcPr>
          <w:p>
            <w:pPr>
              <w:jc w:val="center"/>
              <w:ind w:right="124"/>
              <w:spacing w:after="0"/>
              <w:rPr>
                <w:sz w:val="20"/>
                <w:szCs w:val="20"/>
                <w:color w:val="auto"/>
              </w:rPr>
            </w:pPr>
            <w:r>
              <w:rPr>
                <w:rFonts w:ascii="Arial" w:cs="Arial" w:eastAsia="Arial" w:hAnsi="Arial"/>
                <w:sz w:val="14"/>
                <w:szCs w:val="14"/>
                <w:color w:val="auto"/>
                <w:w w:val="93"/>
              </w:rPr>
              <w:t>Proposed maximum</w:t>
            </w:r>
          </w:p>
        </w:tc>
        <w:tc>
          <w:tcPr>
            <w:tcW w:w="3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9"/>
        </w:trPr>
        <w:tc>
          <w:tcPr>
            <w:tcW w:w="5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Title of securities</w:t>
            </w:r>
          </w:p>
        </w:tc>
        <w:tc>
          <w:tcPr>
            <w:tcW w:w="126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Amount to be</w:t>
            </w:r>
          </w:p>
        </w:tc>
        <w:tc>
          <w:tcPr>
            <w:tcW w:w="1740" w:type="dxa"/>
            <w:vAlign w:val="bottom"/>
            <w:tcBorders>
              <w:right w:val="single" w:sz="8" w:color="auto"/>
            </w:tcBorders>
            <w:gridSpan w:val="2"/>
          </w:tcPr>
          <w:p>
            <w:pPr>
              <w:jc w:val="center"/>
              <w:ind w:right="119"/>
              <w:spacing w:after="0" w:line="149" w:lineRule="exact"/>
              <w:rPr>
                <w:sz w:val="20"/>
                <w:szCs w:val="20"/>
                <w:color w:val="auto"/>
              </w:rPr>
            </w:pPr>
            <w:r>
              <w:rPr>
                <w:rFonts w:ascii="Arial" w:cs="Arial" w:eastAsia="Arial" w:hAnsi="Arial"/>
                <w:sz w:val="14"/>
                <w:szCs w:val="14"/>
                <w:color w:val="auto"/>
                <w:w w:val="97"/>
              </w:rPr>
              <w:t>offering price per</w:t>
            </w:r>
          </w:p>
        </w:tc>
        <w:tc>
          <w:tcPr>
            <w:tcW w:w="1720" w:type="dxa"/>
            <w:vAlign w:val="bottom"/>
            <w:tcBorders>
              <w:right w:val="single" w:sz="8" w:color="auto"/>
            </w:tcBorders>
          </w:tcPr>
          <w:p>
            <w:pPr>
              <w:jc w:val="center"/>
              <w:ind w:right="144"/>
              <w:spacing w:after="0" w:line="149" w:lineRule="exact"/>
              <w:rPr>
                <w:sz w:val="20"/>
                <w:szCs w:val="20"/>
                <w:color w:val="auto"/>
              </w:rPr>
            </w:pPr>
            <w:r>
              <w:rPr>
                <w:rFonts w:ascii="Arial" w:cs="Arial" w:eastAsia="Arial" w:hAnsi="Arial"/>
                <w:sz w:val="14"/>
                <w:szCs w:val="14"/>
                <w:color w:val="auto"/>
                <w:w w:val="93"/>
              </w:rPr>
              <w:t>aggregate offering</w:t>
            </w:r>
          </w:p>
        </w:tc>
        <w:tc>
          <w:tcPr>
            <w:tcW w:w="30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Amount of</w:t>
            </w:r>
          </w:p>
        </w:tc>
      </w:tr>
      <w:tr>
        <w:trPr>
          <w:trHeight w:val="174"/>
        </w:trPr>
        <w:tc>
          <w:tcPr>
            <w:tcW w:w="5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to be registered</w:t>
            </w:r>
          </w:p>
        </w:tc>
        <w:tc>
          <w:tcPr>
            <w:tcW w:w="12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registered</w:t>
            </w:r>
          </w:p>
        </w:tc>
        <w:tc>
          <w:tcPr>
            <w:tcW w:w="46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center"/>
              <w:ind w:right="579"/>
              <w:spacing w:after="0"/>
              <w:rPr>
                <w:sz w:val="20"/>
                <w:szCs w:val="20"/>
                <w:color w:val="auto"/>
              </w:rPr>
            </w:pPr>
            <w:r>
              <w:rPr>
                <w:rFonts w:ascii="Arial" w:cs="Arial" w:eastAsia="Arial" w:hAnsi="Arial"/>
                <w:sz w:val="14"/>
                <w:szCs w:val="14"/>
                <w:color w:val="auto"/>
                <w:w w:val="85"/>
              </w:rPr>
              <w:t>share</w:t>
            </w:r>
          </w:p>
        </w:tc>
        <w:tc>
          <w:tcPr>
            <w:tcW w:w="1720" w:type="dxa"/>
            <w:vAlign w:val="bottom"/>
            <w:tcBorders>
              <w:bottom w:val="single" w:sz="8" w:color="auto"/>
              <w:right w:val="single" w:sz="8" w:color="auto"/>
            </w:tcBorders>
          </w:tcPr>
          <w:p>
            <w:pPr>
              <w:jc w:val="center"/>
              <w:ind w:right="124"/>
              <w:spacing w:after="0"/>
              <w:rPr>
                <w:sz w:val="20"/>
                <w:szCs w:val="20"/>
                <w:color w:val="auto"/>
              </w:rPr>
            </w:pPr>
            <w:r>
              <w:rPr>
                <w:rFonts w:ascii="Arial" w:cs="Arial" w:eastAsia="Arial" w:hAnsi="Arial"/>
                <w:sz w:val="14"/>
                <w:szCs w:val="14"/>
                <w:color w:val="auto"/>
                <w:w w:val="92"/>
              </w:rPr>
              <w:t>price</w:t>
            </w:r>
          </w:p>
        </w:tc>
        <w:tc>
          <w:tcPr>
            <w:tcW w:w="13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registration fee</w:t>
            </w:r>
          </w:p>
        </w:tc>
      </w:tr>
      <w:tr>
        <w:trPr>
          <w:trHeight w:val="202"/>
        </w:trPr>
        <w:tc>
          <w:tcPr>
            <w:tcW w:w="53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jc w:val="right"/>
              <w:ind w:right="259"/>
              <w:spacing w:after="0" w:line="201" w:lineRule="exact"/>
              <w:rPr>
                <w:sz w:val="20"/>
                <w:szCs w:val="20"/>
                <w:color w:val="auto"/>
              </w:rPr>
            </w:pPr>
            <w:r>
              <w:rPr>
                <w:rFonts w:ascii="Arial" w:cs="Arial" w:eastAsia="Arial" w:hAnsi="Arial"/>
                <w:sz w:val="18"/>
                <w:szCs w:val="18"/>
                <w:color w:val="auto"/>
              </w:rPr>
              <w:t>400,000</w:t>
            </w:r>
          </w:p>
        </w:tc>
        <w:tc>
          <w:tcPr>
            <w:tcW w:w="46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5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Common Stock, par value $1.00 per share (a)</w:t>
            </w:r>
          </w:p>
        </w:tc>
        <w:tc>
          <w:tcPr>
            <w:tcW w:w="12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shares(b)</w:t>
            </w:r>
          </w:p>
        </w:tc>
        <w:tc>
          <w:tcPr>
            <w:tcW w:w="460" w:type="dxa"/>
            <w:vAlign w:val="bottom"/>
          </w:tcPr>
          <w:p>
            <w:pPr>
              <w:jc w:val="right"/>
              <w:ind w:right="102"/>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48.33(c)</w:t>
            </w:r>
          </w:p>
        </w:tc>
        <w:tc>
          <w:tcPr>
            <w:tcW w:w="17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19,322,000(c)</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2,069(d)</w:t>
            </w:r>
          </w:p>
        </w:tc>
      </w:tr>
      <w:tr>
        <w:trPr>
          <w:trHeight w:val="41"/>
        </w:trPr>
        <w:tc>
          <w:tcPr>
            <w:tcW w:w="5320" w:type="dxa"/>
            <w:vAlign w:val="bottom"/>
            <w:tcBorders>
              <w:right w:val="single" w:sz="8" w:color="auto"/>
            </w:tcBorders>
            <w:shd w:val="clear" w:color="auto" w:fill="000000"/>
          </w:tcPr>
          <w:p>
            <w:pPr>
              <w:spacing w:after="0"/>
              <w:rPr>
                <w:sz w:val="3"/>
                <w:szCs w:val="3"/>
                <w:color w:val="auto"/>
              </w:rPr>
            </w:pPr>
          </w:p>
        </w:tc>
        <w:tc>
          <w:tcPr>
            <w:tcW w:w="1260" w:type="dxa"/>
            <w:vAlign w:val="bottom"/>
            <w:tcBorders>
              <w:right w:val="single" w:sz="8" w:color="auto"/>
            </w:tcBorders>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280" w:type="dxa"/>
            <w:vAlign w:val="bottom"/>
            <w:tcBorders>
              <w:right w:val="single" w:sz="8" w:color="auto"/>
            </w:tcBorders>
            <w:shd w:val="clear" w:color="auto" w:fill="000000"/>
          </w:tcPr>
          <w:p>
            <w:pPr>
              <w:spacing w:after="0"/>
              <w:rPr>
                <w:sz w:val="3"/>
                <w:szCs w:val="3"/>
                <w:color w:val="auto"/>
              </w:rPr>
            </w:pPr>
          </w:p>
        </w:tc>
        <w:tc>
          <w:tcPr>
            <w:tcW w:w="1720" w:type="dxa"/>
            <w:vAlign w:val="bottom"/>
            <w:tcBorders>
              <w:right w:val="single" w:sz="8" w:color="auto"/>
            </w:tcBorders>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320" w:type="dxa"/>
            <w:vAlign w:val="bottom"/>
          </w:tcPr>
          <w:p>
            <w:pPr>
              <w:spacing w:after="0"/>
              <w:rPr>
                <w:sz w:val="3"/>
                <w:szCs w:val="3"/>
                <w:color w:val="auto"/>
              </w:rPr>
            </w:pPr>
          </w:p>
        </w:tc>
      </w:tr>
    </w:tbl>
    <w:p>
      <w:pPr>
        <w:spacing w:after="0" w:line="107" w:lineRule="exact"/>
        <w:rPr>
          <w:sz w:val="20"/>
          <w:szCs w:val="20"/>
          <w:color w:val="auto"/>
        </w:rPr>
      </w:pPr>
    </w:p>
    <w:p>
      <w:pPr>
        <w:ind w:left="340" w:right="26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share of Common Stock has one Preferred Share Purchase Right attached to it. Value attributable to such Rights, if any, is reflected in the market price of the Common Stock.</w:t>
      </w:r>
    </w:p>
    <w:p>
      <w:pPr>
        <w:spacing w:after="0" w:line="7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this Registration Statement also covers an indeterminate number of shares that may be issued in respect of stock splits, stock dividends or similar transactions in the future.</w:t>
      </w:r>
    </w:p>
    <w:p>
      <w:pPr>
        <w:spacing w:after="0" w:line="75"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to calculate the registration fee, pursuant to Rule 457(c) and Rule 457(h), on the basis of the average of the high and low prices reported by the New York Stock Exchange on June 8, 2006.</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Restricted fee to be applied to account number 737758.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Incorporation by Reference</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Amendment to Increase Authorized Shares</w:t>
        </w:r>
      </w:hyperlink>
    </w:p>
    <w:p>
      <w:pPr>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II</w:t>
        </w:r>
      </w:hyperlink>
    </w:p>
    <w:p>
      <w:pPr>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Information Required in Registration Statement</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3. Incorporation of Documents by Reference.</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8.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POWER OF ATTORNEY</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Exhibit List</w:t>
        </w:r>
      </w:hyperlink>
    </w:p>
    <w:p>
      <w:pPr>
        <w:ind w:left="320"/>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Item 8. Exhibits</w:t>
        </w:r>
      </w:hyperlink>
    </w:p>
    <w:p>
      <w:pPr>
        <w:spacing w:after="0" w:line="231" w:lineRule="auto"/>
        <w:rPr>
          <w:sz w:val="20"/>
          <w:szCs w:val="20"/>
          <w:color w:val="auto"/>
        </w:rPr>
      </w:pPr>
      <w:r>
        <w:rPr>
          <w:rFonts w:ascii="Arial" w:cs="Arial" w:eastAsia="Arial" w:hAnsi="Arial"/>
          <w:sz w:val="22"/>
          <w:szCs w:val="22"/>
          <w:u w:val="single" w:color="auto"/>
          <w:color w:val="0000EE"/>
        </w:rPr>
        <w:t>Opinion/Consent of Counsel Regarding Legality</w:t>
      </w:r>
    </w:p>
    <w:p>
      <w:pPr>
        <w:spacing w:after="0"/>
        <w:rPr>
          <w:sz w:val="20"/>
          <w:szCs w:val="20"/>
          <w:color w:val="auto"/>
        </w:rPr>
      </w:pPr>
      <w:r>
        <w:rPr>
          <w:rFonts w:ascii="Arial" w:cs="Arial" w:eastAsia="Arial" w:hAnsi="Arial"/>
          <w:sz w:val="22"/>
          <w:szCs w:val="22"/>
          <w:u w:val="single" w:color="auto"/>
          <w:color w:val="0000EE"/>
        </w:rPr>
        <w:t>Consent of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This Registration Statement is filed pursuant to Instruction E of Form S-8 and relates to Registrant’s earlier Registration Statement on Form S-8 (No. 333-39052), filed with the Securities and Exchange Commission on June 12, 2000, as amended by Registrant’s Registration Statement No. 333-89262, filed with the Commission on May 28, 2002, and by Registrant’s Post-Effective Amendment No. 1 to Form S-8, filed with the Commission on June 2, 2003. Under those two earlier Registration Statements, Registrant registered shares of Common Stock, par value $1.00 per share, and related Preferred Share Purchase Rights, to be offered and sold in connection with The Toro Company 2000 Stock Option Plan (the “Plan”). Following a 2-for-1 stock split with a record date of April 1, 2003, and a second 2-for-1 stock split with a record date of March 28, 2005, the total number of shares, on an after-split basis, authorized to be offered and sold in connection with the Plan was 6,000,000. The contents of Registrant’s Registration Statements Nos. 333-89262 and 333-39052, as amended by Registrant’s Post-Effective Amendment No. 1, are incorporated by reference in this Registration Statement.</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As permitted by the instructions to Form S-8, this Registration Statement omits the information specified in Part I of Registrant’s Registration Statement on Form S-8.</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to Increase Authorized Shares</w:t>
      </w:r>
    </w:p>
    <w:p>
      <w:pPr>
        <w:spacing w:after="0" w:line="121"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On March 14, 2006, the stockholders of Registrant approved an amendment to the Plan to increase the number of shares of Common Stock that may be issued under the Plan from 6,000,000 to 6,400,000, subject to adjustment to reflect changes in the corporate or capital structure of Registrant, including but not limited to stock splits, stock dividends or similar transactions.</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103"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rules of the Securities and Exchange Commission allow Registrant to incorporate by reference information into this Registration Statement. This means that Registrant may disclose important information to you by referring you to another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Incorporation of Documents by Reference.</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following documents have been filed by Registrant with the Securities and Exchange Commission pursuant to the Securities Exchange Act of 1934 and are incorporated by reference in this Registration Statement: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Registrant’s Annual Report on Form 10-K for the fiscal year ended October 31, 2005 (File No. 1-8649).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Its Quarterly Report on Form 10-Q for the quarter ended February 3, 2006 (File No. 1-8649).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Its Quarterly Report on Form 10-Q for the quarter ended May 5, 2006 (File No. 1-8649).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Its Current Reports on Form 8-K filed December 6, 2005, December 7, 2005, January 3, 2006, January 10, 2006, February 21, 2006, February 23, 2006, March 15, 2006, April 18, 2006 and May 25, 2006 (File No. 1-8649).</w:t>
      </w:r>
    </w:p>
    <w:p>
      <w:pPr>
        <w:spacing w:after="0" w:line="62"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 descriptions of its Common Stock and Preferred Share Purchase Rights contained in its Registration Statements filed with the Commission pursuant to Section 12 of the Securities Exchange Act of 1934, including any amendment or report filed for the purpose of updating such descriptions (File No. 1-8649).</w:t>
      </w:r>
    </w:p>
    <w:p>
      <w:pPr>
        <w:spacing w:after="0" w:line="16"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All documents subsequently filed by Registrant pursuant to Sections 13(a), 13(c), 14 and 15(d) of the Securities Exchange Act of 1934,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filing of those documents. The information contained in a document will automatically update and supersede any information previously incorporated by reference into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 5. Interests of Named Experts and Counsel.</w:t>
      </w:r>
    </w:p>
    <w:p>
      <w:pPr>
        <w:spacing w:after="0" w:line="117"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opinion of counsel as to the legality of the securities being registered, which is Exhibit 5 to this Registration Statement, is rendered by J. Lawrence McIntyre, Vice President, Secretary and General Counsel of Registrant. As of May 11, 2006, Mr. McIntyre owned 18,014 shares of Toro Common Stock and held options to purchase 48,000 shares. He also holds Performance Share Awards, which are based on the value of the Common Stock, and has 87,811 Common Stock units credited to his account under a deferred compensation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8.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are listed in the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Bloomington, State of Minnesota, on June 14, 2006.</w:t>
      </w:r>
    </w:p>
    <w:p>
      <w:pPr>
        <w:spacing w:after="0" w:line="17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 Lawrence McIntyre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Secretary and General Counsel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ind w:right="60" w:firstLine="225"/>
        <w:spacing w:after="0" w:line="292"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hereby constitutes and appoints Michael J. Hoffman, Stephen P.</w:t>
      </w:r>
      <w:r>
        <w:rPr>
          <w:rFonts w:ascii="Arial" w:cs="Arial" w:eastAsia="Arial" w:hAnsi="Arial"/>
          <w:sz w:val="16"/>
          <w:szCs w:val="16"/>
          <w:b w:val="1"/>
          <w:bCs w:val="1"/>
          <w:color w:val="auto"/>
        </w:rPr>
        <w:t xml:space="preserve"> </w:t>
      </w:r>
      <w:r>
        <w:rPr>
          <w:rFonts w:ascii="Arial" w:cs="Arial" w:eastAsia="Arial" w:hAnsi="Arial"/>
          <w:sz w:val="16"/>
          <w:szCs w:val="16"/>
          <w:color w:val="auto"/>
        </w:rPr>
        <w:t>Wolfe and J. Lawrence McIntyre, or any one of them, each with power to act without the other, his true and lawful attorney-in-fact and agent, with full power of substitution and resubstitution for him and in his name, place and stead, in any and all capacities, to sign any and/or all subsequent amendments to this registration statement,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might or could do in person, hereby approving and confirming all that said attorney-in-fact and agent or his substitute or substitutes may lawfully do or cause to be done by virtue hereof.</w:t>
      </w:r>
    </w:p>
    <w:p>
      <w:pPr>
        <w:spacing w:after="0" w:line="58"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Signature</w:t>
            </w:r>
          </w:p>
        </w:tc>
        <w:tc>
          <w:tcPr>
            <w:tcW w:w="360" w:type="dxa"/>
            <w:vAlign w:val="bottom"/>
          </w:tcPr>
          <w:p>
            <w:pPr>
              <w:spacing w:after="0"/>
              <w:rPr>
                <w:sz w:val="14"/>
                <w:szCs w:val="14"/>
                <w:color w:val="auto"/>
              </w:rPr>
            </w:pPr>
          </w:p>
        </w:tc>
        <w:tc>
          <w:tcPr>
            <w:tcW w:w="410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Title</w:t>
            </w:r>
          </w:p>
        </w:tc>
        <w:tc>
          <w:tcPr>
            <w:tcW w:w="340" w:type="dxa"/>
            <w:vAlign w:val="bottom"/>
          </w:tcPr>
          <w:p>
            <w:pPr>
              <w:spacing w:after="0"/>
              <w:rPr>
                <w:sz w:val="14"/>
                <w:szCs w:val="14"/>
                <w:color w:val="auto"/>
              </w:rPr>
            </w:pPr>
          </w:p>
        </w:tc>
        <w:tc>
          <w:tcPr>
            <w:tcW w:w="250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411"/>
        </w:trPr>
        <w:tc>
          <w:tcPr>
            <w:tcW w:w="220" w:type="dxa"/>
            <w:vAlign w:val="bottom"/>
          </w:tcPr>
          <w:p>
            <w:pPr>
              <w:spacing w:after="0"/>
              <w:rPr>
                <w:sz w:val="24"/>
                <w:szCs w:val="24"/>
                <w:color w:val="auto"/>
              </w:rPr>
            </w:pPr>
          </w:p>
        </w:tc>
        <w:tc>
          <w:tcPr>
            <w:tcW w:w="3900" w:type="dxa"/>
            <w:vAlign w:val="bottom"/>
          </w:tcPr>
          <w:p>
            <w:pPr>
              <w:jc w:val="center"/>
              <w:ind w:right="110"/>
              <w:spacing w:after="0"/>
              <w:rPr>
                <w:sz w:val="20"/>
                <w:szCs w:val="20"/>
                <w:color w:val="auto"/>
              </w:rPr>
            </w:pPr>
            <w:r>
              <w:rPr>
                <w:rFonts w:ascii="Arial" w:cs="Arial" w:eastAsia="Arial" w:hAnsi="Arial"/>
                <w:sz w:val="18"/>
                <w:szCs w:val="18"/>
                <w:color w:val="auto"/>
                <w:w w:val="93"/>
              </w:rPr>
              <w:t>/s/ Michael J. Hoffman</w:t>
            </w: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Chief Executive</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28"/>
        </w:trPr>
        <w:tc>
          <w:tcPr>
            <w:tcW w:w="22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460" w:type="dxa"/>
            <w:vAlign w:val="bottom"/>
            <w:gridSpan w:val="2"/>
            <w:vMerge w:val="restart"/>
          </w:tcPr>
          <w:p>
            <w:pPr>
              <w:ind w:left="360"/>
              <w:spacing w:after="0"/>
              <w:rPr>
                <w:sz w:val="20"/>
                <w:szCs w:val="20"/>
                <w:color w:val="auto"/>
              </w:rPr>
            </w:pPr>
            <w:r>
              <w:rPr>
                <w:rFonts w:ascii="Arial" w:cs="Arial" w:eastAsia="Arial" w:hAnsi="Arial"/>
                <w:sz w:val="18"/>
                <w:szCs w:val="18"/>
                <w:color w:val="auto"/>
              </w:rPr>
              <w:t>Officer, President and Director</w:t>
            </w: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3900" w:type="dxa"/>
            <w:vAlign w:val="bottom"/>
          </w:tcPr>
          <w:p>
            <w:pPr>
              <w:ind w:left="1220"/>
              <w:spacing w:after="0" w:line="169" w:lineRule="exact"/>
              <w:rPr>
                <w:sz w:val="20"/>
                <w:szCs w:val="20"/>
                <w:color w:val="auto"/>
              </w:rPr>
            </w:pPr>
            <w:r>
              <w:rPr>
                <w:rFonts w:ascii="Arial" w:cs="Arial" w:eastAsia="Arial" w:hAnsi="Arial"/>
                <w:sz w:val="18"/>
                <w:szCs w:val="18"/>
                <w:color w:val="auto"/>
              </w:rPr>
              <w:t>Michael J. Hoffman</w:t>
            </w:r>
          </w:p>
        </w:tc>
        <w:tc>
          <w:tcPr>
            <w:tcW w:w="44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(Principal Executive Officer)</w:t>
            </w: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900" w:type="dxa"/>
            <w:vAlign w:val="bottom"/>
          </w:tcPr>
          <w:p>
            <w:pPr>
              <w:jc w:val="center"/>
              <w:ind w:right="110"/>
              <w:spacing w:after="0"/>
              <w:rPr>
                <w:sz w:val="20"/>
                <w:szCs w:val="20"/>
                <w:color w:val="auto"/>
              </w:rPr>
            </w:pPr>
            <w:r>
              <w:rPr>
                <w:rFonts w:ascii="Arial" w:cs="Arial" w:eastAsia="Arial" w:hAnsi="Arial"/>
                <w:sz w:val="18"/>
                <w:szCs w:val="18"/>
                <w:color w:val="auto"/>
                <w:w w:val="88"/>
              </w:rPr>
              <w:t>/s/ Stephen P. Wolfe</w:t>
            </w: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Vice President Finance</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28"/>
        </w:trPr>
        <w:tc>
          <w:tcPr>
            <w:tcW w:w="2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460" w:type="dxa"/>
            <w:vAlign w:val="bottom"/>
            <w:gridSpan w:val="2"/>
            <w:vMerge w:val="restart"/>
          </w:tcPr>
          <w:p>
            <w:pPr>
              <w:ind w:left="360"/>
              <w:spacing w:after="0"/>
              <w:rPr>
                <w:sz w:val="20"/>
                <w:szCs w:val="20"/>
                <w:color w:val="auto"/>
              </w:rPr>
            </w:pPr>
            <w:r>
              <w:rPr>
                <w:rFonts w:ascii="Arial" w:cs="Arial" w:eastAsia="Arial" w:hAnsi="Arial"/>
                <w:sz w:val="18"/>
                <w:szCs w:val="18"/>
                <w:color w:val="auto"/>
              </w:rPr>
              <w:t>and Chief Financial Officer</w:t>
            </w: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390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87"/>
              </w:rPr>
              <w:t>Stephen P. Wolfe</w:t>
            </w:r>
          </w:p>
        </w:tc>
        <w:tc>
          <w:tcPr>
            <w:tcW w:w="44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(Principal Financial Officer)</w:t>
            </w:r>
          </w:p>
        </w:tc>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2"/>
        </w:trPr>
        <w:tc>
          <w:tcPr>
            <w:tcW w:w="22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Signature</w:t>
            </w:r>
          </w:p>
        </w:tc>
        <w:tc>
          <w:tcPr>
            <w:tcW w:w="360" w:type="dxa"/>
            <w:vAlign w:val="bottom"/>
          </w:tcPr>
          <w:p>
            <w:pPr>
              <w:spacing w:after="0"/>
              <w:rPr>
                <w:sz w:val="14"/>
                <w:szCs w:val="14"/>
                <w:color w:val="auto"/>
              </w:rPr>
            </w:pPr>
          </w:p>
        </w:tc>
        <w:tc>
          <w:tcPr>
            <w:tcW w:w="410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Title</w:t>
            </w:r>
          </w:p>
        </w:tc>
        <w:tc>
          <w:tcPr>
            <w:tcW w:w="340" w:type="dxa"/>
            <w:vAlign w:val="bottom"/>
          </w:tcPr>
          <w:p>
            <w:pPr>
              <w:spacing w:after="0"/>
              <w:rPr>
                <w:sz w:val="14"/>
                <w:szCs w:val="14"/>
                <w:color w:val="auto"/>
              </w:rPr>
            </w:pPr>
          </w:p>
        </w:tc>
        <w:tc>
          <w:tcPr>
            <w:tcW w:w="250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195"/>
        </w:trPr>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2"/>
              </w:rPr>
              <w:t>/s/ Blake M. Grams</w:t>
            </w:r>
          </w:p>
        </w:tc>
        <w:tc>
          <w:tcPr>
            <w:tcW w:w="36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Managing Director, Corporate</w:t>
            </w:r>
          </w:p>
        </w:tc>
        <w:tc>
          <w:tcPr>
            <w:tcW w:w="340" w:type="dxa"/>
            <w:vAlign w:val="bottom"/>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28"/>
        </w:trPr>
        <w:tc>
          <w:tcPr>
            <w:tcW w:w="4120" w:type="dxa"/>
            <w:vAlign w:val="bottom"/>
            <w:tcBorders>
              <w:bottom w:val="single" w:sz="8" w:color="auto"/>
            </w:tcBorders>
          </w:tcPr>
          <w:p>
            <w:pPr>
              <w:spacing w:after="0"/>
              <w:rPr>
                <w:sz w:val="2"/>
                <w:szCs w:val="2"/>
                <w:color w:val="auto"/>
              </w:rPr>
            </w:pPr>
          </w:p>
        </w:tc>
        <w:tc>
          <w:tcPr>
            <w:tcW w:w="4460" w:type="dxa"/>
            <w:vAlign w:val="bottom"/>
            <w:gridSpan w:val="2"/>
            <w:vMerge w:val="restart"/>
          </w:tcPr>
          <w:p>
            <w:pPr>
              <w:ind w:left="360"/>
              <w:spacing w:after="0"/>
              <w:rPr>
                <w:sz w:val="20"/>
                <w:szCs w:val="20"/>
                <w:color w:val="auto"/>
              </w:rPr>
            </w:pPr>
            <w:r>
              <w:rPr>
                <w:rFonts w:ascii="Arial" w:cs="Arial" w:eastAsia="Arial" w:hAnsi="Arial"/>
                <w:sz w:val="18"/>
                <w:szCs w:val="18"/>
                <w:color w:val="auto"/>
              </w:rPr>
              <w:t>Controller</w:t>
            </w: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120" w:type="dxa"/>
            <w:vAlign w:val="bottom"/>
          </w:tcPr>
          <w:p>
            <w:pPr>
              <w:jc w:val="center"/>
              <w:spacing w:after="0" w:line="169" w:lineRule="exact"/>
              <w:rPr>
                <w:sz w:val="20"/>
                <w:szCs w:val="20"/>
                <w:color w:val="auto"/>
              </w:rPr>
            </w:pPr>
            <w:r>
              <w:rPr>
                <w:rFonts w:ascii="Arial" w:cs="Arial" w:eastAsia="Arial" w:hAnsi="Arial"/>
                <w:sz w:val="18"/>
                <w:szCs w:val="18"/>
                <w:color w:val="auto"/>
                <w:w w:val="91"/>
              </w:rPr>
              <w:t>Blake M. Grams</w:t>
            </w:r>
          </w:p>
        </w:tc>
        <w:tc>
          <w:tcPr>
            <w:tcW w:w="44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(Principal Accounting Officer)</w:t>
            </w: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Ronald O. Baukol</w:t>
            </w: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202"/>
        </w:trPr>
        <w:tc>
          <w:tcPr>
            <w:tcW w:w="4120" w:type="dxa"/>
            <w:vAlign w:val="bottom"/>
          </w:tcPr>
          <w:p>
            <w:pPr>
              <w:jc w:val="center"/>
              <w:spacing w:after="0" w:line="201" w:lineRule="exact"/>
              <w:rPr>
                <w:sz w:val="20"/>
                <w:szCs w:val="20"/>
                <w:color w:val="auto"/>
              </w:rPr>
            </w:pPr>
            <w:r>
              <w:rPr>
                <w:rFonts w:ascii="Arial" w:cs="Arial" w:eastAsia="Arial" w:hAnsi="Arial"/>
                <w:sz w:val="18"/>
                <w:szCs w:val="18"/>
                <w:color w:val="auto"/>
                <w:w w:val="92"/>
              </w:rPr>
              <w:t>Ronald O. Baukol</w:t>
            </w:r>
          </w:p>
        </w:tc>
        <w:tc>
          <w:tcPr>
            <w:tcW w:w="3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C. Buhrmaster</w:t>
            </w: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202"/>
        </w:trPr>
        <w:tc>
          <w:tcPr>
            <w:tcW w:w="4120" w:type="dxa"/>
            <w:vAlign w:val="bottom"/>
          </w:tcPr>
          <w:p>
            <w:pPr>
              <w:jc w:val="center"/>
              <w:spacing w:after="0" w:line="201" w:lineRule="exact"/>
              <w:rPr>
                <w:sz w:val="20"/>
                <w:szCs w:val="20"/>
                <w:color w:val="auto"/>
              </w:rPr>
            </w:pPr>
            <w:r>
              <w:rPr>
                <w:rFonts w:ascii="Arial" w:cs="Arial" w:eastAsia="Arial" w:hAnsi="Arial"/>
                <w:sz w:val="18"/>
                <w:szCs w:val="18"/>
                <w:color w:val="auto"/>
                <w:w w:val="90"/>
              </w:rPr>
              <w:t>Robert C. Buhrmaster</w:t>
            </w:r>
          </w:p>
        </w:tc>
        <w:tc>
          <w:tcPr>
            <w:tcW w:w="3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Winslow H. Buxton</w:t>
            </w: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202"/>
        </w:trPr>
        <w:tc>
          <w:tcPr>
            <w:tcW w:w="4120" w:type="dxa"/>
            <w:vAlign w:val="bottom"/>
          </w:tcPr>
          <w:p>
            <w:pPr>
              <w:jc w:val="center"/>
              <w:spacing w:after="0" w:line="201" w:lineRule="exact"/>
              <w:rPr>
                <w:sz w:val="20"/>
                <w:szCs w:val="20"/>
                <w:color w:val="auto"/>
              </w:rPr>
            </w:pPr>
            <w:r>
              <w:rPr>
                <w:rFonts w:ascii="Arial" w:cs="Arial" w:eastAsia="Arial" w:hAnsi="Arial"/>
                <w:sz w:val="18"/>
                <w:szCs w:val="18"/>
                <w:color w:val="auto"/>
                <w:w w:val="95"/>
              </w:rPr>
              <w:t>Winslow H. Buxton</w:t>
            </w:r>
          </w:p>
        </w:tc>
        <w:tc>
          <w:tcPr>
            <w:tcW w:w="3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Janet K. Cooper</w:t>
            </w: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202"/>
        </w:trPr>
        <w:tc>
          <w:tcPr>
            <w:tcW w:w="4120" w:type="dxa"/>
            <w:vAlign w:val="bottom"/>
          </w:tcPr>
          <w:p>
            <w:pPr>
              <w:jc w:val="center"/>
              <w:spacing w:after="0" w:line="201" w:lineRule="exact"/>
              <w:rPr>
                <w:sz w:val="20"/>
                <w:szCs w:val="20"/>
                <w:color w:val="auto"/>
              </w:rPr>
            </w:pPr>
            <w:r>
              <w:rPr>
                <w:rFonts w:ascii="Arial" w:cs="Arial" w:eastAsia="Arial" w:hAnsi="Arial"/>
                <w:sz w:val="18"/>
                <w:szCs w:val="18"/>
                <w:color w:val="auto"/>
                <w:w w:val="90"/>
              </w:rPr>
              <w:t>Janet K. Cooper</w:t>
            </w:r>
          </w:p>
        </w:tc>
        <w:tc>
          <w:tcPr>
            <w:tcW w:w="3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Katherine J. Harless</w:t>
            </w: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202"/>
        </w:trPr>
        <w:tc>
          <w:tcPr>
            <w:tcW w:w="4120" w:type="dxa"/>
            <w:vAlign w:val="bottom"/>
          </w:tcPr>
          <w:p>
            <w:pPr>
              <w:jc w:val="center"/>
              <w:spacing w:after="0" w:line="201" w:lineRule="exact"/>
              <w:rPr>
                <w:sz w:val="20"/>
                <w:szCs w:val="20"/>
                <w:color w:val="auto"/>
              </w:rPr>
            </w:pPr>
            <w:r>
              <w:rPr>
                <w:rFonts w:ascii="Arial" w:cs="Arial" w:eastAsia="Arial" w:hAnsi="Arial"/>
                <w:sz w:val="18"/>
                <w:szCs w:val="18"/>
                <w:color w:val="auto"/>
                <w:w w:val="90"/>
              </w:rPr>
              <w:t>Katherine J. Harless</w:t>
            </w:r>
          </w:p>
        </w:tc>
        <w:tc>
          <w:tcPr>
            <w:tcW w:w="3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H. Nassau</w:t>
            </w: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202"/>
        </w:trPr>
        <w:tc>
          <w:tcPr>
            <w:tcW w:w="4120" w:type="dxa"/>
            <w:vAlign w:val="bottom"/>
          </w:tcPr>
          <w:p>
            <w:pPr>
              <w:jc w:val="center"/>
              <w:spacing w:after="0" w:line="201" w:lineRule="exact"/>
              <w:rPr>
                <w:sz w:val="20"/>
                <w:szCs w:val="20"/>
                <w:color w:val="auto"/>
              </w:rPr>
            </w:pPr>
            <w:r>
              <w:rPr>
                <w:rFonts w:ascii="Arial" w:cs="Arial" w:eastAsia="Arial" w:hAnsi="Arial"/>
                <w:sz w:val="18"/>
                <w:szCs w:val="18"/>
                <w:color w:val="auto"/>
                <w:w w:val="88"/>
              </w:rPr>
              <w:t>Robert H. Nassau</w:t>
            </w:r>
          </w:p>
        </w:tc>
        <w:tc>
          <w:tcPr>
            <w:tcW w:w="3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Christopher A. Twomey</w:t>
            </w: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202"/>
        </w:trPr>
        <w:tc>
          <w:tcPr>
            <w:tcW w:w="4120" w:type="dxa"/>
            <w:vAlign w:val="bottom"/>
          </w:tcPr>
          <w:p>
            <w:pPr>
              <w:jc w:val="center"/>
              <w:spacing w:after="0" w:line="201" w:lineRule="exact"/>
              <w:rPr>
                <w:sz w:val="20"/>
                <w:szCs w:val="20"/>
                <w:color w:val="auto"/>
              </w:rPr>
            </w:pPr>
            <w:r>
              <w:rPr>
                <w:rFonts w:ascii="Arial" w:cs="Arial" w:eastAsia="Arial" w:hAnsi="Arial"/>
                <w:sz w:val="18"/>
                <w:szCs w:val="18"/>
                <w:color w:val="auto"/>
                <w:w w:val="92"/>
              </w:rPr>
              <w:t>Christopher A. Twomey</w:t>
            </w:r>
          </w:p>
        </w:tc>
        <w:tc>
          <w:tcPr>
            <w:tcW w:w="3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Gregg W. Steinhafel</w:t>
            </w: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0"/>
              </w:rPr>
              <w:t>Gregg W. Steinhafel</w:t>
            </w:r>
          </w:p>
        </w:tc>
        <w:tc>
          <w:tcPr>
            <w:tcW w:w="3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7"/>
        </w:trPr>
        <w:tc>
          <w:tcPr>
            <w:tcW w:w="41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List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Item 8. Exhibits</w:t>
      </w:r>
    </w:p>
    <w:p>
      <w:pPr>
        <w:sectPr>
          <w:pgSz w:w="11900" w:h="16838" w:orient="portrait"/>
          <w:cols w:equalWidth="0" w:num="1">
            <w:col w:w="11420"/>
          </w:cols>
          <w:pgMar w:left="240" w:top="419"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rPr>
          <w:sz w:val="20"/>
          <w:szCs w:val="20"/>
          <w:color w:val="auto"/>
        </w:rPr>
      </w:pPr>
      <w:r>
        <w:rPr>
          <w:rFonts w:ascii="Arial" w:cs="Arial" w:eastAsia="Arial" w:hAnsi="Arial"/>
          <w:sz w:val="13"/>
          <w:szCs w:val="13"/>
          <w:u w:val="single" w:color="auto"/>
          <w:color w:val="auto"/>
        </w:rPr>
        <w:t>Number</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4960"/>
        <w:spacing w:after="0"/>
        <w:rPr>
          <w:sz w:val="20"/>
          <w:szCs w:val="20"/>
          <w:color w:val="auto"/>
        </w:rPr>
      </w:pP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11430</wp:posOffset>
            </wp:positionV>
            <wp:extent cx="67322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5060" w:space="720"/>
            <w:col w:w="5640"/>
          </w:cols>
          <w:pgMar w:left="240" w:top="419" w:right="239" w:bottom="1440" w:gutter="0" w:footer="0" w:header="0"/>
          <w:type w:val="continuous"/>
        </w:sect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4(a)</w:t>
            </w:r>
          </w:p>
        </w:tc>
        <w:tc>
          <w:tcPr>
            <w:tcW w:w="10860" w:type="dxa"/>
            <w:vAlign w:val="bottom"/>
          </w:tcPr>
          <w:p>
            <w:pPr>
              <w:ind w:left="260"/>
              <w:spacing w:after="0"/>
              <w:rPr>
                <w:sz w:val="20"/>
                <w:szCs w:val="20"/>
                <w:color w:val="auto"/>
              </w:rPr>
            </w:pPr>
            <w:r>
              <w:rPr>
                <w:rFonts w:ascii="Arial" w:cs="Arial" w:eastAsia="Arial" w:hAnsi="Arial"/>
                <w:sz w:val="18"/>
                <w:szCs w:val="18"/>
                <w:color w:val="auto"/>
                <w:w w:val="91"/>
              </w:rPr>
              <w:t>Amended and Restated Certificate of Incorporation of Registrant (incorporated by reference to Exhibit 3(i) and 4(a) to Registrant’s Current Report</w:t>
            </w:r>
          </w:p>
        </w:tc>
      </w:tr>
      <w:tr>
        <w:trPr>
          <w:trHeight w:val="230"/>
        </w:trPr>
        <w:tc>
          <w:tcPr>
            <w:tcW w:w="560" w:type="dxa"/>
            <w:vAlign w:val="bottom"/>
          </w:tcPr>
          <w:p>
            <w:pPr>
              <w:spacing w:after="0"/>
              <w:rPr>
                <w:sz w:val="20"/>
                <w:szCs w:val="20"/>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rPr>
              <w:t>on Form 8-K dated March 15, 2005, Commission File No. 1-8649).</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4(b)</w:t>
            </w:r>
          </w:p>
        </w:tc>
        <w:tc>
          <w:tcPr>
            <w:tcW w:w="10860" w:type="dxa"/>
            <w:vAlign w:val="bottom"/>
          </w:tcPr>
          <w:p>
            <w:pPr>
              <w:ind w:left="260"/>
              <w:spacing w:after="0"/>
              <w:rPr>
                <w:sz w:val="20"/>
                <w:szCs w:val="20"/>
                <w:color w:val="auto"/>
              </w:rPr>
            </w:pPr>
            <w:r>
              <w:rPr>
                <w:rFonts w:ascii="Arial" w:cs="Arial" w:eastAsia="Arial" w:hAnsi="Arial"/>
                <w:sz w:val="18"/>
                <w:szCs w:val="18"/>
                <w:color w:val="auto"/>
                <w:w w:val="99"/>
              </w:rPr>
              <w:t>Bylaws of Registrant (incorporated by reference to Exhibit 4(c) to Registrant’s Current Report on Form 8-K dated November 30, 2005,</w:t>
            </w:r>
          </w:p>
        </w:tc>
      </w:tr>
      <w:tr>
        <w:trPr>
          <w:trHeight w:val="230"/>
        </w:trPr>
        <w:tc>
          <w:tcPr>
            <w:tcW w:w="560" w:type="dxa"/>
            <w:vAlign w:val="bottom"/>
          </w:tcPr>
          <w:p>
            <w:pPr>
              <w:spacing w:after="0"/>
              <w:rPr>
                <w:sz w:val="20"/>
                <w:szCs w:val="20"/>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rPr>
              <w:t>Commission File No. 1-8649).</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4(c)</w:t>
            </w:r>
          </w:p>
        </w:tc>
        <w:tc>
          <w:tcPr>
            <w:tcW w:w="10860" w:type="dxa"/>
            <w:vAlign w:val="bottom"/>
          </w:tcPr>
          <w:p>
            <w:pPr>
              <w:ind w:left="260"/>
              <w:spacing w:after="0"/>
              <w:rPr>
                <w:sz w:val="20"/>
                <w:szCs w:val="20"/>
                <w:color w:val="auto"/>
              </w:rPr>
            </w:pPr>
            <w:r>
              <w:rPr>
                <w:rFonts w:ascii="Arial" w:cs="Arial" w:eastAsia="Arial" w:hAnsi="Arial"/>
                <w:sz w:val="18"/>
                <w:szCs w:val="18"/>
                <w:color w:val="auto"/>
                <w:w w:val="93"/>
              </w:rPr>
              <w:t>Specimen form of Common Stock certificate (incorporated by reference to Registrant’s Annual Report on Form 10-K dated October 31, 2004).</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4(d)</w:t>
            </w:r>
          </w:p>
        </w:tc>
        <w:tc>
          <w:tcPr>
            <w:tcW w:w="10860" w:type="dxa"/>
            <w:vAlign w:val="bottom"/>
          </w:tcPr>
          <w:p>
            <w:pPr>
              <w:ind w:left="260"/>
              <w:spacing w:after="0"/>
              <w:rPr>
                <w:sz w:val="20"/>
                <w:szCs w:val="20"/>
                <w:color w:val="auto"/>
              </w:rPr>
            </w:pPr>
            <w:r>
              <w:rPr>
                <w:rFonts w:ascii="Arial" w:cs="Arial" w:eastAsia="Arial" w:hAnsi="Arial"/>
                <w:sz w:val="18"/>
                <w:szCs w:val="18"/>
                <w:color w:val="auto"/>
                <w:w w:val="95"/>
              </w:rPr>
              <w:t>Rights Agreement dated as of May 20, 1998, between Registrant and Wells Fargo Bank Minnesota, National Association relating to rights to</w:t>
            </w:r>
          </w:p>
        </w:tc>
      </w:tr>
      <w:tr>
        <w:trPr>
          <w:trHeight w:val="216"/>
        </w:trPr>
        <w:tc>
          <w:tcPr>
            <w:tcW w:w="560" w:type="dxa"/>
            <w:vAlign w:val="bottom"/>
          </w:tcPr>
          <w:p>
            <w:pPr>
              <w:spacing w:after="0"/>
              <w:rPr>
                <w:sz w:val="18"/>
                <w:szCs w:val="18"/>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w w:val="90"/>
              </w:rPr>
              <w:t>purchase Series B Junior Participating Voting Preferred Stock, as amended (incorporated by reference to Registrant’s Current Report on Form 8-K</w:t>
            </w:r>
          </w:p>
        </w:tc>
      </w:tr>
      <w:tr>
        <w:trPr>
          <w:trHeight w:val="230"/>
        </w:trPr>
        <w:tc>
          <w:tcPr>
            <w:tcW w:w="560" w:type="dxa"/>
            <w:vAlign w:val="bottom"/>
          </w:tcPr>
          <w:p>
            <w:pPr>
              <w:spacing w:after="0"/>
              <w:rPr>
                <w:sz w:val="20"/>
                <w:szCs w:val="20"/>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rPr>
              <w:t>dated May 27, 1998, Commission File No. 1-8649).</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4(e)</w:t>
            </w:r>
          </w:p>
        </w:tc>
        <w:tc>
          <w:tcPr>
            <w:tcW w:w="10860" w:type="dxa"/>
            <w:vAlign w:val="bottom"/>
          </w:tcPr>
          <w:p>
            <w:pPr>
              <w:ind w:left="260"/>
              <w:spacing w:after="0"/>
              <w:rPr>
                <w:sz w:val="20"/>
                <w:szCs w:val="20"/>
                <w:color w:val="auto"/>
              </w:rPr>
            </w:pPr>
            <w:r>
              <w:rPr>
                <w:rFonts w:ascii="Arial" w:cs="Arial" w:eastAsia="Arial" w:hAnsi="Arial"/>
                <w:sz w:val="18"/>
                <w:szCs w:val="18"/>
                <w:color w:val="auto"/>
                <w:w w:val="93"/>
              </w:rPr>
              <w:t>Certificate of Adjusted Purchase Price or Number of Shares dated April 14, 2003 filed by Registrant with Wells Fargo Bank Minnesota, N.A. as</w:t>
            </w:r>
          </w:p>
        </w:tc>
      </w:tr>
      <w:tr>
        <w:trPr>
          <w:trHeight w:val="216"/>
        </w:trPr>
        <w:tc>
          <w:tcPr>
            <w:tcW w:w="560" w:type="dxa"/>
            <w:vAlign w:val="bottom"/>
          </w:tcPr>
          <w:p>
            <w:pPr>
              <w:spacing w:after="0"/>
              <w:rPr>
                <w:sz w:val="18"/>
                <w:szCs w:val="18"/>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w w:val="92"/>
              </w:rPr>
              <w:t>Rights Agent, in connection with Rights Agreement dated as of May 20, 1998 (incorporated by reference to Exhibit 2 to Registrant’s Amendment</w:t>
            </w:r>
          </w:p>
        </w:tc>
      </w:tr>
      <w:tr>
        <w:trPr>
          <w:trHeight w:val="230"/>
        </w:trPr>
        <w:tc>
          <w:tcPr>
            <w:tcW w:w="560" w:type="dxa"/>
            <w:vAlign w:val="bottom"/>
          </w:tcPr>
          <w:p>
            <w:pPr>
              <w:spacing w:after="0"/>
              <w:rPr>
                <w:sz w:val="20"/>
                <w:szCs w:val="20"/>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rPr>
              <w:t>No. 1 to Registration Statement on Form 8-A/A dated April 14, 2003, Commission File No. 1-8649).</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4(f)</w:t>
            </w:r>
          </w:p>
        </w:tc>
        <w:tc>
          <w:tcPr>
            <w:tcW w:w="10860" w:type="dxa"/>
            <w:vAlign w:val="bottom"/>
          </w:tcPr>
          <w:p>
            <w:pPr>
              <w:ind w:left="260"/>
              <w:spacing w:after="0"/>
              <w:rPr>
                <w:sz w:val="20"/>
                <w:szCs w:val="20"/>
                <w:color w:val="auto"/>
              </w:rPr>
            </w:pPr>
            <w:r>
              <w:rPr>
                <w:rFonts w:ascii="Arial" w:cs="Arial" w:eastAsia="Arial" w:hAnsi="Arial"/>
                <w:sz w:val="18"/>
                <w:szCs w:val="18"/>
                <w:color w:val="auto"/>
                <w:w w:val="95"/>
              </w:rPr>
              <w:t>Certificate of Adjusted Purchase Price or Number of Shares dated April 12, 2005 filed by Registrant with Wells Fargo Bank, N.A., as Rights</w:t>
            </w:r>
          </w:p>
        </w:tc>
      </w:tr>
      <w:tr>
        <w:trPr>
          <w:trHeight w:val="216"/>
        </w:trPr>
        <w:tc>
          <w:tcPr>
            <w:tcW w:w="560" w:type="dxa"/>
            <w:vAlign w:val="bottom"/>
          </w:tcPr>
          <w:p>
            <w:pPr>
              <w:spacing w:after="0"/>
              <w:rPr>
                <w:sz w:val="18"/>
                <w:szCs w:val="18"/>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w w:val="93"/>
              </w:rPr>
              <w:t>Agent, in connection with Rights Agreement dated as of May 20, 1998 (incorporated by reference to Exhibit 2 to Registrant’s Amendment No. 2</w:t>
            </w:r>
          </w:p>
        </w:tc>
      </w:tr>
      <w:tr>
        <w:trPr>
          <w:trHeight w:val="230"/>
        </w:trPr>
        <w:tc>
          <w:tcPr>
            <w:tcW w:w="560" w:type="dxa"/>
            <w:vAlign w:val="bottom"/>
          </w:tcPr>
          <w:p>
            <w:pPr>
              <w:spacing w:after="0"/>
              <w:rPr>
                <w:sz w:val="20"/>
                <w:szCs w:val="20"/>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rPr>
              <w:t>to Registration Statement on Form 8-A/A dated March 21, 2005, Commission File No. 1-8649).</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4(g)</w:t>
            </w:r>
          </w:p>
        </w:tc>
        <w:tc>
          <w:tcPr>
            <w:tcW w:w="10860" w:type="dxa"/>
            <w:vAlign w:val="bottom"/>
          </w:tcPr>
          <w:p>
            <w:pPr>
              <w:ind w:left="260"/>
              <w:spacing w:after="0"/>
              <w:rPr>
                <w:sz w:val="20"/>
                <w:szCs w:val="20"/>
                <w:color w:val="auto"/>
              </w:rPr>
            </w:pPr>
            <w:r>
              <w:rPr>
                <w:rFonts w:ascii="Arial" w:cs="Arial" w:eastAsia="Arial" w:hAnsi="Arial"/>
                <w:sz w:val="18"/>
                <w:szCs w:val="18"/>
                <w:color w:val="auto"/>
                <w:w w:val="92"/>
              </w:rPr>
              <w:t>Indenture dated as of January 31, 1997, between Registrant and First National Trust Association, as Trustee, relating to the Registrant’s 7.125%</w:t>
            </w:r>
          </w:p>
        </w:tc>
      </w:tr>
      <w:tr>
        <w:trPr>
          <w:trHeight w:val="216"/>
        </w:trPr>
        <w:tc>
          <w:tcPr>
            <w:tcW w:w="560" w:type="dxa"/>
            <w:vAlign w:val="bottom"/>
          </w:tcPr>
          <w:p>
            <w:pPr>
              <w:spacing w:after="0"/>
              <w:rPr>
                <w:sz w:val="18"/>
                <w:szCs w:val="18"/>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w w:val="90"/>
              </w:rPr>
              <w:t>Notes due June 15, 2007 and its 7.80% Debentures due June 15, 2027 (incorporated by reference to Exhibit 4(a) to Registrant’s Current Report on</w:t>
            </w:r>
          </w:p>
        </w:tc>
      </w:tr>
      <w:tr>
        <w:trPr>
          <w:trHeight w:val="230"/>
        </w:trPr>
        <w:tc>
          <w:tcPr>
            <w:tcW w:w="560" w:type="dxa"/>
            <w:vAlign w:val="bottom"/>
          </w:tcPr>
          <w:p>
            <w:pPr>
              <w:spacing w:after="0"/>
              <w:rPr>
                <w:sz w:val="20"/>
                <w:szCs w:val="20"/>
                <w:color w:val="auto"/>
              </w:rPr>
            </w:pPr>
          </w:p>
        </w:tc>
        <w:tc>
          <w:tcPr>
            <w:tcW w:w="10860" w:type="dxa"/>
            <w:vAlign w:val="bottom"/>
          </w:tcPr>
          <w:p>
            <w:pPr>
              <w:ind w:left="260"/>
              <w:spacing w:after="0"/>
              <w:rPr>
                <w:sz w:val="20"/>
                <w:szCs w:val="20"/>
                <w:color w:val="auto"/>
              </w:rPr>
            </w:pPr>
            <w:r>
              <w:rPr>
                <w:rFonts w:ascii="Arial" w:cs="Arial" w:eastAsia="Arial" w:hAnsi="Arial"/>
                <w:sz w:val="18"/>
                <w:szCs w:val="18"/>
                <w:color w:val="auto"/>
              </w:rPr>
              <w:t>Form 8-K for June 24, 1997, Commission File No. 1-8649).</w:t>
            </w:r>
          </w:p>
        </w:tc>
      </w:tr>
      <w:tr>
        <w:trPr>
          <w:trHeight w:val="632"/>
        </w:trPr>
        <w:tc>
          <w:tcPr>
            <w:tcW w:w="560" w:type="dxa"/>
            <w:vAlign w:val="bottom"/>
            <w:tcBorders>
              <w:bottom w:val="single" w:sz="8" w:color="808080"/>
            </w:tcBorders>
          </w:tcPr>
          <w:p>
            <w:pPr>
              <w:spacing w:after="0"/>
              <w:rPr>
                <w:sz w:val="24"/>
                <w:szCs w:val="24"/>
                <w:color w:val="auto"/>
              </w:rPr>
            </w:pPr>
          </w:p>
        </w:tc>
        <w:tc>
          <w:tcPr>
            <w:tcW w:w="10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rPr>
          <w:sz w:val="20"/>
          <w:szCs w:val="20"/>
          <w:color w:val="auto"/>
        </w:rPr>
      </w:pPr>
      <w:r>
        <w:rPr>
          <w:rFonts w:ascii="Arial" w:cs="Arial" w:eastAsia="Arial" w:hAnsi="Arial"/>
          <w:sz w:val="13"/>
          <w:szCs w:val="13"/>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11430</wp:posOffset>
            </wp:positionV>
            <wp:extent cx="6732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5060" w:space="720"/>
            <w:col w:w="4439"/>
          </w:cols>
          <w:pgMar w:left="240" w:top="419" w:right="1440" w:bottom="1440" w:gutter="0" w:footer="0" w:header="0"/>
          <w:type w:val="continuous"/>
        </w:sect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counsel regarding legality (filed electronically herewith).</w:t>
      </w:r>
    </w:p>
    <w:p>
      <w:pPr>
        <w:spacing w:after="0" w:line="20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23(a)</w:t>
      </w:r>
      <w:r>
        <w:rPr>
          <w:rFonts w:ascii="Arial" w:cs="Arial" w:eastAsia="Arial" w:hAnsi="Arial"/>
          <w:sz w:val="16"/>
          <w:szCs w:val="16"/>
          <w:color w:val="auto"/>
        </w:rPr>
        <w:t>Consent of counsel (contained in Exhibit 5(a)).</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23(b)</w:t>
      </w:r>
      <w:r>
        <w:rPr>
          <w:rFonts w:ascii="Arial" w:cs="Arial" w:eastAsia="Arial" w:hAnsi="Arial"/>
          <w:sz w:val="17"/>
          <w:szCs w:val="17"/>
          <w:color w:val="auto"/>
        </w:rPr>
        <w:t>Consent of KPMG LLP (filed electronically herewith).</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Powers of Attorney (filed electronically herewith and contained in the signature pages).</w:t>
      </w:r>
    </w:p>
    <w:p>
      <w:pPr>
        <w:sectPr>
          <w:pgSz w:w="11900" w:h="16838" w:orient="portrait"/>
          <w:cols w:equalWidth="0" w:num="1">
            <w:col w:w="10219"/>
          </w:cols>
          <w:pgMar w:left="240" w:top="419" w:right="1440"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5 and 23(a)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14,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55420</w:t>
      </w:r>
    </w:p>
    <w:p>
      <w:pPr>
        <w:spacing w:after="0" w:line="211" w:lineRule="exact"/>
        <w:rPr>
          <w:sz w:val="20"/>
          <w:szCs w:val="20"/>
          <w:color w:val="auto"/>
        </w:rPr>
      </w:pPr>
    </w:p>
    <w:p>
      <w:pPr>
        <w:ind w:right="4780"/>
        <w:spacing w:after="0" w:line="375" w:lineRule="auto"/>
        <w:rPr>
          <w:sz w:val="20"/>
          <w:szCs w:val="20"/>
          <w:color w:val="auto"/>
        </w:rPr>
      </w:pPr>
      <w:r>
        <w:rPr>
          <w:rFonts w:ascii="Arial" w:cs="Arial" w:eastAsia="Arial" w:hAnsi="Arial"/>
          <w:sz w:val="18"/>
          <w:szCs w:val="18"/>
          <w:color w:val="auto"/>
        </w:rPr>
        <w:t>Re: Registration Statement on Form S-8 for The Toro Company 2000 Stock Option Plan Gentlemen:</w:t>
      </w:r>
    </w:p>
    <w:p>
      <w:pPr>
        <w:spacing w:after="0" w:line="1"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I am Vice President, Secretary and General Counsel of The Toro Company (the “Company”). In connection with the Registration Statement on Form S-8 filed by the Company with the Securities and Exchange Commission relating to an aggregate of up to 400,000 shares of Common Stock, $1.00 par value per share (the “Common Stock”), and up to 1,000,000 related Preferred Share Purchase Rights (the “Rights”) of the Company, to be issued in connection with The Toro Company 2000 Stock Option Plan, please be advised that as counsel to the Company, upon examination of such corporate documents and records as I have deemed necessary or appropriate for the purpose of rendering this opinion, it is my opinion that:</w:t>
      </w:r>
    </w:p>
    <w:p>
      <w:pPr>
        <w:spacing w:after="0" w:line="64" w:lineRule="exact"/>
        <w:rPr>
          <w:sz w:val="20"/>
          <w:szCs w:val="20"/>
          <w:color w:val="auto"/>
        </w:rPr>
      </w:pPr>
    </w:p>
    <w:p>
      <w:pPr>
        <w:ind w:right="300" w:firstLine="233"/>
        <w:spacing w:after="0" w:line="277" w:lineRule="auto"/>
        <w:tabs>
          <w:tab w:leader="none" w:pos="40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of Common Stock being offered by the Company, when issued in accordance with proper corporate authorizations, will be legally issued, fully paid and non-assessable; and</w:t>
      </w:r>
    </w:p>
    <w:p>
      <w:pPr>
        <w:spacing w:after="0" w:line="62" w:lineRule="exact"/>
        <w:rPr>
          <w:rFonts w:ascii="Arial" w:cs="Arial" w:eastAsia="Arial" w:hAnsi="Arial"/>
          <w:sz w:val="18"/>
          <w:szCs w:val="18"/>
          <w:color w:val="auto"/>
        </w:rPr>
      </w:pPr>
    </w:p>
    <w:p>
      <w:pPr>
        <w:ind w:left="400" w:hanging="167"/>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Assuming that the Rights Agreement dated as of May 20, 1998, as modified by the Certificates of Adjusted Price or Number of Shares dated April 14,</w:t>
      </w:r>
    </w:p>
    <w:p>
      <w:pPr>
        <w:spacing w:after="0" w:line="46" w:lineRule="exact"/>
        <w:rPr>
          <w:rFonts w:ascii="Arial" w:cs="Arial" w:eastAsia="Arial" w:hAnsi="Arial"/>
          <w:sz w:val="16"/>
          <w:szCs w:val="16"/>
          <w:color w:val="auto"/>
        </w:rPr>
      </w:pPr>
    </w:p>
    <w:p>
      <w:pPr>
        <w:ind w:right="160"/>
        <w:spacing w:after="0" w:line="255" w:lineRule="auto"/>
        <w:rPr>
          <w:rFonts w:ascii="Arial" w:cs="Arial" w:eastAsia="Arial" w:hAnsi="Arial"/>
          <w:sz w:val="16"/>
          <w:szCs w:val="16"/>
          <w:color w:val="auto"/>
        </w:rPr>
      </w:pPr>
      <w:r>
        <w:rPr>
          <w:rFonts w:ascii="Arial" w:cs="Arial" w:eastAsia="Arial" w:hAnsi="Arial"/>
          <w:sz w:val="18"/>
          <w:szCs w:val="18"/>
          <w:color w:val="auto"/>
        </w:rPr>
        <w:t>2003 and April 12, 2005 (the “Rights Agreement”),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82"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and I am expressing no opinion as to the effect of the laws of any other jurisdiction.</w:t>
      </w:r>
    </w:p>
    <w:p>
      <w:pPr>
        <w:spacing w:after="0" w:line="62"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 Lawrence McIntyre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26073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420"/>
          </w:cols>
          <w:pgMar w:left="240" w:top="93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23(b)</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03"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We consent to the use of our reports dated December 22, 2005 incorporated by reference in this Form S-8, relating to the consolidated balance sheets of The Toro Company and subsidiaries as of October 31, 2005 and 2004, and the related consolidated statements of earnings, cash flows, and changes in stockholders’ equity for each of the years in the three year period ended October 31, 2005, and related financial statement schedule, management’s assessment of the effectiveness of internal control over financial reporting as of October 31, 2005, and the effectiveness of internal control over financial reporting as of October 31, 2005, which reports are included in the October 31, 2005 annual report on Form 10-K of The Toro Company.</w:t>
      </w:r>
    </w:p>
    <w:p>
      <w:pPr>
        <w:spacing w:after="0" w:line="50" w:lineRule="exact"/>
        <w:rPr>
          <w:sz w:val="20"/>
          <w:szCs w:val="20"/>
          <w:color w:val="auto"/>
        </w:rPr>
      </w:pPr>
    </w:p>
    <w:p>
      <w:pPr>
        <w:ind w:right="460" w:firstLine="215"/>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adopted the provisions of Statement of Financial Accounting Standards No. 123 (Revised 2004), “Share-Based Payment,” on November 1,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14, 2006</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4"/>
      <w:numFmt w:val="bullet"/>
      <w:start w:val="1"/>
    </w:lvl>
  </w:abstractNum>
  <w:abstractNum w:abstractNumId="2">
    <w:nsid w:val="2AE8944A"/>
    <w:multiLevelType w:val="hybridMultilevel"/>
    <w:lvl w:ilvl="0">
      <w:lvlJc w:val="left"/>
      <w:lvlText w:val="5"/>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2019-12-11T20:23:12Z</dcterms:created>
  <dcterms:modified xsi:type="dcterms:W3CDTF">2019-12-11T20:23:12Z</dcterms:modified>
</cp:coreProperties>
</file>