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Svendsen Kurt 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12/16/2020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17"/>
        <w:spacing w:after="0"/>
        <w:rPr>
          <w:sz w:val="20"/>
          <w:szCs w:val="20"/>
          <w:color w:val="auto"/>
        </w:rPr>
      </w:pPr>
      <w:r>
        <w:rPr>
          <w:rFonts w:ascii="Arial" w:cs="Arial" w:eastAsia="Arial" w:hAnsi="Arial"/>
          <w:sz w:val="17"/>
          <w:szCs w:val="17"/>
          <w:color w:val="0000FF"/>
        </w:rPr>
        <w:t>VP, Strat, Corp &amp; Channel Dev</w:t>
      </w:r>
    </w:p>
    <w:p>
      <w:pPr>
        <w:spacing w:after="0" w:line="31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265"/>
              <w:spacing w:after="0"/>
              <w:rPr>
                <w:sz w:val="20"/>
                <w:szCs w:val="20"/>
                <w:color w:val="auto"/>
              </w:rPr>
            </w:pPr>
            <w:r>
              <w:rPr>
                <w:rFonts w:ascii="Arial" w:cs="Arial" w:eastAsia="Arial" w:hAnsi="Arial"/>
                <w:sz w:val="17"/>
                <w:szCs w:val="17"/>
                <w:color w:val="0000FF"/>
              </w:rPr>
              <w:t>55420-1196</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1920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920875"/>
                    </a:xfrm>
                    <a:prstGeom prst="rect">
                      <a:avLst/>
                    </a:prstGeom>
                    <a:noFill/>
                  </pic:spPr>
                </pic:pic>
              </a:graphicData>
            </a:graphic>
          </wp:anchor>
        </w:drawing>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00"/>
              <w:spacing w:after="0" w:line="127"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3"/>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8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4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5"/>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12/16/2020</w:t>
            </w: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FF"/>
                <w:vertAlign w:val="subscript"/>
              </w:rPr>
              <w:t>960</w:t>
            </w:r>
            <w:r>
              <w:rPr>
                <w:rFonts w:ascii="Arial" w:cs="Arial" w:eastAsia="Arial" w:hAnsi="Arial"/>
                <w:sz w:val="11"/>
                <w:szCs w:val="11"/>
                <w:color w:val="008000"/>
              </w:rPr>
              <w:t>(1)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right="1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10,655.14</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12/16/2020</w:t>
            </w: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right"/>
              <w:ind w:right="78"/>
              <w:spacing w:after="0"/>
              <w:rPr>
                <w:sz w:val="20"/>
                <w:szCs w:val="20"/>
                <w:color w:val="auto"/>
              </w:rPr>
            </w:pPr>
            <w:r>
              <w:rPr>
                <w:rFonts w:ascii="Arial" w:cs="Arial" w:eastAsia="Arial" w:hAnsi="Arial"/>
                <w:sz w:val="17"/>
                <w:szCs w:val="17"/>
                <w:color w:val="0000FF"/>
              </w:rPr>
              <w:t>294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92.26</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6"/>
              </w:rPr>
              <w:t>10,361.14</w:t>
            </w:r>
            <w:r>
              <w:rPr>
                <w:rFonts w:ascii="Arial" w:cs="Arial" w:eastAsia="Arial" w:hAnsi="Arial"/>
                <w:sz w:val="21"/>
                <w:szCs w:val="21"/>
                <w:color w:val="008000"/>
                <w:w w:val="86"/>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6"/>
              </w:rPr>
              <w:t>10,667.431</w:t>
            </w:r>
            <w:r>
              <w:rPr>
                <w:rFonts w:ascii="Arial" w:cs="Arial" w:eastAsia="Arial" w:hAnsi="Arial"/>
                <w:sz w:val="21"/>
                <w:szCs w:val="21"/>
                <w:color w:val="008000"/>
                <w:w w:val="86"/>
                <w:vertAlign w:val="superscript"/>
              </w:rPr>
              <w:t>(3)</w:t>
            </w:r>
          </w:p>
        </w:tc>
        <w:tc>
          <w:tcPr>
            <w:tcW w:w="340" w:type="dxa"/>
            <w:vAlign w:val="bottom"/>
          </w:tcPr>
          <w:p>
            <w:pPr>
              <w:spacing w:after="0"/>
              <w:rPr>
                <w:sz w:val="18"/>
                <w:szCs w:val="18"/>
                <w:color w:val="auto"/>
              </w:rPr>
            </w:pPr>
          </w:p>
        </w:tc>
        <w:tc>
          <w:tcPr>
            <w:tcW w:w="540" w:type="dxa"/>
            <w:vAlign w:val="bottom"/>
            <w:vMerge w:val="restart"/>
          </w:tcPr>
          <w:p>
            <w:pPr>
              <w:jc w:val="center"/>
              <w:ind w:right="313"/>
              <w:spacing w:after="0"/>
              <w:rPr>
                <w:sz w:val="20"/>
                <w:szCs w:val="20"/>
                <w:color w:val="auto"/>
              </w:rPr>
            </w:pPr>
            <w:r>
              <w:rPr>
                <w:rFonts w:ascii="Arial" w:cs="Arial" w:eastAsia="Arial" w:hAnsi="Arial"/>
                <w:sz w:val="17"/>
                <w:szCs w:val="17"/>
                <w:color w:val="0000FF"/>
                <w:w w:val="83"/>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10"/>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93.33</w:t>
            </w:r>
          </w:p>
        </w:tc>
        <w:tc>
          <w:tcPr>
            <w:tcW w:w="1080" w:type="dxa"/>
            <w:vAlign w:val="bottom"/>
          </w:tcPr>
          <w:p>
            <w:pPr>
              <w:ind w:left="240"/>
              <w:spacing w:after="0"/>
              <w:rPr>
                <w:sz w:val="20"/>
                <w:szCs w:val="20"/>
                <w:color w:val="auto"/>
              </w:rPr>
            </w:pPr>
            <w:r>
              <w:rPr>
                <w:rFonts w:ascii="Arial" w:cs="Arial" w:eastAsia="Arial" w:hAnsi="Arial"/>
                <w:sz w:val="13"/>
                <w:szCs w:val="13"/>
                <w:color w:val="0000FF"/>
              </w:rPr>
              <w:t>12/17/2020</w:t>
            </w:r>
          </w:p>
        </w:tc>
        <w:tc>
          <w:tcPr>
            <w:tcW w:w="1100" w:type="dxa"/>
            <w:vAlign w:val="bottom"/>
          </w:tcPr>
          <w:p>
            <w:pPr>
              <w:spacing w:after="0"/>
              <w:rPr>
                <w:sz w:val="16"/>
                <w:szCs w:val="16"/>
                <w:color w:val="auto"/>
              </w:rPr>
            </w:pPr>
          </w:p>
        </w:tc>
        <w:tc>
          <w:tcPr>
            <w:tcW w:w="460" w:type="dxa"/>
            <w:vAlign w:val="bottom"/>
          </w:tcPr>
          <w:p>
            <w:pPr>
              <w:ind w:left="160"/>
              <w:spacing w:after="0"/>
              <w:rPr>
                <w:sz w:val="20"/>
                <w:szCs w:val="20"/>
                <w:color w:val="auto"/>
              </w:rPr>
            </w:pPr>
            <w:r>
              <w:rPr>
                <w:rFonts w:ascii="Arial" w:cs="Arial" w:eastAsia="Arial" w:hAnsi="Arial"/>
                <w:sz w:val="13"/>
                <w:szCs w:val="13"/>
                <w:color w:val="0000FF"/>
              </w:rPr>
              <w:t>A</w:t>
            </w:r>
          </w:p>
        </w:tc>
        <w:tc>
          <w:tcPr>
            <w:tcW w:w="34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Arial" w:cs="Arial" w:eastAsia="Arial" w:hAnsi="Arial"/>
                <w:sz w:val="13"/>
                <w:szCs w:val="13"/>
                <w:color w:val="0000FF"/>
              </w:rPr>
              <w:t>9,000</w:t>
            </w:r>
          </w:p>
        </w:tc>
        <w:tc>
          <w:tcPr>
            <w:tcW w:w="320" w:type="dxa"/>
            <w:vAlign w:val="bottom"/>
          </w:tcPr>
          <w:p>
            <w:pPr>
              <w:spacing w:after="0"/>
              <w:rPr>
                <w:sz w:val="16"/>
                <w:szCs w:val="16"/>
                <w:color w:val="auto"/>
              </w:rPr>
            </w:pPr>
          </w:p>
        </w:tc>
        <w:tc>
          <w:tcPr>
            <w:tcW w:w="760" w:type="dxa"/>
            <w:vAlign w:val="bottom"/>
          </w:tcPr>
          <w:p>
            <w:pPr>
              <w:ind w:left="280"/>
              <w:spacing w:after="0"/>
              <w:rPr>
                <w:sz w:val="20"/>
                <w:szCs w:val="20"/>
                <w:color w:val="auto"/>
              </w:rPr>
            </w:pPr>
            <w:r>
              <w:rPr>
                <w:rFonts w:ascii="Arial" w:cs="Arial" w:eastAsia="Arial" w:hAnsi="Arial"/>
                <w:sz w:val="11"/>
                <w:szCs w:val="11"/>
                <w:color w:val="008000"/>
              </w:rPr>
              <w:t>(4)</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12/17/2030</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9,000</w:t>
            </w:r>
          </w:p>
        </w:tc>
        <w:tc>
          <w:tcPr>
            <w:tcW w:w="40" w:type="dxa"/>
            <w:vAlign w:val="bottom"/>
          </w:tcPr>
          <w:p>
            <w:pPr>
              <w:spacing w:after="0"/>
              <w:rPr>
                <w:sz w:val="16"/>
                <w:szCs w:val="16"/>
                <w:color w:val="auto"/>
              </w:rPr>
            </w:pPr>
          </w:p>
        </w:tc>
        <w:tc>
          <w:tcPr>
            <w:tcW w:w="7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20" w:type="dxa"/>
            <w:vAlign w:val="bottom"/>
            <w:gridSpan w:val="2"/>
          </w:tcPr>
          <w:p>
            <w:pPr>
              <w:ind w:left="260"/>
              <w:spacing w:after="0"/>
              <w:rPr>
                <w:sz w:val="20"/>
                <w:szCs w:val="20"/>
                <w:color w:val="auto"/>
              </w:rPr>
            </w:pPr>
            <w:r>
              <w:rPr>
                <w:rFonts w:ascii="Arial" w:cs="Arial" w:eastAsia="Arial" w:hAnsi="Arial"/>
                <w:sz w:val="13"/>
                <w:szCs w:val="13"/>
                <w:color w:val="0000FF"/>
              </w:rPr>
              <w:t>9,000</w:t>
            </w: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-2052955</wp:posOffset>
            </wp:positionV>
            <wp:extent cx="7033260" cy="2193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932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Option</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jc w:val="both"/>
        <w:ind w:left="40" w:right="240" w:firstLine="3"/>
        <w:spacing w:after="0" w:line="237"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2018 to Fiscal 2020 Performance Period under The Toro Company Amended and Restated 2010 Equity and Incentive Plan, as amended and restated (the "Amended and Restated 2010 Plan"), as approved by the Issuer's Compensation &amp; Human Resources Committee of its Board of Directors on December 1, 2020, and which was conditioned upon and subject to confirmation by the Issuer's Fiscal 2020 financial results that were released on December 16, 2020. Performance Share Awards are paid in shares of common stock under the Amended and Restated 2010 Plan.</w:t>
      </w:r>
    </w:p>
    <w:p>
      <w:pPr>
        <w:spacing w:after="0" w:line="32"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28.029 shares of common stock acquired by the reporting person since the date of his last report under a dividend reinvestment feature of the account in which the shares are held.</w:t>
      </w:r>
    </w:p>
    <w:p>
      <w:pPr>
        <w:spacing w:after="0" w:line="45" w:lineRule="exact"/>
        <w:rPr>
          <w:rFonts w:ascii="Arial" w:cs="Arial" w:eastAsia="Arial" w:hAnsi="Arial"/>
          <w:sz w:val="13"/>
          <w:szCs w:val="13"/>
          <w:color w:val="008000"/>
        </w:rPr>
      </w:pPr>
    </w:p>
    <w:p>
      <w:pPr>
        <w:ind w:left="40" w:right="36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30.321 net shares acquired by the reporting person since the date of his last report under the dividend reinvestment feature of The Toro Company Retirement Plan less non-discretionary quarterly administrative fees.</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12/18/2020</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81944"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2020-12-18T16:23:14Z</dcterms:created>
  <dcterms:modified xsi:type="dcterms:W3CDTF">2020-12-18T16:23:14Z</dcterms:modified>
</cp:coreProperties>
</file>