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719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7197090"/>
                    </a:xfrm>
                    <a:prstGeom prst="rect">
                      <a:avLst/>
                    </a:prstGeom>
                    <a:noFill/>
                  </pic:spPr>
                </pic:pic>
              </a:graphicData>
            </a:graphic>
          </wp:anchor>
        </w:drawing>
      </w:r>
    </w:p>
    <w:p>
      <w:pPr>
        <w:spacing w:after="0" w:line="1195" w:lineRule="exact"/>
        <w:rPr>
          <w:sz w:val="24"/>
          <w:szCs w:val="24"/>
          <w:color w:val="auto"/>
        </w:rPr>
      </w:pPr>
    </w:p>
    <w:p>
      <w:pPr>
        <w:sectPr>
          <w:pgSz w:w="11900" w:h="16871" w:orient="portrait"/>
          <w:cols w:equalWidth="0" w:num="2">
            <w:col w:w="2280" w:space="360"/>
            <w:col w:w="8440"/>
          </w:cols>
          <w:pgMar w:left="460" w:top="215"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JANEY GREGORY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8111 LYNDALE AVENUE SOUTH</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03/24/2026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468"/>
        <w:spacing w:after="0"/>
        <w:rPr>
          <w:sz w:val="20"/>
          <w:szCs w:val="20"/>
          <w:color w:val="auto"/>
        </w:rPr>
      </w:pPr>
      <w:r>
        <w:rPr>
          <w:rFonts w:ascii="Times New Roman" w:cs="Times New Roman" w:eastAsia="Times New Roman" w:hAnsi="Times New Roman"/>
          <w:sz w:val="16"/>
          <w:szCs w:val="16"/>
          <w:color w:val="0000FF"/>
        </w:rPr>
        <w:t>Group VP, Landscapes &amp; Contrac</w:t>
      </w:r>
    </w:p>
    <w:p>
      <w:pPr>
        <w:spacing w:after="0" w:line="311" w:lineRule="exact"/>
        <w:rPr>
          <w:sz w:val="24"/>
          <w:szCs w:val="24"/>
          <w:color w:val="auto"/>
        </w:rPr>
      </w:pPr>
    </w:p>
    <w:p>
      <w:pPr>
        <w:sectPr>
          <w:pgSz w:w="11900" w:h="16871" w:orient="portrait"/>
          <w:cols w:equalWidth="0" w:num="3">
            <w:col w:w="3180" w:space="720"/>
            <w:col w:w="3112" w:space="720"/>
            <w:col w:w="3348"/>
          </w:cols>
          <w:pgMar w:left="460" w:top="215" w:right="359" w:bottom="0" w:gutter="0" w:footer="0" w:header="0"/>
          <w:type w:val="continuous"/>
        </w:sectPr>
      </w:pPr>
    </w:p>
    <w:tbl>
      <w:tblPr>
        <w:tblLayout w:type="fixed"/>
        <w:tblInd w:w="8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02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3660" w:type="dxa"/>
            <w:vAlign w:val="bottom"/>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vMerge w:val="restart"/>
          </w:tcPr>
          <w:p>
            <w:pPr>
              <w:ind w:left="320"/>
              <w:spacing w:after="0"/>
              <w:rPr>
                <w:sz w:val="20"/>
                <w:szCs w:val="20"/>
                <w:color w:val="auto"/>
              </w:rPr>
            </w:pPr>
            <w:r>
              <w:rPr>
                <w:rFonts w:ascii="Arial" w:cs="Arial" w:eastAsia="Arial" w:hAnsi="Arial"/>
                <w:sz w:val="13"/>
                <w:szCs w:val="13"/>
                <w:color w:val="auto"/>
                <w:w w:val="96"/>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20" w:type="dxa"/>
            <w:vAlign w:val="bottom"/>
          </w:tcPr>
          <w:p>
            <w:pPr>
              <w:ind w:left="3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BLOOMINGTON MN</w:t>
            </w:r>
          </w:p>
        </w:tc>
        <w:tc>
          <w:tcPr>
            <w:tcW w:w="1640" w:type="dxa"/>
            <w:vAlign w:val="bottom"/>
          </w:tcPr>
          <w:p>
            <w:pPr>
              <w:jc w:val="right"/>
              <w:ind w:right="698"/>
              <w:spacing w:after="0"/>
              <w:rPr>
                <w:sz w:val="20"/>
                <w:szCs w:val="20"/>
                <w:color w:val="auto"/>
              </w:rPr>
            </w:pPr>
            <w:r>
              <w:rPr>
                <w:rFonts w:ascii="Times New Roman" w:cs="Times New Roman" w:eastAsia="Times New Roman" w:hAnsi="Times New Roman"/>
                <w:sz w:val="16"/>
                <w:szCs w:val="16"/>
                <w:color w:val="0000FF"/>
              </w:rPr>
              <w:t>55420</w:t>
            </w:r>
          </w:p>
        </w:tc>
        <w:tc>
          <w:tcPr>
            <w:tcW w:w="3660" w:type="dxa"/>
            <w:vAlign w:val="bottom"/>
          </w:tcPr>
          <w:p>
            <w:pPr>
              <w:spacing w:after="0"/>
              <w:rPr>
                <w:sz w:val="19"/>
                <w:szCs w:val="19"/>
                <w:color w:val="auto"/>
              </w:rPr>
            </w:pPr>
          </w:p>
        </w:tc>
        <w:tc>
          <w:tcPr>
            <w:tcW w:w="3220" w:type="dxa"/>
            <w:vAlign w:val="bottom"/>
          </w:tcPr>
          <w:p>
            <w:pPr>
              <w:ind w:left="8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3660" w:type="dxa"/>
            <w:vAlign w:val="bottom"/>
          </w:tcPr>
          <w:p>
            <w:pPr>
              <w:spacing w:after="0"/>
              <w:rPr>
                <w:sz w:val="12"/>
                <w:szCs w:val="12"/>
                <w:color w:val="auto"/>
              </w:rPr>
            </w:pPr>
          </w:p>
        </w:tc>
        <w:tc>
          <w:tcPr>
            <w:tcW w:w="3220" w:type="dxa"/>
            <w:vAlign w:val="bottom"/>
          </w:tcPr>
          <w:p>
            <w:pPr>
              <w:ind w:left="84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20" w:type="dxa"/>
            <w:vAlign w:val="bottom"/>
          </w:tcPr>
          <w:p>
            <w:pPr>
              <w:ind w:left="840"/>
              <w:spacing w:after="0" w:line="139"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67"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5"/>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restart"/>
          </w:tcPr>
          <w:p>
            <w:pPr>
              <w:jc w:val="center"/>
              <w:ind w:right="43"/>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700" w:type="dxa"/>
            <w:vAlign w:val="bottom"/>
            <w:gridSpan w:val="2"/>
          </w:tcPr>
          <w:p>
            <w:pPr>
              <w:ind w:left="26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jc w:val="right"/>
              <w:ind w:right="221"/>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03/24/2026</w:t>
            </w:r>
          </w:p>
        </w:tc>
        <w:tc>
          <w:tcPr>
            <w:tcW w:w="7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1,750</w:t>
            </w:r>
          </w:p>
        </w:tc>
        <w:tc>
          <w:tcPr>
            <w:tcW w:w="5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56.54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7"/>
              </w:rPr>
              <w:t>7,271.284</w:t>
            </w:r>
            <w:r>
              <w:rPr>
                <w:rFonts w:ascii="Times New Roman" w:cs="Times New Roman" w:eastAsia="Times New Roman" w:hAnsi="Times New Roman"/>
                <w:sz w:val="21"/>
                <w:szCs w:val="21"/>
                <w:color w:val="008000"/>
                <w:w w:val="97"/>
                <w:vertAlign w:val="superscript"/>
              </w:rPr>
              <w:t>(1)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0000FF"/>
              </w:rPr>
              <w:t>03/24/2026</w:t>
            </w: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jc w:val="center"/>
              <w:ind w:right="23"/>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1,750</w:t>
            </w:r>
          </w:p>
        </w:tc>
        <w:tc>
          <w:tcPr>
            <w:tcW w:w="52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Pr>
          <w:p>
            <w:pPr>
              <w:spacing w:after="0"/>
              <w:rPr>
                <w:sz w:val="22"/>
                <w:szCs w:val="22"/>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95.49</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5,521.284</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0000FF"/>
              </w:rPr>
              <w:t>03/24/2026</w:t>
            </w: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jc w:val="center"/>
              <w:ind w:right="23"/>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1,750</w:t>
            </w:r>
          </w:p>
        </w:tc>
        <w:tc>
          <w:tcPr>
            <w:tcW w:w="52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180" w:type="dxa"/>
            <w:vAlign w:val="bottom"/>
          </w:tcPr>
          <w:p>
            <w:pPr>
              <w:spacing w:after="0"/>
              <w:rPr>
                <w:sz w:val="22"/>
                <w:szCs w:val="22"/>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56.54</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7,271.284</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0000FF"/>
              </w:rPr>
              <w:t>03/24/2026</w:t>
            </w: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jc w:val="center"/>
              <w:ind w:right="23"/>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1,750</w:t>
            </w:r>
          </w:p>
        </w:tc>
        <w:tc>
          <w:tcPr>
            <w:tcW w:w="52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Pr>
          <w:p>
            <w:pPr>
              <w:spacing w:after="0"/>
              <w:rPr>
                <w:sz w:val="22"/>
                <w:szCs w:val="22"/>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95.44</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5,521.284</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The Toro</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2,216.097</w:t>
            </w:r>
            <w:r>
              <w:rPr>
                <w:rFonts w:ascii="Times New Roman" w:cs="Times New Roman" w:eastAsia="Times New Roman" w:hAnsi="Times New Roman"/>
                <w:sz w:val="21"/>
                <w:szCs w:val="21"/>
                <w:color w:val="008000"/>
                <w:w w:val="97"/>
                <w:vertAlign w:val="superscript"/>
              </w:rPr>
              <w:t>(2)</w:t>
            </w:r>
          </w:p>
        </w:tc>
        <w:tc>
          <w:tcPr>
            <w:tcW w:w="340" w:type="dxa"/>
            <w:vAlign w:val="bottom"/>
          </w:tcPr>
          <w:p>
            <w:pPr>
              <w:spacing w:after="0"/>
              <w:rPr>
                <w:sz w:val="17"/>
                <w:szCs w:val="17"/>
                <w:color w:val="auto"/>
              </w:rPr>
            </w:pPr>
          </w:p>
        </w:tc>
        <w:tc>
          <w:tcPr>
            <w:tcW w:w="540" w:type="dxa"/>
            <w:vAlign w:val="bottom"/>
            <w:vMerge w:val="restart"/>
          </w:tcPr>
          <w:p>
            <w:pPr>
              <w:jc w:val="center"/>
              <w:ind w:right="312"/>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Retirement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Performance Share Units</w:t>
            </w:r>
          </w:p>
        </w:tc>
        <w:tc>
          <w:tcPr>
            <w:tcW w:w="10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6"/>
              </w:rPr>
              <w:t>7,190.37</w:t>
            </w:r>
            <w:r>
              <w:rPr>
                <w:rFonts w:ascii="Times New Roman" w:cs="Times New Roman" w:eastAsia="Times New Roman" w:hAnsi="Times New Roman"/>
                <w:sz w:val="21"/>
                <w:szCs w:val="21"/>
                <w:color w:val="008000"/>
                <w:w w:val="96"/>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5"/>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56.54</w:t>
            </w: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03/24/2026</w:t>
            </w:r>
          </w:p>
        </w:tc>
        <w:tc>
          <w:tcPr>
            <w:tcW w:w="1060" w:type="dxa"/>
            <w:vAlign w:val="bottom"/>
          </w:tcPr>
          <w:p>
            <w:pPr>
              <w:spacing w:after="0"/>
              <w:rPr>
                <w:sz w:val="12"/>
                <w:szCs w:val="12"/>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1,750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12/09/2026</w:t>
            </w: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180" w:type="dxa"/>
            <w:vAlign w:val="bottom"/>
          </w:tcPr>
          <w:p>
            <w:pPr>
              <w:spacing w:after="0"/>
              <w:rPr>
                <w:sz w:val="12"/>
                <w:szCs w:val="12"/>
                <w:color w:val="auto"/>
              </w:rPr>
            </w:pPr>
          </w:p>
        </w:tc>
        <w:tc>
          <w:tcPr>
            <w:tcW w:w="64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1,750</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60" w:type="dxa"/>
            <w:vAlign w:val="bottom"/>
            <w:vMerge w:val="restart"/>
          </w:tcPr>
          <w:p>
            <w:pPr>
              <w:jc w:val="center"/>
              <w:ind w:left="301"/>
              <w:spacing w:after="0"/>
              <w:rPr>
                <w:sz w:val="20"/>
                <w:szCs w:val="20"/>
                <w:color w:val="auto"/>
              </w:rPr>
            </w:pPr>
            <w:r>
              <w:rPr>
                <w:rFonts w:ascii="Times New Roman" w:cs="Times New Roman" w:eastAsia="Times New Roman" w:hAnsi="Times New Roman"/>
                <w:sz w:val="13"/>
                <w:szCs w:val="13"/>
                <w:color w:val="0000FF"/>
                <w:w w:val="91"/>
              </w:rPr>
              <w:t>0</w:t>
            </w:r>
          </w:p>
        </w:tc>
        <w:tc>
          <w:tcPr>
            <w:tcW w:w="340" w:type="dxa"/>
            <w:vAlign w:val="bottom"/>
          </w:tcPr>
          <w:p>
            <w:pPr>
              <w:spacing w:after="0"/>
              <w:rPr>
                <w:sz w:val="12"/>
                <w:szCs w:val="12"/>
                <w:color w:val="auto"/>
              </w:rPr>
            </w:pP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56.54</w:t>
            </w: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03/24/2026</w:t>
            </w:r>
          </w:p>
        </w:tc>
        <w:tc>
          <w:tcPr>
            <w:tcW w:w="1060" w:type="dxa"/>
            <w:vAlign w:val="bottom"/>
          </w:tcPr>
          <w:p>
            <w:pPr>
              <w:spacing w:after="0"/>
              <w:rPr>
                <w:sz w:val="12"/>
                <w:szCs w:val="12"/>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1,750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(5)</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12/09/2026</w:t>
            </w: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180" w:type="dxa"/>
            <w:vAlign w:val="bottom"/>
          </w:tcPr>
          <w:p>
            <w:pPr>
              <w:spacing w:after="0"/>
              <w:rPr>
                <w:sz w:val="12"/>
                <w:szCs w:val="12"/>
                <w:color w:val="auto"/>
              </w:rPr>
            </w:pPr>
          </w:p>
        </w:tc>
        <w:tc>
          <w:tcPr>
            <w:tcW w:w="64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1,750</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60" w:type="dxa"/>
            <w:vAlign w:val="bottom"/>
            <w:vMerge w:val="restart"/>
          </w:tcPr>
          <w:p>
            <w:pPr>
              <w:jc w:val="center"/>
              <w:ind w:left="301"/>
              <w:spacing w:after="0"/>
              <w:rPr>
                <w:sz w:val="20"/>
                <w:szCs w:val="20"/>
                <w:color w:val="auto"/>
              </w:rPr>
            </w:pPr>
            <w:r>
              <w:rPr>
                <w:rFonts w:ascii="Times New Roman" w:cs="Times New Roman" w:eastAsia="Times New Roman" w:hAnsi="Times New Roman"/>
                <w:sz w:val="13"/>
                <w:szCs w:val="13"/>
                <w:color w:val="0000FF"/>
                <w:w w:val="91"/>
              </w:rPr>
              <w:t>0</w:t>
            </w:r>
          </w:p>
        </w:tc>
        <w:tc>
          <w:tcPr>
            <w:tcW w:w="340" w:type="dxa"/>
            <w:vAlign w:val="bottom"/>
          </w:tcPr>
          <w:p>
            <w:pPr>
              <w:spacing w:after="0"/>
              <w:rPr>
                <w:sz w:val="12"/>
                <w:szCs w:val="12"/>
                <w:color w:val="auto"/>
              </w:rPr>
            </w:pP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(7)</w:t>
            </w:r>
          </w:p>
        </w:tc>
        <w:tc>
          <w:tcPr>
            <w:tcW w:w="300" w:type="dxa"/>
            <w:vAlign w:val="bottom"/>
          </w:tcPr>
          <w:p>
            <w:pPr>
              <w:spacing w:after="0"/>
              <w:rPr>
                <w:sz w:val="15"/>
                <w:szCs w:val="15"/>
                <w:color w:val="auto"/>
              </w:rPr>
            </w:pPr>
          </w:p>
        </w:tc>
        <w:tc>
          <w:tcPr>
            <w:tcW w:w="500" w:type="dxa"/>
            <w:vAlign w:val="bottom"/>
            <w:vMerge w:val="restart"/>
          </w:tcPr>
          <w:p>
            <w:pPr>
              <w:jc w:val="center"/>
              <w:ind w:right="233"/>
              <w:spacing w:after="0"/>
              <w:rPr>
                <w:sz w:val="20"/>
                <w:szCs w:val="20"/>
                <w:color w:val="auto"/>
              </w:rPr>
            </w:pPr>
            <w:r>
              <w:rPr>
                <w:rFonts w:ascii="Times New Roman" w:cs="Times New Roman" w:eastAsia="Times New Roman" w:hAnsi="Times New Roman"/>
                <w:sz w:val="11"/>
                <w:szCs w:val="11"/>
                <w:color w:val="008000"/>
                <w:w w:val="93"/>
              </w:rPr>
              <w:t>(7)</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20,722.227</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9"/>
              </w:rPr>
              <w:t>20,722.227</w:t>
            </w:r>
          </w:p>
        </w:tc>
        <w:tc>
          <w:tcPr>
            <w:tcW w:w="540" w:type="dxa"/>
            <w:vAlign w:val="bottom"/>
          </w:tcPr>
          <w:p>
            <w:pPr>
              <w:ind w:left="38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300" w:type="dxa"/>
            <w:vAlign w:val="bottom"/>
          </w:tcPr>
          <w:p>
            <w:pPr>
              <w:spacing w:after="0"/>
              <w:rPr>
                <w:sz w:val="15"/>
                <w:szCs w:val="15"/>
                <w:color w:val="auto"/>
              </w:rPr>
            </w:pPr>
          </w:p>
        </w:tc>
        <w:tc>
          <w:tcPr>
            <w:tcW w:w="500" w:type="dxa"/>
            <w:vAlign w:val="bottom"/>
            <w:vMerge w:val="restart"/>
          </w:tcPr>
          <w:p>
            <w:pPr>
              <w:jc w:val="center"/>
              <w:ind w:right="233"/>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180" w:type="dxa"/>
            <w:vAlign w:val="bottom"/>
          </w:tcPr>
          <w:p>
            <w:pPr>
              <w:spacing w:after="0"/>
              <w:rPr>
                <w:sz w:val="15"/>
                <w:szCs w:val="15"/>
                <w:color w:val="auto"/>
              </w:rPr>
            </w:pPr>
          </w:p>
        </w:tc>
        <w:tc>
          <w:tcPr>
            <w:tcW w:w="64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2,634</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2,634</w:t>
            </w:r>
          </w:p>
        </w:tc>
        <w:tc>
          <w:tcPr>
            <w:tcW w:w="540" w:type="dxa"/>
            <w:vAlign w:val="bottom"/>
            <w:vMerge w:val="restart"/>
          </w:tcPr>
          <w:p>
            <w:pPr>
              <w:ind w:left="38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-3100705</wp:posOffset>
            </wp:positionV>
            <wp:extent cx="28575" cy="310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10578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1.770 shares acquired by the reporting person since the date of his last report under a dividend reinvestment feature of the account in which the shares are held.</w:t>
      </w:r>
    </w:p>
    <w:p>
      <w:pPr>
        <w:spacing w:after="0" w:line="40" w:lineRule="exact"/>
        <w:rPr>
          <w:rFonts w:ascii="Times New Roman" w:cs="Times New Roman" w:eastAsia="Times New Roman" w:hAnsi="Times New Roman"/>
          <w:sz w:val="13"/>
          <w:szCs w:val="13"/>
          <w:color w:val="008000"/>
        </w:rPr>
      </w:pPr>
    </w:p>
    <w:p>
      <w:pPr>
        <w:ind w:left="40" w:right="7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9.687 net shares acquired by the reporting person since the date of his last report under the dividend reinvestment feature of The Toro Company Retirement Plan less non-discretionary quarterly administrative fees.</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28.270 performance share units acquired by the reporting person since the date of his last report under the dividend reinvestment feature of The Toro Company Deferred Compensation Plan for Officers.</w:t>
      </w:r>
    </w:p>
    <w:p>
      <w:pPr>
        <w:spacing w:after="0" w:line="51" w:lineRule="exact"/>
        <w:rPr>
          <w:rFonts w:ascii="Times New Roman" w:cs="Times New Roman" w:eastAsia="Times New Roman" w:hAnsi="Times New Roman"/>
          <w:sz w:val="12"/>
          <w:szCs w:val="12"/>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9, 2016 grant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full on December 9, 2019, which is the third anniversary of the date of grant.</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in full on October 10, 2028, which is the third anniversary of the date of grant.</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in three equal annual installments commencing on the first anniversary of the December 22, 2025 grant 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Joanna M. Totsky, Attorney-  03/26/2026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-3810</wp:posOffset>
            </wp:positionV>
            <wp:extent cx="1870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sectPr>
          <w:pgSz w:w="11900" w:h="16871" w:orient="portrait"/>
          <w:cols w:equalWidth="0" w:num="1">
            <w:col w:w="11080"/>
          </w:cols>
          <w:pgMar w:left="460" w:top="215" w:right="359" w:bottom="0" w:gutter="0" w:footer="0" w:header="0"/>
          <w:type w:val="continuous"/>
        </w:sectPr>
      </w:pPr>
    </w:p>
    <w:bookmarkStart w:id="1" w:name="page2"/>
    <w:bookmarkEnd w:id="1"/>
    <w:p>
      <w:pPr>
        <w:ind w:left="6561"/>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-3810</wp:posOffset>
            </wp:positionV>
            <wp:extent cx="295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49" w:lineRule="exact"/>
        <w:rPr>
          <w:sz w:val="20"/>
          <w:szCs w:val="20"/>
          <w:color w:val="auto"/>
        </w:rPr>
      </w:pPr>
    </w:p>
    <w:p>
      <w:pPr>
        <w:ind w:left="6561"/>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2679" w:hanging="1"/>
        <w:spacing w:after="0" w:line="329"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499"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638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2026-03-26T08:24:11Z</dcterms:created>
  <dcterms:modified xsi:type="dcterms:W3CDTF">2026-03-26T08:24:11Z</dcterms:modified>
</cp:coreProperties>
</file>