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Toro Corporation</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#891092108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#891092108</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11,320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3,929,220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3,929,220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10.974%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#891092108</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3,929,220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3,929,220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10.974%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Toro Corporation</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8111 Lyndale Avenue South</w:t>
      </w:r>
    </w:p>
    <w:p>
      <w:pPr>
        <w:spacing w:after="0" w:line="201" w:lineRule="exact"/>
        <w:rPr>
          <w:sz w:val="24"/>
          <w:szCs w:val="24"/>
          <w:color w:val="auto"/>
        </w:rPr>
      </w:pPr>
    </w:p>
    <w:p>
      <w:pPr>
        <w:ind w:left="1700"/>
        <w:spacing w:after="0"/>
        <w:tabs>
          <w:tab w:leader="none" w:pos="346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6"/>
          <w:szCs w:val="16"/>
          <w:color w:val="auto"/>
        </w:rPr>
        <w:t>55420-1136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891092108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3,929,220</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10.974%</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11,320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3,929,220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Toro Corporation. No one person's interest in the Common Stock of Toro Corporation is more than five percent of the total outstanding Common Stock.</w:t>
      </w:r>
    </w:p>
    <w:p>
      <w:pPr>
        <w:spacing w:after="0" w:line="39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08, 2009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of 1940, is the beneficial owner of 3,918,100 shares or 10.943% of the Common Stock outstanding of Toro Corporation ("the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3,918,100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11,120 shares or 0.031% of the outstanding Common Stock of the Toro Corporation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11,120 shares and sole power to vote or to direct the voting of 11,120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May 08, 2009, agree and consent to the joint filing on their behalf of this Schedule 13G in connection with their beneficial ownership of the Common Stock of Toro Corporation at April 30, 2009.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ectPr>
          <w:pgSz w:w="11900" w:h="16838" w:orient="portrait"/>
          <w:cols w:equalWidth="0" w:num="1">
            <w:col w:w="10219"/>
          </w:cols>
          <w:pgMar w:left="240" w:top="54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9359"/>
      </w:cols>
      <w:pgMar w:left="11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2019-12-10T04:44:26Z</dcterms:created>
  <dcterms:modified xsi:type="dcterms:W3CDTF">2019-12-10T04:44:26Z</dcterms:modified>
</cp:coreProperties>
</file>