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20,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20, 2005, the Toro Board of Directors approved amendments to The Toro Company 2000 Directors Stock Plan (1) to increase the value of the annual award of Toro Common Stock ("Directors Shares") to each non-employee director from $10,000 to $20,000; and (2) to revise the method for calculating the number of shares of Toro Common Stock covered by each annual stock option grant to a non-employee director (a "Directors Option"). Prior to the amendment, each Directors Option covered 2,000 shares of Common Stock. Following the amendment, the number of shares covered by a Directors Option will be determined by establishing a grant date fair value for the option of $40,000. That value will be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form of stock option agreement and the amended plan are exhibits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Stock Option Agreement between The Toro Company and its non-employee directors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Toro Company 2000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September 26,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88"/>
              </w:rPr>
              <w:t>Form of Stock Option Agreement between The Toro Company and its</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non-employee directors</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The Toro Company 2000 Directors Stock Plan</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71" w:lineRule="exact"/>
        <w:rPr>
          <w:sz w:val="20"/>
          <w:szCs w:val="20"/>
          <w:color w:val="auto"/>
        </w:rPr>
      </w:pPr>
    </w:p>
    <w:p>
      <w:pPr>
        <w:ind w:left="2300"/>
        <w:spacing w:after="0"/>
        <w:rPr>
          <w:sz w:val="20"/>
          <w:szCs w:val="20"/>
          <w:color w:val="auto"/>
        </w:rPr>
      </w:pPr>
      <w:r>
        <w:rPr>
          <w:rFonts w:ascii="Arial" w:cs="Arial" w:eastAsia="Arial" w:hAnsi="Arial"/>
          <w:sz w:val="22"/>
          <w:szCs w:val="22"/>
          <w:b w:val="1"/>
          <w:bCs w:val="1"/>
          <w:i w:val="1"/>
          <w:iCs w:val="1"/>
          <w:color w:val="auto"/>
        </w:rPr>
        <w:t>THE TORO COMPANY</w:t>
      </w:r>
    </w:p>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b w:val="1"/>
          <w:bCs w:val="1"/>
          <w:i w:val="1"/>
          <w:iCs w:val="1"/>
          <w:color w:val="auto"/>
        </w:rPr>
        <w:t>STOCK OPTION AGREEMENT</w:t>
      </w:r>
    </w:p>
    <w:p>
      <w:pPr>
        <w:spacing w:after="0" w:line="206"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For a Nonqualified Option</w:t>
      </w:r>
    </w:p>
    <w:p>
      <w:pPr>
        <w:spacing w:after="0" w:line="20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For Nonemployee Directors of The Toro Company</w:t>
      </w:r>
    </w:p>
    <w:p>
      <w:pPr>
        <w:spacing w:after="0" w:line="206" w:lineRule="exact"/>
        <w:rPr>
          <w:sz w:val="20"/>
          <w:szCs w:val="20"/>
          <w:color w:val="auto"/>
        </w:rPr>
      </w:pPr>
    </w:p>
    <w:p>
      <w:pPr>
        <w:ind w:right="80" w:firstLine="456"/>
        <w:spacing w:after="0" w:line="249" w:lineRule="auto"/>
        <w:rPr>
          <w:sz w:val="20"/>
          <w:szCs w:val="20"/>
          <w:color w:val="auto"/>
        </w:rPr>
      </w:pPr>
      <w:r>
        <w:rPr>
          <w:rFonts w:ascii="Arial" w:cs="Arial" w:eastAsia="Arial" w:hAnsi="Arial"/>
          <w:sz w:val="21"/>
          <w:szCs w:val="21"/>
          <w:color w:val="auto"/>
        </w:rPr>
        <w:t>This agreement is entered into as of the first day of November, 2005 by and between The Toro Company, a Delaware corporation (the “Company” or “Toro”), and (the “Director” or “you”), to set forth the terms and conditions of the grant to you under the 2000 Directors Stock Plan (the “Plan”) of a nonqualified stock option to purchase shares of Toro Common Stock, par value $1.00 per share, and related Preferred Share Purchase Rights (the “Common Stock”) at an exercise price of $ per share (the “option”), the fair market value of the Common Stock on November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-498475</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-343535</wp:posOffset>
            </wp:positionV>
            <wp:extent cx="171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53" w:lineRule="exact"/>
        <w:rPr>
          <w:sz w:val="20"/>
          <w:szCs w:val="20"/>
          <w:color w:val="auto"/>
        </w:rPr>
      </w:pPr>
    </w:p>
    <w:p>
      <w:pPr>
        <w:ind w:left="680" w:hanging="216"/>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The term of the option shall be ten (10) years, commencing November 1, 2005.</w:t>
      </w:r>
    </w:p>
    <w:p>
      <w:pPr>
        <w:spacing w:after="0" w:line="206" w:lineRule="exact"/>
        <w:rPr>
          <w:rFonts w:ascii="Arial" w:cs="Arial" w:eastAsia="Arial" w:hAnsi="Arial"/>
          <w:sz w:val="22"/>
          <w:szCs w:val="22"/>
          <w:color w:val="auto"/>
        </w:rPr>
      </w:pPr>
    </w:p>
    <w:p>
      <w:pPr>
        <w:ind w:right="100" w:firstLine="464"/>
        <w:spacing w:after="0" w:line="243" w:lineRule="auto"/>
        <w:tabs>
          <w:tab w:leader="none" w:pos="673"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option is subject to forfeiture until it vests. Subject to the terms and conditions of Section 3 and Section 5,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shall vest and become exercisable in three approximately equal installments (of whole shares only) on each of the first, second and third anniversaries after the date of grant.</w:t>
      </w:r>
    </w:p>
    <w:p>
      <w:pPr>
        <w:spacing w:after="0" w:line="176" w:lineRule="exact"/>
        <w:rPr>
          <w:rFonts w:ascii="Arial" w:cs="Arial" w:eastAsia="Arial" w:hAnsi="Arial"/>
          <w:sz w:val="22"/>
          <w:szCs w:val="22"/>
          <w:color w:val="auto"/>
        </w:rPr>
      </w:pPr>
    </w:p>
    <w:p>
      <w:pPr>
        <w:ind w:right="20" w:firstLine="464"/>
        <w:spacing w:after="0" w:line="243" w:lineRule="auto"/>
        <w:tabs>
          <w:tab w:leader="none" w:pos="673"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w:t>
      </w:r>
      <w:r>
        <w:rPr>
          <w:rFonts w:ascii="Arial" w:cs="Arial" w:eastAsia="Arial" w:hAnsi="Arial"/>
          <w:sz w:val="22"/>
          <w:szCs w:val="22"/>
          <w:color w:val="auto"/>
        </w:rPr>
        <w:t>Subject to the vesting requirements of Section 2 and except as otherwise provided in this Section 3, only you may</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the option and you may exercise the option in whole or in part only while you are a Director of the Company and only if you have been continuously serving since the date of grant, except as follows:</w:t>
      </w:r>
    </w:p>
    <w:p>
      <w:pPr>
        <w:spacing w:after="0" w:line="182" w:lineRule="exact"/>
        <w:rPr>
          <w:rFonts w:ascii="Arial" w:cs="Arial" w:eastAsia="Arial" w:hAnsi="Arial"/>
          <w:sz w:val="22"/>
          <w:szCs w:val="22"/>
          <w:b w:val="1"/>
          <w:bCs w:val="1"/>
          <w:color w:val="auto"/>
        </w:rPr>
      </w:pPr>
    </w:p>
    <w:p>
      <w:pPr>
        <w:ind w:left="1040" w:hanging="353"/>
        <w:spacing w:after="0" w:line="238" w:lineRule="auto"/>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color w:val="auto"/>
        </w:rPr>
        <w:t>If you become disabled or die and the option has not expired, the option shall vest in full on the date your service ceases by reason of such disability or death, and you or your guardian or legal representative may exercise the option not later than the earlier of the date the option expires or one year after the date your service ceases by reason of such disability or death.</w:t>
      </w:r>
    </w:p>
    <w:p>
      <w:pPr>
        <w:spacing w:after="0" w:line="185" w:lineRule="exact"/>
        <w:rPr>
          <w:rFonts w:ascii="Arial" w:cs="Arial" w:eastAsia="Arial" w:hAnsi="Arial"/>
          <w:sz w:val="22"/>
          <w:szCs w:val="22"/>
          <w:color w:val="auto"/>
        </w:rPr>
      </w:pPr>
    </w:p>
    <w:p>
      <w:pPr>
        <w:ind w:left="1040" w:hanging="352"/>
        <w:spacing w:after="0"/>
        <w:tabs>
          <w:tab w:leader="none" w:pos="1040" w:val="left"/>
        </w:tabs>
        <w:numPr>
          <w:ilvl w:val="1"/>
          <w:numId w:val="3"/>
        </w:numPr>
        <w:rPr>
          <w:rFonts w:ascii="Arial" w:cs="Arial" w:eastAsia="Arial" w:hAnsi="Arial"/>
          <w:sz w:val="19"/>
          <w:szCs w:val="19"/>
          <w:color w:val="auto"/>
        </w:rPr>
      </w:pPr>
      <w:r>
        <w:rPr>
          <w:rFonts w:ascii="Arial" w:cs="Arial" w:eastAsia="Arial" w:hAnsi="Arial"/>
          <w:sz w:val="19"/>
          <w:szCs w:val="19"/>
          <w:color w:val="auto"/>
        </w:rPr>
        <w:t>If you have served as a member of the Board for ten full fiscal years or longer and terminate service on the Board,</w:t>
      </w:r>
    </w:p>
    <w:p>
      <w:pPr>
        <w:spacing w:after="0" w:line="42" w:lineRule="exact"/>
        <w:rPr>
          <w:rFonts w:ascii="Arial" w:cs="Arial" w:eastAsia="Arial" w:hAnsi="Arial"/>
          <w:sz w:val="19"/>
          <w:szCs w:val="19"/>
          <w:color w:val="auto"/>
        </w:rPr>
      </w:pPr>
    </w:p>
    <w:p>
      <w:pPr>
        <w:ind w:left="1040" w:right="540" w:firstLine="8"/>
        <w:spacing w:after="0" w:line="308" w:lineRule="auto"/>
        <w:tabs>
          <w:tab w:leader="none" w:pos="1298" w:val="left"/>
        </w:tabs>
        <w:numPr>
          <w:ilvl w:val="3"/>
          <w:numId w:val="3"/>
        </w:numPr>
        <w:rPr>
          <w:rFonts w:ascii="Arial" w:cs="Arial" w:eastAsia="Arial" w:hAnsi="Arial"/>
          <w:sz w:val="19"/>
          <w:szCs w:val="19"/>
          <w:color w:val="auto"/>
        </w:rPr>
      </w:pPr>
      <w:r>
        <w:rPr>
          <w:rFonts w:ascii="Arial" w:cs="Arial" w:eastAsia="Arial" w:hAnsi="Arial"/>
          <w:sz w:val="19"/>
          <w:szCs w:val="19"/>
          <w:color w:val="auto"/>
        </w:rPr>
        <w:t>the option will continue to vest in accordance with its terms and (ii) you may exercise the vested portion of the option for up to four years after the date of termination, but not later than the date the option expires.</w:t>
      </w:r>
    </w:p>
    <w:p>
      <w:pPr>
        <w:spacing w:after="0" w:line="123" w:lineRule="exact"/>
        <w:rPr>
          <w:rFonts w:ascii="Arial" w:cs="Arial" w:eastAsia="Arial" w:hAnsi="Arial"/>
          <w:sz w:val="19"/>
          <w:szCs w:val="19"/>
          <w:color w:val="auto"/>
        </w:rPr>
      </w:pPr>
    </w:p>
    <w:p>
      <w:pPr>
        <w:ind w:left="1040" w:hanging="353"/>
        <w:spacing w:after="0"/>
        <w:tabs>
          <w:tab w:leader="none" w:pos="1040" w:val="left"/>
        </w:tabs>
        <w:numPr>
          <w:ilvl w:val="1"/>
          <w:numId w:val="3"/>
        </w:numPr>
        <w:rPr>
          <w:rFonts w:ascii="Arial" w:cs="Arial" w:eastAsia="Arial" w:hAnsi="Arial"/>
          <w:sz w:val="19"/>
          <w:szCs w:val="19"/>
          <w:color w:val="auto"/>
        </w:rPr>
      </w:pPr>
      <w:r>
        <w:rPr>
          <w:rFonts w:ascii="Arial" w:cs="Arial" w:eastAsia="Arial" w:hAnsi="Arial"/>
          <w:sz w:val="19"/>
          <w:szCs w:val="19"/>
          <w:color w:val="auto"/>
        </w:rPr>
        <w:t>If you have served as a member of the Board for less than ten full fiscal years and terminate service on the Board,</w:t>
      </w:r>
    </w:p>
    <w:p>
      <w:pPr>
        <w:spacing w:after="0" w:line="42" w:lineRule="exact"/>
        <w:rPr>
          <w:rFonts w:ascii="Arial" w:cs="Arial" w:eastAsia="Arial" w:hAnsi="Arial"/>
          <w:sz w:val="19"/>
          <w:szCs w:val="19"/>
          <w:color w:val="auto"/>
        </w:rPr>
      </w:pPr>
    </w:p>
    <w:p>
      <w:pPr>
        <w:ind w:left="1040" w:right="220" w:hanging="6"/>
        <w:spacing w:after="0" w:line="308" w:lineRule="auto"/>
        <w:tabs>
          <w:tab w:leader="none" w:pos="1298" w:val="left"/>
        </w:tabs>
        <w:numPr>
          <w:ilvl w:val="2"/>
          <w:numId w:val="3"/>
        </w:numPr>
        <w:rPr>
          <w:rFonts w:ascii="Arial" w:cs="Arial" w:eastAsia="Arial" w:hAnsi="Arial"/>
          <w:sz w:val="19"/>
          <w:szCs w:val="19"/>
          <w:color w:val="auto"/>
        </w:rPr>
      </w:pPr>
      <w:r>
        <w:rPr>
          <w:rFonts w:ascii="Arial" w:cs="Arial" w:eastAsia="Arial" w:hAnsi="Arial"/>
          <w:sz w:val="19"/>
          <w:szCs w:val="19"/>
          <w:color w:val="auto"/>
        </w:rPr>
        <w:t>any unvested portion of the option shall expire and be canceled and (ii) you may exercise any vested portion of the option for up to three months after the date of such termination, but not later than the date the option expires.</w:t>
      </w:r>
    </w:p>
    <w:p>
      <w:pPr>
        <w:spacing w:after="0" w:line="117" w:lineRule="exact"/>
        <w:rPr>
          <w:rFonts w:ascii="Arial" w:cs="Arial" w:eastAsia="Arial" w:hAnsi="Arial"/>
          <w:sz w:val="19"/>
          <w:szCs w:val="19"/>
          <w:color w:val="auto"/>
        </w:rPr>
      </w:pPr>
    </w:p>
    <w:p>
      <w:pPr>
        <w:ind w:left="680" w:hanging="216"/>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No Transfer. </w:t>
      </w:r>
      <w:r>
        <w:rPr>
          <w:rFonts w:ascii="Arial" w:cs="Arial" w:eastAsia="Arial" w:hAnsi="Arial"/>
          <w:sz w:val="22"/>
          <w:szCs w:val="22"/>
          <w:color w:val="auto"/>
        </w:rPr>
        <w:t>You may not transfer the option other than by will or the laws of descent and distribution.</w:t>
      </w:r>
    </w:p>
    <w:p>
      <w:pPr>
        <w:spacing w:after="0" w:line="206" w:lineRule="exact"/>
        <w:rPr>
          <w:rFonts w:ascii="Arial" w:cs="Arial" w:eastAsia="Arial" w:hAnsi="Arial"/>
          <w:sz w:val="22"/>
          <w:szCs w:val="22"/>
          <w:color w:val="auto"/>
        </w:rPr>
      </w:pPr>
    </w:p>
    <w:p>
      <w:pPr>
        <w:ind w:right="20" w:firstLine="464"/>
        <w:spacing w:after="0" w:line="243" w:lineRule="auto"/>
        <w:tabs>
          <w:tab w:leader="none" w:pos="673"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The option will vest if there is a Change of Control of the Company, as defined in the Plan as in effect</w:t>
      </w:r>
      <w:r>
        <w:rPr>
          <w:rFonts w:ascii="Arial" w:cs="Arial" w:eastAsia="Arial" w:hAnsi="Arial"/>
          <w:sz w:val="22"/>
          <w:szCs w:val="22"/>
          <w:b w:val="1"/>
          <w:bCs w:val="1"/>
          <w:color w:val="auto"/>
        </w:rPr>
        <w:t xml:space="preserve"> </w:t>
      </w:r>
      <w:r>
        <w:rPr>
          <w:rFonts w:ascii="Arial" w:cs="Arial" w:eastAsia="Arial" w:hAnsi="Arial"/>
          <w:sz w:val="22"/>
          <w:szCs w:val="22"/>
          <w:color w:val="auto"/>
        </w:rPr>
        <w:t>at the date of such event, and will remain exercisable for three years following the Change of Control, but not later than the date the option expires.</w:t>
      </w:r>
    </w:p>
    <w:p>
      <w:pPr>
        <w:spacing w:after="0" w:line="176" w:lineRule="exact"/>
        <w:rPr>
          <w:rFonts w:ascii="Arial" w:cs="Arial" w:eastAsia="Arial" w:hAnsi="Arial"/>
          <w:sz w:val="22"/>
          <w:szCs w:val="22"/>
          <w:b w:val="1"/>
          <w:bCs w:val="1"/>
          <w:color w:val="auto"/>
        </w:rPr>
      </w:pPr>
    </w:p>
    <w:p>
      <w:pPr>
        <w:ind w:right="100" w:firstLine="464"/>
        <w:spacing w:after="0" w:line="247" w:lineRule="auto"/>
        <w:tabs>
          <w:tab w:leader="none" w:pos="673"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Methods of Exercise. </w:t>
      </w:r>
      <w:r>
        <w:rPr>
          <w:rFonts w:ascii="Arial" w:cs="Arial" w:eastAsia="Arial" w:hAnsi="Arial"/>
          <w:sz w:val="21"/>
          <w:szCs w:val="21"/>
          <w:color w:val="auto"/>
        </w:rPr>
        <w:t>In order to exercise the option, you must deliver to the Secretary or Assistant Secretary of Toro a</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notice of exercise specifying the number of whole shares with respect to which an option is being exercised, accompanied by payment in full of the exercise price for the shares to be purchased. Payment may be made (a) in cash, (b) by tendering (either actually or by attestation) whole shares of Common Stock already owned for at least six months, valued at the 4 p.m. Eastern Time closing price on the date of exercise (or if a holiday, the most recent such closing price), (c) in a combination of cash and Common Stock, or (d) by tendering a notice of exercise of options and irrevocable instructions, approved in advance by Toro, to a brokerage firm and to Toro for execution of a cashless exercise in accordance with the terms of the Plan and regulations of the Federal Reserve Board.</w:t>
      </w:r>
    </w:p>
    <w:p>
      <w:pPr>
        <w:spacing w:after="0" w:line="172" w:lineRule="exact"/>
        <w:rPr>
          <w:rFonts w:ascii="Arial" w:cs="Arial" w:eastAsia="Arial" w:hAnsi="Arial"/>
          <w:sz w:val="21"/>
          <w:szCs w:val="21"/>
          <w:color w:val="auto"/>
        </w:rPr>
      </w:pPr>
    </w:p>
    <w:p>
      <w:pPr>
        <w:ind w:left="680" w:hanging="216"/>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Issuance of Stock. </w:t>
      </w:r>
      <w:r>
        <w:rPr>
          <w:rFonts w:ascii="Arial" w:cs="Arial" w:eastAsia="Arial" w:hAnsi="Arial"/>
          <w:sz w:val="22"/>
          <w:szCs w:val="22"/>
          <w:color w:val="auto"/>
        </w:rPr>
        <w:t>No shares of Common Stock shall be issued until full payment has been made.</w:t>
      </w:r>
    </w:p>
    <w:p>
      <w:pPr>
        <w:spacing w:after="0" w:line="206" w:lineRule="exact"/>
        <w:rPr>
          <w:rFonts w:ascii="Arial" w:cs="Arial" w:eastAsia="Arial" w:hAnsi="Arial"/>
          <w:sz w:val="22"/>
          <w:szCs w:val="22"/>
          <w:color w:val="auto"/>
        </w:rPr>
      </w:pPr>
    </w:p>
    <w:p>
      <w:pPr>
        <w:ind w:right="40" w:firstLine="464"/>
        <w:spacing w:after="0" w:line="261" w:lineRule="auto"/>
        <w:tabs>
          <w:tab w:leader="none" w:pos="673"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Adjustments for Corporate Transactions. </w:t>
      </w:r>
      <w:r>
        <w:rPr>
          <w:rFonts w:ascii="Arial" w:cs="Arial" w:eastAsia="Arial" w:hAnsi="Arial"/>
          <w:sz w:val="21"/>
          <w:szCs w:val="21"/>
          <w:color w:val="auto"/>
        </w:rPr>
        <w:t>The exercise price per share of Common Stock or the number of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or other new or different securities that may be acquired upon exercise of the option will be adjusted in the event of a corporate transaction, in accordance with the Plan, in order to protect the value of the option.</w:t>
      </w:r>
    </w:p>
    <w:p>
      <w:pPr>
        <w:spacing w:after="0" w:line="157" w:lineRule="exact"/>
        <w:rPr>
          <w:rFonts w:ascii="Arial" w:cs="Arial" w:eastAsia="Arial" w:hAnsi="Arial"/>
          <w:sz w:val="21"/>
          <w:szCs w:val="21"/>
          <w:color w:val="auto"/>
        </w:rPr>
      </w:pPr>
    </w:p>
    <w:p>
      <w:pPr>
        <w:ind w:right="20" w:firstLine="464"/>
        <w:spacing w:after="0" w:line="235" w:lineRule="auto"/>
        <w:tabs>
          <w:tab w:leader="none" w:pos="673"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Income Tax and Tax Withholding. </w:t>
      </w:r>
      <w:r>
        <w:rPr>
          <w:rFonts w:ascii="Arial" w:cs="Arial" w:eastAsia="Arial" w:hAnsi="Arial"/>
          <w:sz w:val="22"/>
          <w:szCs w:val="22"/>
          <w:color w:val="auto"/>
        </w:rPr>
        <w:t>If you exercise this option, you will recognize ordinary income to the extent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is lower than the fair market value of the Common Stock on the exercise date (the “spread”) and you will owe income tax on the spread. Toro has the right to deduct from any settlement made upon your exercise of the option, any federal, state or local taxes of any kind required by law to be withheld with respect to the income recognized, or to require you to pay the amount of any such taxes or to take such other action as may be necessary in the opinion of the Company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the Company.</w:t>
      </w:r>
    </w:p>
    <w:p>
      <w:pPr>
        <w:spacing w:after="0" w:line="179" w:lineRule="exact"/>
        <w:rPr>
          <w:rFonts w:ascii="Arial" w:cs="Arial" w:eastAsia="Arial" w:hAnsi="Arial"/>
          <w:sz w:val="22"/>
          <w:szCs w:val="22"/>
          <w:color w:val="auto"/>
        </w:rPr>
      </w:pPr>
    </w:p>
    <w:p>
      <w:pPr>
        <w:ind w:right="240" w:firstLine="464"/>
        <w:spacing w:after="0" w:line="243" w:lineRule="auto"/>
        <w:tabs>
          <w:tab w:leader="none" w:pos="78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Form of Stock Option. </w:t>
      </w:r>
      <w:r>
        <w:rPr>
          <w:rFonts w:ascii="Arial" w:cs="Arial" w:eastAsia="Arial" w:hAnsi="Arial"/>
          <w:sz w:val="22"/>
          <w:szCs w:val="22"/>
          <w:color w:val="auto"/>
        </w:rPr>
        <w:t>This option is intended to be a nonqualified stock option and is not intended to be,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construed as, an incentive stock option as defined in Section 422 of the Internal Revenue Code of 1986, as amended, and the regulations thereunder.</w:t>
      </w:r>
    </w:p>
    <w:p>
      <w:pPr>
        <w:sectPr>
          <w:pgSz w:w="11900" w:h="16909" w:orient="portrait"/>
          <w:cols w:equalWidth="0" w:num="1">
            <w:col w:w="11420"/>
          </w:cols>
          <w:pgMar w:left="240" w:top="118" w:right="239" w:bottom="0" w:gutter="0" w:footer="0" w:header="0"/>
        </w:sectPr>
      </w:pPr>
    </w:p>
    <w:bookmarkStart w:id="5" w:name="page6"/>
    <w:bookmarkEnd w:id="5"/>
    <w:p>
      <w:pPr>
        <w:ind w:firstLine="464"/>
        <w:spacing w:after="0" w:line="243" w:lineRule="auto"/>
        <w:tabs>
          <w:tab w:leader="none" w:pos="77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construed, administered and governed in all respects under and by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excluding any conflicts or choice of law rule or principle that might otherwise refer construction or interpretation to the substantive law of another jurisdiction.</w:t>
      </w:r>
    </w:p>
    <w:p>
      <w:pPr>
        <w:spacing w:after="0" w:line="177" w:lineRule="exact"/>
        <w:rPr>
          <w:rFonts w:ascii="Arial" w:cs="Arial" w:eastAsia="Arial" w:hAnsi="Arial"/>
          <w:sz w:val="22"/>
          <w:szCs w:val="22"/>
          <w:color w:val="auto"/>
        </w:rPr>
      </w:pPr>
    </w:p>
    <w:p>
      <w:pPr>
        <w:ind w:right="240" w:firstLine="464"/>
        <w:spacing w:after="0" w:line="256" w:lineRule="auto"/>
        <w:tabs>
          <w:tab w:leader="none" w:pos="781"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Conflict. </w:t>
      </w:r>
      <w:r>
        <w:rPr>
          <w:rFonts w:ascii="Arial" w:cs="Arial" w:eastAsia="Arial" w:hAnsi="Arial"/>
          <w:sz w:val="22"/>
          <w:szCs w:val="22"/>
          <w:color w:val="auto"/>
        </w:rPr>
        <w:t>To the extent the terms of this agreement are inconsistent with the provisions of the Plan,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control and supersede any inconsistent provision of this agreement.</w:t>
      </w:r>
    </w:p>
    <w:p>
      <w:pPr>
        <w:spacing w:after="0" w:line="162" w:lineRule="exact"/>
        <w:rPr>
          <w:rFonts w:ascii="Arial" w:cs="Arial" w:eastAsia="Arial" w:hAnsi="Arial"/>
          <w:sz w:val="22"/>
          <w:szCs w:val="22"/>
          <w:color w:val="auto"/>
        </w:rPr>
      </w:pPr>
    </w:p>
    <w:p>
      <w:pPr>
        <w:ind w:right="20" w:firstLine="464"/>
        <w:spacing w:after="0" w:line="256" w:lineRule="auto"/>
        <w:tabs>
          <w:tab w:leader="none" w:pos="781"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Non-negotiable Option. </w:t>
      </w:r>
      <w:r>
        <w:rPr>
          <w:rFonts w:ascii="Arial" w:cs="Arial" w:eastAsia="Arial" w:hAnsi="Arial"/>
          <w:sz w:val="22"/>
          <w:szCs w:val="22"/>
          <w:color w:val="auto"/>
        </w:rPr>
        <w:t>The terms of this option are not negotiable, but you may refuse to accept this option by notifying</w:t>
      </w:r>
      <w:r>
        <w:rPr>
          <w:rFonts w:ascii="Arial" w:cs="Arial" w:eastAsia="Arial" w:hAnsi="Arial"/>
          <w:sz w:val="22"/>
          <w:szCs w:val="22"/>
          <w:b w:val="1"/>
          <w:bCs w:val="1"/>
          <w:color w:val="auto"/>
        </w:rPr>
        <w:t xml:space="preserve"> </w:t>
      </w:r>
      <w:r>
        <w:rPr>
          <w:rFonts w:ascii="Arial" w:cs="Arial" w:eastAsia="Arial" w:hAnsi="Arial"/>
          <w:sz w:val="22"/>
          <w:szCs w:val="22"/>
          <w:color w:val="auto"/>
        </w:rPr>
        <w:t>Toro’s Corporate Secretary in writing.</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option agreement has been executed and delivered by The Toro Company.</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THE TORO COMPANY</w:t>
      </w:r>
    </w:p>
    <w:p>
      <w:pPr>
        <w:spacing w:after="0" w:line="21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President and CEO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 hereby agree to the terms and conditions governing the option grant made to me by Toro as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295275</wp:posOffset>
            </wp:positionV>
            <wp:extent cx="171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ind w:left="4324"/>
        <w:spacing w:after="0"/>
        <w:rPr>
          <w:sz w:val="20"/>
          <w:szCs w:val="20"/>
          <w:color w:val="auto"/>
        </w:rPr>
      </w:pPr>
      <w:r>
        <w:rPr>
          <w:rFonts w:ascii="Arial" w:cs="Arial" w:eastAsia="Arial" w:hAnsi="Arial"/>
          <w:sz w:val="22"/>
          <w:szCs w:val="22"/>
          <w:b w:val="1"/>
          <w:bCs w:val="1"/>
          <w:color w:val="auto"/>
        </w:rPr>
        <w:t>THE TORO COMPANY</w:t>
      </w:r>
    </w:p>
    <w:p>
      <w:pPr>
        <w:spacing w:after="0" w:line="15" w:lineRule="exact"/>
        <w:rPr>
          <w:sz w:val="20"/>
          <w:szCs w:val="20"/>
          <w:color w:val="auto"/>
        </w:rPr>
      </w:pPr>
    </w:p>
    <w:p>
      <w:pPr>
        <w:ind w:left="3864"/>
        <w:spacing w:after="0"/>
        <w:rPr>
          <w:sz w:val="20"/>
          <w:szCs w:val="20"/>
          <w:color w:val="auto"/>
        </w:rPr>
      </w:pPr>
      <w:r>
        <w:rPr>
          <w:rFonts w:ascii="Arial" w:cs="Arial" w:eastAsia="Arial" w:hAnsi="Arial"/>
          <w:sz w:val="22"/>
          <w:szCs w:val="22"/>
          <w:b w:val="1"/>
          <w:bCs w:val="1"/>
          <w:color w:val="auto"/>
        </w:rPr>
        <w:t>2000 DIRECTORS STOCK PLAN</w:t>
      </w:r>
    </w:p>
    <w:p>
      <w:pPr>
        <w:spacing w:after="0" w:line="182" w:lineRule="exact"/>
        <w:rPr>
          <w:sz w:val="20"/>
          <w:szCs w:val="20"/>
          <w:color w:val="auto"/>
        </w:rPr>
      </w:pPr>
    </w:p>
    <w:p>
      <w:pPr>
        <w:ind w:left="-236" w:right="120" w:firstLine="236"/>
        <w:spacing w:after="0" w:line="284" w:lineRule="auto"/>
        <w:tabs>
          <w:tab w:leader="none" w:pos="20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Purpose of the Plan. </w:t>
      </w:r>
      <w:r>
        <w:rPr>
          <w:rFonts w:ascii="Arial" w:cs="Arial" w:eastAsia="Arial" w:hAnsi="Arial"/>
          <w:sz w:val="19"/>
          <w:szCs w:val="19"/>
          <w:color w:val="auto"/>
        </w:rPr>
        <w:t>The purpose of The Toro Company 2000 Directors Stock Plan (“Plan”) is to enable The Toro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38" w:lineRule="exact"/>
        <w:rPr>
          <w:rFonts w:ascii="Arial" w:cs="Arial" w:eastAsia="Arial" w:hAnsi="Arial"/>
          <w:sz w:val="19"/>
          <w:szCs w:val="19"/>
          <w:color w:val="auto"/>
        </w:rPr>
      </w:pPr>
    </w:p>
    <w:p>
      <w:pPr>
        <w:ind w:left="-236" w:right="320" w:firstLine="236"/>
        <w:spacing w:after="0" w:line="256" w:lineRule="auto"/>
        <w:tabs>
          <w:tab w:leader="none" w:pos="208"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All members of the Company’s Board of Directors who are not current employees of the Company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(“Nonemployee Directors”) are eligible to participate in the Plan.</w:t>
      </w:r>
    </w:p>
    <w:p>
      <w:pPr>
        <w:spacing w:after="0" w:line="162" w:lineRule="exact"/>
        <w:rPr>
          <w:rFonts w:ascii="Arial" w:cs="Arial" w:eastAsia="Arial" w:hAnsi="Arial"/>
          <w:sz w:val="22"/>
          <w:szCs w:val="22"/>
          <w:color w:val="auto"/>
        </w:rPr>
      </w:pPr>
    </w:p>
    <w:p>
      <w:pPr>
        <w:ind w:left="384" w:hanging="274"/>
        <w:spacing w:after="0"/>
        <w:tabs>
          <w:tab w:leader="none" w:pos="384" w:val="left"/>
        </w:tabs>
        <w:numPr>
          <w:ilvl w:val="1"/>
          <w:numId w:val="5"/>
        </w:numPr>
        <w:rPr>
          <w:rFonts w:ascii="Arial" w:cs="Arial" w:eastAsia="Arial" w:hAnsi="Arial"/>
          <w:sz w:val="22"/>
          <w:szCs w:val="22"/>
          <w:color w:val="auto"/>
        </w:rPr>
      </w:pPr>
      <w:r>
        <w:rPr>
          <w:rFonts w:ascii="Arial" w:cs="Arial" w:eastAsia="Arial" w:hAnsi="Arial"/>
          <w:sz w:val="22"/>
          <w:szCs w:val="22"/>
          <w:b w:val="1"/>
          <w:bCs w:val="1"/>
          <w:color w:val="auto"/>
        </w:rPr>
        <w:t>Plan Awards.</w:t>
      </w:r>
    </w:p>
    <w:p>
      <w:pPr>
        <w:spacing w:after="0" w:line="206" w:lineRule="exact"/>
        <w:rPr>
          <w:sz w:val="20"/>
          <w:szCs w:val="20"/>
          <w:color w:val="auto"/>
        </w:rPr>
      </w:pPr>
    </w:p>
    <w:p>
      <w:pPr>
        <w:ind w:left="384" w:right="80" w:hanging="262"/>
        <w:spacing w:after="0" w:line="278" w:lineRule="auto"/>
        <w:tabs>
          <w:tab w:leader="none" w:pos="384"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Directors Shares. </w:t>
      </w:r>
      <w:r>
        <w:rPr>
          <w:rFonts w:ascii="Arial" w:cs="Arial" w:eastAsia="Arial" w:hAnsi="Arial"/>
          <w:sz w:val="19"/>
          <w:szCs w:val="19"/>
          <w:color w:val="auto"/>
        </w:rPr>
        <w:t>To carry out the purposes of the Plan, the Company shall, on the first business day of each fiscal year,</w:t>
      </w:r>
      <w:r>
        <w:rPr>
          <w:rFonts w:ascii="Arial" w:cs="Arial" w:eastAsia="Arial" w:hAnsi="Arial"/>
          <w:sz w:val="19"/>
          <w:szCs w:val="19"/>
          <w:b w:val="1"/>
          <w:bCs w:val="1"/>
          <w:color w:val="auto"/>
        </w:rPr>
        <w:t xml:space="preserve"> </w:t>
      </w:r>
      <w:r>
        <w:rPr>
          <w:rFonts w:ascii="Arial" w:cs="Arial" w:eastAsia="Arial" w:hAnsi="Arial"/>
          <w:sz w:val="19"/>
          <w:szCs w:val="19"/>
          <w:color w:val="auto"/>
        </w:rPr>
        <w:t>issue to each person who is then a Nonemployee Director, shares of the Company’s Common Stock, $1.00 par value and related preferred share purchase rights (the “Common Stock”), in an amount equal to $20,000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46" w:lineRule="exact"/>
        <w:rPr>
          <w:rFonts w:ascii="Arial" w:cs="Arial" w:eastAsia="Arial" w:hAnsi="Arial"/>
          <w:sz w:val="19"/>
          <w:szCs w:val="19"/>
          <w:color w:val="auto"/>
        </w:rPr>
      </w:pPr>
    </w:p>
    <w:p>
      <w:pPr>
        <w:ind w:left="384" w:hanging="274"/>
        <w:spacing w:after="0"/>
        <w:tabs>
          <w:tab w:leader="none" w:pos="384"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Directors Options.</w:t>
      </w:r>
    </w:p>
    <w:p>
      <w:pPr>
        <w:spacing w:after="0" w:line="212" w:lineRule="exact"/>
        <w:rPr>
          <w:rFonts w:ascii="Arial" w:cs="Arial" w:eastAsia="Arial" w:hAnsi="Arial"/>
          <w:sz w:val="22"/>
          <w:szCs w:val="22"/>
          <w:color w:val="auto"/>
        </w:rPr>
      </w:pPr>
    </w:p>
    <w:p>
      <w:pPr>
        <w:ind w:left="224" w:right="80" w:firstLine="4"/>
        <w:spacing w:after="0" w:line="235" w:lineRule="auto"/>
        <w:tabs>
          <w:tab w:leader="none" w:pos="392" w:val="left"/>
        </w:tabs>
        <w:numPr>
          <w:ilvl w:val="2"/>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Annual Grant. </w:t>
      </w:r>
      <w:r>
        <w:rPr>
          <w:rFonts w:ascii="Arial" w:cs="Arial" w:eastAsia="Arial" w:hAnsi="Arial"/>
          <w:sz w:val="22"/>
          <w:szCs w:val="22"/>
          <w:color w:val="auto"/>
        </w:rPr>
        <w:t>Subject to the terms and conditions of this Section 3.b., on the first business day of each fiscal year,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shall grant to each person who is then a Nonemployee Director</w:t>
      </w:r>
      <w:r>
        <w:rPr>
          <w:rFonts w:ascii="Arial" w:cs="Arial" w:eastAsia="Arial" w:hAnsi="Arial"/>
          <w:sz w:val="22"/>
          <w:szCs w:val="22"/>
          <w:b w:val="1"/>
          <w:bCs w:val="1"/>
          <w:color w:val="auto"/>
        </w:rPr>
        <w:t>,</w:t>
      </w:r>
      <w:r>
        <w:rPr>
          <w:rFonts w:ascii="Arial" w:cs="Arial" w:eastAsia="Arial" w:hAnsi="Arial"/>
          <w:sz w:val="22"/>
          <w:szCs w:val="22"/>
          <w:color w:val="auto"/>
        </w:rPr>
        <w:t xml:space="preserve"> a nonqualified option to purchase shares of the Common Stock (a “Directors Option”). Each such option shall have a grant date fair value of $40,000,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188" w:lineRule="exact"/>
        <w:rPr>
          <w:rFonts w:ascii="Arial" w:cs="Arial" w:eastAsia="Arial" w:hAnsi="Arial"/>
          <w:sz w:val="22"/>
          <w:szCs w:val="22"/>
          <w:color w:val="auto"/>
        </w:rPr>
      </w:pPr>
    </w:p>
    <w:p>
      <w:pPr>
        <w:ind w:left="384" w:hanging="273"/>
        <w:spacing w:after="0"/>
        <w:tabs>
          <w:tab w:leader="none" w:pos="384" w:val="left"/>
        </w:tabs>
        <w:numPr>
          <w:ilvl w:val="1"/>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Vesting, Transferability and Exercisability.</w:t>
      </w:r>
    </w:p>
    <w:p>
      <w:pPr>
        <w:spacing w:after="0" w:line="206" w:lineRule="exact"/>
        <w:rPr>
          <w:rFonts w:ascii="Arial" w:cs="Arial" w:eastAsia="Arial" w:hAnsi="Arial"/>
          <w:sz w:val="22"/>
          <w:szCs w:val="22"/>
          <w:color w:val="auto"/>
        </w:rPr>
      </w:pPr>
    </w:p>
    <w:p>
      <w:pPr>
        <w:ind w:left="224" w:firstLine="224"/>
        <w:spacing w:after="0"/>
        <w:tabs>
          <w:tab w:leader="none" w:pos="737" w:val="left"/>
        </w:tabs>
        <w:numPr>
          <w:ilvl w:val="4"/>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Vesting. </w:t>
      </w:r>
      <w:r>
        <w:rPr>
          <w:rFonts w:ascii="Arial" w:cs="Arial" w:eastAsia="Arial" w:hAnsi="Arial"/>
          <w:sz w:val="22"/>
          <w:szCs w:val="22"/>
          <w:color w:val="auto"/>
        </w:rPr>
        <w:t>Except as provided in Sections 3.b.ii.(c)(1) and (2) and Section 6, Directors Options shall vest and become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exercisable in three equal installments on each of the first, second and third anniversaries following the date of grant, and shall remain exercisable for a term of ten years after the date of grant.</w:t>
      </w:r>
    </w:p>
    <w:p>
      <w:pPr>
        <w:spacing w:after="0" w:line="186" w:lineRule="exact"/>
        <w:rPr>
          <w:rFonts w:ascii="Arial" w:cs="Arial" w:eastAsia="Arial" w:hAnsi="Arial"/>
          <w:sz w:val="22"/>
          <w:szCs w:val="22"/>
          <w:color w:val="auto"/>
        </w:rPr>
      </w:pPr>
    </w:p>
    <w:p>
      <w:pPr>
        <w:ind w:left="224" w:right="60" w:firstLine="224"/>
        <w:spacing w:after="0" w:line="252" w:lineRule="auto"/>
        <w:tabs>
          <w:tab w:leader="none" w:pos="749" w:val="left"/>
        </w:tabs>
        <w:numPr>
          <w:ilvl w:val="4"/>
          <w:numId w:val="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Transfer. </w:t>
      </w:r>
      <w:r>
        <w:rPr>
          <w:rFonts w:ascii="Arial" w:cs="Arial" w:eastAsia="Arial" w:hAnsi="Arial"/>
          <w:sz w:val="21"/>
          <w:szCs w:val="21"/>
          <w:color w:val="auto"/>
        </w:rPr>
        <w:t>No Directors Option shall be assigned or transferred, except by will or the laws of descent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74" w:lineRule="exact"/>
        <w:rPr>
          <w:rFonts w:ascii="Arial" w:cs="Arial" w:eastAsia="Arial" w:hAnsi="Arial"/>
          <w:sz w:val="21"/>
          <w:szCs w:val="21"/>
          <w:color w:val="auto"/>
        </w:rPr>
      </w:pPr>
    </w:p>
    <w:p>
      <w:pPr>
        <w:ind w:left="224" w:right="100" w:firstLine="224"/>
        <w:spacing w:after="0" w:line="297" w:lineRule="auto"/>
        <w:tabs>
          <w:tab w:leader="none" w:pos="737" w:val="left"/>
        </w:tabs>
        <w:numPr>
          <w:ilvl w:val="4"/>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Exercise. </w:t>
      </w:r>
      <w:r>
        <w:rPr>
          <w:rFonts w:ascii="Arial" w:cs="Arial" w:eastAsia="Arial" w:hAnsi="Arial"/>
          <w:sz w:val="19"/>
          <w:szCs w:val="19"/>
          <w:color w:val="auto"/>
        </w:rPr>
        <w:t>During the lifetime of a Nonemployee Director, Directors Options held by such individual may be exercised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only by the Nonemployee Director and only while serving as a member of the Board of Directors of the Company and only if the Nonemployee Director has been continuously so serving since the date such options were granted, except as follows:</w:t>
      </w:r>
    </w:p>
    <w:p>
      <w:pPr>
        <w:spacing w:after="0" w:line="134" w:lineRule="exact"/>
        <w:rPr>
          <w:rFonts w:ascii="Arial" w:cs="Arial" w:eastAsia="Arial" w:hAnsi="Arial"/>
          <w:sz w:val="19"/>
          <w:szCs w:val="19"/>
          <w:color w:val="auto"/>
        </w:rPr>
      </w:pPr>
    </w:p>
    <w:p>
      <w:pPr>
        <w:ind w:left="224" w:right="120" w:firstLine="333"/>
        <w:spacing w:after="0" w:line="287" w:lineRule="auto"/>
        <w:tabs>
          <w:tab w:leader="none" w:pos="858" w:val="left"/>
        </w:tabs>
        <w:numPr>
          <w:ilvl w:val="5"/>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Disability or Death. </w:t>
      </w:r>
      <w:r>
        <w:rPr>
          <w:rFonts w:ascii="Arial" w:cs="Arial" w:eastAsia="Arial" w:hAnsi="Arial"/>
          <w:sz w:val="19"/>
          <w:szCs w:val="19"/>
          <w:color w:val="auto"/>
        </w:rPr>
        <w:t>In the event of disability or death of a Nonemployee Director, all outstanding unvested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vest effective as of the date of 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43" w:lineRule="exact"/>
        <w:rPr>
          <w:rFonts w:ascii="Arial" w:cs="Arial" w:eastAsia="Arial" w:hAnsi="Arial"/>
          <w:sz w:val="19"/>
          <w:szCs w:val="19"/>
          <w:color w:val="auto"/>
        </w:rPr>
      </w:pPr>
    </w:p>
    <w:p>
      <w:pPr>
        <w:ind w:left="224" w:right="20" w:firstLine="333"/>
        <w:spacing w:after="0" w:line="277" w:lineRule="auto"/>
        <w:tabs>
          <w:tab w:leader="none" w:pos="858" w:val="left"/>
        </w:tabs>
        <w:numPr>
          <w:ilvl w:val="5"/>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Termination. </w:t>
      </w:r>
      <w:r>
        <w:rPr>
          <w:rFonts w:ascii="Arial" w:cs="Arial" w:eastAsia="Arial" w:hAnsi="Arial"/>
          <w:sz w:val="19"/>
          <w:szCs w:val="19"/>
          <w:color w:val="auto"/>
        </w:rPr>
        <w:t>If a Nonemployee Director has served as a member of the Board of Directors for ten full fiscal years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longer and terminates service on the 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 (D) the Nonemployee Director may exercise any vested outstanding options for up to three months after the date of termination, but not later than the date an option expires.</w:t>
      </w:r>
    </w:p>
    <w:p>
      <w:pPr>
        <w:spacing w:after="0" w:line="152" w:lineRule="exact"/>
        <w:rPr>
          <w:rFonts w:ascii="Arial" w:cs="Arial" w:eastAsia="Arial" w:hAnsi="Arial"/>
          <w:sz w:val="19"/>
          <w:szCs w:val="19"/>
          <w:color w:val="auto"/>
        </w:rPr>
      </w:pPr>
    </w:p>
    <w:p>
      <w:pPr>
        <w:ind w:left="224" w:right="60" w:firstLine="114"/>
        <w:spacing w:after="0" w:line="273" w:lineRule="auto"/>
        <w:tabs>
          <w:tab w:leader="none" w:pos="639" w:val="left"/>
        </w:tabs>
        <w:numPr>
          <w:ilvl w:val="3"/>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Methods of Exercise and Payment of Exercise Price. </w:t>
      </w:r>
      <w:r>
        <w:rPr>
          <w:rFonts w:ascii="Arial" w:cs="Arial" w:eastAsia="Arial" w:hAnsi="Arial"/>
          <w:sz w:val="19"/>
          <w:szCs w:val="19"/>
          <w:color w:val="auto"/>
        </w:rPr>
        <w:t>Subject to the terms and conditions of the Plan and the terms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conditions of the option agreement, 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w:t>
      </w:r>
    </w:p>
    <w:p>
      <w:pPr>
        <w:sectPr>
          <w:pgSz w:w="11900" w:h="16838" w:orient="portrait"/>
          <w:cols w:equalWidth="0" w:num="1">
            <w:col w:w="11184"/>
          </w:cols>
          <w:pgMar w:left="476" w:top="111" w:right="239" w:bottom="0" w:gutter="0" w:footer="0" w:header="0"/>
        </w:sectPr>
      </w:pPr>
    </w:p>
    <w:bookmarkStart w:id="7" w:name="page8"/>
    <w:bookmarkEnd w:id="7"/>
    <w:p>
      <w:pPr>
        <w:spacing w:after="0" w:line="83" w:lineRule="exact"/>
        <w:rPr>
          <w:sz w:val="20"/>
          <w:szCs w:val="20"/>
          <w:color w:val="auto"/>
        </w:rPr>
      </w:pPr>
    </w:p>
    <w:p>
      <w:pPr>
        <w:ind w:left="224" w:right="320"/>
        <w:spacing w:after="0" w:line="251" w:lineRule="auto"/>
        <w:rPr>
          <w:sz w:val="20"/>
          <w:szCs w:val="20"/>
          <w:color w:val="auto"/>
        </w:rPr>
      </w:pPr>
      <w:r>
        <w:rPr>
          <w:rFonts w:ascii="Arial" w:cs="Arial" w:eastAsia="Arial" w:hAnsi="Arial"/>
          <w:sz w:val="22"/>
          <w:szCs w:val="22"/>
          <w:color w:val="auto"/>
        </w:rPr>
        <w:t>and (B) to the Company, to deliver certificates for such purchased shares directly to such brokerage firm, all in accordance with regulations of the Federal Reserve Board.</w:t>
      </w:r>
    </w:p>
    <w:p>
      <w:pPr>
        <w:spacing w:after="0" w:line="174" w:lineRule="exact"/>
        <w:rPr>
          <w:sz w:val="20"/>
          <w:szCs w:val="20"/>
          <w:color w:val="auto"/>
        </w:rPr>
      </w:pPr>
    </w:p>
    <w:p>
      <w:pPr>
        <w:ind w:left="344"/>
        <w:spacing w:after="0"/>
        <w:rPr>
          <w:sz w:val="20"/>
          <w:szCs w:val="20"/>
          <w:color w:val="auto"/>
        </w:rPr>
      </w:pPr>
      <w:r>
        <w:rPr>
          <w:rFonts w:ascii="Arial" w:cs="Arial" w:eastAsia="Arial" w:hAnsi="Arial"/>
          <w:sz w:val="22"/>
          <w:szCs w:val="22"/>
          <w:color w:val="auto"/>
        </w:rPr>
        <w:t>No shares of Common Stock shall be issued until full payment has been made.</w:t>
      </w:r>
    </w:p>
    <w:p>
      <w:pPr>
        <w:spacing w:after="0" w:line="200" w:lineRule="exact"/>
        <w:rPr>
          <w:sz w:val="20"/>
          <w:szCs w:val="20"/>
          <w:color w:val="auto"/>
        </w:rPr>
      </w:pPr>
    </w:p>
    <w:p>
      <w:pPr>
        <w:ind w:left="384" w:right="20" w:hanging="262"/>
        <w:spacing w:after="0" w:line="246" w:lineRule="auto"/>
        <w:tabs>
          <w:tab w:leader="none" w:pos="384" w:val="left"/>
        </w:tabs>
        <w:numPr>
          <w:ilvl w:val="1"/>
          <w:numId w:val="7"/>
        </w:numPr>
        <w:rPr>
          <w:rFonts w:ascii="Arial" w:cs="Arial" w:eastAsia="Arial" w:hAnsi="Arial"/>
          <w:sz w:val="21"/>
          <w:szCs w:val="21"/>
          <w:color w:val="auto"/>
        </w:rPr>
      </w:pPr>
      <w:r>
        <w:rPr>
          <w:rFonts w:ascii="Arial" w:cs="Arial" w:eastAsia="Arial" w:hAnsi="Arial"/>
          <w:sz w:val="21"/>
          <w:szCs w:val="21"/>
          <w:b w:val="1"/>
          <w:bCs w:val="1"/>
          <w:color w:val="auto"/>
        </w:rPr>
        <w:t xml:space="preserve">Share Proration. </w:t>
      </w:r>
      <w:r>
        <w:rPr>
          <w:rFonts w:ascii="Arial" w:cs="Arial" w:eastAsia="Arial" w:hAnsi="Arial"/>
          <w:sz w:val="21"/>
          <w:szCs w:val="21"/>
          <w:color w:val="auto"/>
        </w:rPr>
        <w:t>If, on any date on which Directors Shares are to be issued pursuant to Section 3.a. or Directors Options</w:t>
      </w:r>
      <w:r>
        <w:rPr>
          <w:rFonts w:ascii="Arial" w:cs="Arial" w:eastAsia="Arial" w:hAnsi="Arial"/>
          <w:sz w:val="21"/>
          <w:szCs w:val="21"/>
          <w:b w:val="1"/>
          <w:bCs w:val="1"/>
          <w:color w:val="auto"/>
        </w:rPr>
        <w:t xml:space="preserve"> </w:t>
      </w:r>
      <w:r>
        <w:rPr>
          <w:rFonts w:ascii="Arial" w:cs="Arial" w:eastAsia="Arial" w:hAnsi="Arial"/>
          <w:sz w:val="21"/>
          <w:szCs w:val="21"/>
          <w:color w:val="auto"/>
        </w:rPr>
        <w:t>are to be granted pursuant to 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6" w:lineRule="exact"/>
        <w:rPr>
          <w:rFonts w:ascii="Arial" w:cs="Arial" w:eastAsia="Arial" w:hAnsi="Arial"/>
          <w:sz w:val="21"/>
          <w:szCs w:val="21"/>
          <w:color w:val="auto"/>
        </w:rPr>
      </w:pPr>
    </w:p>
    <w:p>
      <w:pPr>
        <w:ind w:left="-236" w:right="120" w:firstLine="236"/>
        <w:spacing w:after="0" w:line="248" w:lineRule="auto"/>
        <w:tabs>
          <w:tab w:leader="none" w:pos="208"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 xml:space="preserve">Shares in Lieu of Fees. </w:t>
      </w:r>
      <w:r>
        <w:rPr>
          <w:rFonts w:ascii="Arial" w:cs="Arial" w:eastAsia="Arial" w:hAnsi="Arial"/>
          <w:sz w:val="21"/>
          <w:szCs w:val="21"/>
          <w:color w:val="auto"/>
        </w:rPr>
        <w:t>A Nonemployee Director shall have the right to elect to receive shares of Common Stock in lieu of</w:t>
      </w:r>
      <w:r>
        <w:rPr>
          <w:rFonts w:ascii="Arial" w:cs="Arial" w:eastAsia="Arial" w:hAnsi="Arial"/>
          <w:sz w:val="21"/>
          <w:szCs w:val="21"/>
          <w:b w:val="1"/>
          <w:bCs w:val="1"/>
          <w:color w:val="auto"/>
        </w:rPr>
        <w:t xml:space="preserve"> </w:t>
      </w:r>
      <w:r>
        <w:rPr>
          <w:rFonts w:ascii="Arial" w:cs="Arial" w:eastAsia="Arial" w:hAnsi="Arial"/>
          <w:sz w:val="21"/>
          <w:szCs w:val="21"/>
          <w:color w:val="auto"/>
        </w:rPr>
        <w:t>annual retainer and meeting fees 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 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71" w:lineRule="exact"/>
        <w:rPr>
          <w:rFonts w:ascii="Arial" w:cs="Arial" w:eastAsia="Arial" w:hAnsi="Arial"/>
          <w:sz w:val="21"/>
          <w:szCs w:val="21"/>
          <w:color w:val="auto"/>
        </w:rPr>
      </w:pPr>
    </w:p>
    <w:p>
      <w:pPr>
        <w:ind w:left="-236" w:right="20" w:firstLine="236"/>
        <w:spacing w:after="0" w:line="271" w:lineRule="auto"/>
        <w:tabs>
          <w:tab w:leader="none" w:pos="208"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Stock Subject to Plan. </w:t>
      </w:r>
      <w:r>
        <w:rPr>
          <w:rFonts w:ascii="Arial" w:cs="Arial" w:eastAsia="Arial" w:hAnsi="Arial"/>
          <w:sz w:val="19"/>
          <w:szCs w:val="19"/>
          <w:color w:val="auto"/>
        </w:rPr>
        <w:t>Subject to adjustment as provided in this paragraph and subject to increase by amendment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 total number of shares of Common Stock reserved and available for issuance in connection with the Plan shall be 480,000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54" w:lineRule="exact"/>
        <w:rPr>
          <w:rFonts w:ascii="Arial" w:cs="Arial" w:eastAsia="Arial" w:hAnsi="Arial"/>
          <w:sz w:val="19"/>
          <w:szCs w:val="19"/>
          <w:color w:val="auto"/>
        </w:rPr>
      </w:pPr>
    </w:p>
    <w:p>
      <w:pPr>
        <w:ind w:left="-236" w:right="140" w:firstLine="236"/>
        <w:spacing w:after="0" w:line="301" w:lineRule="auto"/>
        <w:tabs>
          <w:tab w:leader="none" w:pos="208"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Change of Control. </w:t>
      </w:r>
      <w:r>
        <w:rPr>
          <w:rFonts w:ascii="Arial" w:cs="Arial" w:eastAsia="Arial" w:hAnsi="Arial"/>
          <w:sz w:val="19"/>
          <w:szCs w:val="19"/>
          <w:color w:val="auto"/>
        </w:rPr>
        <w:t>In the event of a Change of Control of the Company as hereinafter defined, all Directors Options shall</w:t>
      </w:r>
      <w:r>
        <w:rPr>
          <w:rFonts w:ascii="Arial" w:cs="Arial" w:eastAsia="Arial" w:hAnsi="Arial"/>
          <w:sz w:val="19"/>
          <w:szCs w:val="19"/>
          <w:b w:val="1"/>
          <w:bCs w:val="1"/>
          <w:color w:val="auto"/>
        </w:rPr>
        <w:t xml:space="preserve"> </w:t>
      </w:r>
      <w:r>
        <w:rPr>
          <w:rFonts w:ascii="Arial" w:cs="Arial" w:eastAsia="Arial" w:hAnsi="Arial"/>
          <w:sz w:val="19"/>
          <w:szCs w:val="19"/>
          <w:color w:val="auto"/>
        </w:rPr>
        <w:t>fully vest, and be exercisable in their entirety immediately, and notwithstanding any other provisions of the Plan, shall continue to be exercisable for three years following the Change of Control, but not later than ten years after the date of grant.</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22"/>
          <w:szCs w:val="22"/>
          <w:color w:val="auto"/>
        </w:rPr>
        <w:t>Change of Control means:</w:t>
      </w:r>
    </w:p>
    <w:p>
      <w:pPr>
        <w:spacing w:after="0" w:line="206" w:lineRule="exact"/>
        <w:rPr>
          <w:sz w:val="20"/>
          <w:szCs w:val="20"/>
          <w:color w:val="auto"/>
        </w:rPr>
      </w:pPr>
    </w:p>
    <w:p>
      <w:pPr>
        <w:ind w:left="384" w:right="60" w:hanging="262"/>
        <w:spacing w:after="0" w:line="276" w:lineRule="auto"/>
        <w:tabs>
          <w:tab w:leader="none" w:pos="38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(a “Person”) of beneficial ownership (within the meaning of Rule 13d-3 under the Exchange Act) of 15% or more of either</w:t>
      </w:r>
    </w:p>
    <w:p>
      <w:pPr>
        <w:spacing w:after="0" w:line="1" w:lineRule="exact"/>
        <w:rPr>
          <w:rFonts w:ascii="Arial" w:cs="Arial" w:eastAsia="Arial" w:hAnsi="Arial"/>
          <w:sz w:val="19"/>
          <w:szCs w:val="19"/>
          <w:color w:val="auto"/>
        </w:rPr>
      </w:pPr>
    </w:p>
    <w:p>
      <w:pPr>
        <w:ind w:left="384"/>
        <w:spacing w:after="0" w:line="273" w:lineRule="auto"/>
        <w:rPr>
          <w:rFonts w:ascii="Arial" w:cs="Arial" w:eastAsia="Arial" w:hAnsi="Arial"/>
          <w:sz w:val="19"/>
          <w:szCs w:val="19"/>
          <w:color w:val="auto"/>
        </w:rPr>
      </w:pPr>
      <w:r>
        <w:rPr>
          <w:rFonts w:ascii="Arial" w:cs="Arial" w:eastAsia="Arial" w:hAnsi="Arial"/>
          <w:sz w:val="19"/>
          <w:szCs w:val="19"/>
          <w:color w:val="auto"/>
        </w:rPr>
        <w:t>(i)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60" w:lineRule="exact"/>
        <w:rPr>
          <w:rFonts w:ascii="Arial" w:cs="Arial" w:eastAsia="Arial" w:hAnsi="Arial"/>
          <w:sz w:val="19"/>
          <w:szCs w:val="19"/>
          <w:color w:val="auto"/>
        </w:rPr>
      </w:pPr>
    </w:p>
    <w:p>
      <w:pPr>
        <w:ind w:left="384" w:right="40" w:hanging="274"/>
        <w:spacing w:after="0" w:line="277" w:lineRule="auto"/>
        <w:tabs>
          <w:tab w:leader="none" w:pos="384" w:val="left"/>
        </w:tabs>
        <w:numPr>
          <w:ilvl w:val="0"/>
          <w:numId w:val="9"/>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2" w:lineRule="exact"/>
        <w:rPr>
          <w:rFonts w:ascii="Arial" w:cs="Arial" w:eastAsia="Arial" w:hAnsi="Arial"/>
          <w:sz w:val="19"/>
          <w:szCs w:val="19"/>
          <w:color w:val="auto"/>
        </w:rPr>
      </w:pPr>
    </w:p>
    <w:p>
      <w:pPr>
        <w:ind w:left="384" w:right="440" w:hanging="262"/>
        <w:spacing w:after="0" w:line="287" w:lineRule="auto"/>
        <w:tabs>
          <w:tab w:leader="none" w:pos="384"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w:t>
      </w:r>
    </w:p>
    <w:p>
      <w:pPr>
        <w:sectPr>
          <w:pgSz w:w="11900" w:h="16922" w:orient="portrait"/>
          <w:cols w:equalWidth="0" w:num="1">
            <w:col w:w="11144"/>
          </w:cols>
          <w:pgMar w:left="476" w:top="118" w:right="279" w:bottom="0" w:gutter="0" w:footer="0" w:header="0"/>
        </w:sectPr>
      </w:pPr>
    </w:p>
    <w:bookmarkStart w:id="8" w:name="page9"/>
    <w:bookmarkEnd w:id="8"/>
    <w:p>
      <w:pPr>
        <w:ind w:left="384"/>
        <w:spacing w:after="0" w:line="271" w:lineRule="auto"/>
        <w:rPr>
          <w:sz w:val="20"/>
          <w:szCs w:val="20"/>
          <w:color w:val="auto"/>
        </w:rPr>
      </w:pPr>
      <w:r>
        <w:rPr>
          <w:rFonts w:ascii="Arial" w:cs="Arial" w:eastAsia="Arial" w:hAnsi="Arial"/>
          <w:sz w:val="19"/>
          <w:szCs w:val="19"/>
          <w:color w:val="auto"/>
        </w:rPr>
        <w:t>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6" w:lineRule="exact"/>
        <w:rPr>
          <w:sz w:val="20"/>
          <w:szCs w:val="20"/>
          <w:color w:val="auto"/>
        </w:rPr>
      </w:pPr>
    </w:p>
    <w:p>
      <w:pPr>
        <w:ind w:left="384" w:hanging="274"/>
        <w:spacing w:after="0"/>
        <w:tabs>
          <w:tab w:leader="none" w:pos="384" w:val="left"/>
        </w:tabs>
        <w:numPr>
          <w:ilvl w:val="1"/>
          <w:numId w:val="10"/>
        </w:numPr>
        <w:rPr>
          <w:rFonts w:ascii="Arial" w:cs="Arial" w:eastAsia="Arial" w:hAnsi="Arial"/>
          <w:sz w:val="22"/>
          <w:szCs w:val="22"/>
          <w:color w:val="auto"/>
        </w:rPr>
      </w:pPr>
      <w:r>
        <w:rPr>
          <w:rFonts w:ascii="Arial" w:cs="Arial" w:eastAsia="Arial" w:hAnsi="Arial"/>
          <w:sz w:val="22"/>
          <w:szCs w:val="22"/>
          <w:color w:val="auto"/>
        </w:rPr>
        <w:t>Approval by the stockholders of the Company of a complete liquidation or dissolution of the Company.</w:t>
      </w:r>
    </w:p>
    <w:p>
      <w:pPr>
        <w:spacing w:after="0" w:line="200" w:lineRule="exact"/>
        <w:rPr>
          <w:rFonts w:ascii="Arial" w:cs="Arial" w:eastAsia="Arial" w:hAnsi="Arial"/>
          <w:sz w:val="22"/>
          <w:szCs w:val="22"/>
          <w:color w:val="auto"/>
        </w:rPr>
      </w:pPr>
    </w:p>
    <w:p>
      <w:pPr>
        <w:ind w:left="-236" w:right="120" w:firstLine="236"/>
        <w:spacing w:after="0" w:line="251" w:lineRule="auto"/>
        <w:tabs>
          <w:tab w:leader="none" w:pos="208"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 xml:space="preserve">Administration of the Plan. </w:t>
      </w:r>
      <w:r>
        <w:rPr>
          <w:rFonts w:ascii="Arial" w:cs="Arial" w:eastAsia="Arial" w:hAnsi="Arial"/>
          <w:sz w:val="21"/>
          <w:szCs w:val="21"/>
          <w:color w:val="auto"/>
        </w:rPr>
        <w:t>The Plan shall be administered by a committee composed of those members of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or Section 5.</w:t>
      </w:r>
    </w:p>
    <w:p>
      <w:pPr>
        <w:spacing w:after="0" w:line="168" w:lineRule="exact"/>
        <w:rPr>
          <w:rFonts w:ascii="Arial" w:cs="Arial" w:eastAsia="Arial" w:hAnsi="Arial"/>
          <w:sz w:val="21"/>
          <w:szCs w:val="21"/>
          <w:color w:val="auto"/>
        </w:rPr>
      </w:pPr>
    </w:p>
    <w:p>
      <w:pPr>
        <w:ind w:left="-236" w:right="320" w:firstLine="236"/>
        <w:spacing w:after="0" w:line="248" w:lineRule="auto"/>
        <w:tabs>
          <w:tab w:leader="none" w:pos="208"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Company shall have the right to deduct from any settlement made under the Plan, including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of an option or the 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1" w:lineRule="exact"/>
        <w:rPr>
          <w:rFonts w:ascii="Arial" w:cs="Arial" w:eastAsia="Arial" w:hAnsi="Arial"/>
          <w:sz w:val="21"/>
          <w:szCs w:val="21"/>
          <w:color w:val="auto"/>
        </w:rPr>
      </w:pPr>
    </w:p>
    <w:p>
      <w:pPr>
        <w:ind w:left="-236" w:right="500" w:firstLine="236"/>
        <w:spacing w:after="0" w:line="256" w:lineRule="auto"/>
        <w:tabs>
          <w:tab w:leader="none" w:pos="208"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Effective Date and Term of Plan. </w:t>
      </w:r>
      <w:r>
        <w:rPr>
          <w:rFonts w:ascii="Arial" w:cs="Arial" w:eastAsia="Arial" w:hAnsi="Arial"/>
          <w:sz w:val="22"/>
          <w:szCs w:val="22"/>
          <w:color w:val="auto"/>
        </w:rPr>
        <w:t>The Plan first became effective March 14, 2001 and shall end March 12, 2011, unless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earlier by action of the Board of Directors.</w:t>
      </w:r>
    </w:p>
    <w:p>
      <w:pPr>
        <w:spacing w:after="0" w:line="162" w:lineRule="exact"/>
        <w:rPr>
          <w:rFonts w:ascii="Arial" w:cs="Arial" w:eastAsia="Arial" w:hAnsi="Arial"/>
          <w:sz w:val="22"/>
          <w:szCs w:val="22"/>
          <w:color w:val="auto"/>
        </w:rPr>
      </w:pPr>
    </w:p>
    <w:p>
      <w:pPr>
        <w:ind w:left="-236" w:right="120" w:firstLine="236"/>
        <w:spacing w:after="0" w:line="289" w:lineRule="auto"/>
        <w:tabs>
          <w:tab w:leader="none" w:pos="316"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The Board may amend, suspend or terminate the Plan at any time, with or without advance notice to Plan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The effective date of 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136" w:lineRule="exact"/>
        <w:rPr>
          <w:rFonts w:ascii="Arial" w:cs="Arial" w:eastAsia="Arial" w:hAnsi="Arial"/>
          <w:sz w:val="19"/>
          <w:szCs w:val="19"/>
          <w:color w:val="auto"/>
        </w:rPr>
      </w:pPr>
    </w:p>
    <w:p>
      <w:pPr>
        <w:ind w:left="-236" w:right="300" w:firstLine="236"/>
        <w:spacing w:after="0" w:line="239" w:lineRule="auto"/>
        <w:tabs>
          <w:tab w:leader="none" w:pos="308"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Directors Shares, Directors Options and agreements entered into under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administered and 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sectPr>
      <w:pgSz w:w="11900" w:h="16838" w:orient="portrait"/>
      <w:cols w:equalWidth="0" w:num="1">
        <w:col w:w="11164"/>
      </w:cols>
      <w:pgMar w:left="476"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lvl w:ilvl="1">
      <w:lvlJc w:val="left"/>
      <w:lvlText w:val="%2."/>
      <w:numFmt w:val="decimal"/>
      <w:start w:val="3"/>
    </w:lvl>
  </w:abstractNum>
  <w:abstractNum w:abstractNumId="5">
    <w:nsid w:val="515F007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3"/>
    </w:lvl>
    <w:lvl w:ilvl="4">
      <w:lvlJc w:val="left"/>
      <w:lvlText w:val="(%5)"/>
      <w:numFmt w:val="lowerLetter"/>
      <w:start w:val="1"/>
    </w:lvl>
    <w:lvl w:ilvl="5">
      <w:lvlJc w:val="left"/>
      <w:lvlText w:val="(%6)"/>
      <w:numFmt w:val="decimal"/>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abstractNum>
  <w:abstractNum w:abstractNumId="7">
    <w:nsid w:val="12200854"/>
    <w:multiLevelType w:val="hybridMultilevel"/>
    <w:lvl w:ilvl="0">
      <w:lvlJc w:val="left"/>
      <w:lvlText w:val="%1."/>
      <w:numFmt w:val="decimal"/>
      <w:start w:val="4"/>
    </w:lvl>
    <w:lvl w:ilvl="1">
      <w:lvlJc w:val="left"/>
      <w:lvlText w:val="%2"/>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4"/>
    </w:lvl>
  </w:abstractNum>
  <w:abstractNum w:abstractNumId="10">
    <w:nsid w:val="1F16E9E8"/>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2019-12-13T13:37:34Z</dcterms:created>
  <dcterms:modified xsi:type="dcterms:W3CDTF">2019-12-13T13:37:34Z</dcterms:modified>
</cp:coreProperties>
</file>