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14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144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25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256"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80" w:type="dxa"/>
            <w:vAlign w:val="bottom"/>
            <w:gridSpan w:val="6"/>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440" w:type="dxa"/>
            <w:vAlign w:val="bottom"/>
          </w:tcPr>
          <w:p>
            <w:pPr>
              <w:spacing w:after="0"/>
              <w:rPr>
                <w:sz w:val="2"/>
                <w:szCs w:val="2"/>
                <w:color w:val="auto"/>
              </w:rPr>
            </w:pPr>
          </w:p>
        </w:tc>
        <w:tc>
          <w:tcPr>
            <w:tcW w:w="3380" w:type="dxa"/>
            <w:vAlign w:val="bottom"/>
            <w:gridSpan w:val="5"/>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33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20" w:type="dxa"/>
            <w:vAlign w:val="bottom"/>
          </w:tcPr>
          <w:p>
            <w:pPr>
              <w:jc w:val="right"/>
              <w:ind w:right="287"/>
              <w:spacing w:after="0"/>
              <w:rPr>
                <w:sz w:val="20"/>
                <w:szCs w:val="20"/>
                <w:color w:val="auto"/>
              </w:rPr>
            </w:pPr>
            <w:r>
              <w:rPr>
                <w:rFonts w:ascii="Arial" w:cs="Arial" w:eastAsia="Arial" w:hAnsi="Arial"/>
                <w:sz w:val="18"/>
                <w:szCs w:val="18"/>
                <w:color w:val="0000FF"/>
              </w:rPr>
              <w:t>55420-1196</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4"/>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3180" w:type="dxa"/>
            <w:vAlign w:val="bottom"/>
            <w:gridSpan w:val="4"/>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1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6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ind w:left="3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26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60" w:type="dxa"/>
            <w:vAlign w:val="bottom"/>
            <w:gridSpan w:val="2"/>
          </w:tcPr>
          <w:p>
            <w:pPr>
              <w:ind w:left="1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2"/>
          </w:tcPr>
          <w:p>
            <w:pPr>
              <w:ind w:left="1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2"/>
          </w:tcPr>
          <w:p>
            <w:pPr>
              <w:ind w:left="1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gridSpan w:val="2"/>
          </w:tcPr>
          <w:p>
            <w:pPr>
              <w:jc w:val="right"/>
              <w:ind w:right="112"/>
              <w:spacing w:after="0"/>
              <w:rPr>
                <w:sz w:val="20"/>
                <w:szCs w:val="20"/>
                <w:color w:val="auto"/>
              </w:rPr>
            </w:pPr>
            <w:r>
              <w:rPr>
                <w:rFonts w:ascii="Arial" w:cs="Arial" w:eastAsia="Arial" w:hAnsi="Arial"/>
                <w:sz w:val="18"/>
                <w:szCs w:val="18"/>
                <w:color w:val="0000FF"/>
              </w:rPr>
              <w:t>09/28/2016</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3,140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bottom w:val="single" w:sz="8" w:color="2C2C2C"/>
            </w:tcBorders>
            <w:gridSpan w:val="2"/>
          </w:tcPr>
          <w:p>
            <w:pPr>
              <w:jc w:val="center"/>
              <w:ind w:left="144"/>
              <w:spacing w:after="0"/>
              <w:rPr>
                <w:sz w:val="20"/>
                <w:szCs w:val="20"/>
                <w:color w:val="auto"/>
              </w:rPr>
            </w:pPr>
            <w:r>
              <w:rPr>
                <w:rFonts w:ascii="Arial" w:cs="Arial" w:eastAsia="Arial" w:hAnsi="Arial"/>
                <w:sz w:val="18"/>
                <w:szCs w:val="18"/>
                <w:color w:val="0000FF"/>
                <w:w w:val="84"/>
              </w:rPr>
              <w:t>1,169,403.79</w:t>
            </w:r>
            <w:r>
              <w:rPr>
                <w:rFonts w:ascii="Arial" w:cs="Arial" w:eastAsia="Arial" w:hAnsi="Arial"/>
                <w:sz w:val="22"/>
                <w:szCs w:val="22"/>
                <w:color w:val="008000"/>
                <w:w w:val="84"/>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jc w:val="center"/>
              <w:ind w:left="144"/>
              <w:spacing w:after="0" w:line="324" w:lineRule="exact"/>
              <w:rPr>
                <w:sz w:val="20"/>
                <w:szCs w:val="20"/>
                <w:color w:val="auto"/>
              </w:rPr>
            </w:pPr>
            <w:r>
              <w:rPr>
                <w:rFonts w:ascii="Arial" w:cs="Arial" w:eastAsia="Arial" w:hAnsi="Arial"/>
                <w:sz w:val="35"/>
                <w:szCs w:val="35"/>
                <w:color w:val="0000FF"/>
                <w:w w:val="81"/>
                <w:vertAlign w:val="subscript"/>
              </w:rPr>
              <w:t>40</w:t>
            </w:r>
            <w:r>
              <w:rPr>
                <w:rFonts w:ascii="Arial" w:cs="Arial" w:eastAsia="Arial" w:hAnsi="Arial"/>
                <w:sz w:val="11"/>
                <w:szCs w:val="11"/>
                <w:color w:val="008000"/>
                <w:w w:val="81"/>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Michael 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Hoffman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left="144"/>
              <w:spacing w:after="0" w:line="217" w:lineRule="exact"/>
              <w:rPr>
                <w:sz w:val="20"/>
                <w:szCs w:val="20"/>
                <w:color w:val="auto"/>
              </w:rPr>
            </w:pPr>
            <w:r>
              <w:rPr>
                <w:rFonts w:ascii="Arial" w:cs="Arial" w:eastAsia="Arial" w:hAnsi="Arial"/>
                <w:sz w:val="18"/>
                <w:szCs w:val="18"/>
                <w:color w:val="0000FF"/>
                <w:w w:val="84"/>
              </w:rPr>
              <w:t>251,603.292</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Lifetime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left="144"/>
              <w:spacing w:after="0" w:line="217" w:lineRule="exact"/>
              <w:rPr>
                <w:sz w:val="20"/>
                <w:szCs w:val="20"/>
                <w:color w:val="auto"/>
              </w:rPr>
            </w:pPr>
            <w:r>
              <w:rPr>
                <w:rFonts w:ascii="Arial" w:cs="Arial" w:eastAsia="Arial" w:hAnsi="Arial"/>
                <w:sz w:val="18"/>
                <w:szCs w:val="18"/>
                <w:color w:val="0000FF"/>
                <w:w w:val="85"/>
              </w:rPr>
              <w:t>136,538.43</w:t>
            </w:r>
            <w:r>
              <w:rPr>
                <w:rFonts w:ascii="Arial" w:cs="Arial" w:eastAsia="Arial" w:hAnsi="Arial"/>
                <w:sz w:val="22"/>
                <w:szCs w:val="22"/>
                <w:color w:val="008000"/>
                <w:w w:val="85"/>
                <w:vertAlign w:val="superscript"/>
              </w:rPr>
              <w:t>(4)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16, 2016, the common stock of the issuer split two-for-one (the "Stock Split"), resulting in the reporting person's ownership of 585,098.697 additional shares of common stock and 2,346.396 post-split shares of common stock acquired under the dividend reinvestment feature of The Toro Company Direct Stock Purchase Plan (the "DRIP") since the date of his last report. All future Form 4 and 5 filings made by the reporting person will include adjustments, as necessary, to reflect the Stock Split.</w:t>
      </w:r>
    </w:p>
    <w:p>
      <w:pPr>
        <w:spacing w:after="0" w:line="30" w:lineRule="exact"/>
        <w:rPr>
          <w:rFonts w:ascii="Arial" w:cs="Arial" w:eastAsia="Arial" w:hAnsi="Arial"/>
          <w:sz w:val="14"/>
          <w:szCs w:val="14"/>
          <w:color w:val="008000"/>
        </w:rPr>
      </w:pPr>
    </w:p>
    <w:p>
      <w:pPr>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20 additional shares of common stock as a result of the Stock Split by the reporting person's son, who shares the reporting person's household. The reporting person disclaims beneficial ownership of the shares held by his son, and this report should not be deemed an admission that the reporting person is the beneficial owner of his son's shares for purposes of Section 16 or for any other purpose.</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828.436 post-split shares of common stock acquired by the reporting person under the DRIP since the date of his last report and 125,387.428 additional shares of common stock as a result of the Stock Split.</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448.792 post-split net shares acquired by the reporting person under the dividend reinvestment feature of The Toro Company Investment, Savings &amp; ESOP since the date of his last report, less quarterly non-discretionary administrative fees, and 68,044.819 additional shares of common stock as a result of the Stock Split.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09/30/2016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2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2019-12-23T20:55:22Z</dcterms:created>
  <dcterms:modified xsi:type="dcterms:W3CDTF">2019-12-23T20:55:22Z</dcterms:modified>
</cp:coreProperties>
</file>