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Redetzke Darren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77"/>
        <w:spacing w:after="0"/>
        <w:rPr>
          <w:sz w:val="20"/>
          <w:szCs w:val="20"/>
          <w:color w:val="auto"/>
        </w:rPr>
      </w:pPr>
      <w:r>
        <w:rPr>
          <w:rFonts w:ascii="Times New Roman" w:cs="Times New Roman" w:eastAsia="Times New Roman" w:hAnsi="Times New Roman"/>
          <w:sz w:val="17"/>
          <w:szCs w:val="17"/>
          <w:color w:val="0000FF"/>
        </w:rPr>
        <w:t>VP, Strategic Technologies</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3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3550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00"/>
              <w:spacing w:after="0" w:line="125"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40" w:type="dxa"/>
            <w:vAlign w:val="bottom"/>
            <w:gridSpan w:val="3"/>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12/16/2020</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1,577</w:t>
            </w:r>
            <w:r>
              <w:rPr>
                <w:rFonts w:ascii="Times New Roman" w:cs="Times New Roman" w:eastAsia="Times New Roman" w:hAnsi="Times New Roman"/>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1,577</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12/16/2020</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0000FF"/>
              </w:rPr>
              <w:t>720</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92.26</w:t>
            </w:r>
          </w:p>
        </w:tc>
        <w:tc>
          <w:tcPr>
            <w:tcW w:w="40" w:type="dxa"/>
            <w:vAlign w:val="bottom"/>
          </w:tcPr>
          <w:p>
            <w:pPr>
              <w:spacing w:after="0"/>
              <w:rPr>
                <w:sz w:val="22"/>
                <w:szCs w:val="22"/>
                <w:color w:val="auto"/>
              </w:rPr>
            </w:pPr>
          </w:p>
        </w:tc>
        <w:tc>
          <w:tcPr>
            <w:tcW w:w="72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0000FF"/>
                <w:w w:val="93"/>
              </w:rPr>
              <w:t>857</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34,015.588</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23,249.455</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93.33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12/17/2020</w:t>
            </w:r>
          </w:p>
        </w:tc>
        <w:tc>
          <w:tcPr>
            <w:tcW w:w="110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9,000</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12/17/2030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jc w:val="both"/>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2018 to Fiscal 2020 Performance Period under The Toro Company Amended and Restated 2010 Equity and Incentive Plan, as amended and restated (the "Amended and Restated 2010 Plan"), as approved by the Issuer's Compensation &amp; Human Resources Committee of its Board of Directors on December 1, 2020, and which was conditioned upon and subject to confirmation by the Issuer's Fiscal 2020 financial results that were released on December 16, 2020. Performance Share Awards are paid in shares of common stock under the Amended and Restated 2010 Plan.</w:t>
      </w:r>
    </w:p>
    <w:p>
      <w:pPr>
        <w:spacing w:after="0" w:line="27"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96.761 net shares acquired by the reporting person since the date of his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66.221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12/18/2020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237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2020-12-18T16:50:07Z</dcterms:created>
  <dcterms:modified xsi:type="dcterms:W3CDTF">2020-12-18T16:50:07Z</dcterms:modified>
</cp:coreProperties>
</file>