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919"/>
        <w:spacing w:after="0"/>
        <w:rPr>
          <w:sz w:val="20"/>
          <w:szCs w:val="20"/>
          <w:color w:val="auto"/>
        </w:rPr>
      </w:pPr>
      <w:r>
        <w:rPr>
          <w:rFonts w:ascii="Arial" w:cs="Arial" w:eastAsia="Arial" w:hAnsi="Arial"/>
          <w:sz w:val="25"/>
          <w:szCs w:val="25"/>
          <w:b w:val="1"/>
          <w:bCs w:val="1"/>
          <w:color w:val="auto"/>
        </w:rPr>
        <w:t>UNITED STATES</w:t>
      </w:r>
    </w:p>
    <w:p>
      <w:pPr>
        <w:spacing w:after="0" w:line="253" w:lineRule="exact"/>
        <w:rPr>
          <w:sz w:val="20"/>
          <w:szCs w:val="20"/>
          <w:color w:val="auto"/>
        </w:rPr>
      </w:pPr>
    </w:p>
    <w:p>
      <w:pPr>
        <w:jc w:val="center"/>
        <w:ind w:right="-9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2" w:lineRule="exact"/>
        <w:rPr>
          <w:sz w:val="20"/>
          <w:szCs w:val="20"/>
          <w:color w:val="auto"/>
        </w:rPr>
      </w:pPr>
    </w:p>
    <w:p>
      <w:pPr>
        <w:jc w:val="center"/>
        <w:ind w:right="-91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344"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CURRENT REPORT</w:t>
      </w:r>
    </w:p>
    <w:p>
      <w:pPr>
        <w:spacing w:after="0" w:line="185" w:lineRule="exact"/>
        <w:rPr>
          <w:sz w:val="20"/>
          <w:szCs w:val="20"/>
          <w:color w:val="auto"/>
        </w:rPr>
      </w:pPr>
    </w:p>
    <w:p>
      <w:pPr>
        <w:jc w:val="center"/>
        <w:ind w:right="-9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1"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Date of Report (Date of earliest event reported) May 25, 2004</w:t>
      </w:r>
    </w:p>
    <w:p>
      <w:pPr>
        <w:spacing w:after="0" w:line="200" w:lineRule="exact"/>
        <w:rPr>
          <w:sz w:val="20"/>
          <w:szCs w:val="20"/>
          <w:color w:val="auto"/>
        </w:rPr>
      </w:pPr>
    </w:p>
    <w:p>
      <w:pPr>
        <w:spacing w:after="0" w:line="228" w:lineRule="exact"/>
        <w:rPr>
          <w:sz w:val="20"/>
          <w:szCs w:val="20"/>
          <w:color w:val="auto"/>
        </w:rPr>
      </w:pPr>
    </w:p>
    <w:p>
      <w:pPr>
        <w:ind w:left="3400"/>
        <w:spacing w:after="0"/>
        <w:rPr>
          <w:sz w:val="20"/>
          <w:szCs w:val="20"/>
          <w:color w:val="auto"/>
        </w:rPr>
      </w:pPr>
      <w:r>
        <w:rPr>
          <w:rFonts w:ascii="Arial" w:cs="Arial" w:eastAsia="Arial" w:hAnsi="Arial"/>
          <w:sz w:val="43"/>
          <w:szCs w:val="43"/>
          <w:b w:val="1"/>
          <w:bCs w:val="1"/>
          <w:color w:val="auto"/>
        </w:rPr>
        <w:t>THE TORO COMPANY</w:t>
      </w:r>
    </w:p>
    <w:p>
      <w:pPr>
        <w:spacing w:after="0" w:line="200" w:lineRule="exact"/>
        <w:rPr>
          <w:sz w:val="20"/>
          <w:szCs w:val="20"/>
          <w:color w:val="auto"/>
        </w:rPr>
      </w:pPr>
    </w:p>
    <w:p>
      <w:pPr>
        <w:spacing w:after="0" w:line="266"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500"/>
          </w:cols>
          <w:pgMar w:left="240" w:top="122" w:right="1159" w:bottom="1440" w:gutter="0" w:footer="0" w:header="0"/>
        </w:sectPr>
      </w:pPr>
    </w:p>
    <w:p>
      <w:pPr>
        <w:spacing w:after="0" w:line="221" w:lineRule="exact"/>
        <w:rPr>
          <w:sz w:val="20"/>
          <w:szCs w:val="20"/>
          <w:color w:val="auto"/>
        </w:rPr>
      </w:pPr>
    </w:p>
    <w:p>
      <w:pPr>
        <w:jc w:val="center"/>
        <w:ind w:left="7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left="78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(I.R.S. Employer Identification Number)</w:t>
      </w:r>
    </w:p>
    <w:p>
      <w:pPr>
        <w:spacing w:after="0" w:line="189" w:lineRule="exact"/>
        <w:rPr>
          <w:sz w:val="20"/>
          <w:szCs w:val="20"/>
          <w:color w:val="auto"/>
        </w:rPr>
      </w:pPr>
    </w:p>
    <w:p>
      <w:pPr>
        <w:sectPr>
          <w:pgSz w:w="11900" w:h="16838" w:orient="portrait"/>
          <w:cols w:equalWidth="0" w:num="3">
            <w:col w:w="4000" w:space="720"/>
            <w:col w:w="2120" w:space="720"/>
            <w:col w:w="2940"/>
          </w:cols>
          <w:pgMar w:left="240" w:top="122" w:right="1159" w:bottom="1440" w:gutter="0" w:footer="0" w:header="0"/>
          <w:type w:val="continuous"/>
        </w:sectPr>
      </w:pPr>
    </w:p>
    <w:p>
      <w:pPr>
        <w:jc w:val="center"/>
        <w:ind w:right="-919"/>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Telephone number: (952) 888-8801</w:t>
      </w:r>
    </w:p>
    <w:p>
      <w:pPr>
        <w:spacing w:after="0" w:line="170" w:lineRule="exact"/>
        <w:rPr>
          <w:sz w:val="20"/>
          <w:szCs w:val="20"/>
          <w:color w:val="auto"/>
        </w:rPr>
      </w:pPr>
    </w:p>
    <w:p>
      <w:pPr>
        <w:jc w:val="right"/>
        <w:ind w:right="620"/>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567690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122" w:right="11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12. Results of Operations and Financial Condition</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12. Results of Operations and Financial Condition</w:t>
      </w:r>
    </w:p>
    <w:p>
      <w:pPr>
        <w:spacing w:after="0" w:line="198" w:lineRule="exact"/>
        <w:rPr>
          <w:sz w:val="20"/>
          <w:szCs w:val="20"/>
          <w:color w:val="auto"/>
        </w:rPr>
      </w:pPr>
    </w:p>
    <w:p>
      <w:pPr>
        <w:ind w:left="360" w:firstLine="225"/>
        <w:spacing w:after="0" w:line="255" w:lineRule="auto"/>
        <w:rPr>
          <w:sz w:val="20"/>
          <w:szCs w:val="20"/>
          <w:color w:val="auto"/>
        </w:rPr>
      </w:pPr>
      <w:r>
        <w:rPr>
          <w:rFonts w:ascii="Arial" w:cs="Arial" w:eastAsia="Arial" w:hAnsi="Arial"/>
          <w:sz w:val="18"/>
          <w:szCs w:val="18"/>
          <w:color w:val="auto"/>
        </w:rPr>
        <w:t>On May 25, 2004, The Toro Company announced its earnings for the three and six months ended April 30, 2004. Attached to this Current Report on Form 8-K as Exhibit 99 is a copy of The Toro Company’s press release in connection with the announcement. The information in this report is being furnished and shall not be deemed to be filed for purposes of Section 18 of the Securities Exchange Act of 1934, or otherwise subject to the liability of that section, and shall not be deemed to be incorporated by reference by any general statements by The Toro Company incorporating by reference this report or future filings into any filings under the Securities Act of 1933 or the Securities Exchange Act of 1934, except to the extent The Toro Company specifically incorporates the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May 25, 2004</w:t>
      </w:r>
      <w:r>
        <w:rPr>
          <w:sz w:val="20"/>
          <w:szCs w:val="20"/>
          <w:color w:val="auto"/>
        </w:rPr>
        <w:tab/>
      </w:r>
      <w:r>
        <w:rPr>
          <w:rFonts w:ascii="Arial" w:cs="Arial" w:eastAsia="Arial" w:hAnsi="Arial"/>
          <w:sz w:val="16"/>
          <w:szCs w:val="16"/>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23495</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Stephen P. Wolfe</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Treasurer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196" w:lineRule="exact"/>
        <w:rPr>
          <w:sz w:val="20"/>
          <w:szCs w:val="20"/>
          <w:color w:val="auto"/>
        </w:rPr>
      </w:pPr>
    </w:p>
    <w:p>
      <w:pPr>
        <w:ind w:left="1380" w:hanging="1372"/>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w:t>
      </w:r>
    </w:p>
    <w:p>
      <w:pPr>
        <w:spacing w:after="0" w:line="225"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6"/>
          <w:szCs w:val="16"/>
          <w:color w:val="auto"/>
        </w:rPr>
        <w:t>Registrant’s press release dated May 25, 2004 (</w:t>
      </w:r>
      <w:r>
        <w:rPr>
          <w:rFonts w:ascii="Arial" w:cs="Arial" w:eastAsia="Arial" w:hAnsi="Arial"/>
          <w:sz w:val="16"/>
          <w:szCs w:val="16"/>
          <w:i w:val="1"/>
          <w:iCs w:val="1"/>
          <w:color w:val="auto"/>
        </w:rPr>
        <w:t>furnished herewith</w:t>
      </w:r>
      <w:r>
        <w:rPr>
          <w:rFonts w:ascii="Arial" w:cs="Arial" w:eastAsia="Arial" w:hAnsi="Arial"/>
          <w:sz w:val="16"/>
          <w:szCs w:val="16"/>
          <w:color w:val="auto"/>
        </w:rPr>
        <w:t>).</w:t>
      </w:r>
    </w:p>
    <w:p>
      <w:pPr>
        <w:sectPr>
          <w:pgSz w:w="11900" w:h="16838" w:orient="portrait"/>
          <w:cols w:equalWidth="0" w:num="1">
            <w:col w:w="10219"/>
          </w:cols>
          <w:pgMar w:left="240" w:top="419" w:right="1440" w:bottom="1440" w:gutter="0" w:footer="0" w:header="0"/>
        </w:sectPr>
      </w:pPr>
    </w:p>
    <w:bookmarkStart w:id="6" w:name="page7"/>
    <w:bookmarkEnd w:id="6"/>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1217930" cy="797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17930" cy="797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2800" w:type="dxa"/>
            <w:vAlign w:val="bottom"/>
          </w:tcPr>
          <w:p>
            <w:pPr>
              <w:ind w:left="580"/>
              <w:spacing w:after="0"/>
              <w:rPr>
                <w:sz w:val="20"/>
                <w:szCs w:val="20"/>
                <w:color w:val="auto"/>
              </w:rPr>
            </w:pPr>
            <w:r>
              <w:rPr>
                <w:rFonts w:ascii="Arial" w:cs="Arial" w:eastAsia="Arial" w:hAnsi="Arial"/>
                <w:sz w:val="18"/>
                <w:szCs w:val="18"/>
                <w:b w:val="1"/>
                <w:bCs w:val="1"/>
                <w:color w:val="auto"/>
              </w:rPr>
              <w:t>The Toro Company</w:t>
            </w:r>
          </w:p>
        </w:tc>
        <w:tc>
          <w:tcPr>
            <w:tcW w:w="384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95"/>
        </w:trPr>
        <w:tc>
          <w:tcPr>
            <w:tcW w:w="1920" w:type="dxa"/>
            <w:vAlign w:val="bottom"/>
          </w:tcPr>
          <w:p>
            <w:pPr>
              <w:spacing w:after="0"/>
              <w:rPr>
                <w:sz w:val="8"/>
                <w:szCs w:val="8"/>
                <w:color w:val="auto"/>
              </w:rPr>
            </w:pPr>
          </w:p>
        </w:tc>
        <w:tc>
          <w:tcPr>
            <w:tcW w:w="6640" w:type="dxa"/>
            <w:vAlign w:val="bottom"/>
            <w:tcBorders>
              <w:bottom w:val="single" w:sz="8" w:color="808080"/>
            </w:tcBorders>
            <w:gridSpan w:val="2"/>
          </w:tcPr>
          <w:p>
            <w:pPr>
              <w:spacing w:after="0"/>
              <w:rPr>
                <w:sz w:val="8"/>
                <w:szCs w:val="8"/>
                <w:color w:val="auto"/>
              </w:rPr>
            </w:pPr>
          </w:p>
        </w:tc>
        <w:tc>
          <w:tcPr>
            <w:tcW w:w="2860" w:type="dxa"/>
            <w:vAlign w:val="bottom"/>
            <w:tcBorders>
              <w:bottom w:val="single" w:sz="8" w:color="808080"/>
            </w:tcBorders>
          </w:tcPr>
          <w:p>
            <w:pPr>
              <w:spacing w:after="0"/>
              <w:rPr>
                <w:sz w:val="8"/>
                <w:szCs w:val="8"/>
                <w:color w:val="auto"/>
              </w:rPr>
            </w:pPr>
          </w:p>
        </w:tc>
      </w:tr>
      <w:tr>
        <w:trPr>
          <w:trHeight w:val="237"/>
        </w:trPr>
        <w:tc>
          <w:tcPr>
            <w:tcW w:w="1920" w:type="dxa"/>
            <w:vAlign w:val="bottom"/>
          </w:tcPr>
          <w:p>
            <w:pPr>
              <w:spacing w:after="0"/>
              <w:rPr>
                <w:sz w:val="20"/>
                <w:szCs w:val="20"/>
                <w:color w:val="auto"/>
              </w:rPr>
            </w:pPr>
          </w:p>
        </w:tc>
        <w:tc>
          <w:tcPr>
            <w:tcW w:w="6640" w:type="dxa"/>
            <w:vAlign w:val="bottom"/>
            <w:gridSpan w:val="2"/>
          </w:tcPr>
          <w:p>
            <w:pPr>
              <w:ind w:left="580"/>
              <w:spacing w:after="0"/>
              <w:rPr>
                <w:sz w:val="20"/>
                <w:szCs w:val="20"/>
                <w:color w:val="auto"/>
              </w:rPr>
            </w:pPr>
            <w:r>
              <w:rPr>
                <w:rFonts w:ascii="Arial" w:cs="Arial" w:eastAsia="Arial" w:hAnsi="Arial"/>
                <w:sz w:val="18"/>
                <w:szCs w:val="18"/>
                <w:color w:val="auto"/>
              </w:rPr>
              <w:t>8111 Lyndale Avenue South, Bloomington, Minnesota 55420-1196</w:t>
            </w:r>
          </w:p>
        </w:tc>
        <w:tc>
          <w:tcPr>
            <w:tcW w:w="2860" w:type="dxa"/>
            <w:vAlign w:val="bottom"/>
          </w:tcPr>
          <w:p>
            <w:pPr>
              <w:spacing w:after="0"/>
              <w:rPr>
                <w:sz w:val="20"/>
                <w:szCs w:val="20"/>
                <w:color w:val="auto"/>
              </w:rPr>
            </w:pPr>
          </w:p>
        </w:tc>
      </w:tr>
      <w:tr>
        <w:trPr>
          <w:trHeight w:val="297"/>
        </w:trPr>
        <w:tc>
          <w:tcPr>
            <w:tcW w:w="1920" w:type="dxa"/>
            <w:vAlign w:val="bottom"/>
          </w:tcPr>
          <w:p>
            <w:pPr>
              <w:spacing w:after="0"/>
              <w:rPr>
                <w:sz w:val="24"/>
                <w:szCs w:val="24"/>
                <w:color w:val="auto"/>
              </w:rPr>
            </w:pPr>
          </w:p>
        </w:tc>
        <w:tc>
          <w:tcPr>
            <w:tcW w:w="2800" w:type="dxa"/>
            <w:vAlign w:val="bottom"/>
          </w:tcPr>
          <w:p>
            <w:pPr>
              <w:ind w:left="580"/>
              <w:spacing w:after="0"/>
              <w:rPr>
                <w:sz w:val="20"/>
                <w:szCs w:val="20"/>
                <w:color w:val="auto"/>
              </w:rPr>
            </w:pPr>
            <w:r>
              <w:rPr>
                <w:rFonts w:ascii="Arial" w:cs="Arial" w:eastAsia="Arial" w:hAnsi="Arial"/>
                <w:sz w:val="18"/>
                <w:szCs w:val="18"/>
                <w:color w:val="auto"/>
              </w:rPr>
              <w:t>v952/888-8801</w:t>
            </w:r>
          </w:p>
        </w:tc>
        <w:tc>
          <w:tcPr>
            <w:tcW w:w="3840" w:type="dxa"/>
            <w:vAlign w:val="bottom"/>
          </w:tcPr>
          <w:p>
            <w:pPr>
              <w:ind w:left="2200"/>
              <w:spacing w:after="0"/>
              <w:rPr>
                <w:sz w:val="20"/>
                <w:szCs w:val="20"/>
                <w:color w:val="auto"/>
              </w:rPr>
            </w:pPr>
            <w:r>
              <w:rPr>
                <w:rFonts w:ascii="Arial" w:cs="Arial" w:eastAsia="Arial" w:hAnsi="Arial"/>
                <w:sz w:val="18"/>
                <w:szCs w:val="18"/>
                <w:color w:val="auto"/>
              </w:rPr>
              <w:t>vFAX 952/887-8258</w:t>
            </w:r>
          </w:p>
        </w:tc>
        <w:tc>
          <w:tcPr>
            <w:tcW w:w="2860" w:type="dxa"/>
            <w:vAlign w:val="bottom"/>
          </w:tcPr>
          <w:p>
            <w:pPr>
              <w:spacing w:after="0"/>
              <w:rPr>
                <w:sz w:val="24"/>
                <w:szCs w:val="24"/>
                <w:color w:val="auto"/>
              </w:rPr>
            </w:pPr>
          </w:p>
        </w:tc>
      </w:tr>
      <w:tr>
        <w:trPr>
          <w:trHeight w:val="512"/>
        </w:trPr>
        <w:tc>
          <w:tcPr>
            <w:tcW w:w="1920" w:type="dxa"/>
            <w:vAlign w:val="bottom"/>
          </w:tcPr>
          <w:p>
            <w:pPr>
              <w:spacing w:after="0"/>
              <w:rPr>
                <w:sz w:val="20"/>
                <w:szCs w:val="20"/>
                <w:color w:val="auto"/>
              </w:rPr>
            </w:pPr>
            <w:r>
              <w:rPr>
                <w:rFonts w:ascii="Arial" w:cs="Arial" w:eastAsia="Arial" w:hAnsi="Arial"/>
                <w:sz w:val="18"/>
                <w:szCs w:val="18"/>
                <w:b w:val="1"/>
                <w:bCs w:val="1"/>
                <w:color w:val="auto"/>
              </w:rPr>
              <w:t>Investor Relations</w:t>
            </w:r>
          </w:p>
        </w:tc>
        <w:tc>
          <w:tcPr>
            <w:tcW w:w="2800" w:type="dxa"/>
            <w:vAlign w:val="bottom"/>
          </w:tcPr>
          <w:p>
            <w:pPr>
              <w:spacing w:after="0"/>
              <w:rPr>
                <w:sz w:val="24"/>
                <w:szCs w:val="24"/>
                <w:color w:val="auto"/>
              </w:rPr>
            </w:pPr>
          </w:p>
        </w:tc>
        <w:tc>
          <w:tcPr>
            <w:tcW w:w="3840" w:type="dxa"/>
            <w:vAlign w:val="bottom"/>
          </w:tcPr>
          <w:p>
            <w:pPr>
              <w:ind w:left="560"/>
              <w:spacing w:after="0"/>
              <w:rPr>
                <w:sz w:val="20"/>
                <w:szCs w:val="20"/>
                <w:color w:val="auto"/>
              </w:rPr>
            </w:pPr>
            <w:r>
              <w:rPr>
                <w:rFonts w:ascii="Arial" w:cs="Arial" w:eastAsia="Arial" w:hAnsi="Arial"/>
                <w:sz w:val="18"/>
                <w:szCs w:val="18"/>
                <w:b w:val="1"/>
                <w:bCs w:val="1"/>
                <w:color w:val="auto"/>
              </w:rPr>
              <w:t>Media Relations</w:t>
            </w:r>
          </w:p>
        </w:tc>
        <w:tc>
          <w:tcPr>
            <w:tcW w:w="2860" w:type="dxa"/>
            <w:vAlign w:val="bottom"/>
          </w:tcPr>
          <w:p>
            <w:pPr>
              <w:ind w:left="140"/>
              <w:spacing w:after="0"/>
              <w:rPr>
                <w:sz w:val="20"/>
                <w:szCs w:val="20"/>
                <w:color w:val="auto"/>
              </w:rPr>
            </w:pPr>
            <w:r>
              <w:rPr>
                <w:rFonts w:ascii="Arial" w:cs="Arial" w:eastAsia="Arial" w:hAnsi="Arial"/>
                <w:sz w:val="18"/>
                <w:szCs w:val="18"/>
                <w:b w:val="1"/>
                <w:bCs w:val="1"/>
                <w:color w:val="auto"/>
              </w:rPr>
              <w:t>Web Site</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Stephen P. Wolfe</w:t>
            </w:r>
          </w:p>
        </w:tc>
        <w:tc>
          <w:tcPr>
            <w:tcW w:w="2800" w:type="dxa"/>
            <w:vAlign w:val="bottom"/>
          </w:tcPr>
          <w:p>
            <w:pPr>
              <w:ind w:left="840"/>
              <w:spacing w:after="0"/>
              <w:rPr>
                <w:sz w:val="20"/>
                <w:szCs w:val="20"/>
                <w:color w:val="auto"/>
              </w:rPr>
            </w:pPr>
            <w:r>
              <w:rPr>
                <w:rFonts w:ascii="Arial" w:cs="Arial" w:eastAsia="Arial" w:hAnsi="Arial"/>
                <w:sz w:val="18"/>
                <w:szCs w:val="18"/>
                <w:color w:val="auto"/>
              </w:rPr>
              <w:t>Tom Larson</w:t>
            </w:r>
          </w:p>
        </w:tc>
        <w:tc>
          <w:tcPr>
            <w:tcW w:w="3840" w:type="dxa"/>
            <w:vAlign w:val="bottom"/>
          </w:tcPr>
          <w:p>
            <w:pPr>
              <w:ind w:left="560"/>
              <w:spacing w:after="0"/>
              <w:rPr>
                <w:sz w:val="20"/>
                <w:szCs w:val="20"/>
                <w:color w:val="auto"/>
              </w:rPr>
            </w:pPr>
            <w:r>
              <w:rPr>
                <w:rFonts w:ascii="Arial" w:cs="Arial" w:eastAsia="Arial" w:hAnsi="Arial"/>
                <w:sz w:val="18"/>
                <w:szCs w:val="18"/>
                <w:color w:val="auto"/>
              </w:rPr>
              <w:t>Connie Hawkinson</w:t>
            </w:r>
          </w:p>
        </w:tc>
        <w:tc>
          <w:tcPr>
            <w:tcW w:w="2860" w:type="dxa"/>
            <w:vAlign w:val="bottom"/>
          </w:tcPr>
          <w:p>
            <w:pPr>
              <w:ind w:left="140"/>
              <w:spacing w:after="0"/>
              <w:rPr>
                <w:sz w:val="20"/>
                <w:szCs w:val="20"/>
                <w:color w:val="auto"/>
              </w:rPr>
            </w:pPr>
            <w:r>
              <w:rPr>
                <w:rFonts w:ascii="Arial" w:cs="Arial" w:eastAsia="Arial" w:hAnsi="Arial"/>
                <w:sz w:val="18"/>
                <w:szCs w:val="18"/>
                <w:color w:val="auto"/>
              </w:rPr>
              <w:t>www.thetorocompany.com</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Vice President, CFO</w:t>
            </w:r>
          </w:p>
        </w:tc>
        <w:tc>
          <w:tcPr>
            <w:tcW w:w="2800" w:type="dxa"/>
            <w:vAlign w:val="bottom"/>
          </w:tcPr>
          <w:p>
            <w:pPr>
              <w:ind w:left="840"/>
              <w:spacing w:after="0"/>
              <w:rPr>
                <w:sz w:val="20"/>
                <w:szCs w:val="20"/>
                <w:color w:val="auto"/>
              </w:rPr>
            </w:pPr>
            <w:r>
              <w:rPr>
                <w:rFonts w:ascii="Arial" w:cs="Arial" w:eastAsia="Arial" w:hAnsi="Arial"/>
                <w:sz w:val="18"/>
                <w:szCs w:val="18"/>
                <w:color w:val="auto"/>
              </w:rPr>
              <w:t>Assistant Treasurer</w:t>
            </w:r>
          </w:p>
        </w:tc>
        <w:tc>
          <w:tcPr>
            <w:tcW w:w="3840" w:type="dxa"/>
            <w:vAlign w:val="bottom"/>
          </w:tcPr>
          <w:p>
            <w:pPr>
              <w:ind w:left="560"/>
              <w:spacing w:after="0"/>
              <w:rPr>
                <w:sz w:val="20"/>
                <w:szCs w:val="20"/>
                <w:color w:val="auto"/>
              </w:rPr>
            </w:pPr>
            <w:r>
              <w:rPr>
                <w:rFonts w:ascii="Arial" w:cs="Arial" w:eastAsia="Arial" w:hAnsi="Arial"/>
                <w:sz w:val="18"/>
                <w:szCs w:val="18"/>
                <w:color w:val="auto"/>
              </w:rPr>
              <w:t>Toro Media Relations</w:t>
            </w:r>
          </w:p>
        </w:tc>
        <w:tc>
          <w:tcPr>
            <w:tcW w:w="286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(952) 887-8076</w:t>
            </w:r>
          </w:p>
        </w:tc>
        <w:tc>
          <w:tcPr>
            <w:tcW w:w="2800" w:type="dxa"/>
            <w:vAlign w:val="bottom"/>
          </w:tcPr>
          <w:p>
            <w:pPr>
              <w:ind w:left="840"/>
              <w:spacing w:after="0"/>
              <w:rPr>
                <w:sz w:val="20"/>
                <w:szCs w:val="20"/>
                <w:color w:val="auto"/>
              </w:rPr>
            </w:pPr>
            <w:r>
              <w:rPr>
                <w:rFonts w:ascii="Arial" w:cs="Arial" w:eastAsia="Arial" w:hAnsi="Arial"/>
                <w:sz w:val="18"/>
                <w:szCs w:val="18"/>
                <w:color w:val="auto"/>
              </w:rPr>
              <w:t>(952) 887-8449</w:t>
            </w:r>
          </w:p>
        </w:tc>
        <w:tc>
          <w:tcPr>
            <w:tcW w:w="3840" w:type="dxa"/>
            <w:vAlign w:val="bottom"/>
          </w:tcPr>
          <w:p>
            <w:pPr>
              <w:ind w:left="560"/>
              <w:spacing w:after="0"/>
              <w:rPr>
                <w:sz w:val="20"/>
                <w:szCs w:val="20"/>
                <w:color w:val="auto"/>
              </w:rPr>
            </w:pPr>
            <w:r>
              <w:rPr>
                <w:rFonts w:ascii="Arial" w:cs="Arial" w:eastAsia="Arial" w:hAnsi="Arial"/>
                <w:sz w:val="18"/>
                <w:szCs w:val="18"/>
                <w:color w:val="auto"/>
              </w:rPr>
              <w:t>(952) 887-8984, pr@toro.com</w:t>
            </w:r>
          </w:p>
        </w:tc>
        <w:tc>
          <w:tcPr>
            <w:tcW w:w="2860" w:type="dxa"/>
            <w:vAlign w:val="bottom"/>
          </w:tcPr>
          <w:p>
            <w:pPr>
              <w:spacing w:after="0"/>
              <w:rPr>
                <w:sz w:val="20"/>
                <w:szCs w:val="20"/>
                <w:color w:val="auto"/>
              </w:rPr>
            </w:pPr>
          </w:p>
        </w:tc>
      </w:tr>
    </w:tbl>
    <w:p>
      <w:pPr>
        <w:spacing w:after="0" w:line="171" w:lineRule="exact"/>
        <w:rPr>
          <w:sz w:val="20"/>
          <w:szCs w:val="20"/>
          <w:color w:val="auto"/>
        </w:rPr>
      </w:pPr>
    </w:p>
    <w:p>
      <w:pPr>
        <w:jc w:val="center"/>
        <w:ind w:left="260" w:right="2480"/>
        <w:spacing w:after="0" w:line="459" w:lineRule="auto"/>
        <w:rPr>
          <w:sz w:val="20"/>
          <w:szCs w:val="20"/>
          <w:color w:val="auto"/>
        </w:rPr>
      </w:pPr>
      <w:r>
        <w:rPr>
          <w:rFonts w:ascii="Arial" w:cs="Arial" w:eastAsia="Arial" w:hAnsi="Arial"/>
          <w:sz w:val="18"/>
          <w:szCs w:val="18"/>
          <w:b w:val="1"/>
          <w:bCs w:val="1"/>
          <w:color w:val="auto"/>
        </w:rPr>
        <w:t>TORO REPORTS RECORD SECOND QUARTER SALES AND NET EARNINGS NET EARNINGS UP 24.4% ON 10.5% SALES GROWTH COMPANY AGAIN RAISES OUTLOOK FOR FULL-YEAR EARNINGS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25, 10:00 a.m. 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www.thetorocompany.com/invest</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BLOOMINGTON, Minn. (May 25, 2004) – The Toro Company (NYSE: TTC) today reported record net earnings of $52.2 million, or $2.00 per diluted share, on record net sales of $548.0 million for its fiscal 2004 second quarter ended April 30, 2004. In its fiscal 2003 second quarter, Toro reported net earnings of $42.0 million, or $1.61 per diluted share, on net sales of $495.8 million.</w:t>
      </w:r>
    </w:p>
    <w:p>
      <w:pPr>
        <w:spacing w:after="0" w:line="141"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For the six months ended April 30, 2004, Toro reported net earnings of $61.5 million, or $2.36 per diluted share, on net sales of $861.6 million. In the comparable fiscal 2003 period, Toro reported net earnings of $49.0 million, or $1.89 per diluted share, on net sales of $791.8 million. The company’s results for the 2003 period included a one-time gain of $0.08 per diluted share resulting from a legal settlement.</w:t>
      </w:r>
    </w:p>
    <w:p>
      <w:pPr>
        <w:spacing w:after="0" w:line="154"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“We delivered the strongest quarter performance in our company’s 90-year history,” said Kendrick B. Melrose, The Toro Company Chairman and Chief Executive Officer. “Our financial results continue to be driven by strong sales growth, primarily from products introduced within the past two years, coupled with improved operating effectiveness and asset management.”</w:t>
      </w:r>
    </w:p>
    <w:p>
      <w:pPr>
        <w:spacing w:after="0" w:line="141"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Melrose said sharp growth in walk power mower shipments to the mass channel, increased shipments in nearly all professional segment product categories and strong growth in international shipments drove the 10.5% increase in second quarter net sales. “In our fiscal year to date, we have also benefited from generally favorable weather, including above-average winter snowfalls, a better spring than last year and a stronger economy,” said Melrose. Improved margins, higher shipments during the quarter and favorable foreign currency effects all contributed to the strong second quarter profitability.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2 — Toro Reports Second Quarter Results</w:t>
      </w:r>
    </w:p>
    <w:p>
      <w:pPr>
        <w:spacing w:after="0" w:line="198"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“Our performance in the first half of fiscal 2004 gives us a great start to our 6+8 three year growth and profitability improvement initiative,” said Melrose. “We are confident we can continue to strengthen our operating margins, permitting more investment in innovation, new product development and building our brands to generate top-line growth.”</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Segment data is provided in the table following the “Condensed Consolidated Statements of Earnings.”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189"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For the second quarter, fiscal 2004 professional segment sales increased 7.8% to $338.5 million compared with the same period last year. Segment sales increased in most product categories compared with the prior year quarter.</w:t>
      </w:r>
    </w:p>
    <w:p>
      <w:pPr>
        <w:spacing w:after="0" w:line="130"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International professional segment sales for the fiscal 2004 second quarter increased at double-digit rates compared with the corresponding 2003 period, even excluding favorable foreign currency effects.</w:t>
      </w:r>
    </w:p>
    <w:p>
      <w:pPr>
        <w:spacing w:after="0" w:line="143" w:lineRule="exact"/>
        <w:rPr>
          <w:sz w:val="20"/>
          <w:szCs w:val="20"/>
          <w:color w:val="auto"/>
        </w:rPr>
      </w:pPr>
    </w:p>
    <w:p>
      <w:pPr>
        <w:ind w:right="580" w:firstLine="225"/>
        <w:spacing w:after="0" w:line="342" w:lineRule="auto"/>
        <w:rPr>
          <w:sz w:val="20"/>
          <w:szCs w:val="20"/>
          <w:color w:val="auto"/>
        </w:rPr>
      </w:pPr>
      <w:r>
        <w:rPr>
          <w:rFonts w:ascii="Arial" w:cs="Arial" w:eastAsia="Arial" w:hAnsi="Arial"/>
          <w:sz w:val="16"/>
          <w:szCs w:val="16"/>
          <w:color w:val="auto"/>
        </w:rPr>
        <w:t>Professional segment earnings for the fiscal 2004 second quarter totaled $71.7 million, up 13.1% from the fiscal 2003 second quarter. Professional segment profitability benefited from improved margins on most products, leveraging of expenses and favorable foreign currency effects.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189" w:lineRule="exact"/>
        <w:rPr>
          <w:sz w:val="20"/>
          <w:szCs w:val="20"/>
          <w:color w:val="auto"/>
        </w:rPr>
      </w:pPr>
    </w:p>
    <w:p>
      <w:pPr>
        <w:jc w:val="both"/>
        <w:ind w:right="300" w:firstLine="225"/>
        <w:spacing w:after="0" w:line="264" w:lineRule="auto"/>
        <w:rPr>
          <w:sz w:val="20"/>
          <w:szCs w:val="20"/>
          <w:color w:val="auto"/>
        </w:rPr>
      </w:pPr>
      <w:r>
        <w:rPr>
          <w:rFonts w:ascii="Arial" w:cs="Arial" w:eastAsia="Arial" w:hAnsi="Arial"/>
          <w:sz w:val="18"/>
          <w:szCs w:val="18"/>
          <w:color w:val="auto"/>
        </w:rPr>
        <w:t>Residential segment sales for the fiscal 2004 second quarter totaled $194.8 million, up 13.0% compared with fiscal 2003 second quarter. Shipments of Toro® brand walk power mowers fueled by strong retail demand, was the strongest contributor of the increase. The timing of a retail promotion program benefited the current quarter compared to fiscal 2003 second quarter.</w:t>
      </w:r>
    </w:p>
    <w:p>
      <w:pPr>
        <w:spacing w:after="0" w:line="154"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International residential segment sales for the fiscal 2004 second quarter increased 6.6% compared with the fiscal 2003 second quarter. Most of the increase was attributable to strong demand for Pope® brand irrigation products in Australia.</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3 — Toro Reports Second Quarter Results</w:t>
      </w:r>
    </w:p>
    <w:p>
      <w:pPr>
        <w:spacing w:after="0" w:line="19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Residential segment earnings for the fiscal 2004 second quarter totaled $26.7 million, up 9.7% compared with the fiscal 2003 second quarter. Sales growth outpaced earnings growth primarily due to a change in the sales mix toward lower-margin products.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89"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Worldwide distribution segment sales for the fiscal 2004 second quarter totaled $44.9 million up 27.0% compared with fiscal 2003 second quarter. Strong demand and the previously announced acquisition of a distributor in March 2003 resulted in increased sales at Toro’s company-owned distributors. Distribution segment earnings for the fiscal 2004 second quarter increased to $1.6 million from $0.6 million in the fiscal 2003 second quarter as a result of higher sales volume.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89" w:lineRule="exact"/>
        <w:rPr>
          <w:sz w:val="20"/>
          <w:szCs w:val="20"/>
          <w:color w:val="auto"/>
        </w:rPr>
      </w:pPr>
    </w:p>
    <w:p>
      <w:pPr>
        <w:ind w:right="300" w:firstLine="225"/>
        <w:spacing w:after="0" w:line="342" w:lineRule="auto"/>
        <w:rPr>
          <w:sz w:val="20"/>
          <w:szCs w:val="20"/>
          <w:color w:val="auto"/>
        </w:rPr>
      </w:pPr>
      <w:r>
        <w:rPr>
          <w:rFonts w:ascii="Arial" w:cs="Arial" w:eastAsia="Arial" w:hAnsi="Arial"/>
          <w:sz w:val="16"/>
          <w:szCs w:val="16"/>
          <w:color w:val="auto"/>
        </w:rPr>
        <w:t>Gross margin for the fiscal 2004 second quarter was 36.3% compared with 35.4% in the second quarter of fiscal 2003. The margin improvement in the quarter resulted primarily from the effects of our continued cost management disciplines, increased volumes and favorable foreign currency effects.</w:t>
      </w:r>
    </w:p>
    <w:p>
      <w:pPr>
        <w:spacing w:after="0" w:line="83"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“Our lean manufacturing, “no waste” and productivity improvement initiatives have enabled us to continue to improve our gross margin and offset rising costs for steel and aluminum so far in fiscal 2004,” said Melrose. “We have yet to feel the full impact of some of these cost increases, and as an offensive strategy we are more aggressively implementing additional lean manufacturing programs.”</w:t>
      </w:r>
    </w:p>
    <w:p>
      <w:pPr>
        <w:spacing w:after="0" w:line="154"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Selling, general and administrative (SG&amp;A) expenses for the fiscal 2004 second quarter were 21.4% as a percentage of net sales, compared with 22.4% in the fiscal 2003 second quarter. Engineering costs were up in most areas of the company due to increased spending on new product development and other growth initiatives. This increase was more than offset by lower spending in certain administrative expense areas and leveraging other expenses.</w:t>
      </w:r>
    </w:p>
    <w:p>
      <w:pPr>
        <w:spacing w:after="0" w:line="106"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Interest expense for the fiscal 2004 second quarter was down $0.6 million, or 14.3% compared with the fiscal 2003 second quarter as a result of lower average borrowing levels and the use of earnings to pay down debt.</w:t>
      </w:r>
    </w:p>
    <w:p>
      <w:pPr>
        <w:spacing w:after="0" w:line="130"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Asset management continued to impact the balance sheet favorably, as net inventories at the end of the fiscal 2004 second quarter totaled $238.5 million, down 8.3% from $260.0 million at the end of the fiscal 2003 second quarter.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4 — Toro Reports Second Quarter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89"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“Our results through the first half of our fiscal year have put us ahead of our initial expectations for fiscal 2004 and our momentum for the rest of the year is strong,” said Melrose. “We continue to face rising supplier prices for steel and other commodities, so we have accelerated our profitability improvement efforts to help balance these unexpected raw material cost increases. At the same time, we continue to invest in key growth initiatives to help ensure our sales growth outperforms the market. As always, there are still several months ahead in the season, and therefore, the usual weather uncertainties. Nonetheless, we are raising our estimates to an 8% to 10% increase for fiscal 2004 net sales and an 18% to 23% increase in net earnings per share, up from the 14% to 18% earnings increase we were expecting at the end of our first quarter.”</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Toro Company is a leading worldwide provider of outdoor maintenance and beautification products for home, recreation and commercial landscapes.</w:t>
      </w:r>
    </w:p>
    <w:p>
      <w:pPr>
        <w:spacing w:after="0" w:line="221" w:lineRule="exact"/>
        <w:rPr>
          <w:sz w:val="20"/>
          <w:szCs w:val="20"/>
          <w:color w:val="auto"/>
        </w:rPr>
      </w:pPr>
    </w:p>
    <w:p>
      <w:pPr>
        <w:ind w:right="220" w:firstLine="225"/>
        <w:spacing w:after="0" w:line="286" w:lineRule="auto"/>
        <w:rPr>
          <w:sz w:val="20"/>
          <w:szCs w:val="20"/>
          <w:color w:val="auto"/>
        </w:rPr>
      </w:pPr>
      <w:r>
        <w:rPr>
          <w:rFonts w:ascii="Arial" w:cs="Arial" w:eastAsia="Arial" w:hAnsi="Arial"/>
          <w:sz w:val="17"/>
          <w:szCs w:val="17"/>
          <w:i w:val="1"/>
          <w:iCs w:val="1"/>
          <w:color w:val="auto"/>
        </w:rPr>
        <w:t>The Toro Company will conduct a conference call and webcast for investors beginning at 10:00 a.m. Central Time (CST) on May 25, 2004.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18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slow growth rate in global and domestic economies, resulting in rising unemployment and weakened consumer confidence; our ability to achieve the goals for the “6+8” growth and profit improvement program which is intended to improve our revenue growth and after-tax return on sales; the company’s ability to implement lean manufacturing; our ability to manage assets, such as reducing inventories and receivables; the company’s ability to achieve sales growth and low double-digit diluted earnings per share growth in fiscal 2004; unforeseen product quality problems in the development and production of new and existing products; potential issues with moving production between facilities; continued slow growth in the rate of new golf course construction or existing golf course renovations; increased dependence on The Home Depot as a customer for the residential segment; reduced government spending for grounds maintenance equipment due to reduced tax revenue and tighter government budgets; elimination of shelf space for our products at retailers; changes in raw material costs, including higher oil, steel and aluminum prices; financial viability of distributors and dealers; governmental restriction on water usage and water availability; market acceptance of existing and new products; and increased and adverse changes in currency exchange rates or raw material commodity prices and the costs we incur in providing price support to international customers and suppliers.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tables follow)</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5 — Toro Reports Second Quarter Results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00" w:type="dxa"/>
            <w:vAlign w:val="bottom"/>
            <w:gridSpan w:val="10"/>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40" w:type="dxa"/>
            <w:vAlign w:val="bottom"/>
            <w:gridSpan w:val="11"/>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5"/>
          </w:tcPr>
          <w:p>
            <w:pPr>
              <w:ind w:left="40"/>
              <w:spacing w:after="0"/>
              <w:rPr>
                <w:sz w:val="20"/>
                <w:szCs w:val="20"/>
                <w:color w:val="auto"/>
              </w:rPr>
            </w:pPr>
            <w:r>
              <w:rPr>
                <w:rFonts w:ascii="Arial" w:cs="Arial" w:eastAsia="Arial" w:hAnsi="Arial"/>
                <w:sz w:val="14"/>
                <w:szCs w:val="14"/>
                <w:b w:val="1"/>
                <w:bCs w:val="1"/>
                <w:color w:val="auto"/>
              </w:rPr>
              <w:t>April 30,</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May 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April 30,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May 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13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$548,027</w:t>
            </w:r>
          </w:p>
        </w:tc>
        <w:tc>
          <w:tcPr>
            <w:tcW w:w="30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$495,840</w:t>
            </w:r>
          </w:p>
        </w:tc>
        <w:tc>
          <w:tcPr>
            <w:tcW w:w="28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$861,600</w:t>
            </w:r>
          </w:p>
        </w:tc>
        <w:tc>
          <w:tcPr>
            <w:tcW w:w="30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$791,802</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198,879</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rPr>
              <w:t>175,632</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311,489</w:t>
            </w:r>
          </w:p>
        </w:tc>
        <w:tc>
          <w:tcPr>
            <w:tcW w:w="300" w:type="dxa"/>
            <w:vAlign w:val="bottom"/>
          </w:tcPr>
          <w:p>
            <w:pPr>
              <w:spacing w:after="0"/>
              <w:rPr>
                <w:sz w:val="18"/>
                <w:szCs w:val="18"/>
                <w:color w:val="auto"/>
              </w:rPr>
            </w:pPr>
          </w:p>
        </w:tc>
        <w:tc>
          <w:tcPr>
            <w:tcW w:w="1180" w:type="dxa"/>
            <w:vAlign w:val="bottom"/>
            <w:gridSpan w:val="7"/>
          </w:tcPr>
          <w:p>
            <w:pPr>
              <w:jc w:val="right"/>
              <w:ind w:right="20"/>
              <w:spacing w:after="0"/>
              <w:rPr>
                <w:sz w:val="20"/>
                <w:szCs w:val="20"/>
                <w:color w:val="auto"/>
              </w:rPr>
            </w:pPr>
            <w:r>
              <w:rPr>
                <w:rFonts w:ascii="Arial" w:cs="Arial" w:eastAsia="Arial" w:hAnsi="Arial"/>
                <w:sz w:val="18"/>
                <w:szCs w:val="18"/>
                <w:color w:val="auto"/>
              </w:rPr>
              <w:t>281,213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Gross profit percent</w:t>
            </w:r>
          </w:p>
        </w:tc>
        <w:tc>
          <w:tcPr>
            <w:tcW w:w="4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36.3%</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35.4%</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tcBorders>
              <w:left w:val="single" w:sz="8" w:color="EEEEEE"/>
            </w:tcBorders>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36.2%</w:t>
            </w: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117,211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rPr>
              <w:t>111,259</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213,248</w:t>
            </w:r>
          </w:p>
        </w:tc>
        <w:tc>
          <w:tcPr>
            <w:tcW w:w="300" w:type="dxa"/>
            <w:vAlign w:val="bottom"/>
          </w:tcPr>
          <w:p>
            <w:pPr>
              <w:spacing w:after="0"/>
              <w:rPr>
                <w:sz w:val="18"/>
                <w:szCs w:val="18"/>
                <w:color w:val="auto"/>
              </w:rPr>
            </w:pPr>
          </w:p>
        </w:tc>
        <w:tc>
          <w:tcPr>
            <w:tcW w:w="1180" w:type="dxa"/>
            <w:vAlign w:val="bottom"/>
            <w:gridSpan w:val="7"/>
          </w:tcPr>
          <w:p>
            <w:pPr>
              <w:jc w:val="right"/>
              <w:ind w:right="20"/>
              <w:spacing w:after="0"/>
              <w:rPr>
                <w:sz w:val="20"/>
                <w:szCs w:val="20"/>
                <w:color w:val="auto"/>
              </w:rPr>
            </w:pPr>
            <w:r>
              <w:rPr>
                <w:rFonts w:ascii="Arial" w:cs="Arial" w:eastAsia="Arial" w:hAnsi="Arial"/>
                <w:sz w:val="18"/>
                <w:szCs w:val="18"/>
                <w:color w:val="auto"/>
              </w:rPr>
              <w:t>207,610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Restructuring and other income</w:t>
            </w:r>
          </w:p>
        </w:tc>
        <w:tc>
          <w:tcPr>
            <w:tcW w:w="4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(64)</w:t>
            </w:r>
          </w:p>
        </w:tc>
        <w:tc>
          <w:tcPr>
            <w:tcW w:w="30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tcBorders>
              <w:left w:val="single" w:sz="8" w:color="EEEEEE"/>
            </w:tcBorders>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(86)</w:t>
            </w: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ind w:left="260"/>
              <w:spacing w:after="0"/>
              <w:rPr>
                <w:sz w:val="20"/>
                <w:szCs w:val="20"/>
                <w:color w:val="auto"/>
              </w:rPr>
            </w:pPr>
            <w:r>
              <w:rPr>
                <w:rFonts w:ascii="Arial" w:cs="Arial" w:eastAsia="Arial" w:hAnsi="Arial"/>
                <w:sz w:val="18"/>
                <w:szCs w:val="18"/>
                <w:color w:val="auto"/>
              </w:rPr>
              <w:t>Earnings from operations</w:t>
            </w: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54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54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54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808080"/>
            </w:tcBorders>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81,732</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64,552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98,327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73,782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(3,702)</w:t>
            </w:r>
          </w:p>
        </w:tc>
        <w:tc>
          <w:tcPr>
            <w:tcW w:w="30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(4,320)</w:t>
            </w:r>
          </w:p>
        </w:tc>
        <w:tc>
          <w:tcPr>
            <w:tcW w:w="28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tcBorders>
              <w:left w:val="single" w:sz="8" w:color="EEEEEE"/>
            </w:tcBorders>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(7,584)</w:t>
            </w: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ind w:right="260"/>
              <w:spacing w:after="0"/>
              <w:rPr>
                <w:sz w:val="20"/>
                <w:szCs w:val="20"/>
                <w:color w:val="auto"/>
              </w:rPr>
            </w:pPr>
            <w:r>
              <w:rPr>
                <w:rFonts w:ascii="Arial" w:cs="Arial" w:eastAsia="Arial" w:hAnsi="Arial"/>
                <w:sz w:val="18"/>
                <w:szCs w:val="18"/>
                <w:color w:val="auto"/>
              </w:rPr>
              <w:t>(8,412)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income, net</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2,410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1,774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7,692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808080"/>
          </w:tcPr>
          <w:p>
            <w:pPr>
              <w:spacing w:after="0"/>
              <w:rPr>
                <w:sz w:val="2"/>
                <w:szCs w:val="2"/>
                <w:color w:val="auto"/>
              </w:rPr>
            </w:pPr>
          </w:p>
        </w:tc>
        <w:tc>
          <w:tcPr>
            <w:tcW w:w="54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808080"/>
          </w:tcPr>
          <w:p>
            <w:pPr>
              <w:spacing w:after="0"/>
              <w:rPr>
                <w:sz w:val="2"/>
                <w:szCs w:val="2"/>
                <w:color w:val="auto"/>
              </w:rPr>
            </w:pPr>
          </w:p>
        </w:tc>
        <w:tc>
          <w:tcPr>
            <w:tcW w:w="54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left w:val="single" w:sz="8" w:color="808080"/>
            </w:tcBorders>
            <w:shd w:val="clear" w:color="auto" w:fill="808080"/>
          </w:tcPr>
          <w:p>
            <w:pPr>
              <w:spacing w:after="0"/>
              <w:rPr>
                <w:sz w:val="2"/>
                <w:szCs w:val="2"/>
                <w:color w:val="auto"/>
              </w:rPr>
            </w:pPr>
          </w:p>
        </w:tc>
        <w:tc>
          <w:tcPr>
            <w:tcW w:w="54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shd w:val="clear" w:color="auto" w:fill="808080"/>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Earnings before income taxes</w:t>
            </w:r>
          </w:p>
        </w:tc>
        <w:tc>
          <w:tcPr>
            <w:tcW w:w="4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78,495</w:t>
            </w:r>
          </w:p>
        </w:tc>
        <w:tc>
          <w:tcPr>
            <w:tcW w:w="30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62,642</w:t>
            </w:r>
          </w:p>
        </w:tc>
        <w:tc>
          <w:tcPr>
            <w:tcW w:w="2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lef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92,517</w:t>
            </w:r>
          </w:p>
        </w:tc>
        <w:tc>
          <w:tcPr>
            <w:tcW w:w="2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8"/>
              </w:rPr>
              <w:t>73,062</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26,296</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20,671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30,993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24,110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808080"/>
          </w:tcPr>
          <w:p>
            <w:pPr>
              <w:spacing w:after="0"/>
              <w:rPr>
                <w:sz w:val="2"/>
                <w:szCs w:val="2"/>
                <w:color w:val="auto"/>
              </w:rPr>
            </w:pPr>
          </w:p>
        </w:tc>
        <w:tc>
          <w:tcPr>
            <w:tcW w:w="54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808080"/>
          </w:tcPr>
          <w:p>
            <w:pPr>
              <w:spacing w:after="0"/>
              <w:rPr>
                <w:sz w:val="2"/>
                <w:szCs w:val="2"/>
                <w:color w:val="auto"/>
              </w:rPr>
            </w:pPr>
          </w:p>
        </w:tc>
        <w:tc>
          <w:tcPr>
            <w:tcW w:w="54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left w:val="single" w:sz="8" w:color="808080"/>
            </w:tcBorders>
            <w:shd w:val="clear" w:color="auto" w:fill="808080"/>
          </w:tcPr>
          <w:p>
            <w:pPr>
              <w:spacing w:after="0"/>
              <w:rPr>
                <w:sz w:val="2"/>
                <w:szCs w:val="2"/>
                <w:color w:val="auto"/>
              </w:rPr>
            </w:pPr>
          </w:p>
        </w:tc>
        <w:tc>
          <w:tcPr>
            <w:tcW w:w="54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shd w:val="clear" w:color="auto" w:fill="808080"/>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earnings</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52,199</w:t>
            </w:r>
          </w:p>
        </w:tc>
        <w:tc>
          <w:tcPr>
            <w:tcW w:w="300" w:type="dxa"/>
            <w:vAlign w:val="bottom"/>
            <w:tcBorders>
              <w:left w:val="single" w:sz="8" w:color="EEEEEE"/>
            </w:tcBorders>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9"/>
                <w:szCs w:val="19"/>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41,971</w:t>
            </w:r>
          </w:p>
        </w:tc>
        <w:tc>
          <w:tcPr>
            <w:tcW w:w="20" w:type="dxa"/>
            <w:vAlign w:val="bottom"/>
            <w:shd w:val="clear" w:color="auto" w:fill="EEEEEE"/>
          </w:tcPr>
          <w:p>
            <w:pPr>
              <w:spacing w:after="0"/>
              <w:rPr>
                <w:sz w:val="19"/>
                <w:szCs w:val="19"/>
                <w:color w:val="auto"/>
              </w:rPr>
            </w:pPr>
          </w:p>
        </w:tc>
        <w:tc>
          <w:tcPr>
            <w:tcW w:w="280" w:type="dxa"/>
            <w:vAlign w:val="bottom"/>
            <w:tcBorders>
              <w:left w:val="single" w:sz="8" w:color="EEEEEE"/>
            </w:tcBorders>
            <w:shd w:val="clear" w:color="auto" w:fill="EEEEEE"/>
          </w:tcPr>
          <w:p>
            <w:pPr>
              <w:spacing w:after="0"/>
              <w:rPr>
                <w:sz w:val="19"/>
                <w:szCs w:val="19"/>
                <w:color w:val="auto"/>
              </w:rPr>
            </w:pPr>
          </w:p>
        </w:tc>
        <w:tc>
          <w:tcPr>
            <w:tcW w:w="560" w:type="dxa"/>
            <w:vAlign w:val="bottom"/>
            <w:gridSpan w:val="4"/>
            <w:shd w:val="clear" w:color="auto" w:fill="EEEEEE"/>
          </w:tcPr>
          <w:p>
            <w:pPr>
              <w:ind w:left="480"/>
              <w:spacing w:after="0"/>
              <w:rPr>
                <w:sz w:val="20"/>
                <w:szCs w:val="20"/>
                <w:color w:val="auto"/>
              </w:rPr>
            </w:pPr>
            <w:r>
              <w:rPr>
                <w:rFonts w:ascii="Arial" w:cs="Arial" w:eastAsia="Arial" w:hAnsi="Arial"/>
                <w:sz w:val="10"/>
                <w:szCs w:val="10"/>
                <w:color w:val="auto"/>
                <w:w w:val="71"/>
              </w:rPr>
              <w:t>$</w:t>
            </w:r>
          </w:p>
        </w:tc>
        <w:tc>
          <w:tcPr>
            <w:tcW w:w="620" w:type="dxa"/>
            <w:vAlign w:val="bottom"/>
            <w:tcBorders>
              <w:lef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61,524</w:t>
            </w:r>
          </w:p>
        </w:tc>
        <w:tc>
          <w:tcPr>
            <w:tcW w:w="300" w:type="dxa"/>
            <w:vAlign w:val="bottom"/>
            <w:tcBorders>
              <w:left w:val="single" w:sz="8" w:color="EEEEEE"/>
            </w:tcBorders>
            <w:shd w:val="clear" w:color="auto" w:fill="EEEEEE"/>
          </w:tcPr>
          <w:p>
            <w:pPr>
              <w:spacing w:after="0"/>
              <w:rPr>
                <w:sz w:val="19"/>
                <w:szCs w:val="19"/>
                <w:color w:val="auto"/>
              </w:rPr>
            </w:pPr>
          </w:p>
        </w:tc>
        <w:tc>
          <w:tcPr>
            <w:tcW w:w="60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8"/>
              </w:rPr>
              <w:t>48,952</w:t>
            </w:r>
          </w:p>
        </w:tc>
        <w:tc>
          <w:tcPr>
            <w:tcW w:w="30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Basic net earnings per share</w:t>
            </w:r>
          </w:p>
        </w:tc>
        <w:tc>
          <w:tcPr>
            <w:tcW w:w="70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80" w:type="dxa"/>
            <w:vAlign w:val="bottom"/>
            <w:vMerge w:val="restart"/>
          </w:tcPr>
          <w:p>
            <w:pPr>
              <w:spacing w:after="0"/>
              <w:rPr>
                <w:sz w:val="5"/>
                <w:szCs w:val="5"/>
                <w:color w:val="auto"/>
              </w:rPr>
            </w:pPr>
          </w:p>
        </w:tc>
        <w:tc>
          <w:tcPr>
            <w:tcW w:w="560" w:type="dxa"/>
            <w:vAlign w:val="bottom"/>
            <w:gridSpan w:val="4"/>
            <w:vMerge w:val="restart"/>
          </w:tcPr>
          <w:p>
            <w:pPr>
              <w:ind w:left="480"/>
              <w:spacing w:after="0"/>
              <w:rPr>
                <w:sz w:val="20"/>
                <w:szCs w:val="20"/>
                <w:color w:val="auto"/>
              </w:rPr>
            </w:pPr>
            <w:r>
              <w:rPr>
                <w:rFonts w:ascii="Arial" w:cs="Arial" w:eastAsia="Arial" w:hAnsi="Arial"/>
                <w:sz w:val="10"/>
                <w:szCs w:val="10"/>
                <w:color w:val="auto"/>
                <w:w w:val="71"/>
              </w:rPr>
              <w:t>$</w:t>
            </w:r>
          </w:p>
        </w:tc>
        <w:tc>
          <w:tcPr>
            <w:tcW w:w="60" w:type="dxa"/>
            <w:vAlign w:val="bottom"/>
            <w:tcBorders>
              <w:left w:val="single" w:sz="8" w:color="808080"/>
            </w:tcBorders>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00" w:type="dxa"/>
            <w:vAlign w:val="bottom"/>
            <w:vMerge w:val="restart"/>
          </w:tcPr>
          <w:p>
            <w:pPr>
              <w:spacing w:after="0"/>
              <w:rPr>
                <w:sz w:val="5"/>
                <w:szCs w:val="5"/>
                <w:color w:val="auto"/>
              </w:rPr>
            </w:pPr>
          </w:p>
        </w:tc>
        <w:tc>
          <w:tcPr>
            <w:tcW w:w="58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5400" w:type="dxa"/>
            <w:vAlign w:val="bottom"/>
            <w:gridSpan w:val="2"/>
            <w:vMerge w:val="continue"/>
          </w:tcPr>
          <w:p>
            <w:pPr>
              <w:spacing w:after="0"/>
              <w:rPr>
                <w:sz w:val="20"/>
                <w:szCs w:val="20"/>
                <w:color w:val="auto"/>
              </w:rPr>
            </w:pPr>
          </w:p>
        </w:tc>
        <w:tc>
          <w:tcPr>
            <w:tcW w:w="700" w:type="dxa"/>
            <w:vAlign w:val="bottom"/>
            <w:gridSpan w:val="3"/>
            <w:vMerge w:val="continue"/>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280" w:type="dxa"/>
            <w:vAlign w:val="bottom"/>
            <w:vMerge w:val="continue"/>
          </w:tcPr>
          <w:p>
            <w:pPr>
              <w:spacing w:after="0"/>
              <w:rPr>
                <w:sz w:val="20"/>
                <w:szCs w:val="20"/>
                <w:color w:val="auto"/>
              </w:rPr>
            </w:pPr>
          </w:p>
        </w:tc>
        <w:tc>
          <w:tcPr>
            <w:tcW w:w="560" w:type="dxa"/>
            <w:vAlign w:val="bottom"/>
            <w:gridSpan w:val="4"/>
            <w:vMerge w:val="continue"/>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2.47</w:t>
            </w:r>
          </w:p>
        </w:tc>
        <w:tc>
          <w:tcPr>
            <w:tcW w:w="300" w:type="dxa"/>
            <w:vAlign w:val="bottom"/>
            <w:vMerge w:val="continue"/>
          </w:tcPr>
          <w:p>
            <w:pPr>
              <w:spacing w:after="0"/>
              <w:rPr>
                <w:sz w:val="20"/>
                <w:szCs w:val="20"/>
                <w:color w:val="auto"/>
              </w:rPr>
            </w:pPr>
          </w:p>
        </w:tc>
        <w:tc>
          <w:tcPr>
            <w:tcW w:w="58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Borders>
              <w:left w:val="single" w:sz="8" w:color="808080"/>
            </w:tcBorders>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Diluted net earnings per share</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Borders>
              <w:left w:val="single" w:sz="8" w:color="EEEEEE"/>
            </w:tcBorders>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1.61</w:t>
            </w:r>
          </w:p>
        </w:tc>
        <w:tc>
          <w:tcPr>
            <w:tcW w:w="280" w:type="dxa"/>
            <w:vAlign w:val="bottom"/>
            <w:tcBorders>
              <w:left w:val="single" w:sz="8" w:color="EEEEEE"/>
            </w:tcBorders>
            <w:shd w:val="clear" w:color="auto" w:fill="EEEEEE"/>
          </w:tcPr>
          <w:p>
            <w:pPr>
              <w:spacing w:after="0"/>
              <w:rPr>
                <w:sz w:val="19"/>
                <w:szCs w:val="19"/>
                <w:color w:val="auto"/>
              </w:rPr>
            </w:pPr>
          </w:p>
        </w:tc>
        <w:tc>
          <w:tcPr>
            <w:tcW w:w="560" w:type="dxa"/>
            <w:vAlign w:val="bottom"/>
            <w:gridSpan w:val="4"/>
            <w:shd w:val="clear" w:color="auto" w:fill="EEEEEE"/>
          </w:tcPr>
          <w:p>
            <w:pPr>
              <w:ind w:left="480"/>
              <w:spacing w:after="0"/>
              <w:rPr>
                <w:sz w:val="20"/>
                <w:szCs w:val="20"/>
                <w:color w:val="auto"/>
              </w:rPr>
            </w:pPr>
            <w:r>
              <w:rPr>
                <w:rFonts w:ascii="Arial" w:cs="Arial" w:eastAsia="Arial" w:hAnsi="Arial"/>
                <w:sz w:val="10"/>
                <w:szCs w:val="10"/>
                <w:color w:val="auto"/>
                <w:w w:val="71"/>
              </w:rPr>
              <w:t>$</w:t>
            </w:r>
          </w:p>
        </w:tc>
        <w:tc>
          <w:tcPr>
            <w:tcW w:w="620" w:type="dxa"/>
            <w:vAlign w:val="bottom"/>
            <w:tcBorders>
              <w:lef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2.36</w:t>
            </w:r>
          </w:p>
        </w:tc>
        <w:tc>
          <w:tcPr>
            <w:tcW w:w="300" w:type="dxa"/>
            <w:vAlign w:val="bottom"/>
            <w:tcBorders>
              <w:left w:val="single" w:sz="8" w:color="EEEEEE"/>
            </w:tcBorders>
            <w:shd w:val="clear" w:color="auto" w:fill="EEEEEE"/>
          </w:tcPr>
          <w:p>
            <w:pPr>
              <w:spacing w:after="0"/>
              <w:rPr>
                <w:sz w:val="19"/>
                <w:szCs w:val="19"/>
                <w:color w:val="auto"/>
              </w:rPr>
            </w:pPr>
          </w:p>
        </w:tc>
        <w:tc>
          <w:tcPr>
            <w:tcW w:w="60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1.89</w:t>
            </w:r>
          </w:p>
        </w:tc>
        <w:tc>
          <w:tcPr>
            <w:tcW w:w="30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w w:val="90"/>
              </w:rPr>
              <w:t>Weighted average number of shares of common stock outstanding – Basic</w:t>
            </w: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54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54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left w:val="single" w:sz="8" w:color="808080"/>
            </w:tcBorders>
            <w:shd w:val="clear" w:color="auto" w:fill="808080"/>
          </w:tcPr>
          <w:p>
            <w:pPr>
              <w:spacing w:after="0"/>
              <w:rPr>
                <w:sz w:val="6"/>
                <w:szCs w:val="6"/>
                <w:color w:val="auto"/>
              </w:rPr>
            </w:pPr>
          </w:p>
        </w:tc>
        <w:tc>
          <w:tcPr>
            <w:tcW w:w="54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540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24,800</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25,006</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24,863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24,964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Weighted average number of shares of common stock outstanding –</w:t>
            </w:r>
          </w:p>
        </w:tc>
        <w:tc>
          <w:tcPr>
            <w:tcW w:w="4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00" w:type="dxa"/>
            <w:vAlign w:val="bottom"/>
            <w:tcBorders>
              <w:left w:val="single" w:sz="8" w:color="EEEEEE"/>
            </w:tcBorders>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80" w:type="dxa"/>
            <w:vAlign w:val="bottom"/>
            <w:tcBorders>
              <w:left w:val="single" w:sz="8" w:color="EEEEEE"/>
            </w:tcBorders>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0" w:type="dxa"/>
            <w:vAlign w:val="bottom"/>
            <w:tcBorders>
              <w:left w:val="single" w:sz="8" w:color="EEEEEE"/>
            </w:tcBorders>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00" w:type="dxa"/>
            <w:vAlign w:val="bottom"/>
            <w:tcBorders>
              <w:left w:val="single" w:sz="8" w:color="EEEEEE"/>
            </w:tcBorders>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0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Dilutive</w:t>
            </w:r>
          </w:p>
        </w:tc>
        <w:tc>
          <w:tcPr>
            <w:tcW w:w="42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26,089</w:t>
            </w:r>
          </w:p>
        </w:tc>
        <w:tc>
          <w:tcPr>
            <w:tcW w:w="300" w:type="dxa"/>
            <w:vAlign w:val="bottom"/>
            <w:tcBorders>
              <w:left w:val="single" w:sz="8" w:color="EEEEEE"/>
            </w:tcBorders>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4"/>
              </w:rPr>
              <w:t>26,021</w:t>
            </w:r>
          </w:p>
        </w:tc>
        <w:tc>
          <w:tcPr>
            <w:tcW w:w="280" w:type="dxa"/>
            <w:vAlign w:val="bottom"/>
            <w:tcBorders>
              <w:left w:val="single" w:sz="8" w:color="EEEEEE"/>
            </w:tcBorders>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620" w:type="dxa"/>
            <w:vAlign w:val="bottom"/>
            <w:tcBorders>
              <w:lef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26,115</w:t>
            </w:r>
          </w:p>
        </w:tc>
        <w:tc>
          <w:tcPr>
            <w:tcW w:w="300" w:type="dxa"/>
            <w:vAlign w:val="bottom"/>
            <w:tcBorders>
              <w:left w:val="single" w:sz="8" w:color="EEEEEE"/>
            </w:tcBorders>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8"/>
              </w:rPr>
              <w:t>25,910</w:t>
            </w:r>
          </w:p>
        </w:tc>
        <w:tc>
          <w:tcPr>
            <w:tcW w:w="30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7260" w:type="dxa"/>
            <w:vAlign w:val="bottom"/>
            <w:gridSpan w:val="9"/>
          </w:tcPr>
          <w:p>
            <w:pPr>
              <w:jc w:val="center"/>
              <w:ind w:left="4030"/>
              <w:spacing w:after="0"/>
              <w:rPr>
                <w:sz w:val="20"/>
                <w:szCs w:val="20"/>
                <w:color w:val="auto"/>
              </w:rPr>
            </w:pPr>
            <w:r>
              <w:rPr>
                <w:rFonts w:ascii="Arial" w:cs="Arial" w:eastAsia="Arial" w:hAnsi="Arial"/>
                <w:sz w:val="18"/>
                <w:szCs w:val="18"/>
                <w:b w:val="1"/>
                <w:bCs w:val="1"/>
                <w:color w:val="auto"/>
                <w:w w:val="89"/>
              </w:rPr>
              <w:t>Net Sales by Segment (Unaudited)</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gridSpan w:val="9"/>
          </w:tcPr>
          <w:p>
            <w:pPr>
              <w:jc w:val="center"/>
              <w:ind w:left="4030"/>
              <w:spacing w:after="0"/>
              <w:rPr>
                <w:sz w:val="20"/>
                <w:szCs w:val="20"/>
                <w:color w:val="auto"/>
              </w:rPr>
            </w:pPr>
            <w:r>
              <w:rPr>
                <w:rFonts w:ascii="Arial" w:cs="Arial" w:eastAsia="Arial" w:hAnsi="Arial"/>
                <w:sz w:val="18"/>
                <w:szCs w:val="18"/>
                <w:b w:val="1"/>
                <w:bCs w:val="1"/>
                <w:color w:val="auto"/>
                <w:w w:val="89"/>
              </w:rPr>
              <w:t>(Dollars in thousands)</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9"/>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gridSpan w:val="10"/>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gridSpan w:val="11"/>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gridSpan w:val="2"/>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gridSpan w:val="2"/>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gridSpan w:val="2"/>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gridSpan w:val="2"/>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4"/>
          </w:tcPr>
          <w:p>
            <w:pPr>
              <w:ind w:left="20"/>
              <w:spacing w:after="0"/>
              <w:rPr>
                <w:sz w:val="20"/>
                <w:szCs w:val="20"/>
                <w:color w:val="auto"/>
              </w:rPr>
            </w:pPr>
            <w:r>
              <w:rPr>
                <w:rFonts w:ascii="Arial" w:cs="Arial" w:eastAsia="Arial" w:hAnsi="Arial"/>
                <w:sz w:val="14"/>
                <w:szCs w:val="14"/>
                <w:b w:val="1"/>
                <w:bCs w:val="1"/>
                <w:color w:val="auto"/>
              </w:rPr>
              <w:t>April 30,</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May 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April 30,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8"/>
              </w:rPr>
              <w:t>May 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jc w:val="right"/>
              <w:ind w:right="1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3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300" w:type="dxa"/>
            <w:vAlign w:val="bottom"/>
            <w:tcBorders>
              <w:bottom w:val="single" w:sz="8" w:color="808080"/>
            </w:tcBorders>
            <w:gridSpan w:val="2"/>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Borders>
              <w:bottom w:val="single" w:sz="8" w:color="808080"/>
            </w:tcBorders>
            <w:gridSpan w:val="2"/>
          </w:tcPr>
          <w:p>
            <w:pPr>
              <w:spacing w:after="0"/>
              <w:rPr>
                <w:sz w:val="4"/>
                <w:szCs w:val="4"/>
                <w:color w:val="auto"/>
              </w:rPr>
            </w:pPr>
          </w:p>
        </w:tc>
        <w:tc>
          <w:tcPr>
            <w:tcW w:w="560" w:type="dxa"/>
            <w:vAlign w:val="bottom"/>
            <w:tcBorders>
              <w:bottom w:val="single" w:sz="8" w:color="808080"/>
            </w:tcBorders>
            <w:gridSpan w:val="2"/>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80" w:type="dxa"/>
            <w:vAlign w:val="bottom"/>
            <w:gridSpan w:val="2"/>
          </w:tcPr>
          <w:p>
            <w:pPr>
              <w:spacing w:after="0"/>
              <w:rPr>
                <w:sz w:val="4"/>
                <w:szCs w:val="4"/>
                <w:color w:val="auto"/>
              </w:rPr>
            </w:pPr>
          </w:p>
        </w:tc>
        <w:tc>
          <w:tcPr>
            <w:tcW w:w="300" w:type="dxa"/>
            <w:vAlign w:val="bottom"/>
            <w:tcBorders>
              <w:bottom w:val="single" w:sz="8" w:color="808080"/>
            </w:tcBorders>
            <w:gridSpan w:val="2"/>
          </w:tcPr>
          <w:p>
            <w:pPr>
              <w:spacing w:after="0"/>
              <w:rPr>
                <w:sz w:val="4"/>
                <w:szCs w:val="4"/>
                <w:color w:val="auto"/>
              </w:rPr>
            </w:pPr>
          </w:p>
        </w:tc>
        <w:tc>
          <w:tcPr>
            <w:tcW w:w="560" w:type="dxa"/>
            <w:vAlign w:val="bottom"/>
            <w:tcBorders>
              <w:bottom w:val="single" w:sz="8" w:color="808080"/>
            </w:tcBorders>
            <w:gridSpan w:val="2"/>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80" w:type="dxa"/>
            <w:vAlign w:val="bottom"/>
            <w:gridSpan w:val="2"/>
          </w:tcPr>
          <w:p>
            <w:pPr>
              <w:spacing w:after="0"/>
              <w:rPr>
                <w:sz w:val="4"/>
                <w:szCs w:val="4"/>
                <w:color w:val="auto"/>
              </w:rPr>
            </w:pPr>
          </w:p>
        </w:tc>
        <w:tc>
          <w:tcPr>
            <w:tcW w:w="300" w:type="dxa"/>
            <w:vAlign w:val="bottom"/>
            <w:tcBorders>
              <w:bottom w:val="single" w:sz="8" w:color="808080"/>
            </w:tcBorders>
            <w:gridSpan w:val="2"/>
          </w:tcPr>
          <w:p>
            <w:pPr>
              <w:spacing w:after="0"/>
              <w:rPr>
                <w:sz w:val="4"/>
                <w:szCs w:val="4"/>
                <w:color w:val="auto"/>
              </w:rPr>
            </w:pPr>
          </w:p>
        </w:tc>
        <w:tc>
          <w:tcPr>
            <w:tcW w:w="580" w:type="dxa"/>
            <w:vAlign w:val="bottom"/>
            <w:tcBorders>
              <w:bottom w:val="single" w:sz="8" w:color="808080"/>
            </w:tcBorders>
            <w:gridSpan w:val="2"/>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Professional</w:t>
            </w:r>
          </w:p>
        </w:tc>
        <w:tc>
          <w:tcPr>
            <w:tcW w:w="13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$338,524</w:t>
            </w:r>
          </w:p>
        </w:tc>
        <w:tc>
          <w:tcPr>
            <w:tcW w:w="30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$314,116</w:t>
            </w:r>
          </w:p>
        </w:tc>
        <w:tc>
          <w:tcPr>
            <w:tcW w:w="28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$546,202</w:t>
            </w:r>
          </w:p>
        </w:tc>
        <w:tc>
          <w:tcPr>
            <w:tcW w:w="300" w:type="dxa"/>
            <w:vAlign w:val="bottom"/>
            <w:tcBorders>
              <w:left w:val="single" w:sz="8" w:color="EEEEEE"/>
            </w:tcBorders>
            <w:shd w:val="clear" w:color="auto" w:fill="EEEEEE"/>
          </w:tcPr>
          <w:p>
            <w:pPr>
              <w:spacing w:after="0"/>
              <w:rPr>
                <w:sz w:val="18"/>
                <w:szCs w:val="18"/>
                <w:color w:val="auto"/>
              </w:rPr>
            </w:pPr>
          </w:p>
        </w:tc>
        <w:tc>
          <w:tcPr>
            <w:tcW w:w="6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9"/>
              </w:rPr>
              <w:t>507,560</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194,838</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172,469</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8"/>
              </w:rPr>
              <w:t>292,725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9"/>
              </w:rPr>
              <w:t>267,134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Distribution</w:t>
            </w:r>
          </w:p>
        </w:tc>
        <w:tc>
          <w:tcPr>
            <w:tcW w:w="4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44,880</w:t>
            </w:r>
          </w:p>
        </w:tc>
        <w:tc>
          <w:tcPr>
            <w:tcW w:w="30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35,348</w:t>
            </w:r>
          </w:p>
        </w:tc>
        <w:tc>
          <w:tcPr>
            <w:tcW w:w="28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tcBorders>
              <w:lef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64,533</w:t>
            </w:r>
          </w:p>
        </w:tc>
        <w:tc>
          <w:tcPr>
            <w:tcW w:w="30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53,948</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(30,215)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w w:val="95"/>
              </w:rPr>
              <w:t>(26,093)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4"/>
          </w:tcPr>
          <w:p>
            <w:pPr>
              <w:jc w:val="right"/>
              <w:ind w:right="200"/>
              <w:spacing w:after="0"/>
              <w:rPr>
                <w:sz w:val="20"/>
                <w:szCs w:val="20"/>
                <w:color w:val="auto"/>
              </w:rPr>
            </w:pPr>
            <w:r>
              <w:rPr>
                <w:rFonts w:ascii="Arial" w:cs="Arial" w:eastAsia="Arial" w:hAnsi="Arial"/>
                <w:sz w:val="18"/>
                <w:szCs w:val="18"/>
                <w:color w:val="auto"/>
              </w:rPr>
              <w:t>(41,860)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(36,840)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808080"/>
            </w:tcBorders>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808080"/>
            </w:tcBorders>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w:t>
            </w:r>
          </w:p>
        </w:tc>
        <w:tc>
          <w:tcPr>
            <w:tcW w:w="13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$548,027</w:t>
            </w:r>
          </w:p>
        </w:tc>
        <w:tc>
          <w:tcPr>
            <w:tcW w:w="300" w:type="dxa"/>
            <w:vAlign w:val="bottom"/>
            <w:tcBorders>
              <w:lef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$495,840</w:t>
            </w:r>
          </w:p>
        </w:tc>
        <w:tc>
          <w:tcPr>
            <w:tcW w:w="28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$861,600</w:t>
            </w:r>
          </w:p>
        </w:tc>
        <w:tc>
          <w:tcPr>
            <w:tcW w:w="300" w:type="dxa"/>
            <w:vAlign w:val="bottom"/>
            <w:tcBorders>
              <w:left w:val="single" w:sz="8" w:color="EEEEEE"/>
            </w:tcBorders>
            <w:shd w:val="clear" w:color="auto" w:fill="EEEEEE"/>
          </w:tcPr>
          <w:p>
            <w:pPr>
              <w:spacing w:after="0"/>
              <w:rPr>
                <w:sz w:val="18"/>
                <w:szCs w:val="18"/>
                <w:color w:val="auto"/>
              </w:rPr>
            </w:pPr>
          </w:p>
        </w:tc>
        <w:tc>
          <w:tcPr>
            <w:tcW w:w="6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9"/>
              </w:rPr>
              <w:t>791,802</w:t>
            </w:r>
          </w:p>
        </w:tc>
        <w:tc>
          <w:tcPr>
            <w:tcW w:w="3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38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gridSpan w:val="4"/>
          </w:tcPr>
          <w:p>
            <w:pPr>
              <w:spacing w:after="0"/>
              <w:rPr>
                <w:sz w:val="3"/>
                <w:szCs w:val="3"/>
                <w:color w:val="auto"/>
              </w:rPr>
            </w:pPr>
          </w:p>
        </w:tc>
        <w:tc>
          <w:tcPr>
            <w:tcW w:w="540" w:type="dxa"/>
            <w:vAlign w:val="bottom"/>
            <w:tcBorders>
              <w:top w:val="single" w:sz="8" w:color="808080"/>
            </w:tcBorders>
            <w:shd w:val="clear" w:color="auto" w:fill="808080"/>
          </w:tcPr>
          <w:p>
            <w:pPr>
              <w:spacing w:after="0"/>
              <w:rPr>
                <w:sz w:val="3"/>
                <w:szCs w:val="3"/>
                <w:color w:val="auto"/>
              </w:rPr>
            </w:pPr>
          </w:p>
        </w:tc>
        <w:tc>
          <w:tcPr>
            <w:tcW w:w="300" w:type="dxa"/>
            <w:vAlign w:val="bottom"/>
            <w:tcBorders>
              <w:top w:val="single" w:sz="8" w:color="EEEEEE"/>
              <w:left w:val="single" w:sz="8" w:color="808080"/>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gridSpan w:val="3"/>
          </w:tcPr>
          <w:p>
            <w:pPr>
              <w:spacing w:after="0"/>
              <w:rPr>
                <w:sz w:val="3"/>
                <w:szCs w:val="3"/>
                <w:color w:val="auto"/>
              </w:rPr>
            </w:pPr>
          </w:p>
        </w:tc>
        <w:tc>
          <w:tcPr>
            <w:tcW w:w="560" w:type="dxa"/>
            <w:vAlign w:val="bottom"/>
            <w:tcBorders>
              <w:top w:val="single" w:sz="8" w:color="808080"/>
            </w:tcBorders>
            <w:gridSpan w:val="2"/>
            <w:shd w:val="clear" w:color="auto" w:fill="808080"/>
          </w:tcPr>
          <w:p>
            <w:pPr>
              <w:spacing w:after="0"/>
              <w:rPr>
                <w:sz w:val="3"/>
                <w:szCs w:val="3"/>
                <w:color w:val="auto"/>
              </w:rPr>
            </w:pPr>
          </w:p>
        </w:tc>
        <w:tc>
          <w:tcPr>
            <w:tcW w:w="280" w:type="dxa"/>
            <w:vAlign w:val="bottom"/>
            <w:tcBorders>
              <w:top w:val="single" w:sz="8" w:color="EEEEEE"/>
              <w:left w:val="single" w:sz="8" w:color="808080"/>
            </w:tcBorders>
          </w:tcPr>
          <w:p>
            <w:pPr>
              <w:spacing w:after="0"/>
              <w:rPr>
                <w:sz w:val="3"/>
                <w:szCs w:val="3"/>
                <w:color w:val="auto"/>
              </w:rPr>
            </w:pPr>
          </w:p>
        </w:tc>
        <w:tc>
          <w:tcPr>
            <w:tcW w:w="620" w:type="dxa"/>
            <w:vAlign w:val="bottom"/>
            <w:tcBorders>
              <w:top w:val="single" w:sz="8" w:color="EEEEEE"/>
            </w:tcBorders>
            <w:gridSpan w:val="5"/>
          </w:tcPr>
          <w:p>
            <w:pPr>
              <w:spacing w:after="0"/>
              <w:rPr>
                <w:sz w:val="3"/>
                <w:szCs w:val="3"/>
                <w:color w:val="auto"/>
              </w:rPr>
            </w:pPr>
          </w:p>
        </w:tc>
        <w:tc>
          <w:tcPr>
            <w:tcW w:w="560" w:type="dxa"/>
            <w:vAlign w:val="bottom"/>
            <w:tcBorders>
              <w:top w:val="single" w:sz="8" w:color="808080"/>
            </w:tcBorders>
            <w:gridSpan w:val="2"/>
            <w:shd w:val="clear" w:color="auto" w:fill="808080"/>
          </w:tcPr>
          <w:p>
            <w:pPr>
              <w:spacing w:after="0"/>
              <w:rPr>
                <w:sz w:val="3"/>
                <w:szCs w:val="3"/>
                <w:color w:val="auto"/>
              </w:rPr>
            </w:pPr>
          </w:p>
        </w:tc>
        <w:tc>
          <w:tcPr>
            <w:tcW w:w="300" w:type="dxa"/>
            <w:vAlign w:val="bottom"/>
            <w:tcBorders>
              <w:top w:val="single" w:sz="8" w:color="EEEEEE"/>
              <w:left w:val="single" w:sz="8" w:color="808080"/>
            </w:tcBorders>
          </w:tcPr>
          <w:p>
            <w:pPr>
              <w:spacing w:after="0"/>
              <w:rPr>
                <w:sz w:val="3"/>
                <w:szCs w:val="3"/>
                <w:color w:val="auto"/>
              </w:rPr>
            </w:pPr>
          </w:p>
        </w:tc>
        <w:tc>
          <w:tcPr>
            <w:tcW w:w="600" w:type="dxa"/>
            <w:vAlign w:val="bottom"/>
            <w:tcBorders>
              <w:top w:val="single" w:sz="8" w:color="EEEEEE"/>
            </w:tcBorders>
            <w:gridSpan w:val="5"/>
          </w:tcPr>
          <w:p>
            <w:pPr>
              <w:spacing w:after="0"/>
              <w:rPr>
                <w:sz w:val="3"/>
                <w:szCs w:val="3"/>
                <w:color w:val="auto"/>
              </w:rPr>
            </w:pPr>
          </w:p>
        </w:tc>
        <w:tc>
          <w:tcPr>
            <w:tcW w:w="580" w:type="dxa"/>
            <w:vAlign w:val="bottom"/>
            <w:tcBorders>
              <w:top w:val="single" w:sz="8" w:color="808080"/>
            </w:tcBorders>
            <w:gridSpan w:val="2"/>
            <w:shd w:val="clear" w:color="auto" w:fill="808080"/>
          </w:tcPr>
          <w:p>
            <w:pPr>
              <w:spacing w:after="0"/>
              <w:rPr>
                <w:sz w:val="3"/>
                <w:szCs w:val="3"/>
                <w:color w:val="auto"/>
              </w:rPr>
            </w:pPr>
          </w:p>
        </w:tc>
        <w:tc>
          <w:tcPr>
            <w:tcW w:w="300" w:type="dxa"/>
            <w:vAlign w:val="bottom"/>
            <w:tcBorders>
              <w:top w:val="single" w:sz="8" w:color="EEEEEE"/>
              <w:lef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5400" w:type="dxa"/>
            <w:vAlign w:val="bottom"/>
            <w:gridSpan w:val="2"/>
          </w:tcPr>
          <w:p>
            <w:pPr>
              <w:spacing w:after="0"/>
              <w:rPr>
                <w:sz w:val="20"/>
                <w:szCs w:val="20"/>
                <w:color w:val="auto"/>
              </w:rPr>
            </w:pPr>
            <w:r>
              <w:rPr>
                <w:rFonts w:ascii="Arial" w:cs="Arial" w:eastAsia="Arial" w:hAnsi="Arial"/>
                <w:sz w:val="18"/>
                <w:szCs w:val="18"/>
                <w:color w:val="auto"/>
              </w:rPr>
              <w:t>* Includes international sales of</w:t>
            </w: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$ 111,773</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93,555</w:t>
            </w:r>
          </w:p>
        </w:tc>
        <w:tc>
          <w:tcPr>
            <w:tcW w:w="280" w:type="dxa"/>
            <w:vAlign w:val="bottom"/>
          </w:tcPr>
          <w:p>
            <w:pPr>
              <w:spacing w:after="0"/>
              <w:rPr>
                <w:sz w:val="20"/>
                <w:szCs w:val="20"/>
                <w:color w:val="auto"/>
              </w:rPr>
            </w:pP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$187,151</w:t>
            </w:r>
          </w:p>
        </w:tc>
        <w:tc>
          <w:tcPr>
            <w:tcW w:w="300" w:type="dxa"/>
            <w:vAlign w:val="bottom"/>
          </w:tcPr>
          <w:p>
            <w:pPr>
              <w:spacing w:after="0"/>
              <w:rPr>
                <w:sz w:val="20"/>
                <w:szCs w:val="20"/>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9"/>
              </w:rPr>
              <w:t>161,011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-more-</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53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6 — Toro Reports Second Quarter Results</w:t>
      </w:r>
    </w:p>
    <w:p>
      <w:pPr>
        <w:spacing w:after="0" w:line="19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THE TORO COMPANY AND SUBSIDIARIES</w:t>
      </w:r>
    </w:p>
    <w:p>
      <w:pPr>
        <w:spacing w:after="0" w:line="18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Earnings (Loss) Before Income Taxes by Segment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9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April 30,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May 2,</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April 30,</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May 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86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6"/>
                <w:szCs w:val="16"/>
                <w:color w:val="auto"/>
              </w:rPr>
            </w:pPr>
          </w:p>
        </w:tc>
        <w:tc>
          <w:tcPr>
            <w:tcW w:w="114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ind w:right="77"/>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6"/>
                <w:szCs w:val="16"/>
                <w:color w:val="auto"/>
              </w:rPr>
            </w:pPr>
          </w:p>
        </w:tc>
        <w:tc>
          <w:tcPr>
            <w:tcW w:w="114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9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00" w:type="dxa"/>
            <w:vAlign w:val="bottom"/>
            <w:shd w:val="clear" w:color="auto" w:fill="EEEEEE"/>
          </w:tcPr>
          <w:p>
            <w:pPr>
              <w:spacing w:after="0" w:line="256" w:lineRule="exact"/>
              <w:rPr>
                <w:sz w:val="20"/>
                <w:szCs w:val="20"/>
                <w:color w:val="auto"/>
              </w:rPr>
            </w:pPr>
            <w:r>
              <w:rPr>
                <w:rFonts w:ascii="Arial" w:cs="Arial" w:eastAsia="Arial" w:hAnsi="Arial"/>
                <w:sz w:val="18"/>
                <w:szCs w:val="18"/>
                <w:color w:val="auto"/>
              </w:rPr>
              <w:t>Professional</w:t>
            </w:r>
            <w:r>
              <w:rPr>
                <w:rFonts w:ascii="Arial" w:cs="Arial" w:eastAsia="Arial" w:hAnsi="Arial"/>
                <w:sz w:val="29"/>
                <w:szCs w:val="29"/>
                <w:color w:val="auto"/>
                <w:vertAlign w:val="superscript"/>
              </w:rPr>
              <w:t>1</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$ 71,704</w:t>
            </w:r>
          </w:p>
        </w:tc>
        <w:tc>
          <w:tcPr>
            <w:tcW w:w="300" w:type="dxa"/>
            <w:vAlign w:val="bottom"/>
            <w:tcBorders>
              <w:left w:val="single" w:sz="8" w:color="EEEEEE"/>
            </w:tcBorders>
            <w:shd w:val="clear" w:color="auto" w:fill="EEEEEE"/>
          </w:tcPr>
          <w:p>
            <w:pPr>
              <w:spacing w:after="0"/>
              <w:rPr>
                <w:sz w:val="22"/>
                <w:szCs w:val="22"/>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$ 63,424</w:t>
            </w:r>
          </w:p>
        </w:tc>
        <w:tc>
          <w:tcPr>
            <w:tcW w:w="280" w:type="dxa"/>
            <w:vAlign w:val="bottom"/>
            <w:shd w:val="clear" w:color="auto" w:fill="EEEEEE"/>
          </w:tcPr>
          <w:p>
            <w:pPr>
              <w:spacing w:after="0"/>
              <w:rPr>
                <w:sz w:val="22"/>
                <w:szCs w:val="22"/>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100,153</w:t>
            </w:r>
          </w:p>
        </w:tc>
        <w:tc>
          <w:tcPr>
            <w:tcW w:w="300" w:type="dxa"/>
            <w:vAlign w:val="bottom"/>
            <w:shd w:val="clear" w:color="auto" w:fill="EEEEEE"/>
          </w:tcPr>
          <w:p>
            <w:pPr>
              <w:spacing w:after="0"/>
              <w:rPr>
                <w:sz w:val="22"/>
                <w:szCs w:val="22"/>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$ 91,180</w:t>
            </w:r>
          </w:p>
        </w:tc>
        <w:tc>
          <w:tcPr>
            <w:tcW w:w="30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00" w:type="dxa"/>
            <w:vAlign w:val="bottom"/>
          </w:tcPr>
          <w:p>
            <w:pPr>
              <w:spacing w:after="0" w:line="256" w:lineRule="exact"/>
              <w:rPr>
                <w:sz w:val="20"/>
                <w:szCs w:val="20"/>
                <w:color w:val="auto"/>
              </w:rPr>
            </w:pPr>
            <w:r>
              <w:rPr>
                <w:rFonts w:ascii="Arial" w:cs="Arial" w:eastAsia="Arial" w:hAnsi="Arial"/>
                <w:sz w:val="18"/>
                <w:szCs w:val="18"/>
                <w:color w:val="auto"/>
              </w:rPr>
              <w:t>Residential</w:t>
            </w:r>
            <w:r>
              <w:rPr>
                <w:rFonts w:ascii="Arial" w:cs="Arial" w:eastAsia="Arial" w:hAnsi="Arial"/>
                <w:sz w:val="29"/>
                <w:szCs w:val="29"/>
                <w:color w:val="auto"/>
                <w:vertAlign w:val="superscript"/>
              </w:rPr>
              <w:t>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26,719</w:t>
            </w:r>
          </w:p>
        </w:tc>
        <w:tc>
          <w:tcPr>
            <w:tcW w:w="30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24,349</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35,056</w:t>
            </w:r>
          </w:p>
        </w:tc>
        <w:tc>
          <w:tcPr>
            <w:tcW w:w="30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33,010</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EEEEEE"/>
          </w:tcPr>
          <w:p>
            <w:pPr>
              <w:spacing w:after="0"/>
              <w:rPr>
                <w:sz w:val="20"/>
                <w:szCs w:val="20"/>
                <w:color w:val="auto"/>
              </w:rPr>
            </w:pPr>
            <w:r>
              <w:rPr>
                <w:rFonts w:ascii="Arial" w:cs="Arial" w:eastAsia="Arial" w:hAnsi="Arial"/>
                <w:sz w:val="18"/>
                <w:szCs w:val="18"/>
                <w:color w:val="auto"/>
              </w:rPr>
              <w:t>Distribution</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1,603</w:t>
            </w:r>
          </w:p>
        </w:tc>
        <w:tc>
          <w:tcPr>
            <w:tcW w:w="300" w:type="dxa"/>
            <w:vAlign w:val="bottom"/>
            <w:tcBorders>
              <w:left w:val="single" w:sz="8" w:color="EEEEEE"/>
            </w:tcBorders>
            <w:shd w:val="clear" w:color="auto" w:fill="EEEEEE"/>
          </w:tcPr>
          <w:p>
            <w:pPr>
              <w:spacing w:after="0"/>
              <w:rPr>
                <w:sz w:val="18"/>
                <w:szCs w:val="18"/>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(570)</w:t>
            </w:r>
          </w:p>
        </w:tc>
        <w:tc>
          <w:tcPr>
            <w:tcW w:w="144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(21,531)</w:t>
            </w:r>
          </w:p>
        </w:tc>
        <w:tc>
          <w:tcPr>
            <w:tcW w:w="1420" w:type="dxa"/>
            <w:vAlign w:val="bottom"/>
            <w:gridSpan w:val="4"/>
          </w:tcPr>
          <w:p>
            <w:pPr>
              <w:jc w:val="right"/>
              <w:ind w:right="220"/>
              <w:spacing w:after="0"/>
              <w:rPr>
                <w:sz w:val="20"/>
                <w:szCs w:val="20"/>
                <w:color w:val="auto"/>
              </w:rPr>
            </w:pPr>
            <w:r>
              <w:rPr>
                <w:rFonts w:ascii="Arial" w:cs="Arial" w:eastAsia="Arial" w:hAnsi="Arial"/>
                <w:sz w:val="18"/>
                <w:szCs w:val="18"/>
                <w:color w:val="auto"/>
              </w:rPr>
              <w:t>(25,739)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(42,122)</w:t>
            </w:r>
          </w:p>
        </w:tc>
        <w:tc>
          <w:tcPr>
            <w:tcW w:w="1440" w:type="dxa"/>
            <w:vAlign w:val="bottom"/>
            <w:gridSpan w:val="4"/>
          </w:tcPr>
          <w:p>
            <w:pPr>
              <w:jc w:val="right"/>
              <w:ind w:right="240"/>
              <w:spacing w:after="0"/>
              <w:rPr>
                <w:sz w:val="20"/>
                <w:szCs w:val="20"/>
                <w:color w:val="auto"/>
              </w:rPr>
            </w:pPr>
            <w:r>
              <w:rPr>
                <w:rFonts w:ascii="Arial" w:cs="Arial" w:eastAsia="Arial" w:hAnsi="Arial"/>
                <w:sz w:val="18"/>
                <w:szCs w:val="18"/>
                <w:color w:val="auto"/>
              </w:rPr>
              <w:t>(48,378)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9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$ 78,495</w:t>
            </w:r>
          </w:p>
        </w:tc>
        <w:tc>
          <w:tcPr>
            <w:tcW w:w="300" w:type="dxa"/>
            <w:vAlign w:val="bottom"/>
            <w:tcBorders>
              <w:left w:val="single" w:sz="8" w:color="EEEEEE"/>
            </w:tcBorders>
            <w:shd w:val="clear" w:color="auto" w:fill="EEEEEE"/>
          </w:tcPr>
          <w:p>
            <w:pPr>
              <w:spacing w:after="0"/>
              <w:rPr>
                <w:sz w:val="19"/>
                <w:szCs w:val="19"/>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$ 62,642</w:t>
            </w:r>
          </w:p>
        </w:tc>
        <w:tc>
          <w:tcPr>
            <w:tcW w:w="28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92,517</w:t>
            </w:r>
          </w:p>
        </w:tc>
        <w:tc>
          <w:tcPr>
            <w:tcW w:w="300" w:type="dxa"/>
            <w:vAlign w:val="bottom"/>
            <w:shd w:val="clear" w:color="auto" w:fill="EEEEEE"/>
          </w:tcPr>
          <w:p>
            <w:pPr>
              <w:spacing w:after="0"/>
              <w:rPr>
                <w:sz w:val="19"/>
                <w:szCs w:val="19"/>
                <w:color w:val="auto"/>
              </w:rPr>
            </w:pPr>
          </w:p>
        </w:tc>
        <w:tc>
          <w:tcPr>
            <w:tcW w:w="1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$ 73,062</w:t>
            </w:r>
          </w:p>
        </w:tc>
        <w:tc>
          <w:tcPr>
            <w:tcW w:w="3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Borders>
              <w:left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180" w:firstLine="8"/>
        <w:spacing w:after="0" w:line="194" w:lineRule="auto"/>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Includes restructuring and other income of $52 thousand for the three-month and six-month periods in fiscal 2004, respectively. Includes restructuring and other income of $72 thousand for the three-month and six-month periods in fiscal 2003, respectively.</w:t>
      </w:r>
    </w:p>
    <w:p>
      <w:pPr>
        <w:spacing w:after="0" w:line="202" w:lineRule="exact"/>
        <w:rPr>
          <w:sz w:val="20"/>
          <w:szCs w:val="20"/>
          <w:color w:val="auto"/>
        </w:rPr>
      </w:pPr>
    </w:p>
    <w:p>
      <w:pPr>
        <w:ind w:right="140" w:firstLine="8"/>
        <w:spacing w:after="0" w:line="207" w:lineRule="auto"/>
        <w:tabs>
          <w:tab w:leader="none" w:pos="120"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Includes restructuring and other income of $12 thousand for the three-month period and $34 thousand for the six-month period in fiscal 2004, respectively. Includes restructuring and other income of $107 thousand for the three-month and six-month periods in fiscal 2003, respectively.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April 30,</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8"/>
              </w:rPr>
              <w:t>May 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38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31,825</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EEEEE"/>
          </w:tcPr>
          <w:p>
            <w:pPr>
              <w:spacing w:after="0"/>
              <w:rPr>
                <w:sz w:val="20"/>
                <w:szCs w:val="20"/>
                <w:color w:val="auto"/>
              </w:rPr>
            </w:pPr>
            <w:r>
              <w:rPr>
                <w:rFonts w:ascii="Arial" w:cs="Arial" w:eastAsia="Arial" w:hAnsi="Arial"/>
                <w:sz w:val="18"/>
                <w:szCs w:val="18"/>
                <w:color w:val="auto"/>
              </w:rPr>
              <w:t>Receivables, net</w:t>
            </w: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484,763</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483,615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238,472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259,979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EEEEE"/>
          </w:tcPr>
          <w:p>
            <w:pPr>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13,422</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12,003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44,256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39,653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812,738</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795,276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163,097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162,180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1,181</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4,196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Goodwill and other assets</w:t>
            </w: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99,647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92,567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838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808080"/>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7"/>
              </w:rPr>
              <w:t>1,076,663</w:t>
            </w:r>
          </w:p>
        </w:tc>
        <w:tc>
          <w:tcPr>
            <w:tcW w:w="300" w:type="dxa"/>
            <w:vAlign w:val="bottom"/>
            <w:tcBorders>
              <w:bottom w:val="single" w:sz="8" w:color="EEEEEE"/>
            </w:tcBorders>
            <w:shd w:val="clear" w:color="auto" w:fill="EEEEEE"/>
          </w:tcPr>
          <w:p>
            <w:pPr>
              <w:spacing w:after="0"/>
              <w:rPr>
                <w:sz w:val="22"/>
                <w:szCs w:val="22"/>
                <w:color w:val="auto"/>
              </w:rPr>
            </w:pPr>
          </w:p>
        </w:tc>
        <w:tc>
          <w:tcPr>
            <w:tcW w:w="62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808080"/>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7"/>
              </w:rPr>
              <w:t>1,054,219</w:t>
            </w:r>
          </w:p>
        </w:tc>
        <w:tc>
          <w:tcPr>
            <w:tcW w:w="3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8400" w:type="dxa"/>
            <w:vAlign w:val="bottom"/>
            <w:gridSpan w:val="2"/>
          </w:tcPr>
          <w:p>
            <w:pPr>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EEEEE"/>
          </w:tcPr>
          <w:p>
            <w:pPr>
              <w:spacing w:after="0"/>
              <w:rPr>
                <w:sz w:val="20"/>
                <w:szCs w:val="20"/>
                <w:color w:val="auto"/>
              </w:rPr>
            </w:pPr>
            <w:r>
              <w:rPr>
                <w:rFonts w:ascii="Arial" w:cs="Arial" w:eastAsia="Arial" w:hAnsi="Arial"/>
                <w:sz w:val="18"/>
                <w:szCs w:val="18"/>
                <w:color w:val="auto"/>
              </w:rPr>
              <w:t>Current portion of long-term debt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Short-term debt</w:t>
            </w: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29,991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99,299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96,636</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104,319</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274,934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244,463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401,786</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448,145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3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175,069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178,713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EEEEE"/>
          </w:tcPr>
          <w:p>
            <w:pPr>
              <w:spacing w:after="0"/>
              <w:rPr>
                <w:sz w:val="20"/>
                <w:szCs w:val="20"/>
                <w:color w:val="auto"/>
              </w:rPr>
            </w:pPr>
            <w:r>
              <w:rPr>
                <w:rFonts w:ascii="Arial" w:cs="Arial" w:eastAsia="Arial" w:hAnsi="Arial"/>
                <w:sz w:val="18"/>
                <w:szCs w:val="18"/>
                <w:color w:val="auto"/>
              </w:rPr>
              <w:t>Deferred revenue and other long-term liabilities</w:t>
            </w: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12,228</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8,508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487,580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418,853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838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808080"/>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7"/>
              </w:rPr>
              <w:t>1,076,663</w:t>
            </w:r>
          </w:p>
        </w:tc>
        <w:tc>
          <w:tcPr>
            <w:tcW w:w="300" w:type="dxa"/>
            <w:vAlign w:val="bottom"/>
            <w:tcBorders>
              <w:bottom w:val="single" w:sz="8" w:color="EEEEEE"/>
            </w:tcBorders>
            <w:shd w:val="clear" w:color="auto" w:fill="EEEEEE"/>
          </w:tcPr>
          <w:p>
            <w:pPr>
              <w:spacing w:after="0"/>
              <w:rPr>
                <w:sz w:val="22"/>
                <w:szCs w:val="22"/>
                <w:color w:val="auto"/>
              </w:rPr>
            </w:pPr>
          </w:p>
        </w:tc>
        <w:tc>
          <w:tcPr>
            <w:tcW w:w="62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808080"/>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7"/>
              </w:rPr>
              <w:t>1,054,219</w:t>
            </w:r>
          </w:p>
        </w:tc>
        <w:tc>
          <w:tcPr>
            <w:tcW w:w="3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7 — Toro Reports Second Quarter Results</w:t>
      </w:r>
    </w:p>
    <w:p>
      <w:pPr>
        <w:spacing w:after="0" w:line="19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THE TORO COMPANY AND SUBSIDIARIES</w:t>
      </w:r>
    </w:p>
    <w:p>
      <w:pPr>
        <w:spacing w:after="0" w:line="18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54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April 30,</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May 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54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Net earnings</w:t>
            </w:r>
          </w:p>
        </w:tc>
        <w:tc>
          <w:tcPr>
            <w:tcW w:w="32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61,524</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48,952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Non-cash asset recovery</w:t>
            </w:r>
          </w:p>
        </w:tc>
        <w:tc>
          <w:tcPr>
            <w:tcW w:w="3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Non-cash loss from investment</w:t>
            </w: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374</w:t>
            </w:r>
          </w:p>
        </w:tc>
        <w:tc>
          <w:tcPr>
            <w:tcW w:w="300" w:type="dxa"/>
            <w:vAlign w:val="bottom"/>
            <w:tcBorders>
              <w:lef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Provision for depreciation and amortization</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17,052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15,707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Gain on disposal of property, plant, and equipment</w:t>
            </w:r>
          </w:p>
        </w:tc>
        <w:tc>
          <w:tcPr>
            <w:tcW w:w="3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(219)</w:t>
            </w: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Increase in deferred income tax asset</w:t>
            </w:r>
          </w:p>
        </w:tc>
        <w:tc>
          <w:tcPr>
            <w:tcW w:w="3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(2,098)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Tax benefits related to employee stock option transactions</w:t>
            </w: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2,927</w:t>
            </w:r>
          </w:p>
        </w:tc>
        <w:tc>
          <w:tcPr>
            <w:tcW w:w="300" w:type="dxa"/>
            <w:vAlign w:val="bottom"/>
            <w:tcBorders>
              <w:lef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Receivables, net</w:t>
            </w:r>
          </w:p>
        </w:tc>
        <w:tc>
          <w:tcPr>
            <w:tcW w:w="3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8"/>
              </w:rPr>
              <w:t>(211,449)</w:t>
            </w: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5"/>
              </w:rPr>
              <w:t>(230,456)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(8,937)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(30,475)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554</w:t>
            </w:r>
          </w:p>
        </w:tc>
        <w:tc>
          <w:tcPr>
            <w:tcW w:w="300" w:type="dxa"/>
            <w:vAlign w:val="bottom"/>
            <w:tcBorders>
              <w:lef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rPr>
              <w:t>Accounts payable, accrued expenses, and deferred revenue</w:t>
            </w: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80,129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72,643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(60,195)</w:t>
            </w: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5"/>
              </w:rPr>
              <w:t>(125,594)</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5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Purchases of property, plant, and equipment</w:t>
            </w:r>
          </w:p>
        </w:tc>
        <w:tc>
          <w:tcPr>
            <w:tcW w:w="3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(21,356)</w:t>
            </w: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(21,927)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Proceeds from disposal of property, plant, and equipment</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(Increase) decrease in investment in affiliates</w:t>
            </w:r>
          </w:p>
        </w:tc>
        <w:tc>
          <w:tcPr>
            <w:tcW w:w="3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(1,065)</w:t>
            </w: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Increase in other assets</w:t>
            </w:r>
          </w:p>
        </w:tc>
        <w:tc>
          <w:tcPr>
            <w:tcW w:w="3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Proceeds from sale of business</w:t>
            </w:r>
          </w:p>
        </w:tc>
        <w:tc>
          <w:tcPr>
            <w:tcW w:w="3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1,016</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vMerge w:val="restart"/>
          </w:tcPr>
          <w:p>
            <w:pPr>
              <w:ind w:left="4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5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2"/>
              </w:rPr>
              <w:t>(21,050)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9"/>
              </w:rPr>
              <w:t>(19,605)</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Increase in short-term debt</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27,815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97,890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Repayments of long-term debt</w:t>
            </w:r>
          </w:p>
        </w:tc>
        <w:tc>
          <w:tcPr>
            <w:tcW w:w="3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(3,627)</w:t>
            </w: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(15,804)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Increase (decrease) in other long-term liabilities</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5,709</w:t>
            </w:r>
          </w:p>
        </w:tc>
        <w:tc>
          <w:tcPr>
            <w:tcW w:w="300" w:type="dxa"/>
            <w:vAlign w:val="bottom"/>
            <w:tcBorders>
              <w:lef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4,039</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8"/>
                <w:szCs w:val="18"/>
                <w:color w:val="auto"/>
              </w:rPr>
              <w:t>Purchases of common stock</w:t>
            </w:r>
          </w:p>
        </w:tc>
        <w:tc>
          <w:tcPr>
            <w:tcW w:w="3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(23,872)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Dividends on common stock</w:t>
            </w:r>
          </w:p>
        </w:tc>
        <w:tc>
          <w:tcPr>
            <w:tcW w:w="3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(2,991)</w:t>
            </w: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vMerge w:val="restart"/>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5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3,109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82,404</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spacing w:after="0"/>
              <w:rPr>
                <w:sz w:val="20"/>
                <w:szCs w:val="20"/>
                <w:color w:val="auto"/>
              </w:rPr>
            </w:pPr>
            <w:r>
              <w:rPr>
                <w:rFonts w:ascii="Arial" w:cs="Arial" w:eastAsia="Arial" w:hAnsi="Arial"/>
                <w:sz w:val="18"/>
                <w:szCs w:val="18"/>
                <w:color w:val="auto"/>
              </w:rPr>
              <w:t>Effect of exchange rates on cash</w:t>
            </w:r>
          </w:p>
        </w:tc>
        <w:tc>
          <w:tcPr>
            <w:tcW w:w="32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(326)</w:t>
            </w: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5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(78,462)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(62,790)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32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110,287</w:t>
            </w:r>
          </w:p>
        </w:tc>
        <w:tc>
          <w:tcPr>
            <w:tcW w:w="300" w:type="dxa"/>
            <w:vAlign w:val="bottom"/>
            <w:tcBorders>
              <w:lef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62,816</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60" w:type="dxa"/>
            <w:vAlign w:val="bottom"/>
            <w:gridSpan w:val="2"/>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32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31,825</w:t>
            </w:r>
          </w:p>
        </w:tc>
        <w:tc>
          <w:tcPr>
            <w:tcW w:w="3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54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tcBorders>
              <w:left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3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99"/>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2019-12-11T20:11:36Z</dcterms:created>
  <dcterms:modified xsi:type="dcterms:W3CDTF">2019-12-11T20:11:36Z</dcterms:modified>
</cp:coreProperties>
</file>