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480" w:type="dxa"/>
            <w:vAlign w:val="bottom"/>
          </w:tcPr>
          <w:p>
            <w:pPr>
              <w:spacing w:after="0"/>
              <w:rPr>
                <w:sz w:val="20"/>
                <w:szCs w:val="20"/>
                <w:color w:val="auto"/>
              </w:rPr>
            </w:pPr>
            <w:r>
              <w:rPr>
                <w:rFonts w:ascii="Courier New" w:cs="Courier New" w:eastAsia="Courier New" w:hAnsi="Courier New"/>
                <w:sz w:val="18"/>
                <w:szCs w:val="18"/>
                <w:color w:val="auto"/>
              </w:rPr>
              <w:t>CUSIP NO. 891092108</w:t>
            </w:r>
          </w:p>
        </w:tc>
        <w:tc>
          <w:tcPr>
            <w:tcW w:w="800" w:type="dxa"/>
            <w:vAlign w:val="bottom"/>
          </w:tcPr>
          <w:p>
            <w:pPr>
              <w:ind w:left="480"/>
              <w:spacing w:after="0"/>
              <w:rPr>
                <w:sz w:val="20"/>
                <w:szCs w:val="20"/>
                <w:color w:val="auto"/>
              </w:rPr>
            </w:pPr>
            <w:r>
              <w:rPr>
                <w:rFonts w:ascii="Courier New" w:cs="Courier New" w:eastAsia="Courier New" w:hAnsi="Courier New"/>
                <w:sz w:val="18"/>
                <w:szCs w:val="18"/>
                <w:color w:val="auto"/>
                <w:w w:val="92"/>
              </w:rPr>
              <w:t>13G</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UNITED STATES</w:t>
      </w:r>
    </w:p>
    <w:p>
      <w:pPr>
        <w:jc w:val="center"/>
        <w:ind w:right="32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25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15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31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0" w:lineRule="exact"/>
        <w:rPr>
          <w:sz w:val="24"/>
          <w:szCs w:val="24"/>
          <w:color w:val="auto"/>
        </w:rPr>
      </w:pPr>
    </w:p>
    <w:p>
      <w:pPr>
        <w:spacing w:after="0" w:line="204"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Toro Co.</w:t>
      </w:r>
    </w:p>
    <w:p>
      <w:pPr>
        <w:jc w:val="center"/>
        <w:ind w:right="32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w:t>
      </w:r>
    </w:p>
    <w:p>
      <w:pPr>
        <w:jc w:val="center"/>
        <w:ind w:right="32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891092108</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9" w:lineRule="exact"/>
        <w:rPr>
          <w:sz w:val="24"/>
          <w:szCs w:val="24"/>
          <w:color w:val="auto"/>
        </w:rPr>
      </w:pPr>
    </w:p>
    <w:p>
      <w:pPr>
        <w:ind w:right="3159"/>
        <w:spacing w:after="0" w:line="273"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Franklin Resources, Inc.</w:t>
      </w:r>
    </w:p>
    <w:p>
      <w:pPr>
        <w:spacing w:after="0" w:line="200" w:lineRule="exact"/>
        <w:rPr>
          <w:sz w:val="24"/>
          <w:szCs w:val="24"/>
          <w:color w:val="auto"/>
        </w:rPr>
      </w:pPr>
    </w:p>
    <w:p>
      <w:pPr>
        <w:spacing w:after="0" w:line="204" w:lineRule="exact"/>
        <w:rPr>
          <w:sz w:val="24"/>
          <w:szCs w:val="24"/>
          <w:color w:val="auto"/>
        </w:rPr>
      </w:pPr>
    </w:p>
    <w:p>
      <w:pPr>
        <w:ind w:left="640" w:hanging="632"/>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4"/>
          <w:szCs w:val="24"/>
          <w:color w:val="auto"/>
        </w:rPr>
      </w:pPr>
    </w:p>
    <w:p>
      <w:pPr>
        <w:spacing w:after="0" w:line="226" w:lineRule="exact"/>
        <w:rPr>
          <w:sz w:val="24"/>
          <w:szCs w:val="24"/>
          <w:color w:val="auto"/>
        </w:rPr>
      </w:pPr>
    </w:p>
    <w:p>
      <w:pPr>
        <w:ind w:left="1280" w:right="7159" w:hanging="640"/>
        <w:spacing w:after="0" w:line="536" w:lineRule="auto"/>
        <w:tabs>
          <w:tab w:leader="none" w:pos="128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906,900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ectPr>
          <w:pgSz w:w="11900" w:h="16853" w:orient="portrait"/>
          <w:cols w:equalWidth="0" w:num="1">
            <w:col w:w="10219"/>
          </w:cols>
          <w:pgMar w:left="240" w:top="244" w:right="1440" w:bottom="0" w:gutter="0" w:footer="0" w:header="0"/>
        </w:sectPr>
      </w:pPr>
    </w:p>
    <w:bookmarkStart w:id="1" w:name="page2"/>
    <w:bookmarkEnd w:id="1"/>
    <w:p>
      <w:pPr>
        <w:ind w:left="740" w:right="4619" w:hanging="732"/>
        <w:spacing w:after="0" w:line="470"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7.5%</w:t>
      </w:r>
    </w:p>
    <w:p>
      <w:pPr>
        <w:spacing w:after="0" w:line="6"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Charles B. Johnson</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280" w:right="7159" w:hanging="640"/>
        <w:spacing w:after="0" w:line="536" w:lineRule="auto"/>
        <w:tabs>
          <w:tab w:leader="none" w:pos="1280"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906,900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pacing w:after="0" w:line="207" w:lineRule="exact"/>
        <w:rPr>
          <w:sz w:val="20"/>
          <w:szCs w:val="20"/>
          <w:color w:val="auto"/>
        </w:rPr>
      </w:pPr>
    </w:p>
    <w:p>
      <w:pPr>
        <w:ind w:left="640" w:right="7059" w:hanging="632"/>
        <w:spacing w:after="0" w:line="470"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Rupert H. Johnson, Jr.</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ectPr>
          <w:pgSz w:w="11900" w:h="16838" w:orient="portrait"/>
          <w:cols w:equalWidth="0" w:num="1">
            <w:col w:w="10219"/>
          </w:cols>
          <w:pgMar w:left="240" w:top="547" w:right="1440" w:bottom="0" w:gutter="0" w:footer="0" w:header="0"/>
        </w:sectPr>
      </w:pPr>
    </w:p>
    <w:bookmarkStart w:id="2" w:name="page3"/>
    <w:bookmarkEnd w:id="2"/>
    <w:p>
      <w:pPr>
        <w:ind w:left="1280" w:right="7159" w:hanging="640"/>
        <w:spacing w:after="0" w:line="536" w:lineRule="auto"/>
        <w:tabs>
          <w:tab w:leader="none" w:pos="1280"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(See Item 4)</w:t>
      </w:r>
    </w:p>
    <w:p>
      <w:pPr>
        <w:ind w:left="1280" w:right="69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(See Item 4)</w:t>
      </w:r>
    </w:p>
    <w:p>
      <w:pPr>
        <w:spacing w:after="0" w:line="11" w:lineRule="exact"/>
        <w:rPr>
          <w:rFonts w:ascii="Courier New" w:cs="Courier New" w:eastAsia="Courier New" w:hAnsi="Courier New"/>
          <w:sz w:val="18"/>
          <w:szCs w:val="18"/>
          <w:color w:val="auto"/>
        </w:rPr>
      </w:pPr>
    </w:p>
    <w:p>
      <w:pPr>
        <w:ind w:left="1280" w:right="663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(See Item 4)</w:t>
      </w:r>
    </w:p>
    <w:p>
      <w:pPr>
        <w:spacing w:after="0" w:line="11" w:lineRule="exact"/>
        <w:rPr>
          <w:rFonts w:ascii="Courier New" w:cs="Courier New" w:eastAsia="Courier New" w:hAnsi="Courier New"/>
          <w:sz w:val="18"/>
          <w:szCs w:val="18"/>
          <w:color w:val="auto"/>
        </w:rPr>
      </w:pPr>
    </w:p>
    <w:p>
      <w:pPr>
        <w:ind w:left="1280" w:right="6419" w:hanging="640"/>
        <w:spacing w:after="0" w:line="470" w:lineRule="auto"/>
        <w:tabs>
          <w:tab w:leader="none" w:pos="1280"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(See Item 4)</w:t>
      </w:r>
    </w:p>
    <w:p>
      <w:pPr>
        <w:spacing w:after="0" w:line="11"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906,900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7.5%</w:t>
      </w:r>
    </w:p>
    <w:p>
      <w:pPr>
        <w:spacing w:after="0" w:line="207" w:lineRule="exact"/>
        <w:rPr>
          <w:sz w:val="20"/>
          <w:szCs w:val="20"/>
          <w:color w:val="auto"/>
        </w:rPr>
      </w:pPr>
    </w:p>
    <w:p>
      <w:pPr>
        <w:ind w:left="640" w:right="7059" w:hanging="632"/>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(See Item 4)</w:t>
      </w:r>
    </w:p>
    <w:p>
      <w:pPr>
        <w:spacing w:after="0" w:line="209" w:lineRule="exact"/>
        <w:rPr>
          <w:sz w:val="20"/>
          <w:szCs w:val="20"/>
          <w:color w:val="auto"/>
        </w:rPr>
      </w:pPr>
    </w:p>
    <w:p>
      <w:pPr>
        <w:ind w:left="640" w:hanging="632"/>
        <w:spacing w:after="0"/>
        <w:tabs>
          <w:tab w:leader="none" w:pos="6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ind w:left="640" w:hanging="632"/>
        <w:spacing w:after="0"/>
        <w:tabs>
          <w:tab w:leader="none" w:pos="6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w:t>
      </w:r>
    </w:p>
    <w:p>
      <w:pPr>
        <w:ind w:left="1900" w:hanging="628"/>
        <w:spacing w:after="0" w:line="238" w:lineRule="auto"/>
        <w:tabs>
          <w:tab w:leader="none" w:pos="1900"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640" w:right="5779" w:hanging="632"/>
        <w:spacing w:after="0" w:line="470" w:lineRule="auto"/>
        <w:tabs>
          <w:tab w:leader="none" w:pos="64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00" w:lineRule="exact"/>
        <w:rPr>
          <w:sz w:val="20"/>
          <w:szCs w:val="20"/>
          <w:color w:val="auto"/>
        </w:rPr>
      </w:pPr>
    </w:p>
    <w:p>
      <w:pPr>
        <w:spacing w:after="0" w:line="226" w:lineRule="exact"/>
        <w:rPr>
          <w:sz w:val="20"/>
          <w:szCs w:val="20"/>
          <w:color w:val="auto"/>
        </w:rPr>
      </w:pPr>
    </w:p>
    <w:p>
      <w:pPr>
        <w:ind w:left="1380" w:right="67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659,200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center"/>
        <w:ind w:left="1380" w:right="6639" w:hanging="740"/>
        <w:spacing w:after="0" w:line="536" w:lineRule="auto"/>
        <w:tabs>
          <w:tab w:leader="none" w:pos="1275"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DISPOSITIVE POWER 659,200 (See Item 4)</w:t>
      </w:r>
    </w:p>
    <w:p>
      <w:pPr>
        <w:ind w:left="1280" w:hanging="640"/>
        <w:spacing w:after="0"/>
        <w:tabs>
          <w:tab w:leader="none" w:pos="128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3259" w:hanging="952"/>
        <w:spacing w:after="0" w:line="470" w:lineRule="auto"/>
        <w:tabs>
          <w:tab w:leader="none" w:pos="644"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659,200</w:t>
      </w:r>
    </w:p>
    <w:p>
      <w:pPr>
        <w:spacing w:after="0" w:line="11" w:lineRule="exact"/>
        <w:rPr>
          <w:rFonts w:ascii="Courier New" w:cs="Courier New" w:eastAsia="Courier New" w:hAnsi="Courier New"/>
          <w:sz w:val="18"/>
          <w:szCs w:val="18"/>
          <w:color w:val="auto"/>
        </w:rPr>
      </w:pPr>
    </w:p>
    <w:p>
      <w:pPr>
        <w:ind w:left="640" w:right="4419" w:hanging="632"/>
        <w:spacing w:after="0" w:line="235"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 ]</w:t>
      </w:r>
    </w:p>
    <w:p>
      <w:pPr>
        <w:spacing w:after="0" w:line="200" w:lineRule="exact"/>
        <w:rPr>
          <w:rFonts w:ascii="Courier New" w:cs="Courier New" w:eastAsia="Courier New" w:hAnsi="Courier New"/>
          <w:sz w:val="18"/>
          <w:szCs w:val="18"/>
          <w:color w:val="auto"/>
        </w:rPr>
      </w:pPr>
    </w:p>
    <w:p>
      <w:pPr>
        <w:spacing w:after="0" w:line="205"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p>
    <w:p>
      <w:pPr>
        <w:sectPr>
          <w:pgSz w:w="11900" w:h="16838" w:orient="portrait"/>
          <w:cols w:equalWidth="0" w:num="1">
            <w:col w:w="10219"/>
          </w:cols>
          <w:pgMar w:left="240" w:top="344" w:right="1440" w:bottom="0" w:gutter="0" w:footer="0" w:header="0"/>
        </w:sectPr>
      </w:pPr>
    </w:p>
    <w:bookmarkStart w:id="3" w:name="page4"/>
    <w:bookmarkEnd w:id="3"/>
    <w:p>
      <w:pPr>
        <w:ind w:left="640"/>
        <w:spacing w:after="0"/>
        <w:rPr>
          <w:sz w:val="20"/>
          <w:szCs w:val="20"/>
          <w:color w:val="auto"/>
        </w:rPr>
      </w:pPr>
      <w:r>
        <w:rPr>
          <w:rFonts w:ascii="Courier New" w:cs="Courier New" w:eastAsia="Courier New" w:hAnsi="Courier New"/>
          <w:sz w:val="18"/>
          <w:szCs w:val="18"/>
          <w:color w:val="auto"/>
        </w:rPr>
        <w:t>IA</w:t>
      </w:r>
    </w:p>
    <w:p>
      <w:pPr>
        <w:spacing w:after="0" w:line="238" w:lineRule="auto"/>
        <w:rPr>
          <w:sz w:val="20"/>
          <w:szCs w:val="20"/>
          <w:color w:val="auto"/>
        </w:rPr>
      </w:pPr>
      <w:r>
        <w:rPr>
          <w:rFonts w:ascii="Courier New" w:cs="Courier New" w:eastAsia="Courier New" w:hAnsi="Courier New"/>
          <w:sz w:val="18"/>
          <w:szCs w:val="18"/>
          <w:color w:val="auto"/>
        </w:rPr>
        <w:t>Item 1.</w:t>
      </w:r>
    </w:p>
    <w:p>
      <w:pPr>
        <w:spacing w:after="0" w:line="5" w:lineRule="exact"/>
        <w:rPr>
          <w:sz w:val="20"/>
          <w:szCs w:val="20"/>
          <w:color w:val="auto"/>
        </w:rPr>
      </w:pPr>
    </w:p>
    <w:p>
      <w:pPr>
        <w:ind w:left="540" w:right="8099" w:hanging="532"/>
        <w:spacing w:after="0" w:line="536" w:lineRule="auto"/>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Issuer: Toro Co.</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6" w:lineRule="exact"/>
        <w:rPr>
          <w:rFonts w:ascii="Courier New" w:cs="Courier New" w:eastAsia="Courier New" w:hAnsi="Courier New"/>
          <w:sz w:val="18"/>
          <w:szCs w:val="18"/>
          <w:color w:val="auto"/>
        </w:rPr>
      </w:pPr>
    </w:p>
    <w:p>
      <w:pPr>
        <w:ind w:left="540" w:right="6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8111 Lyndale Avenue South Bloomington, MN 55420-1196</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ind w:left="540" w:hanging="532"/>
        <w:spacing w:after="0" w:line="238" w:lineRule="auto"/>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Person Filing:</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Franklin Resources, Inc.</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  Charles B. Johnson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(iii): Rupert H. Johnson, Jr.</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Franklin Mutual Advisers, Inc.</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 (ii), and (iii):</w:t>
      </w:r>
    </w:p>
    <w:p>
      <w:pPr>
        <w:spacing w:after="0" w:line="4" w:lineRule="exact"/>
        <w:rPr>
          <w:rFonts w:ascii="Courier New" w:cs="Courier New" w:eastAsia="Courier New" w:hAnsi="Courier New"/>
          <w:sz w:val="18"/>
          <w:szCs w:val="18"/>
          <w:color w:val="auto"/>
        </w:rPr>
      </w:pPr>
    </w:p>
    <w:p>
      <w:pPr>
        <w:ind w:left="540" w:right="66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777 Mariners Island Boulevard San Mateo, CA 94404</w:t>
      </w:r>
    </w:p>
    <w:p>
      <w:pPr>
        <w:spacing w:after="0" w:line="16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(iv):</w:t>
      </w:r>
    </w:p>
    <w:p>
      <w:pPr>
        <w:spacing w:after="0" w:line="4" w:lineRule="exact"/>
        <w:rPr>
          <w:rFonts w:ascii="Courier New" w:cs="Courier New" w:eastAsia="Courier New" w:hAnsi="Courier New"/>
          <w:sz w:val="18"/>
          <w:szCs w:val="18"/>
          <w:color w:val="auto"/>
        </w:rPr>
      </w:pPr>
    </w:p>
    <w:p>
      <w:pPr>
        <w:ind w:left="540" w:right="69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51 John F. Kennedy Parkway Short Hills, NJ 07078</w:t>
      </w:r>
    </w:p>
    <w:p>
      <w:pPr>
        <w:spacing w:after="0" w:line="164"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 or 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Delaware</w:t>
      </w:r>
    </w:p>
    <w:p>
      <w:pPr>
        <w:ind w:left="1060" w:hanging="525"/>
        <w:spacing w:after="0" w:line="238" w:lineRule="auto"/>
        <w:tabs>
          <w:tab w:leader="none" w:pos="1060"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USA</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(iv): Delaware</w:t>
      </w:r>
    </w:p>
    <w:p>
      <w:pPr>
        <w:spacing w:after="0" w:line="207" w:lineRule="exact"/>
        <w:rPr>
          <w:rFonts w:ascii="Courier New" w:cs="Courier New" w:eastAsia="Courier New" w:hAnsi="Courier New"/>
          <w:sz w:val="18"/>
          <w:szCs w:val="18"/>
          <w:color w:val="auto"/>
        </w:rPr>
      </w:pPr>
    </w:p>
    <w:p>
      <w:pPr>
        <w:ind w:left="540" w:right="6639" w:hanging="532"/>
        <w:spacing w:after="0" w:line="470" w:lineRule="auto"/>
        <w:tabs>
          <w:tab w:leader="none" w:pos="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w:t>
      </w:r>
    </w:p>
    <w:p>
      <w:pPr>
        <w:spacing w:after="0" w:line="11" w:lineRule="exact"/>
        <w:rPr>
          <w:rFonts w:ascii="Courier New" w:cs="Courier New" w:eastAsia="Courier New" w:hAnsi="Courier New"/>
          <w:sz w:val="18"/>
          <w:szCs w:val="18"/>
          <w:color w:val="auto"/>
        </w:rPr>
      </w:pPr>
    </w:p>
    <w:p>
      <w:pPr>
        <w:ind w:left="540" w:right="8319" w:hanging="532"/>
        <w:spacing w:after="0" w:line="558" w:lineRule="auto"/>
        <w:tabs>
          <w:tab w:leader="none" w:pos="54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Number: 891092108</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this Schedule 13G are:</w:t>
      </w:r>
    </w:p>
    <w:p>
      <w:pPr>
        <w:spacing w:after="0" w:line="201" w:lineRule="exact"/>
        <w:rPr>
          <w:sz w:val="20"/>
          <w:szCs w:val="20"/>
          <w:color w:val="auto"/>
        </w:rPr>
      </w:pPr>
    </w:p>
    <w:p>
      <w:pPr>
        <w:ind w:left="1480" w:hanging="524"/>
        <w:spacing w:after="0"/>
        <w:tabs>
          <w:tab w:leader="none" w:pos="1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Resources, Inc.</w:t>
      </w:r>
    </w:p>
    <w:p>
      <w:pPr>
        <w:ind w:left="2000" w:hanging="517"/>
        <w:spacing w:after="0" w:line="238" w:lineRule="auto"/>
        <w:tabs>
          <w:tab w:leader="none" w:pos="200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Holding Company</w:t>
      </w:r>
    </w:p>
    <w:p>
      <w:pPr>
        <w:ind w:left="1480" w:hanging="524"/>
        <w:spacing w:after="0" w:line="238" w:lineRule="auto"/>
        <w:tabs>
          <w:tab w:leader="none" w:pos="148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Charles B. Johnson</w:t>
      </w:r>
    </w:p>
    <w:p>
      <w:pPr>
        <w:spacing w:after="0" w:line="5" w:lineRule="exact"/>
        <w:rPr>
          <w:sz w:val="20"/>
          <w:szCs w:val="20"/>
          <w:color w:val="auto"/>
        </w:rPr>
      </w:pPr>
    </w:p>
    <w:p>
      <w:pPr>
        <w:ind w:left="960" w:right="3259" w:firstLine="523"/>
        <w:spacing w:after="0" w:line="235" w:lineRule="auto"/>
        <w:tabs>
          <w:tab w:leader="none" w:pos="201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Shareholder of Parent Holding Company (iii)Rupert H. Johnson, Jr.</w:t>
      </w:r>
    </w:p>
    <w:p>
      <w:pPr>
        <w:spacing w:after="0" w:line="6" w:lineRule="exact"/>
        <w:rPr>
          <w:sz w:val="20"/>
          <w:szCs w:val="20"/>
          <w:color w:val="auto"/>
        </w:rPr>
      </w:pPr>
    </w:p>
    <w:p>
      <w:pPr>
        <w:ind w:left="2000" w:hanging="517"/>
        <w:spacing w:after="0"/>
        <w:tabs>
          <w:tab w:leader="none" w:pos="2000" w:val="left"/>
        </w:tabs>
        <w:numPr>
          <w:ilvl w:val="1"/>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Principal Shareholder of Parent Holding Company</w:t>
      </w:r>
    </w:p>
    <w:p>
      <w:pPr>
        <w:spacing w:after="0" w:line="16" w:lineRule="exact"/>
        <w:rPr>
          <w:rFonts w:ascii="Courier New" w:cs="Courier New" w:eastAsia="Courier New" w:hAnsi="Courier New"/>
          <w:sz w:val="16"/>
          <w:szCs w:val="16"/>
          <w:color w:val="auto"/>
        </w:rPr>
      </w:pPr>
    </w:p>
    <w:p>
      <w:pPr>
        <w:ind w:left="1480" w:hanging="524"/>
        <w:spacing w:after="0" w:line="238" w:lineRule="auto"/>
        <w:tabs>
          <w:tab w:leader="none" w:pos="148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Franklin Mutual Advisers, Inc.</w:t>
      </w:r>
    </w:p>
    <w:p>
      <w:pPr>
        <w:ind w:left="2000" w:hanging="517"/>
        <w:spacing w:after="0" w:line="238" w:lineRule="auto"/>
        <w:tabs>
          <w:tab w:leader="none" w:pos="2000"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The securities reported on herein are beneficially owned by one or more open or closed-end investment companies or other managed accounts which are advised by direct and indirect investment advisory subsidiaries (the "Adviser Subsidiaries") of Franklin Resources, Inc. ("FRI"). Such advisory contracts grant to such Adviser Subsidiaries all investment and/or voting power over the securities owned by such advisory clients. Therefore, such Adviser Subsidiaries may be deemed to be, for purposes of Rule 13d-3 under the Securities Exchange Act of 1934, the beneficial owner of the securities covered by this statement.</w:t>
      </w:r>
    </w:p>
    <w:p>
      <w:pPr>
        <w:spacing w:after="0" w:line="215"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and Rupert H. Johnson, Jr. (the "Principal Shareholders") each own in excess of 10% of the outstanding Common Stock of FRI and are the principal shareholders of FRI. FRI and the Principal Shareholders may be deemed to be, for purposes of Rule 13d-3 under the 1934 Act, the beneficial owner of securities held by persons and entities advised by FRI subsidiaries. FRI, the Principal Shareholders and each of the Adviser Subsidiaries disclaim any economic interest or beneficial ownership in any of the securities covered by this statement.</w:t>
      </w:r>
    </w:p>
    <w:p>
      <w:pPr>
        <w:sectPr>
          <w:pgSz w:w="11900" w:h="16838" w:orient="portrait"/>
          <w:cols w:equalWidth="0" w:num="1">
            <w:col w:w="10219"/>
          </w:cols>
          <w:pgMar w:left="240" w:top="339" w:right="1440" w:bottom="0" w:gutter="0" w:footer="0" w:header="0"/>
        </w:sectPr>
      </w:pPr>
    </w:p>
    <w:bookmarkStart w:id="4" w:name="page5"/>
    <w:bookmarkEnd w:id="4"/>
    <w:p>
      <w:pPr>
        <w:ind w:right="3259"/>
        <w:spacing w:after="0" w:line="237" w:lineRule="auto"/>
        <w:rPr>
          <w:sz w:val="20"/>
          <w:szCs w:val="20"/>
          <w:color w:val="auto"/>
        </w:rPr>
      </w:pPr>
      <w:r>
        <w:rPr>
          <w:rFonts w:ascii="Courier New" w:cs="Courier New" w:eastAsia="Courier New" w:hAnsi="Courier New"/>
          <w:sz w:val="18"/>
          <w:szCs w:val="18"/>
          <w:color w:val="auto"/>
        </w:rPr>
        <w:t>FRI, the Principal Shareholders, and each of the Adviser Subsidiaries are of the view that they are not acting as a "group" for purposes of Section 13(d) under the 1934 Act and that they are not otherwise required to attribute to each other the "beneficial ownership" of securities held by any of them or by any persons or entities advised by FRI subsidiaries.</w:t>
      </w:r>
    </w:p>
    <w:p>
      <w:pPr>
        <w:spacing w:after="0" w:line="210" w:lineRule="exact"/>
        <w:rPr>
          <w:sz w:val="20"/>
          <w:szCs w:val="20"/>
          <w:color w:val="auto"/>
        </w:rPr>
      </w:pPr>
    </w:p>
    <w:p>
      <w:pPr>
        <w:ind w:left="1060" w:right="6739" w:hanging="736"/>
        <w:spacing w:after="0" w:line="470"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906,900</w:t>
      </w:r>
    </w:p>
    <w:p>
      <w:pPr>
        <w:spacing w:after="0" w:line="6"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7.5%</w:t>
      </w:r>
    </w:p>
    <w:p>
      <w:pPr>
        <w:spacing w:after="0" w:line="201" w:lineRule="exact"/>
        <w:rPr>
          <w:sz w:val="20"/>
          <w:szCs w:val="20"/>
          <w:color w:val="auto"/>
        </w:rPr>
      </w:pPr>
    </w:p>
    <w:p>
      <w:pPr>
        <w:ind w:left="740" w:hanging="416"/>
        <w:spacing w:after="0"/>
        <w:tabs>
          <w:tab w:leader="none" w:pos="74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Franklin Resources, Inc.:</w:t>
            </w:r>
          </w:p>
        </w:tc>
        <w:tc>
          <w:tcPr>
            <w:tcW w:w="1260" w:type="dxa"/>
            <w:vAlign w:val="bottom"/>
          </w:tcPr>
          <w:p>
            <w:pPr>
              <w:spacing w:after="0"/>
              <w:rPr>
                <w:sz w:val="17"/>
                <w:szCs w:val="17"/>
                <w:color w:val="auto"/>
              </w:rPr>
            </w:pPr>
          </w:p>
        </w:tc>
        <w:tc>
          <w:tcPr>
            <w:tcW w:w="122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6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60" w:type="dxa"/>
            <w:vAlign w:val="bottom"/>
          </w:tcPr>
          <w:p>
            <w:pPr>
              <w:spacing w:after="0"/>
              <w:rPr>
                <w:sz w:val="17"/>
                <w:szCs w:val="17"/>
                <w:color w:val="auto"/>
              </w:rPr>
            </w:pPr>
          </w:p>
        </w:tc>
        <w:tc>
          <w:tcPr>
            <w:tcW w:w="12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Franklin Mutual Advisers,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659,200</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247,700</w:t>
            </w:r>
          </w:p>
        </w:tc>
      </w:tr>
    </w:tbl>
    <w:p>
      <w:pPr>
        <w:spacing w:after="0" w:line="201" w:lineRule="exact"/>
        <w:rPr>
          <w:sz w:val="20"/>
          <w:szCs w:val="20"/>
          <w:color w:val="auto"/>
        </w:rPr>
      </w:pPr>
    </w:p>
    <w:p>
      <w:pPr>
        <w:ind w:left="960" w:hanging="531"/>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636"/>
        <w:spacing w:after="0"/>
        <w:tabs>
          <w:tab w:leader="none" w:pos="9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2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Franklin Resources, Inc.:</w:t>
            </w:r>
          </w:p>
        </w:tc>
        <w:tc>
          <w:tcPr>
            <w:tcW w:w="1260" w:type="dxa"/>
            <w:vAlign w:val="bottom"/>
          </w:tcPr>
          <w:p>
            <w:pPr>
              <w:spacing w:after="0"/>
              <w:rPr>
                <w:sz w:val="17"/>
                <w:szCs w:val="17"/>
                <w:color w:val="auto"/>
              </w:rPr>
            </w:pPr>
          </w:p>
        </w:tc>
        <w:tc>
          <w:tcPr>
            <w:tcW w:w="2060" w:type="dxa"/>
            <w:vAlign w:val="bottom"/>
          </w:tcPr>
          <w:p>
            <w:pPr>
              <w:jc w:val="right"/>
              <w:ind w:right="1492"/>
              <w:spacing w:after="0"/>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Charles B. Johnson:</w:t>
            </w:r>
          </w:p>
        </w:tc>
        <w:tc>
          <w:tcPr>
            <w:tcW w:w="1260" w:type="dxa"/>
            <w:vAlign w:val="bottom"/>
          </w:tcPr>
          <w:p>
            <w:pPr>
              <w:spacing w:after="0"/>
              <w:rPr>
                <w:sz w:val="17"/>
                <w:szCs w:val="17"/>
                <w:color w:val="auto"/>
              </w:rPr>
            </w:pPr>
          </w:p>
        </w:tc>
        <w:tc>
          <w:tcPr>
            <w:tcW w:w="20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Rupert H. Johnson, Jr.:</w:t>
            </w:r>
          </w:p>
        </w:tc>
        <w:tc>
          <w:tcPr>
            <w:tcW w:w="1260" w:type="dxa"/>
            <w:vAlign w:val="bottom"/>
          </w:tcPr>
          <w:p>
            <w:pPr>
              <w:spacing w:after="0"/>
              <w:rPr>
                <w:sz w:val="17"/>
                <w:szCs w:val="17"/>
                <w:color w:val="auto"/>
              </w:rPr>
            </w:pPr>
          </w:p>
        </w:tc>
        <w:tc>
          <w:tcPr>
            <w:tcW w:w="20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900" w:type="dxa"/>
            <w:vAlign w:val="bottom"/>
          </w:tcPr>
          <w:p>
            <w:pPr>
              <w:spacing w:after="0"/>
              <w:rPr>
                <w:sz w:val="17"/>
                <w:szCs w:val="17"/>
                <w:color w:val="auto"/>
              </w:rPr>
            </w:pPr>
          </w:p>
        </w:tc>
        <w:tc>
          <w:tcPr>
            <w:tcW w:w="1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Franklin Mutual</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Advisers,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w:t>
            </w:r>
          </w:p>
        </w:tc>
        <w:tc>
          <w:tcPr>
            <w:tcW w:w="2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659,200</w:t>
            </w:r>
          </w:p>
        </w:tc>
      </w:tr>
      <w:tr>
        <w:trPr>
          <w:trHeight w:val="203"/>
        </w:trPr>
        <w:tc>
          <w:tcPr>
            <w:tcW w:w="900" w:type="dxa"/>
            <w:vAlign w:val="bottom"/>
          </w:tcPr>
          <w:p>
            <w:pPr>
              <w:spacing w:after="0"/>
              <w:rPr>
                <w:sz w:val="17"/>
                <w:szCs w:val="17"/>
                <w:color w:val="auto"/>
              </w:rPr>
            </w:pPr>
          </w:p>
        </w:tc>
        <w:tc>
          <w:tcPr>
            <w:tcW w:w="2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206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247,700</w:t>
            </w:r>
          </w:p>
        </w:tc>
      </w:tr>
      <w:tr>
        <w:trPr>
          <w:trHeight w:val="405"/>
        </w:trPr>
        <w:tc>
          <w:tcPr>
            <w:tcW w:w="900" w:type="dxa"/>
            <w:vAlign w:val="bottom"/>
          </w:tcPr>
          <w:p>
            <w:pPr>
              <w:ind w:left="420"/>
              <w:spacing w:after="0"/>
              <w:rPr>
                <w:sz w:val="20"/>
                <w:szCs w:val="20"/>
                <w:color w:val="auto"/>
              </w:rPr>
            </w:pPr>
            <w:r>
              <w:rPr>
                <w:rFonts w:ascii="Courier New" w:cs="Courier New" w:eastAsia="Courier New" w:hAnsi="Courier New"/>
                <w:sz w:val="18"/>
                <w:szCs w:val="18"/>
                <w:color w:val="auto"/>
              </w:rPr>
              <w:t>(iv)</w:t>
            </w:r>
          </w:p>
        </w:tc>
        <w:tc>
          <w:tcPr>
            <w:tcW w:w="1680" w:type="dxa"/>
            <w:vAlign w:val="bottom"/>
          </w:tcPr>
          <w:p>
            <w:pPr>
              <w:ind w:left="60"/>
              <w:spacing w:after="0"/>
              <w:rPr>
                <w:sz w:val="20"/>
                <w:szCs w:val="20"/>
                <w:color w:val="auto"/>
              </w:rPr>
            </w:pPr>
            <w:r>
              <w:rPr>
                <w:rFonts w:ascii="Courier New" w:cs="Courier New" w:eastAsia="Courier New" w:hAnsi="Courier New"/>
                <w:sz w:val="18"/>
                <w:szCs w:val="18"/>
                <w:color w:val="auto"/>
                <w:w w:val="98"/>
              </w:rPr>
              <w:t>Shared power to</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dispose or to direct the disposition of</w:t>
            </w:r>
          </w:p>
        </w:tc>
      </w:tr>
      <w:tr>
        <w:trPr>
          <w:trHeight w:val="608"/>
        </w:trPr>
        <w:tc>
          <w:tcPr>
            <w:tcW w:w="900" w:type="dxa"/>
            <w:vAlign w:val="bottom"/>
          </w:tcPr>
          <w:p>
            <w:pPr>
              <w:spacing w:after="0"/>
              <w:rPr>
                <w:sz w:val="20"/>
                <w:szCs w:val="20"/>
                <w:color w:val="auto"/>
              </w:rPr>
            </w:pPr>
            <w:r>
              <w:rPr>
                <w:rFonts w:ascii="Courier New" w:cs="Courier New" w:eastAsia="Courier New" w:hAnsi="Courier New"/>
                <w:sz w:val="18"/>
                <w:szCs w:val="18"/>
                <w:color w:val="auto"/>
              </w:rPr>
              <w:t>Item 5.</w:t>
            </w:r>
          </w:p>
        </w:tc>
        <w:tc>
          <w:tcPr>
            <w:tcW w:w="27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Ownership of Five Percent</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or Less of a Class</w:t>
            </w:r>
          </w:p>
        </w:tc>
      </w:tr>
      <w:tr>
        <w:trPr>
          <w:trHeight w:val="203"/>
        </w:trPr>
        <w:tc>
          <w:tcPr>
            <w:tcW w:w="25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9"/>
              </w:rPr>
              <w:t>If this statement</w:t>
            </w:r>
          </w:p>
        </w:tc>
        <w:tc>
          <w:tcPr>
            <w:tcW w:w="43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7"/>
              </w:rPr>
              <w:t>is being filed to report the fact that as</w:t>
            </w:r>
          </w:p>
        </w:tc>
      </w:tr>
    </w:tbl>
    <w:p>
      <w:pPr>
        <w:spacing w:after="0" w:line="4" w:lineRule="exact"/>
        <w:rPr>
          <w:sz w:val="20"/>
          <w:szCs w:val="20"/>
          <w:color w:val="auto"/>
        </w:rPr>
      </w:pPr>
    </w:p>
    <w:p>
      <w:pPr>
        <w:ind w:left="740" w:right="3259"/>
        <w:spacing w:after="0" w:line="236" w:lineRule="auto"/>
        <w:rPr>
          <w:sz w:val="20"/>
          <w:szCs w:val="20"/>
          <w:color w:val="auto"/>
        </w:rPr>
      </w:pPr>
      <w:r>
        <w:rPr>
          <w:rFonts w:ascii="Courier New" w:cs="Courier New" w:eastAsia="Courier New" w:hAnsi="Courier New"/>
          <w:sz w:val="18"/>
          <w:szCs w:val="18"/>
          <w:color w:val="auto"/>
        </w:rPr>
        <w:t>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740" w:right="3259"/>
        <w:spacing w:after="0" w:line="237" w:lineRule="auto"/>
        <w:rPr>
          <w:sz w:val="20"/>
          <w:szCs w:val="20"/>
          <w:color w:val="auto"/>
        </w:rPr>
      </w:pPr>
      <w:r>
        <w:rPr>
          <w:rFonts w:ascii="Courier New" w:cs="Courier New" w:eastAsia="Courier New" w:hAnsi="Courier New"/>
          <w:sz w:val="18"/>
          <w:szCs w:val="18"/>
          <w:color w:val="auto"/>
        </w:rPr>
        <w:t>The clients of the Adviser Subsidiaries, including investment companies registered under the Investment Company Act of 1940 and other managed accounts, have the right to receive dividends from as well as the proceeds from the sale of such securities reported on in this statement. Mutual Beacon, a series of, Franklin Mutual Series Fund Inc., a company registered under the Investment Company Act of 1940, has an interest in more than 5% of the class of securities reported on herein.</w:t>
      </w:r>
    </w:p>
    <w:p>
      <w:pPr>
        <w:spacing w:after="0" w:line="200" w:lineRule="exact"/>
        <w:rPr>
          <w:sz w:val="20"/>
          <w:szCs w:val="20"/>
          <w:color w:val="auto"/>
        </w:rPr>
      </w:pPr>
    </w:p>
    <w:p>
      <w:pPr>
        <w:spacing w:after="0" w:line="216" w:lineRule="exact"/>
        <w:rPr>
          <w:sz w:val="20"/>
          <w:szCs w:val="20"/>
          <w:color w:val="auto"/>
        </w:rPr>
      </w:pPr>
    </w:p>
    <w:p>
      <w:pPr>
        <w:ind w:left="740" w:right="325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2680" w:type="dxa"/>
            <w:vAlign w:val="bottom"/>
          </w:tcPr>
          <w:p>
            <w:pPr>
              <w:spacing w:after="0"/>
              <w:rPr>
                <w:sz w:val="20"/>
                <w:szCs w:val="20"/>
                <w:color w:val="auto"/>
              </w:rPr>
            </w:pPr>
            <w:r>
              <w:rPr>
                <w:rFonts w:ascii="Courier New" w:cs="Courier New" w:eastAsia="Courier New" w:hAnsi="Courier New"/>
                <w:sz w:val="18"/>
                <w:szCs w:val="18"/>
                <w:color w:val="auto"/>
                <w:w w:val="98"/>
              </w:rPr>
              <w:t>Franklin Mutual Advisers,</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Inc.</w:t>
            </w:r>
          </w:p>
        </w:tc>
        <w:tc>
          <w:tcPr>
            <w:tcW w:w="840" w:type="dxa"/>
            <w:vAlign w:val="bottom"/>
          </w:tcPr>
          <w:p>
            <w:pPr>
              <w:ind w:left="420"/>
              <w:spacing w:after="0"/>
              <w:rPr>
                <w:sz w:val="20"/>
                <w:szCs w:val="20"/>
                <w:color w:val="auto"/>
              </w:rPr>
            </w:pPr>
            <w:r>
              <w:rPr>
                <w:rFonts w:ascii="Courier New" w:cs="Courier New" w:eastAsia="Courier New" w:hAnsi="Courier New"/>
                <w:sz w:val="18"/>
                <w:szCs w:val="18"/>
                <w:color w:val="auto"/>
                <w:w w:val="92"/>
              </w:rPr>
              <w:t>3(e)</w:t>
            </w:r>
          </w:p>
        </w:tc>
      </w:tr>
      <w:tr>
        <w:trPr>
          <w:trHeight w:val="203"/>
        </w:trPr>
        <w:tc>
          <w:tcPr>
            <w:tcW w:w="26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Templeton Global Advisors</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Limited</w:t>
            </w:r>
          </w:p>
        </w:tc>
        <w:tc>
          <w:tcPr>
            <w:tcW w:w="8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2"/>
              </w:rPr>
              <w:t>3(e)</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Item 10. Certification</w:t>
      </w:r>
    </w:p>
    <w:p>
      <w:pPr>
        <w:sectPr>
          <w:pgSz w:w="11900" w:h="16838" w:orient="portrait"/>
          <w:cols w:equalWidth="0" w:num="1">
            <w:col w:w="10219"/>
          </w:cols>
          <w:pgMar w:left="240" w:top="344" w:right="1440" w:bottom="0" w:gutter="0" w:footer="0" w:header="0"/>
        </w:sectPr>
      </w:pPr>
    </w:p>
    <w:bookmarkStart w:id="5" w:name="page6"/>
    <w:bookmarkEnd w:id="5"/>
    <w:p>
      <w:pPr>
        <w:ind w:right="3159"/>
        <w:spacing w:after="0" w:line="237" w:lineRule="auto"/>
        <w:rPr>
          <w:sz w:val="20"/>
          <w:szCs w:val="20"/>
          <w:color w:val="auto"/>
        </w:rPr>
      </w:pPr>
      <w:r>
        <w:rPr>
          <w:rFonts w:ascii="Courier New" w:cs="Courier New" w:eastAsia="Courier New" w:hAnsi="Courier New"/>
          <w:sz w:val="18"/>
          <w:szCs w:val="18"/>
          <w:color w:val="auto"/>
        </w:rPr>
        <w:t>By signing below, we certify that, to the best of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11"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This report shall not be construed as an admission by the persons filing the report that they are the beneficial owner of any securities covered by this report.</w:t>
      </w:r>
    </w:p>
    <w:p>
      <w:pPr>
        <w:spacing w:after="0" w:line="209"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our knowledge and belief, we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 Franklin Mutual Advisers,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CHARLES B. JOHNSON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S\CHARLES B. JOHNSON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RUPERT H. JOHNSON, JR. hereby appoints DEBORAH R. GATZEK his true and lawful attorney-in-fact and agent to execute and file with the Securities and Exchange Commission any Schedule 13G, any amendments thereto or any related documentation which may be required to be filed in his individual capacity as a result of his position as an officer, director or shareholder of Franklin Resources, Inc. and, granting unto said attorney-in-fact and agent, full power and authority to do and perform each and every act and thing which he might or could do in person, hereby ratifying and confirming all that said attorney-in-fact and agent, may lawfully do or cause to be done by virtue hereof.</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S\RUPERT H. JOHNSON, JR.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accordance with Rule 13d-1 (f)(1) under the Securities Exchange</w:t>
      </w:r>
    </w:p>
    <w:p>
      <w:pPr>
        <w:sectPr>
          <w:pgSz w:w="11900" w:h="16838" w:orient="portrait"/>
          <w:cols w:equalWidth="0" w:num="1">
            <w:col w:w="10219"/>
          </w:cols>
          <w:pgMar w:left="240" w:top="142" w:right="1440" w:bottom="0" w:gutter="0" w:footer="0" w:header="0"/>
        </w:sectPr>
      </w:pPr>
    </w:p>
    <w:bookmarkStart w:id="6" w:name="page7"/>
    <w:bookmarkEnd w:id="6"/>
    <w:p>
      <w:pPr>
        <w:ind w:right="3159"/>
        <w:spacing w:after="0" w:line="275" w:lineRule="auto"/>
        <w:rPr>
          <w:sz w:val="20"/>
          <w:szCs w:val="20"/>
          <w:color w:val="auto"/>
        </w:rPr>
      </w:pPr>
      <w:r>
        <w:rPr>
          <w:rFonts w:ascii="Courier New" w:cs="Courier New" w:eastAsia="Courier New" w:hAnsi="Courier New"/>
          <w:sz w:val="16"/>
          <w:szCs w:val="16"/>
          <w:color w:val="auto"/>
        </w:rPr>
        <w:t>Act of 1934, as amended, the undersigned hereby agrees to the joint filing with each other of the attached statement on Schedule 13G and to all amendments to such statement and that such statement and all amendments to such statement is made on behalf of each of them.</w:t>
      </w:r>
    </w:p>
    <w:p>
      <w:pPr>
        <w:spacing w:after="0" w:line="182"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on</w:t>
      </w:r>
    </w:p>
    <w:p>
      <w:pPr>
        <w:spacing w:after="0"/>
        <w:rPr>
          <w:sz w:val="20"/>
          <w:szCs w:val="20"/>
          <w:color w:val="auto"/>
        </w:rPr>
      </w:pPr>
      <w:r>
        <w:rPr>
          <w:rFonts w:ascii="Courier New" w:cs="Courier New" w:eastAsia="Courier New" w:hAnsi="Courier New"/>
          <w:sz w:val="18"/>
          <w:szCs w:val="18"/>
          <w:color w:val="auto"/>
        </w:rPr>
        <w:t>February 6, 1998.</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Franklin Resources, Inc.</w:t>
      </w:r>
    </w:p>
    <w:p>
      <w:pPr>
        <w:spacing w:after="0" w:line="238" w:lineRule="auto"/>
        <w:rPr>
          <w:sz w:val="20"/>
          <w:szCs w:val="20"/>
          <w:color w:val="auto"/>
        </w:rPr>
      </w:pPr>
      <w:r>
        <w:rPr>
          <w:rFonts w:ascii="Courier New" w:cs="Courier New" w:eastAsia="Courier New" w:hAnsi="Courier New"/>
          <w:sz w:val="18"/>
          <w:szCs w:val="18"/>
          <w:color w:val="auto"/>
        </w:rPr>
        <w:t>Charles B. Johnson</w:t>
      </w:r>
    </w:p>
    <w:p>
      <w:pPr>
        <w:spacing w:after="0"/>
        <w:rPr>
          <w:sz w:val="20"/>
          <w:szCs w:val="20"/>
          <w:color w:val="auto"/>
        </w:rPr>
      </w:pPr>
      <w:r>
        <w:rPr>
          <w:rFonts w:ascii="Courier New" w:cs="Courier New" w:eastAsia="Courier New" w:hAnsi="Courier New"/>
          <w:sz w:val="18"/>
          <w:szCs w:val="18"/>
          <w:color w:val="auto"/>
        </w:rPr>
        <w:t>Rupert H. Johnson, Jr.</w:t>
      </w:r>
    </w:p>
    <w:p>
      <w:pPr>
        <w:spacing w:after="0" w:line="237" w:lineRule="auto"/>
        <w:rPr>
          <w:sz w:val="20"/>
          <w:szCs w:val="20"/>
          <w:color w:val="auto"/>
        </w:rPr>
      </w:pPr>
      <w:r>
        <w:rPr>
          <w:rFonts w:ascii="Courier New" w:cs="Courier New" w:eastAsia="Courier New" w:hAnsi="Courier New"/>
          <w:sz w:val="18"/>
          <w:szCs w:val="18"/>
          <w:color w:val="auto"/>
        </w:rPr>
        <w:t>Franklin Mutual Advisers,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S\DEBORAH R. GATZEK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Deborah R. Gatzek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Senior Vice President, Franklin Resources, Inc.</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Attorney in Fact for Charles B. Johnson pursuant to Power of Attorney attached to this Schedule 13G</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Attorney in Fact for Rupert H. Johnson, Jr. pursuant to Power of Attorney attached to this Schedule 13G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Assistant Secretary, Franklin Mutual Advisers, Inc.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2"/>
    </w:lvl>
  </w:abstractNum>
  <w:abstractNum w:abstractNumId="2">
    <w:nsid w:val="628C895D"/>
    <w:multiLevelType w:val="hybridMultilevel"/>
    <w:lvl w:ilvl="0">
      <w:lvlJc w:val="left"/>
      <w:lvlText w:val="%1"/>
      <w:numFmt w:val="decimal"/>
      <w:start w:val="1"/>
    </w:lvl>
    <w:lvl w:ilvl="1">
      <w:lvlJc w:val="left"/>
      <w:lvlText w:val="(%2)"/>
      <w:numFmt w:val="lowerLetter"/>
      <w:start w:val="2"/>
    </w:lvl>
  </w:abstractNum>
  <w:abstractNum w:abstractNumId="3">
    <w:nsid w:val="333AB105"/>
    <w:multiLevelType w:val="hybridMultilevel"/>
    <w:lvl w:ilvl="0">
      <w:lvlJc w:val="left"/>
      <w:lvlText w:val="%1."/>
      <w:numFmt w:val="decimal"/>
      <w:start w:val="3"/>
    </w:lvl>
    <w:lvl w:ilvl="1">
      <w:lvlJc w:val="left"/>
      <w:lvlText w:val="%2"/>
      <w:numFmt w:val="lowerLetter"/>
      <w:start w:val="1"/>
    </w:lvl>
  </w:abstractNum>
  <w:abstractNum w:abstractNumId="4">
    <w:nsid w:val="721DA317"/>
    <w:multiLevelType w:val="hybridMultilevel"/>
    <w:lvl w:ilvl="0">
      <w:lvlJc w:val="left"/>
      <w:lvlText w:val="%1"/>
      <w:numFmt w:val="decimal"/>
      <w:start w:val="1"/>
    </w:lvl>
    <w:lvl w:ilvl="1">
      <w:lvlJc w:val="left"/>
      <w:lvlText w:val="%2."/>
      <w:numFmt w:val="decimal"/>
      <w:start w:val="5"/>
    </w:lvl>
  </w:abstractNum>
  <w:abstractNum w:abstractNumId="5">
    <w:nsid w:val="2443A858"/>
    <w:multiLevelType w:val="hybridMultilevel"/>
    <w:lvl w:ilvl="0">
      <w:lvlJc w:val="left"/>
      <w:lvlText w:val="%1."/>
      <w:numFmt w:val="decimal"/>
      <w:start w:val="9"/>
    </w:lvl>
    <w:lvl w:ilvl="1">
      <w:lvlJc w:val="left"/>
      <w:lvlText w:val="%2"/>
      <w:numFmt w:val="decimal"/>
      <w:start w:val="1"/>
    </w:lvl>
  </w:abstractNum>
  <w:abstractNum w:abstractNumId="6">
    <w:nsid w:val="2D1D5AE9"/>
    <w:multiLevelType w:val="hybridMultilevel"/>
    <w:lvl w:ilvl="0">
      <w:lvlJc w:val="left"/>
      <w:lvlText w:val="%1."/>
      <w:numFmt w:val="decimal"/>
      <w:start w:val="1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1."/>
      <w:numFmt w:val="decimal"/>
      <w:start w:val="2"/>
    </w:lvl>
  </w:abstractNum>
  <w:abstractNum w:abstractNumId="9">
    <w:nsid w:val="8EDBDAB"/>
    <w:multiLevelType w:val="hybridMultilevel"/>
    <w:lvl w:ilvl="0">
      <w:lvlJc w:val="left"/>
      <w:lvlText w:val="%1"/>
      <w:numFmt w:val="decimal"/>
      <w:start w:val="1"/>
    </w:lvl>
    <w:lvl w:ilvl="1">
      <w:lvlJc w:val="left"/>
      <w:lvlText w:val="(%2)"/>
      <w:numFmt w:val="lowerLetter"/>
      <w:start w:val="2"/>
    </w:lvl>
  </w:abstractNum>
  <w:abstractNum w:abstractNumId="10">
    <w:nsid w:val="79838CB2"/>
    <w:multiLevelType w:val="hybridMultilevel"/>
    <w:lvl w:ilvl="0">
      <w:lvlJc w:val="left"/>
      <w:lvlText w:val="%1."/>
      <w:numFmt w:val="decimal"/>
      <w:start w:val="3"/>
    </w:lvl>
    <w:lvl w:ilvl="1">
      <w:lvlJc w:val="left"/>
      <w:lvlText w:val="%2"/>
      <w:numFmt w:val="lowerLetter"/>
      <w:start w:val="1"/>
    </w:lvl>
  </w:abstractNum>
  <w:abstractNum w:abstractNumId="11">
    <w:nsid w:val="4353D0CD"/>
    <w:multiLevelType w:val="hybridMultilevel"/>
    <w:lvl w:ilvl="0">
      <w:lvlJc w:val="left"/>
      <w:lvlText w:val="%1"/>
      <w:numFmt w:val="decimal"/>
      <w:start w:val="1"/>
    </w:lvl>
    <w:lvl w:ilvl="1">
      <w:lvlJc w:val="left"/>
      <w:lvlText w:val="%2."/>
      <w:numFmt w:val="decimal"/>
      <w:start w:val="5"/>
    </w:lvl>
  </w:abstractNum>
  <w:abstractNum w:abstractNumId="12">
    <w:nsid w:val="B03E0C6"/>
    <w:multiLevelType w:val="hybridMultilevel"/>
    <w:lvl w:ilvl="0">
      <w:lvlJc w:val="left"/>
      <w:lvlText w:val="%1."/>
      <w:numFmt w:val="decimal"/>
      <w:start w:val="9"/>
    </w:lvl>
    <w:lvl w:ilvl="1">
      <w:lvlJc w:val="left"/>
      <w:lvlText w:val="%2"/>
      <w:numFmt w:val="decimal"/>
      <w:start w:val="1"/>
    </w:lvl>
  </w:abstractNum>
  <w:abstractNum w:abstractNumId="13">
    <w:nsid w:val="189A769B"/>
    <w:multiLevelType w:val="hybridMultilevel"/>
    <w:lvl w:ilvl="0">
      <w:lvlJc w:val="left"/>
      <w:lvlText w:val="%1."/>
      <w:numFmt w:val="decimal"/>
      <w:start w:val="12"/>
    </w:lvl>
  </w:abstractNum>
  <w:abstractNum w:abstractNumId="14">
    <w:nsid w:val="54E49EB4"/>
    <w:multiLevelType w:val="hybridMultilevel"/>
    <w:lvl w:ilvl="0">
      <w:lvlJc w:val="left"/>
      <w:lvlText w:val="%1."/>
      <w:numFmt w:val="decimal"/>
      <w:start w:val="1"/>
    </w:lvl>
  </w:abstractNum>
  <w:abstractNum w:abstractNumId="15">
    <w:nsid w:val="71F32454"/>
    <w:multiLevelType w:val="hybridMultilevel"/>
    <w:lvl w:ilvl="0">
      <w:lvlJc w:val="left"/>
      <w:lvlText w:val="%1."/>
      <w:numFmt w:val="decimal"/>
      <w:start w:val="2"/>
    </w:lvl>
  </w:abstractNum>
  <w:abstractNum w:abstractNumId="16">
    <w:nsid w:val="2CA88611"/>
    <w:multiLevelType w:val="hybridMultilevel"/>
    <w:lvl w:ilvl="0">
      <w:lvlJc w:val="left"/>
      <w:lvlText w:val="%1"/>
      <w:numFmt w:val="decimal"/>
      <w:start w:val="1"/>
    </w:lvl>
    <w:lvl w:ilvl="1">
      <w:lvlJc w:val="left"/>
      <w:lvlText w:val="(%2)"/>
      <w:numFmt w:val="lowerLetter"/>
      <w:start w:val="2"/>
    </w:lvl>
  </w:abstractNum>
  <w:abstractNum w:abstractNumId="17">
    <w:nsid w:val="836C40E"/>
    <w:multiLevelType w:val="hybridMultilevel"/>
    <w:lvl w:ilvl="0">
      <w:lvlJc w:val="left"/>
      <w:lvlText w:val="%1."/>
      <w:numFmt w:val="decimal"/>
      <w:start w:val="3"/>
    </w:lvl>
    <w:lvl w:ilvl="1">
      <w:lvlJc w:val="left"/>
      <w:lvlText w:val="%2"/>
      <w:numFmt w:val="lowerLetter"/>
      <w:start w:val="1"/>
    </w:lvl>
  </w:abstractNum>
  <w:abstractNum w:abstractNumId="18">
    <w:nsid w:val="2901D82"/>
    <w:multiLevelType w:val="hybridMultilevel"/>
    <w:lvl w:ilvl="0">
      <w:lvlJc w:val="left"/>
      <w:lvlText w:val="%1"/>
      <w:numFmt w:val="decimal"/>
      <w:start w:val="1"/>
    </w:lvl>
    <w:lvl w:ilvl="1">
      <w:lvlJc w:val="left"/>
      <w:lvlText w:val="%2."/>
      <w:numFmt w:val="decimal"/>
      <w:start w:val="5"/>
    </w:lvl>
  </w:abstractNum>
  <w:abstractNum w:abstractNumId="19">
    <w:nsid w:val="3A95F874"/>
    <w:multiLevelType w:val="hybridMultilevel"/>
    <w:lvl w:ilvl="0">
      <w:lvlJc w:val="left"/>
      <w:lvlText w:val="%1."/>
      <w:numFmt w:val="decimal"/>
      <w:start w:val="9"/>
    </w:lvl>
    <w:lvl w:ilvl="1">
      <w:lvlJc w:val="left"/>
      <w:lvlText w:val="%2"/>
      <w:numFmt w:val="decimal"/>
      <w:start w:val="1"/>
    </w:lvl>
  </w:abstractNum>
  <w:abstractNum w:abstractNumId="20">
    <w:nsid w:val="8138641"/>
    <w:multiLevelType w:val="hybridMultilevel"/>
    <w:lvl w:ilvl="0">
      <w:lvlJc w:val="left"/>
      <w:lvlText w:val="%1."/>
      <w:numFmt w:val="decimal"/>
      <w:start w:val="12"/>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1."/>
      <w:numFmt w:val="decimal"/>
      <w:start w:val="2"/>
    </w:lvl>
  </w:abstractNum>
  <w:abstractNum w:abstractNumId="23">
    <w:nsid w:val="737B8DDC"/>
    <w:multiLevelType w:val="hybridMultilevel"/>
    <w:lvl w:ilvl="0">
      <w:lvlJc w:val="left"/>
      <w:lvlText w:val="%1"/>
      <w:numFmt w:val="decimal"/>
      <w:start w:val="1"/>
    </w:lvl>
    <w:lvl w:ilvl="1">
      <w:lvlJc w:val="left"/>
      <w:lvlText w:val="(%2)"/>
      <w:numFmt w:val="lowerLetter"/>
      <w:start w:val="2"/>
    </w:lvl>
  </w:abstractNum>
  <w:abstractNum w:abstractNumId="24">
    <w:nsid w:val="6CEAF087"/>
    <w:multiLevelType w:val="hybridMultilevel"/>
    <w:lvl w:ilvl="0">
      <w:lvlJc w:val="left"/>
      <w:lvlText w:val="%1."/>
      <w:numFmt w:val="decimal"/>
      <w:start w:val="3"/>
    </w:lvl>
    <w:lvl w:ilvl="1">
      <w:lvlJc w:val="left"/>
      <w:lvlText w:val="%2"/>
      <w:numFmt w:val="lowerLetter"/>
      <w:start w:val="1"/>
    </w:lvl>
  </w:abstractNum>
  <w:abstractNum w:abstractNumId="25">
    <w:nsid w:val="22221A70"/>
    <w:multiLevelType w:val="hybridMultilevel"/>
    <w:lvl w:ilvl="0">
      <w:lvlJc w:val="left"/>
      <w:lvlText w:val="%1"/>
      <w:numFmt w:val="decimal"/>
      <w:start w:val="1"/>
    </w:lvl>
    <w:lvl w:ilvl="1">
      <w:lvlJc w:val="left"/>
      <w:lvlText w:val="%2."/>
      <w:numFmt w:val="decimal"/>
      <w:start w:val="5"/>
    </w:lvl>
  </w:abstractNum>
  <w:abstractNum w:abstractNumId="26">
    <w:nsid w:val="4516DDE9"/>
    <w:multiLevelType w:val="hybridMultilevel"/>
    <w:lvl w:ilvl="0">
      <w:lvlJc w:val="left"/>
      <w:lvlText w:val="%1."/>
      <w:numFmt w:val="decimal"/>
      <w:start w:val="9"/>
    </w:lvl>
    <w:lvl w:ilvl="1">
      <w:lvlJc w:val="left"/>
      <w:lvlText w:val="%2"/>
      <w:numFmt w:val="decimal"/>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abstractNum>
  <w:abstractNum w:abstractNumId="29">
    <w:nsid w:val="419AC241"/>
    <w:multiLevelType w:val="hybridMultilevel"/>
    <w:lvl w:ilvl="0">
      <w:lvlJc w:val="left"/>
      <w:lvlText w:val="%1"/>
      <w:numFmt w:val="lowerLetter"/>
      <w:start w:val="1"/>
    </w:lvl>
    <w:lvl w:ilvl="1">
      <w:lvlJc w:val="left"/>
      <w:lvlText w:val="(%2)"/>
      <w:numFmt w:val="lowerLetter"/>
      <w:start w:val="35"/>
    </w:lvl>
  </w:abstractNum>
  <w:abstractNum w:abstractNumId="30">
    <w:nsid w:val="5577F8E1"/>
    <w:multiLevelType w:val="hybridMultilevel"/>
    <w:lvl w:ilvl="0">
      <w:lvlJc w:val="left"/>
      <w:lvlText w:val="(%1)"/>
      <w:numFmt w:val="lowerLetter"/>
      <w:start w:val="4"/>
    </w:lvl>
    <w:lvl w:ilvl="1">
      <w:lvlJc w:val="left"/>
      <w:lvlText w:val="%2"/>
      <w:numFmt w:val="lowerLetter"/>
      <w:start w:val="1"/>
    </w:lvl>
  </w:abstractNum>
  <w:abstractNum w:abstractNumId="31">
    <w:nsid w:val="440BADFC"/>
    <w:multiLevelType w:val="hybridMultilevel"/>
    <w:lvl w:ilvl="0">
      <w:lvlJc w:val="left"/>
      <w:lvlText w:val="(%1)"/>
      <w:numFmt w:val="lowerLetter"/>
      <w:start w:val="9"/>
    </w:lvl>
    <w:lvl w:ilvl="1">
      <w:lvlJc w:val="left"/>
      <w:lvlText w:val="(%2)"/>
      <w:numFmt w:val="lowerLetter"/>
      <w:start w:val="7"/>
    </w:lvl>
  </w:abstractNum>
  <w:abstractNum w:abstractNumId="32">
    <w:nsid w:val="5072367"/>
    <w:multiLevelType w:val="hybridMultilevel"/>
    <w:lvl w:ilvl="0">
      <w:lvlJc w:val="left"/>
      <w:lvlText w:val="(%1)"/>
      <w:numFmt w:val="lowerLetter"/>
      <w:start w:val="35"/>
    </w:lvl>
    <w:lvl w:ilvl="1">
      <w:lvlJc w:val="left"/>
      <w:lvlText w:val="%2"/>
      <w:numFmt w:val="lowerLetter"/>
      <w:start w:val="1"/>
    </w:lvl>
  </w:abstractNum>
  <w:abstractNum w:abstractNumId="33">
    <w:nsid w:val="3804823E"/>
    <w:multiLevelType w:val="hybridMultilevel"/>
    <w:lvl w:ilvl="0">
      <w:lvlJc w:val="left"/>
      <w:lvlText w:val="(%1)"/>
      <w:numFmt w:val="lowerLetter"/>
      <w:start w:val="7"/>
    </w:lvl>
  </w:abstractNum>
  <w:abstractNum w:abstractNumId="34">
    <w:nsid w:val="77465F01"/>
    <w:multiLevelType w:val="hybridMultilevel"/>
    <w:lvl w:ilvl="0">
      <w:lvlJc w:val="left"/>
      <w:lvlText w:val="%1"/>
      <w:numFmt w:val="lowerRoman"/>
      <w:start w:val="1"/>
    </w:lvl>
    <w:lvl w:ilvl="1">
      <w:lvlJc w:val="left"/>
      <w:lvlText w:val="(%2)"/>
      <w:numFmt w:val="lowerLetter"/>
      <w:start w:val="7"/>
    </w:lvl>
  </w:abstractNum>
  <w:abstractNum w:abstractNumId="35">
    <w:nsid w:val="7724C67E"/>
    <w:multiLevelType w:val="hybridMultilevel"/>
    <w:lvl w:ilvl="0">
      <w:lvlJc w:val="left"/>
      <w:lvlText w:val="(%1)"/>
      <w:numFmt w:val="lowerRoman"/>
      <w:start w:val="4"/>
    </w:lvl>
    <w:lvl w:ilvl="1">
      <w:lvlJc w:val="left"/>
      <w:lvlText w:val="(%2)"/>
      <w:numFmt w:val="lowerLetter"/>
      <w:start w:val="5"/>
    </w:lvl>
  </w:abstractNum>
  <w:abstractNum w:abstractNumId="36">
    <w:nsid w:val="5C482A97"/>
    <w:multiLevelType w:val="hybridMultilevel"/>
    <w:lvl w:ilvl="0">
      <w:lvlJc w:val="left"/>
      <w:lvlText w:val="(%1)"/>
      <w:numFmt w:val="lowerLetter"/>
      <w:start w:val="1"/>
    </w:lvl>
  </w:abstractNum>
  <w:abstractNum w:abstractNumId="37">
    <w:nsid w:val="2463B9EA"/>
    <w:multiLevelType w:val="hybridMultilevel"/>
    <w:lvl w:ilvl="0">
      <w:lvlJc w:val="left"/>
      <w:lvlText w:val="(%1)"/>
      <w:numFmt w:val="lowerLetter"/>
      <w:start w:val="3"/>
    </w:lvl>
    <w:lvl w:ilvl="1">
      <w:lvlJc w:val="left"/>
      <w:lvlText w:val="(%2)"/>
      <w:numFmt w:val="lowerLetter"/>
      <w:start w:val="9"/>
    </w:lvl>
  </w:abstractNum>
  <w:abstractNum w:abstractNumId="38">
    <w:nsid w:val="5E884A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2019-12-13T13:51:11Z</dcterms:created>
  <dcterms:modified xsi:type="dcterms:W3CDTF">2019-12-13T13:51:11Z</dcterms:modified>
</cp:coreProperties>
</file>